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451"/>
        <w:jc w:val="center"/>
        <w:spacing w:line="1241" w:lineRule="exact"/>
        <w:rPr>
          <w:rFonts w:hint="eastAsia"/>
          <w:color w:val="auto"/>
          <w:sz w:val="24"/>
          <w:szCs w:val="24"/>
          <w:highlight w:val="none"/>
        </w:rPr>
      </w:pP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4351020</wp:posOffset>
                </wp:positionH>
                <wp:positionV relativeFrom="paragraph">
                  <wp:posOffset>-3175</wp:posOffset>
                </wp:positionV>
                <wp:extent cx="1461770" cy="11334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5494020" y="911225"/>
                          <a:ext cx="1461770" cy="1133475"/>
                        </a:xfrm>
                        <a:prstGeom prst="rect">
                          <a:avLst/>
                        </a:prstGeom>
                        <a:noFill/>
                        <a:ln w="6350">
                          <a:noFill/>
                        </a:ln>
                        <a:effectLst/>
                      </wps:spPr>
                      <wps:txbx>
                        <w:txbxContent>
                          <w:p>
                            <w:pPr>
                              <w:rPr>
                                <w:rFonts w:hint="eastAsia" w:ascii="Malgun Gothic" w:hAnsi="Malgun Gothic" w:eastAsia="Malgun Gothic" w:cs="Malgun Gothic"/>
                                <w:b/>
                                <w:bCs/>
                                <w:color w:val="000000" w:themeColor="text1"/>
                                <w:sz w:val="84"/>
                                <w:szCs w:val="84"/>
                                <w:lang w:val="en-US" w:eastAsia="zh-CN"/>
                                <w14:textFill>
                                  <w14:solidFill>
                                    <w14:schemeClr w14:val="tx1"/>
                                  </w14:solidFill>
                                </w14:textFill>
                              </w:rPr>
                            </w:pPr>
                            <w:r>
                              <w:rPr>
                                <w:rFonts w:hint="eastAsia" w:ascii="Malgun Gothic" w:hAnsi="Malgun Gothic" w:eastAsia="Malgun Gothic" w:cs="Malgun Gothic"/>
                                <w:b/>
                                <w:bCs/>
                                <w:color w:val="4f81bd" w:themeColor="accent1"/>
                                <w:sz w:val="56"/>
                                <w:szCs w:val="56"/>
                                <w:lang w:val="en-US" w:eastAsia="zh-CN"/>
                                <w14:textFill>
                                  <w14:solidFill>
                                    <w14:schemeClr w14:val="accent1"/>
                                  </w14:solidFill>
                                </w14:textFill>
                              </w:rPr>
                              <w:t xml:space="preserve">SUZI</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text;margin-left:342.6pt;mso-position-horizontal:absolute;mso-position-vertical-relative:text;margin-top:-0.2pt;mso-position-vertical:absolute;width:115.1pt;height:89.2pt;mso-wrap-distance-left:9.0pt;mso-wrap-distance-top:0.0pt;mso-wrap-distance-right:9.0pt;mso-wrap-distance-bottom:0.0pt;v-text-anchor:top;visibility:visible;" filled="f" stroked="f" strokeweight="0.50pt">
                <v:textbox inset="0,0,0,0">
                  <w:txbxContent>
                    <w:p>
                      <w:pPr>
                        <w:rPr>
                          <w:rFonts w:hint="eastAsia" w:ascii="Malgun Gothic" w:hAnsi="Malgun Gothic" w:eastAsia="Malgun Gothic" w:cs="Malgun Gothic"/>
                          <w:b/>
                          <w:bCs/>
                          <w:color w:val="000000" w:themeColor="text1"/>
                          <w:sz w:val="84"/>
                          <w:szCs w:val="84"/>
                          <w:lang w:val="en-US" w:eastAsia="zh-CN"/>
                          <w14:textFill>
                            <w14:solidFill>
                              <w14:schemeClr w14:val="tx1"/>
                            </w14:solidFill>
                          </w14:textFill>
                        </w:rPr>
                      </w:pPr>
                      <w:r>
                        <w:rPr>
                          <w:rFonts w:hint="eastAsia" w:ascii="Malgun Gothic" w:hAnsi="Malgun Gothic" w:eastAsia="Malgun Gothic" w:cs="Malgun Gothic"/>
                          <w:b/>
                          <w:bCs/>
                          <w:color w:val="4f81bd" w:themeColor="accent1"/>
                          <w:sz w:val="56"/>
                          <w:szCs w:val="56"/>
                          <w:lang w:val="en-US" w:eastAsia="zh-CN"/>
                          <w14:textFill>
                            <w14:solidFill>
                              <w14:schemeClr w14:val="accent1"/>
                            </w14:solidFill>
                          </w14:textFill>
                        </w:rPr>
                        <w:t xml:space="preserve">SUZI</w:t>
                      </w:r>
                      <w:r/>
                    </w:p>
                  </w:txbxContent>
                </v:textbox>
              </v:shape>
            </w:pict>
          </mc:Fallback>
        </mc:AlternateContent>
      </w:r>
      <w:r/>
    </w:p>
    <w:p>
      <w:pPr>
        <w:ind w:right="-94"/>
        <w:jc w:val="center"/>
        <w:spacing w:line="1241" w:lineRule="exact"/>
        <w:rPr>
          <w:rFonts w:hint="eastAsia" w:ascii="黑体" w:hAnsi="黑体" w:eastAsia="黑体" w:cs="黑体"/>
          <w:color w:val="auto"/>
          <w:sz w:val="21"/>
          <w:szCs w:val="21"/>
          <w:highlight w:val="none"/>
        </w:rPr>
        <w:outlineLvl w:val="9"/>
      </w:pPr>
      <w:r/>
      <w:bookmarkStart w:id="0" w:name="_Toc4100"/>
      <w:r/>
      <w:bookmarkStart w:id="1" w:name="_Toc19871"/>
      <w:r/>
      <w:r/>
    </w:p>
    <w:p>
      <w:pPr>
        <w:ind w:right="-94"/>
        <w:jc w:val="center"/>
        <w:spacing w:line="1241" w:lineRule="exact"/>
        <w:rPr>
          <w:rFonts w:hint="eastAsia" w:ascii="黑体" w:hAnsi="黑体" w:eastAsia="黑体" w:cs="黑体"/>
          <w:color w:val="auto"/>
          <w:sz w:val="100"/>
          <w:highlight w:val="none"/>
        </w:rPr>
        <w:outlineLvl w:val="0"/>
      </w:pPr>
      <w:r/>
      <w:bookmarkStart w:id="2" w:name="_Toc6814"/>
      <w:r/>
      <w:bookmarkStart w:id="3" w:name="_Toc8567"/>
      <w:r>
        <w:rPr>
          <w:rFonts w:hint="eastAsia" w:ascii="黑体" w:hAnsi="黑体" w:eastAsia="黑体" w:cs="黑体"/>
          <w:color w:val="auto"/>
          <w:sz w:val="84"/>
          <w:szCs w:val="84"/>
          <w:highlight w:val="none"/>
        </w:rPr>
        <w:t xml:space="preserve">竞争性磋商文件</w:t>
      </w:r>
      <w:bookmarkEnd w:id="0"/>
      <w:r/>
      <w:bookmarkEnd w:id="1"/>
      <w:r/>
      <w:bookmarkEnd w:id="2"/>
      <w:r/>
      <w:bookmarkEnd w:id="3"/>
      <w:r/>
      <w:r/>
    </w:p>
    <w:p>
      <w:pPr>
        <w:ind w:right="1334" w:firstLine="592"/>
        <w:jc w:val="left"/>
        <w:spacing w:line="266" w:lineRule="auto"/>
        <w:rPr>
          <w:rFonts w:hint="eastAsia" w:asciiTheme="majorEastAsia" w:hAnsiTheme="majorEastAsia" w:eastAsiaTheme="majorEastAsia" w:cstheme="majorEastAsia"/>
          <w:color w:val="auto"/>
          <w:spacing w:val="-12"/>
          <w:sz w:val="32"/>
          <w:szCs w:val="32"/>
          <w:highlight w:val="none"/>
        </w:rPr>
      </w:pPr>
      <w:r>
        <w:rPr>
          <w:rFonts w:hint="eastAsia" w:asciiTheme="majorEastAsia" w:hAnsiTheme="majorEastAsia" w:eastAsiaTheme="majorEastAsia" w:cstheme="majorEastAsia"/>
          <w:color w:val="auto"/>
          <w:spacing w:val="-12"/>
          <w:sz w:val="32"/>
          <w:szCs w:val="32"/>
          <w:highlight w:val="none"/>
        </w:rPr>
      </w:r>
      <w:r/>
    </w:p>
    <w:p>
      <w:pPr>
        <w:ind w:left="0" w:right="0" w:firstLine="0"/>
        <w:jc w:val="center"/>
        <w:pageBreakBefore w:val="0"/>
        <w:spacing w:line="360" w:lineRule="auto"/>
        <w:widowControl w:val="off"/>
        <w:rPr>
          <w:rFonts w:hint="eastAsia" w:ascii="宋体" w:hAnsi="宋体" w:cs="宋体"/>
          <w:color w:val="auto"/>
          <w:spacing w:val="-12"/>
          <w:sz w:val="36"/>
          <w:szCs w:val="36"/>
          <w:highlight w:val="none"/>
          <w:lang w:eastAsia="zh-CN"/>
        </w:rPr>
        <w:outlineLvl w:val="0"/>
      </w:pPr>
      <w:r/>
      <w:bookmarkStart w:id="4" w:name="_Toc32002"/>
      <w:r/>
      <w:bookmarkStart w:id="5" w:name="_Toc2173"/>
      <w:r>
        <w:rPr>
          <w:rFonts w:hint="eastAsia" w:ascii="宋体" w:hAnsi="宋体" w:eastAsia="宋体" w:cs="宋体"/>
          <w:color w:val="auto"/>
          <w:spacing w:val="-12"/>
          <w:sz w:val="36"/>
          <w:szCs w:val="36"/>
          <w:highlight w:val="none"/>
        </w:rPr>
        <w:t xml:space="preserve">项目名称：</w:t>
      </w:r>
      <w:bookmarkEnd w:id="4"/>
      <w:r>
        <w:rPr>
          <w:rFonts w:hint="eastAsia" w:ascii="宋体" w:hAnsi="宋体" w:cs="宋体"/>
          <w:color w:val="auto"/>
          <w:spacing w:val="-12"/>
          <w:sz w:val="36"/>
          <w:szCs w:val="36"/>
          <w:highlight w:val="none"/>
          <w:lang w:eastAsia="zh-CN"/>
        </w:rPr>
        <w:t xml:space="preserve">第四届江苏省退役军人创业创新大赛</w:t>
      </w:r>
      <w:bookmarkEnd w:id="5"/>
      <w:r/>
      <w:r/>
    </w:p>
    <w:p>
      <w:pPr>
        <w:ind w:left="0" w:right="0" w:firstLine="0"/>
        <w:jc w:val="center"/>
        <w:pageBreakBefore w:val="0"/>
        <w:spacing w:line="360" w:lineRule="auto"/>
        <w:widowControl w:val="off"/>
        <w:rPr>
          <w:rFonts w:hint="eastAsia" w:ascii="宋体" w:hAnsi="宋体" w:eastAsia="宋体" w:cs="宋体"/>
          <w:color w:val="auto"/>
          <w:spacing w:val="-12"/>
          <w:sz w:val="56"/>
          <w:szCs w:val="56"/>
          <w:highlight w:val="none"/>
          <w:lang w:eastAsia="zh-CN"/>
        </w:rPr>
        <w:outlineLvl w:val="0"/>
      </w:pPr>
      <w:r/>
      <w:bookmarkStart w:id="6" w:name="_Toc9342"/>
      <w:r>
        <w:rPr>
          <w:rFonts w:hint="eastAsia" w:ascii="宋体" w:hAnsi="宋体" w:cs="宋体"/>
          <w:color w:val="auto"/>
          <w:spacing w:val="-12"/>
          <w:sz w:val="36"/>
          <w:szCs w:val="36"/>
          <w:highlight w:val="none"/>
          <w:lang w:eastAsia="zh-CN"/>
        </w:rPr>
        <w:t xml:space="preserve">技术支持和会展服务</w:t>
      </w:r>
      <w:bookmarkEnd w:id="6"/>
      <w:r>
        <w:rPr>
          <w:sz w:val="36"/>
          <w:szCs w:val="36"/>
        </w:rPr>
        <w:t xml:space="preserve">（</w:t>
      </w:r>
      <w:r>
        <w:rPr>
          <w:sz w:val="36"/>
          <w:szCs w:val="36"/>
        </w:rPr>
        <w:t xml:space="preserve">二次招标</w:t>
      </w:r>
      <w:r>
        <w:rPr>
          <w:sz w:val="36"/>
          <w:szCs w:val="36"/>
        </w:rPr>
        <w:t xml:space="preserve">）</w:t>
      </w:r>
      <w:r>
        <w:rPr>
          <w:sz w:val="36"/>
          <w:szCs w:val="36"/>
        </w:rPr>
      </w:r>
      <w:r>
        <w:rPr>
          <w:sz w:val="36"/>
          <w:szCs w:val="36"/>
        </w:rPr>
      </w:r>
    </w:p>
    <w:p>
      <w:pPr>
        <w:ind w:left="0" w:right="0" w:firstLine="0"/>
        <w:jc w:val="center"/>
        <w:keepLines w:val="0"/>
        <w:keepNext w:val="0"/>
        <w:pageBreakBefore w:val="0"/>
        <w:spacing w:line="360" w:lineRule="auto"/>
        <w:widowControl w:val="off"/>
        <w:rPr>
          <w:rFonts w:hint="eastAsia" w:ascii="宋体" w:hAnsi="宋体" w:eastAsia="宋体" w:cs="宋体"/>
          <w:color w:val="auto"/>
          <w:spacing w:val="-12"/>
          <w:sz w:val="32"/>
          <w:szCs w:val="32"/>
          <w:highlight w:val="none"/>
          <w:lang w:val="en-US" w:eastAsia="zh-CN"/>
        </w:rPr>
      </w:pPr>
      <w:r>
        <w:rPr>
          <w:rFonts w:hint="eastAsia" w:ascii="宋体" w:hAnsi="宋体" w:eastAsia="宋体" w:cs="宋体"/>
          <w:color w:val="auto"/>
          <w:spacing w:val="-12"/>
          <w:sz w:val="32"/>
          <w:szCs w:val="32"/>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color w:val="auto"/>
          <w:spacing w:val="-12"/>
          <w:sz w:val="36"/>
          <w:szCs w:val="36"/>
          <w:highlight w:val="none"/>
        </w:rPr>
        <w:outlineLvl w:val="0"/>
      </w:pPr>
      <w:r/>
      <w:bookmarkStart w:id="7" w:name="_Toc28974"/>
      <w:r/>
      <w:bookmarkStart w:id="8" w:name="_Toc4514"/>
      <w:r>
        <w:rPr>
          <w:rFonts w:hint="eastAsia" w:ascii="宋体" w:hAnsi="宋体" w:eastAsia="宋体" w:cs="宋体"/>
          <w:color w:val="auto"/>
          <w:spacing w:val="-12"/>
          <w:sz w:val="36"/>
          <w:szCs w:val="36"/>
          <w:highlight w:val="none"/>
        </w:rPr>
        <w:t xml:space="preserve">项目编号：</w:t>
      </w:r>
      <w:bookmarkEnd w:id="7"/>
      <w:r/>
      <w:bookmarkEnd w:id="8"/>
      <w:r>
        <w:rPr>
          <w:rFonts w:hint="eastAsia" w:ascii="宋体" w:hAnsi="宋体" w:eastAsia="宋体" w:cs="宋体"/>
          <w:color w:val="auto"/>
          <w:spacing w:val="-12"/>
          <w:sz w:val="36"/>
          <w:szCs w:val="36"/>
          <w:highlight w:val="none"/>
        </w:rPr>
        <w:t xml:space="preserve">JSZC-320000-JSSZ-C2026-0035</w:t>
      </w:r>
      <w:r/>
    </w:p>
    <w:p>
      <w:pPr>
        <w:ind w:left="0" w:right="0" w:firstLine="0"/>
        <w:jc w:val="center"/>
        <w:keepLines w:val="0"/>
        <w:keepNext w:val="0"/>
        <w:pageBreakBefore w:val="0"/>
        <w:spacing w:line="360" w:lineRule="auto"/>
        <w:widowControl w:val="off"/>
        <w:rPr>
          <w:rFonts w:hint="default" w:ascii="宋体" w:hAnsi="宋体" w:eastAsia="宋体" w:cs="宋体"/>
          <w:color w:val="auto"/>
          <w:spacing w:val="-12"/>
          <w:sz w:val="36"/>
          <w:szCs w:val="36"/>
          <w:highlight w:val="none"/>
          <w:lang w:val="en-US" w:eastAsia="zh-CN"/>
        </w:rPr>
        <w:outlineLvl w:val="0"/>
      </w:pPr>
      <w:r>
        <w:rPr>
          <w:rFonts w:hint="default" w:ascii="宋体" w:hAnsi="宋体" w:eastAsia="宋体" w:cs="宋体"/>
          <w:color w:val="auto"/>
          <w:spacing w:val="-12"/>
          <w:sz w:val="36"/>
          <w:szCs w:val="36"/>
          <w:highlight w:val="none"/>
          <w:lang w:val="en-US" w:eastAsia="zh-CN"/>
        </w:rPr>
      </w:r>
      <w:r/>
    </w:p>
    <w:p>
      <w:pPr>
        <w:ind w:left="0" w:right="0" w:firstLine="0"/>
        <w:jc w:val="center"/>
        <w:pageBreakBefore w:val="0"/>
        <w:spacing w:line="360" w:lineRule="auto"/>
        <w:widowControl w:val="off"/>
        <w:rPr>
          <w:rFonts w:hint="default" w:ascii="宋体" w:hAnsi="宋体" w:eastAsia="宋体" w:cs="宋体"/>
          <w:color w:val="auto"/>
          <w:spacing w:val="-12"/>
          <w:sz w:val="32"/>
          <w:szCs w:val="32"/>
          <w:highlight w:val="none"/>
          <w:lang w:val="en-US" w:eastAsia="zh-CN"/>
        </w:rPr>
      </w:pPr>
      <w:r>
        <w:rPr>
          <w:rFonts w:hint="default" w:ascii="宋体" w:hAnsi="宋体" w:eastAsia="宋体" w:cs="宋体"/>
          <w:color w:val="auto"/>
          <w:spacing w:val="-12"/>
          <w:sz w:val="32"/>
          <w:szCs w:val="32"/>
          <w:highlight w:val="none"/>
          <w:lang w:val="en-US" w:eastAsia="zh-CN"/>
        </w:rPr>
      </w:r>
      <w:r/>
    </w:p>
    <w:p>
      <w:pPr>
        <w:ind w:left="0" w:right="0" w:firstLine="0"/>
        <w:jc w:val="center"/>
        <w:pageBreakBefore w:val="0"/>
        <w:spacing w:line="360" w:lineRule="auto"/>
        <w:widowControl w:val="off"/>
        <w:rPr>
          <w:rFonts w:hint="default" w:ascii="宋体" w:hAnsi="宋体" w:eastAsia="宋体" w:cs="宋体"/>
          <w:b/>
          <w:bCs/>
          <w:color w:val="auto"/>
          <w:spacing w:val="-12"/>
          <w:sz w:val="32"/>
          <w:szCs w:val="32"/>
          <w:highlight w:val="none"/>
          <w:lang w:val="en-US" w:eastAsia="zh-CN"/>
        </w:rPr>
      </w:pPr>
      <w:r>
        <w:rPr>
          <w:rFonts w:hint="eastAsia" w:ascii="宋体" w:hAnsi="宋体" w:cs="宋体"/>
          <w:b/>
          <w:bCs/>
          <w:color w:val="auto"/>
          <w:spacing w:val="-12"/>
          <w:sz w:val="32"/>
          <w:szCs w:val="32"/>
          <w:highlight w:val="none"/>
          <w:lang w:val="en-US" w:eastAsia="zh-CN"/>
        </w:rPr>
        <w:t xml:space="preserve">（服务类项目，非专门面向中小企业）</w:t>
      </w:r>
      <w:r/>
    </w:p>
    <w:p>
      <w:pPr>
        <w:pStyle w:val="706"/>
        <w:ind w:left="0" w:right="0" w:firstLine="0"/>
        <w:jc w:val="center"/>
        <w:pageBreakBefore w:val="0"/>
        <w:spacing w:before="0" w:after="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both"/>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b/>
          <w:bCs/>
          <w:color w:val="auto"/>
          <w:spacing w:val="-12"/>
          <w:sz w:val="32"/>
          <w:szCs w:val="32"/>
          <w:highlight w:val="none"/>
          <w:lang w:eastAsia="zh-CN"/>
        </w:rPr>
      </w:pPr>
      <w:r>
        <w:rPr>
          <w:rFonts w:hint="eastAsia" w:ascii="宋体" w:hAnsi="宋体" w:eastAsia="宋体" w:cs="宋体"/>
          <w:b/>
          <w:bCs/>
          <w:color w:val="auto"/>
          <w:spacing w:val="-12"/>
          <w:sz w:val="32"/>
          <w:szCs w:val="32"/>
          <w:highlight w:val="none"/>
        </w:rPr>
        <w:t xml:space="preserve">采 购 人：</w:t>
      </w:r>
      <w:r>
        <w:rPr>
          <w:rFonts w:hint="eastAsia" w:ascii="宋体" w:hAnsi="宋体" w:cs="宋体"/>
          <w:b/>
          <w:bCs/>
          <w:color w:val="auto"/>
          <w:spacing w:val="-12"/>
          <w:sz w:val="32"/>
          <w:szCs w:val="32"/>
          <w:highlight w:val="none"/>
          <w:lang w:eastAsia="zh-CN"/>
        </w:rPr>
        <w:t xml:space="preserve">江苏省退役军人事务厅</w:t>
      </w:r>
      <w:r/>
    </w:p>
    <w:p>
      <w:pPr>
        <w:ind w:left="0" w:right="0" w:firstLine="0"/>
        <w:jc w:val="center"/>
        <w:pageBreakBefore w:val="0"/>
        <w:spacing w:line="360" w:lineRule="auto"/>
        <w:widowControl w:val="off"/>
        <w:rPr>
          <w:rFonts w:hint="eastAsia" w:ascii="宋体" w:hAnsi="宋体" w:eastAsia="宋体" w:cs="宋体"/>
          <w:b/>
          <w:bCs/>
          <w:color w:val="auto"/>
          <w:spacing w:val="-12"/>
          <w:sz w:val="32"/>
          <w:szCs w:val="32"/>
          <w:highlight w:val="none"/>
        </w:rPr>
      </w:pPr>
      <w:r>
        <w:rPr>
          <w:rFonts w:hint="eastAsia" w:ascii="宋体" w:hAnsi="宋体" w:eastAsia="宋体" w:cs="宋体"/>
          <w:b/>
          <w:bCs/>
          <w:color w:val="auto"/>
          <w:spacing w:val="-12"/>
          <w:sz w:val="32"/>
          <w:szCs w:val="32"/>
          <w:highlight w:val="none"/>
        </w:rPr>
        <w:t xml:space="preserve">招标代理：江苏苏咨工程咨询有限责任公司</w:t>
      </w:r>
      <w:r/>
    </w:p>
    <w:p>
      <w:pPr>
        <w:ind w:left="0" w:right="0" w:firstLine="0"/>
        <w:jc w:val="center"/>
        <w:pageBreakBefore w:val="0"/>
        <w:spacing w:line="360" w:lineRule="auto"/>
        <w:widowControl w:val="off"/>
        <w:rPr>
          <w:rFonts w:hint="eastAsia" w:ascii="宋体" w:hAnsi="宋体" w:eastAsia="宋体" w:cs="宋体"/>
          <w:b/>
          <w:bCs/>
          <w:color w:val="auto"/>
          <w:spacing w:val="-12"/>
          <w:sz w:val="32"/>
          <w:szCs w:val="32"/>
          <w:highlight w:val="none"/>
        </w:rPr>
      </w:pPr>
      <w:r>
        <w:rPr>
          <w:rFonts w:hint="eastAsia" w:ascii="宋体" w:hAnsi="宋体" w:cs="宋体"/>
          <w:b/>
          <w:bCs/>
          <w:color w:val="auto"/>
          <w:spacing w:val="-12"/>
          <w:sz w:val="32"/>
          <w:szCs w:val="32"/>
          <w:highlight w:val="none"/>
          <w:lang w:val="en-US" w:eastAsia="zh-CN"/>
        </w:rPr>
        <w:t xml:space="preserve">日期：</w:t>
      </w:r>
      <w:r>
        <w:rPr>
          <w:rFonts w:hint="eastAsia" w:ascii="宋体" w:hAnsi="宋体" w:eastAsia="宋体" w:cs="宋体"/>
          <w:b/>
          <w:bCs/>
          <w:color w:val="auto"/>
          <w:spacing w:val="-12"/>
          <w:sz w:val="32"/>
          <w:szCs w:val="32"/>
          <w:highlight w:val="none"/>
        </w:rPr>
        <w:t xml:space="preserve">二〇二</w:t>
      </w:r>
      <w:r>
        <w:rPr>
          <w:rFonts w:hint="eastAsia" w:ascii="宋体" w:hAnsi="宋体" w:cs="宋体"/>
          <w:b/>
          <w:bCs/>
          <w:color w:val="auto"/>
          <w:spacing w:val="-12"/>
          <w:sz w:val="32"/>
          <w:szCs w:val="32"/>
          <w:highlight w:val="none"/>
          <w:lang w:val="en-US" w:eastAsia="zh-CN"/>
        </w:rPr>
        <w:t xml:space="preserve">六</w:t>
      </w:r>
      <w:r>
        <w:rPr>
          <w:rFonts w:hint="eastAsia" w:ascii="宋体" w:hAnsi="宋体" w:eastAsia="宋体" w:cs="宋体"/>
          <w:b/>
          <w:bCs/>
          <w:color w:val="auto"/>
          <w:spacing w:val="-12"/>
          <w:sz w:val="32"/>
          <w:szCs w:val="32"/>
          <w:highlight w:val="none"/>
        </w:rPr>
        <w:t xml:space="preserve">年</w:t>
      </w:r>
      <w:r>
        <w:rPr>
          <w:rFonts w:hint="eastAsia" w:ascii="宋体" w:hAnsi="宋体" w:cs="宋体"/>
          <w:b/>
          <w:bCs/>
          <w:color w:val="auto"/>
          <w:spacing w:val="-12"/>
          <w:sz w:val="32"/>
          <w:szCs w:val="32"/>
          <w:highlight w:val="none"/>
          <w:lang w:val="en-US" w:eastAsia="zh-CN"/>
        </w:rPr>
        <w:t xml:space="preserve">六</w:t>
      </w:r>
      <w:r>
        <w:rPr>
          <w:rFonts w:hint="eastAsia" w:ascii="宋体" w:hAnsi="宋体" w:eastAsia="宋体" w:cs="宋体"/>
          <w:b/>
          <w:bCs/>
          <w:color w:val="auto"/>
          <w:spacing w:val="-12"/>
          <w:sz w:val="32"/>
          <w:szCs w:val="32"/>
          <w:highlight w:val="none"/>
        </w:rPr>
        <w:t xml:space="preserve">月</w:t>
      </w:r>
      <w:r/>
    </w:p>
    <w:p>
      <w:pPr>
        <w:ind w:right="452"/>
        <w:jc w:val="center"/>
        <w:spacing w:line="567" w:lineRule="exact"/>
        <w:tabs>
          <w:tab w:val="left" w:pos="1447" w:leader="none"/>
        </w:tabs>
        <w:rPr>
          <w:rFonts w:hint="eastAsia" w:ascii="宋体" w:hAnsi="宋体" w:eastAsia="宋体" w:cs="宋体"/>
          <w:b/>
          <w:bCs/>
          <w:color w:val="auto"/>
          <w:sz w:val="32"/>
          <w:szCs w:val="32"/>
          <w:highlight w:val="none"/>
        </w:rPr>
        <w:sectPr>
          <w:footnotePr/>
          <w:endnotePr/>
          <w:type w:val="nextPage"/>
          <w:pgSz w:w="11906" w:h="16838" w:orient="portrait"/>
          <w:pgMar w:top="1417" w:right="1814" w:bottom="1417" w:left="1814" w:header="851" w:footer="992" w:gutter="0"/>
          <w:cols w:num="1" w:sep="0" w:space="425" w:equalWidth="1"/>
          <w:docGrid w:linePitch="360"/>
        </w:sectPr>
        <w:outlineLvl w:val="9"/>
      </w:pPr>
      <w:r>
        <w:rPr>
          <w:rFonts w:hint="eastAsia" w:ascii="宋体" w:hAnsi="宋体" w:eastAsia="宋体" w:cs="宋体"/>
          <w:b/>
          <w:bCs/>
          <w:color w:val="auto"/>
          <w:sz w:val="32"/>
          <w:szCs w:val="32"/>
          <w:highlight w:val="none"/>
        </w:rPr>
      </w:r>
      <w:r/>
    </w:p>
    <w:sdt>
      <w:sdtPr>
        <w15:appearance w15:val="boundingBox"/>
        <w15:color w:val="dbdbdb"/>
        <w:id w:val="147454883"/>
        <w:docPartObj>
          <w:docPartGallery w:val="Table of Contents"/>
          <w:docPartUnique w:val="true"/>
        </w:docPartObj>
        <w:rPr>
          <w:rFonts w:hint="default" w:ascii="宋体" w:hAnsi="宋体" w:eastAsia="宋体" w:cs="Times New Roman"/>
          <w:b/>
          <w:bCs/>
          <w:color w:val="auto"/>
          <w:sz w:val="36"/>
          <w:szCs w:val="36"/>
          <w:highlight w:val="none"/>
          <w:lang w:val="en-US" w:eastAsia="zh-CN" w:bidi="ar-SA"/>
        </w:rPr>
      </w:sdtPr>
      <w:sdtContent>
        <w:p>
          <w:pPr>
            <w:ind w:left="0" w:right="0" w:firstLine="0"/>
            <w:jc w:val="center"/>
            <w:spacing w:before="0" w:after="0" w:line="240" w:lineRule="auto"/>
            <w:rPr>
              <w:b/>
              <w:bCs/>
              <w:color w:val="auto"/>
              <w:sz w:val="36"/>
              <w:szCs w:val="36"/>
              <w:highlight w:val="none"/>
            </w:rPr>
          </w:pPr>
          <w:r/>
          <w:bookmarkStart w:id="9" w:name="_Toc120614210"/>
          <w:r/>
          <w:bookmarkStart w:id="10" w:name="_Toc513029200"/>
          <w:r/>
          <w:bookmarkStart w:id="11" w:name="_Toc16938516"/>
          <w:r/>
          <w:bookmarkStart w:id="12" w:name="_Toc20823272"/>
          <w:r/>
          <w:bookmarkStart w:id="13" w:name="_Toc523127445"/>
          <w:r/>
          <w:bookmarkStart w:id="14" w:name="_Toc479757206"/>
          <w:r>
            <w:rPr>
              <w:rFonts w:ascii="宋体" w:hAnsi="宋体" w:eastAsia="宋体"/>
              <w:b/>
              <w:bCs/>
              <w:color w:val="auto"/>
              <w:sz w:val="36"/>
              <w:szCs w:val="36"/>
              <w:highlight w:val="none"/>
            </w:rPr>
            <w:t xml:space="preserve">目</w:t>
          </w:r>
          <w:r>
            <w:rPr>
              <w:rFonts w:hint="eastAsia" w:ascii="宋体" w:hAnsi="宋体" w:eastAsia="宋体"/>
              <w:b/>
              <w:bCs/>
              <w:color w:val="auto"/>
              <w:sz w:val="36"/>
              <w:szCs w:val="36"/>
              <w:highlight w:val="none"/>
              <w:lang w:val="en-US" w:eastAsia="zh-CN"/>
            </w:rPr>
            <w:t xml:space="preserve">  </w:t>
          </w:r>
          <w:r>
            <w:rPr>
              <w:rFonts w:ascii="宋体" w:hAnsi="宋体" w:eastAsia="宋体"/>
              <w:b/>
              <w:bCs/>
              <w:color w:val="auto"/>
              <w:sz w:val="36"/>
              <w:szCs w:val="36"/>
              <w:highlight w:val="none"/>
            </w:rPr>
            <w:t xml:space="preserve">录</w:t>
          </w:r>
          <w:r/>
        </w:p>
        <w:p>
          <w:pPr>
            <w:pStyle w:val="729"/>
            <w:tabs>
              <w:tab w:val="right" w:pos="8278"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729"/>
            <w:spacing w:line="480" w:lineRule="auto"/>
            <w:tabs>
              <w:tab w:val="right" w:pos="8278"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 HYPERLINK \l _Toc11572 </w:instrText>
          </w:r>
          <w:r>
            <w:rPr>
              <w:b/>
              <w:bCs/>
              <w:color w:val="auto"/>
              <w:sz w:val="24"/>
              <w:szCs w:val="24"/>
              <w:highlight w:val="none"/>
            </w:rPr>
            <w:fldChar w:fldCharType="separate"/>
          </w:r>
          <w:r>
            <w:rPr>
              <w:rFonts w:hint="eastAsia" w:ascii="宋体" w:hAnsi="宋体" w:eastAsia="宋体" w:cs="宋体"/>
              <w:b/>
              <w:bCs/>
              <w:color w:val="auto"/>
              <w:sz w:val="24"/>
              <w:szCs w:val="44"/>
              <w:highlight w:val="none"/>
            </w:rPr>
            <w:t xml:space="preserve">第一章  竞争性磋商公告</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_Toc11572 \h </w:instrText>
          </w:r>
          <w:r>
            <w:rPr>
              <w:b/>
              <w:bCs/>
              <w:color w:val="auto"/>
              <w:sz w:val="24"/>
              <w:szCs w:val="24"/>
              <w:highlight w:val="none"/>
            </w:rPr>
            <w:fldChar w:fldCharType="separate"/>
          </w:r>
          <w:r>
            <w:rPr>
              <w:b/>
              <w:bCs/>
              <w:color w:val="auto"/>
              <w:sz w:val="24"/>
              <w:szCs w:val="24"/>
              <w:highlight w:val="none"/>
            </w:rPr>
            <w:t xml:space="preserve">1</w:t>
          </w:r>
          <w:r>
            <w:rPr>
              <w:b/>
              <w:bCs/>
              <w:color w:val="auto"/>
              <w:sz w:val="24"/>
              <w:szCs w:val="24"/>
              <w:highlight w:val="none"/>
            </w:rPr>
            <w:fldChar w:fldCharType="end"/>
          </w:r>
          <w:r>
            <w:rPr>
              <w:b/>
              <w:bCs/>
              <w:color w:val="auto"/>
              <w:sz w:val="24"/>
              <w:szCs w:val="24"/>
              <w:highlight w:val="none"/>
            </w:rPr>
            <w:fldChar w:fldCharType="end"/>
          </w:r>
          <w:r/>
        </w:p>
        <w:p>
          <w:pPr>
            <w:pStyle w:val="729"/>
            <w:spacing w:line="480" w:lineRule="auto"/>
            <w:tabs>
              <w:tab w:val="right" w:pos="8278"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 HYPERLINK \l _Toc17999 </w:instrText>
          </w:r>
          <w:r>
            <w:rPr>
              <w:b/>
              <w:bCs/>
              <w:color w:val="auto"/>
              <w:sz w:val="24"/>
              <w:szCs w:val="24"/>
              <w:highlight w:val="none"/>
            </w:rPr>
            <w:fldChar w:fldCharType="separate"/>
          </w:r>
          <w:r>
            <w:rPr>
              <w:rFonts w:hint="eastAsia" w:ascii="宋体" w:hAnsi="宋体" w:eastAsia="宋体" w:cs="宋体"/>
              <w:b/>
              <w:bCs/>
              <w:color w:val="auto"/>
              <w:sz w:val="24"/>
              <w:szCs w:val="44"/>
              <w:highlight w:val="none"/>
              <w:lang w:val="en-US" w:eastAsia="zh-CN" w:bidi="ar-SA"/>
            </w:rPr>
            <w:t xml:space="preserve">第二章  供应商须知</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_Toc17999 \h </w:instrText>
          </w:r>
          <w:r>
            <w:rPr>
              <w:b/>
              <w:bCs/>
              <w:color w:val="auto"/>
              <w:sz w:val="24"/>
              <w:szCs w:val="24"/>
              <w:highlight w:val="none"/>
            </w:rPr>
            <w:fldChar w:fldCharType="separate"/>
          </w:r>
          <w:r>
            <w:rPr>
              <w:b/>
              <w:bCs/>
              <w:color w:val="auto"/>
              <w:sz w:val="24"/>
              <w:szCs w:val="24"/>
              <w:highlight w:val="none"/>
            </w:rPr>
            <w:t xml:space="preserve">6</w:t>
          </w:r>
          <w:r>
            <w:rPr>
              <w:b/>
              <w:bCs/>
              <w:color w:val="auto"/>
              <w:sz w:val="24"/>
              <w:szCs w:val="24"/>
              <w:highlight w:val="none"/>
            </w:rPr>
            <w:fldChar w:fldCharType="end"/>
          </w:r>
          <w:r>
            <w:rPr>
              <w:b/>
              <w:bCs/>
              <w:color w:val="auto"/>
              <w:sz w:val="24"/>
              <w:szCs w:val="24"/>
              <w:highlight w:val="none"/>
            </w:rPr>
            <w:fldChar w:fldCharType="end"/>
          </w:r>
          <w:r/>
        </w:p>
        <w:p>
          <w:pPr>
            <w:pStyle w:val="729"/>
            <w:spacing w:line="480" w:lineRule="auto"/>
            <w:tabs>
              <w:tab w:val="right" w:pos="8278"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 HYPERLINK \l _Toc14629 </w:instrText>
          </w:r>
          <w:r>
            <w:rPr>
              <w:b/>
              <w:bCs/>
              <w:color w:val="auto"/>
              <w:sz w:val="24"/>
              <w:szCs w:val="24"/>
              <w:highlight w:val="none"/>
            </w:rPr>
            <w:fldChar w:fldCharType="separate"/>
          </w:r>
          <w:r>
            <w:rPr>
              <w:rFonts w:hint="eastAsia" w:ascii="宋体" w:hAnsi="宋体" w:eastAsia="宋体" w:cs="宋体"/>
              <w:b/>
              <w:bCs/>
              <w:color w:val="auto"/>
              <w:sz w:val="24"/>
              <w:szCs w:val="44"/>
              <w:highlight w:val="none"/>
              <w:lang w:val="en-US" w:eastAsia="zh-CN" w:bidi="ar-SA"/>
            </w:rPr>
            <w:t xml:space="preserve">第三章  合同条款及格式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_Toc14629 \h </w:instrText>
          </w:r>
          <w:r>
            <w:rPr>
              <w:b/>
              <w:bCs/>
              <w:color w:val="auto"/>
              <w:sz w:val="24"/>
              <w:szCs w:val="24"/>
              <w:highlight w:val="none"/>
            </w:rPr>
            <w:fldChar w:fldCharType="separate"/>
          </w:r>
          <w:r>
            <w:rPr>
              <w:b/>
              <w:bCs/>
              <w:color w:val="auto"/>
              <w:sz w:val="24"/>
              <w:szCs w:val="24"/>
              <w:highlight w:val="none"/>
            </w:rPr>
            <w:t xml:space="preserve">18</w:t>
          </w:r>
          <w:r>
            <w:rPr>
              <w:b/>
              <w:bCs/>
              <w:color w:val="auto"/>
              <w:sz w:val="24"/>
              <w:szCs w:val="24"/>
              <w:highlight w:val="none"/>
            </w:rPr>
            <w:fldChar w:fldCharType="end"/>
          </w:r>
          <w:r>
            <w:rPr>
              <w:b/>
              <w:bCs/>
              <w:color w:val="auto"/>
              <w:sz w:val="24"/>
              <w:szCs w:val="24"/>
              <w:highlight w:val="none"/>
            </w:rPr>
            <w:fldChar w:fldCharType="end"/>
          </w:r>
          <w:r/>
        </w:p>
        <w:p>
          <w:pPr>
            <w:pStyle w:val="729"/>
            <w:spacing w:line="480" w:lineRule="auto"/>
            <w:tabs>
              <w:tab w:val="right" w:pos="8278"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 HYPERLINK \l _Toc28579 </w:instrText>
          </w:r>
          <w:r>
            <w:rPr>
              <w:b/>
              <w:bCs/>
              <w:color w:val="auto"/>
              <w:sz w:val="24"/>
              <w:szCs w:val="24"/>
              <w:highlight w:val="none"/>
            </w:rPr>
            <w:fldChar w:fldCharType="separate"/>
          </w:r>
          <w:r>
            <w:rPr>
              <w:rFonts w:hint="eastAsia" w:ascii="宋体" w:hAnsi="宋体" w:eastAsia="宋体" w:cs="宋体"/>
              <w:b/>
              <w:bCs/>
              <w:color w:val="auto"/>
              <w:sz w:val="24"/>
              <w:szCs w:val="44"/>
              <w:highlight w:val="none"/>
              <w:lang w:val="en-US" w:eastAsia="zh-CN" w:bidi="ar-SA"/>
            </w:rPr>
            <w:t xml:space="preserve">第四章  项目需求</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_Toc28579 \h </w:instrText>
          </w:r>
          <w:r>
            <w:rPr>
              <w:b/>
              <w:bCs/>
              <w:color w:val="auto"/>
              <w:sz w:val="24"/>
              <w:szCs w:val="24"/>
              <w:highlight w:val="none"/>
            </w:rPr>
            <w:fldChar w:fldCharType="separate"/>
          </w:r>
          <w:r>
            <w:rPr>
              <w:b/>
              <w:bCs/>
              <w:color w:val="auto"/>
              <w:sz w:val="24"/>
              <w:szCs w:val="24"/>
              <w:highlight w:val="none"/>
            </w:rPr>
            <w:t xml:space="preserve">27</w:t>
          </w:r>
          <w:r>
            <w:rPr>
              <w:b/>
              <w:bCs/>
              <w:color w:val="auto"/>
              <w:sz w:val="24"/>
              <w:szCs w:val="24"/>
              <w:highlight w:val="none"/>
            </w:rPr>
            <w:fldChar w:fldCharType="end"/>
          </w:r>
          <w:r>
            <w:rPr>
              <w:b/>
              <w:bCs/>
              <w:color w:val="auto"/>
              <w:sz w:val="24"/>
              <w:szCs w:val="24"/>
              <w:highlight w:val="none"/>
            </w:rPr>
            <w:fldChar w:fldCharType="end"/>
          </w:r>
          <w:r/>
        </w:p>
        <w:p>
          <w:pPr>
            <w:pStyle w:val="729"/>
            <w:spacing w:line="480" w:lineRule="auto"/>
            <w:tabs>
              <w:tab w:val="right" w:pos="8278"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 HYPERLINK \l _Toc30186 </w:instrText>
          </w:r>
          <w:r>
            <w:rPr>
              <w:b/>
              <w:bCs/>
              <w:color w:val="auto"/>
              <w:sz w:val="24"/>
              <w:szCs w:val="24"/>
              <w:highlight w:val="none"/>
            </w:rPr>
            <w:fldChar w:fldCharType="separate"/>
          </w:r>
          <w:r>
            <w:rPr>
              <w:rFonts w:hint="eastAsia"/>
              <w:b/>
              <w:bCs/>
              <w:color w:val="auto"/>
              <w:sz w:val="24"/>
              <w:szCs w:val="44"/>
              <w:highlight w:val="none"/>
              <w:lang w:val="en-US" w:eastAsia="zh-CN"/>
            </w:rPr>
            <w:t xml:space="preserve">第五章  评标方法与评标标准</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_Toc30186 \h </w:instrText>
          </w:r>
          <w:r>
            <w:rPr>
              <w:b/>
              <w:bCs/>
              <w:color w:val="auto"/>
              <w:sz w:val="24"/>
              <w:szCs w:val="24"/>
              <w:highlight w:val="none"/>
            </w:rPr>
            <w:fldChar w:fldCharType="separate"/>
          </w:r>
          <w:r>
            <w:rPr>
              <w:b/>
              <w:bCs/>
              <w:color w:val="auto"/>
              <w:sz w:val="24"/>
              <w:szCs w:val="24"/>
              <w:highlight w:val="none"/>
            </w:rPr>
            <w:t xml:space="preserve">32</w:t>
          </w:r>
          <w:r>
            <w:rPr>
              <w:b/>
              <w:bCs/>
              <w:color w:val="auto"/>
              <w:sz w:val="24"/>
              <w:szCs w:val="24"/>
              <w:highlight w:val="none"/>
            </w:rPr>
            <w:fldChar w:fldCharType="end"/>
          </w:r>
          <w:r>
            <w:rPr>
              <w:b/>
              <w:bCs/>
              <w:color w:val="auto"/>
              <w:sz w:val="24"/>
              <w:szCs w:val="24"/>
              <w:highlight w:val="none"/>
            </w:rPr>
            <w:fldChar w:fldCharType="end"/>
          </w:r>
          <w:r/>
        </w:p>
        <w:p>
          <w:pPr>
            <w:pStyle w:val="729"/>
            <w:spacing w:line="480" w:lineRule="auto"/>
            <w:tabs>
              <w:tab w:val="right" w:pos="8278" w:leader="dot"/>
            </w:tabs>
            <w:rPr>
              <w:b/>
              <w:bCs/>
              <w:color w:val="auto"/>
              <w:sz w:val="24"/>
              <w:szCs w:val="24"/>
              <w:highlight w:val="none"/>
            </w:rPr>
          </w:pPr>
          <w:r>
            <w:rPr>
              <w:b/>
              <w:bCs/>
              <w:color w:val="auto"/>
              <w:sz w:val="24"/>
              <w:szCs w:val="24"/>
              <w:highlight w:val="none"/>
            </w:rPr>
            <w:fldChar w:fldCharType="begin"/>
          </w:r>
          <w:r>
            <w:rPr>
              <w:b/>
              <w:bCs/>
              <w:color w:val="auto"/>
              <w:sz w:val="24"/>
              <w:szCs w:val="24"/>
              <w:highlight w:val="none"/>
            </w:rPr>
            <w:instrText xml:space="preserve"> HYPERLINK \l _Toc24012 </w:instrText>
          </w:r>
          <w:r>
            <w:rPr>
              <w:b/>
              <w:bCs/>
              <w:color w:val="auto"/>
              <w:sz w:val="24"/>
              <w:szCs w:val="24"/>
              <w:highlight w:val="none"/>
            </w:rPr>
            <w:fldChar w:fldCharType="separate"/>
          </w:r>
          <w:r>
            <w:rPr>
              <w:rFonts w:hint="eastAsia" w:ascii="宋体" w:hAnsi="宋体" w:eastAsia="宋体" w:cs="宋体"/>
              <w:b/>
              <w:bCs/>
              <w:color w:val="auto"/>
              <w:sz w:val="24"/>
              <w:szCs w:val="44"/>
              <w:highlight w:val="none"/>
              <w:lang w:val="en-US" w:eastAsia="zh-CN" w:bidi="ar-SA"/>
            </w:rPr>
            <w:t xml:space="preserve">第六章  </w:t>
          </w:r>
          <w:r>
            <w:rPr>
              <w:rFonts w:hint="eastAsia" w:hAnsi="宋体" w:cs="宋体"/>
              <w:b/>
              <w:bCs/>
              <w:color w:val="auto"/>
              <w:sz w:val="24"/>
              <w:szCs w:val="44"/>
              <w:highlight w:val="none"/>
              <w:lang w:val="en-US" w:eastAsia="zh-CN" w:bidi="ar-SA"/>
            </w:rPr>
            <w:t xml:space="preserve">响应文件</w:t>
          </w:r>
          <w:r>
            <w:rPr>
              <w:rFonts w:hint="eastAsia" w:ascii="宋体" w:hAnsi="宋体" w:eastAsia="宋体" w:cs="宋体"/>
              <w:b/>
              <w:bCs/>
              <w:color w:val="auto"/>
              <w:sz w:val="24"/>
              <w:szCs w:val="44"/>
              <w:highlight w:val="none"/>
              <w:lang w:val="en-US" w:eastAsia="zh-CN" w:bidi="ar-SA"/>
            </w:rPr>
            <w:t xml:space="preserve">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_Toc24012 \h </w:instrText>
          </w:r>
          <w:r>
            <w:rPr>
              <w:b/>
              <w:bCs/>
              <w:color w:val="auto"/>
              <w:sz w:val="24"/>
              <w:szCs w:val="24"/>
              <w:highlight w:val="none"/>
            </w:rPr>
            <w:fldChar w:fldCharType="separate"/>
          </w:r>
          <w:r>
            <w:rPr>
              <w:b/>
              <w:bCs/>
              <w:color w:val="auto"/>
              <w:sz w:val="24"/>
              <w:szCs w:val="24"/>
              <w:highlight w:val="none"/>
            </w:rPr>
            <w:t xml:space="preserve">39</w:t>
          </w:r>
          <w:r>
            <w:rPr>
              <w:b/>
              <w:bCs/>
              <w:color w:val="auto"/>
              <w:sz w:val="24"/>
              <w:szCs w:val="24"/>
              <w:highlight w:val="none"/>
            </w:rPr>
            <w:fldChar w:fldCharType="end"/>
          </w:r>
          <w:r>
            <w:rPr>
              <w:b/>
              <w:bCs/>
              <w:color w:val="auto"/>
              <w:sz w:val="24"/>
              <w:szCs w:val="24"/>
              <w:highlight w:val="none"/>
            </w:rPr>
            <w:fldChar w:fldCharType="end"/>
          </w:r>
          <w:r/>
        </w:p>
        <w:p>
          <w:pPr>
            <w:pStyle w:val="729"/>
            <w:tabs>
              <w:tab w:val="right" w:pos="8278" w:leader="dot"/>
            </w:tabs>
            <w:rPr>
              <w:color w:val="auto"/>
              <w:highlight w:val="none"/>
            </w:rPr>
          </w:pPr>
          <w:r>
            <w:rPr>
              <w:color w:val="auto"/>
              <w:highlight w:val="none"/>
            </w:rPr>
          </w:r>
          <w:r/>
        </w:p>
        <w:p>
          <w:pPr>
            <w:rPr>
              <w:rFonts w:hint="default" w:ascii="Times New Roman" w:hAnsi="Times New Roman" w:eastAsia="宋体" w:cs="Times New Roman"/>
              <w:color w:val="auto"/>
              <w:sz w:val="21"/>
              <w:szCs w:val="21"/>
              <w:highlight w:val="none"/>
              <w:lang w:val="en-US" w:eastAsia="zh-CN" w:bidi="ar-SA"/>
            </w:rPr>
          </w:pPr>
          <w:r>
            <w:rPr>
              <w:color w:val="auto"/>
              <w:highlight w:val="none"/>
            </w:rPr>
            <w:fldChar w:fldCharType="end"/>
          </w:r>
          <w:r/>
        </w:p>
      </w:sdtContent>
    </w:sdt>
    <w:p>
      <w:pPr>
        <w:pStyle w:val="709"/>
        <w:rPr>
          <w:color w:val="auto"/>
          <w:highlight w:val="none"/>
        </w:rPr>
      </w:pPr>
      <w:r>
        <w:rPr>
          <w:color w:val="auto"/>
          <w:highlight w:val="none"/>
        </w:rPr>
      </w:r>
      <w:r/>
    </w:p>
    <w:p>
      <w:pPr>
        <w:rPr>
          <w:color w:val="auto"/>
          <w:highlight w:val="none"/>
        </w:rPr>
      </w:pPr>
      <w:r>
        <w:rPr>
          <w:color w:val="auto"/>
          <w:highlight w:val="none"/>
        </w:rPr>
      </w:r>
      <w:r/>
    </w:p>
    <w:p>
      <w:p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rPr>
        <w:sectPr>
          <w:headerReference w:type="default" r:id="rId9"/>
          <w:footerReference w:type="default" r:id="rId10"/>
          <w:footerReference w:type="first" r:id="rId11"/>
          <w:footnotePr/>
          <w:endnotePr/>
          <w:type w:val="nextPage"/>
          <w:pgSz w:w="11906" w:h="16838" w:orient="portrait"/>
          <w:pgMar w:top="1417" w:right="1814" w:bottom="1417" w:left="1814" w:header="851" w:footer="907" w:gutter="0"/>
          <w:pgNumType w:start="1"/>
          <w:cols w:num="1" w:sep="0" w:space="1701" w:equalWidth="1"/>
          <w:docGrid w:linePitch="360"/>
          <w:titlePg/>
        </w:sectPr>
        <w:outlineLvl w:val="0"/>
      </w:pPr>
      <w:r/>
      <w:bookmarkStart w:id="15" w:name="_Toc2511"/>
      <w:r/>
      <w:r/>
    </w:p>
    <w:p>
      <w:pPr>
        <w:ind w:left="0" w:firstLine="0"/>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bookmarkStart w:id="16" w:name="_Toc11572"/>
      <w:r>
        <w:rPr>
          <w:rFonts w:hint="eastAsia" w:ascii="宋体" w:hAnsi="宋体" w:eastAsia="宋体" w:cs="宋体"/>
          <w:b/>
          <w:bCs/>
          <w:color w:val="auto"/>
          <w:sz w:val="36"/>
          <w:szCs w:val="36"/>
          <w:highlight w:val="none"/>
        </w:rPr>
        <w:t xml:space="preserve">第一章  </w:t>
      </w:r>
      <w:bookmarkEnd w:id="9"/>
      <w:r>
        <w:rPr>
          <w:rFonts w:hint="eastAsia" w:ascii="宋体" w:hAnsi="宋体" w:eastAsia="宋体" w:cs="宋体"/>
          <w:b/>
          <w:bCs/>
          <w:color w:val="auto"/>
          <w:sz w:val="36"/>
          <w:szCs w:val="36"/>
          <w:highlight w:val="none"/>
        </w:rPr>
        <w:t xml:space="preserve">竞争性磋商公告</w:t>
      </w:r>
      <w:bookmarkEnd w:id="15"/>
      <w:r/>
      <w:bookmarkEnd w:id="16"/>
      <w:r/>
      <w:r/>
    </w:p>
    <w:p>
      <w:pPr>
        <w:ind w:firstLine="422"/>
        <w:jc w:val="left"/>
        <w:spacing w:line="360" w:lineRule="auto"/>
        <w:widowControl/>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bookmarkStart w:id="17" w:name="_Toc28359079"/>
      <w:r/>
      <w:bookmarkStart w:id="18" w:name="_Toc35393790"/>
      <w:r/>
      <w:bookmarkStart w:id="19" w:name="_Toc35393621"/>
      <w:r/>
      <w:bookmarkStart w:id="20" w:name="_Toc28359002"/>
      <w:r/>
      <w:bookmarkStart w:id="21" w:name="_Toc38985263"/>
      <w:r/>
      <w:bookmarkStart w:id="22" w:name="_Hlk24379207"/>
      <w:r>
        <w:rPr>
          <w:rFonts w:hint="eastAsia" w:ascii="宋体" w:hAnsi="宋体" w:cs="宋体"/>
          <w:b/>
          <w:bCs/>
          <w:color w:val="auto"/>
          <w:highlight w:val="none"/>
        </w:rPr>
        <w:t xml:space="preserve">项目概况</w:t>
      </w:r>
      <w:r/>
    </w:p>
    <w:p>
      <w:pPr>
        <w:ind w:firstLine="420"/>
        <w:jc w:val="left"/>
        <w:spacing w:line="360" w:lineRule="auto"/>
        <w:widowControl/>
        <w:rPr>
          <w:rFonts w:hint="eastAsia" w:ascii="宋体" w:hAnsi="宋体" w:cs="宋体"/>
          <w:color w:val="auto"/>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lang w:eastAsia="zh-CN"/>
        </w:rPr>
        <w:t xml:space="preserve">第四届江苏省退役军人创业创新大赛技术支持和会展服务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二次招标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eastAsia="zh-CN"/>
        </w:rPr>
        <w:t xml:space="preserve">JSZC-320000-JSSZ-C2026-0035）采购项目的潜在供应商应在</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江苏政府采购网“苏采云”系统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获取采购文件，并于202</w:t>
      </w:r>
      <w:r>
        <w:rPr>
          <w:rFonts w:hint="eastAsia" w:ascii="宋体" w:hAnsi="宋体" w:cs="宋体"/>
          <w:color w:val="auto"/>
          <w:sz w:val="24"/>
          <w:szCs w:val="24"/>
          <w:highlight w:val="none"/>
          <w:lang w:val="en-US" w:eastAsia="zh-CN"/>
        </w:rPr>
        <w:t xml:space="preserve">6年7月9日14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（北京时间）前提交响应文件。</w:t>
      </w:r>
      <w:r/>
    </w:p>
    <w:p>
      <w:pPr>
        <w:pStyle w:val="771"/>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一、项目基本情况</w:t>
      </w:r>
      <w:bookmarkEnd w:id="17"/>
      <w:r/>
      <w:bookmarkEnd w:id="18"/>
      <w:r/>
      <w:bookmarkEnd w:id="19"/>
      <w:r/>
      <w:bookmarkEnd w:id="20"/>
      <w:r/>
      <w:bookmarkEnd w:id="21"/>
      <w:r/>
      <w:bookmarkEnd w:id="22"/>
      <w:r/>
    </w:p>
    <w:p>
      <w:pPr>
        <w:ind w:firstLine="48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：JSZC-320000-JSSZ-C2026-0035</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第四届江苏省退役军人创业创新大赛技术支持和会展服务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二次招标</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rPr>
        <w:t xml:space="preserve">万元</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4.最高限价：</w:t>
      </w:r>
      <w:r>
        <w:rPr>
          <w:rFonts w:hint="eastAsia" w:ascii="宋体" w:hAnsi="宋体" w:cs="宋体"/>
          <w:color w:val="auto"/>
          <w:sz w:val="24"/>
          <w:szCs w:val="24"/>
          <w:highlight w:val="none"/>
          <w:lang w:val="en-US" w:eastAsia="zh-CN"/>
        </w:rPr>
        <w:t xml:space="preserve">采购包1（第四届创业创新大赛技术支持）90万元；采购包2（第四届创业创新大赛会展服务）78万元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s="宋体"/>
          <w:color w:val="auto"/>
          <w:sz w:val="24"/>
          <w:szCs w:val="24"/>
          <w:highlight w:val="none"/>
          <w:lang w:val="en-US" w:eastAsia="zh-CN"/>
        </w:rPr>
        <w:t xml:space="preserve">采购包1（第四届创业创新大赛技术支持）：300人左右的食宿、比赛场地费用；评委费用（约65人次）；大赛活动策划、前期项目对接、参赛项目审查、赛前辅导、邀请专家评委、引进风投机构、评分系统、现场会务接待服务、国赛前辅导等。采购包2（第四届创业创新大赛会展服务）：开幕式、颁奖活动的整体设计和组织实施、赛场安装搭建、视频制作、摄像摄影、大赛活动的物料制作、安装服务，大赛会务、参赛手册以及宣传资料、印刷服务等。</w:t>
      </w:r>
      <w:r>
        <w:rPr>
          <w:rFonts w:hint="eastAsia" w:ascii="宋体" w:hAnsi="宋体" w:eastAsia="宋体" w:cs="宋体"/>
          <w:color w:val="auto"/>
          <w:sz w:val="24"/>
          <w:szCs w:val="24"/>
          <w:highlight w:val="none"/>
        </w:rPr>
        <w:t xml:space="preserve">具体需求详见</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第四章项目需求</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合同签订之日起至</w:t>
      </w:r>
      <w:r>
        <w:rPr>
          <w:rFonts w:hint="eastAsia" w:ascii="宋体" w:hAnsi="宋体" w:cs="宋体"/>
          <w:color w:val="auto"/>
          <w:sz w:val="24"/>
          <w:szCs w:val="24"/>
          <w:highlight w:val="none"/>
          <w:lang w:eastAsia="zh-CN"/>
        </w:rPr>
        <w:t xml:space="preserve">第四届江苏省退役军人创业创新大赛</w:t>
      </w:r>
      <w:r>
        <w:rPr>
          <w:rFonts w:hint="eastAsia" w:ascii="宋体" w:hAnsi="宋体" w:cs="宋体"/>
          <w:color w:val="auto"/>
          <w:sz w:val="24"/>
          <w:szCs w:val="24"/>
          <w:highlight w:val="none"/>
          <w:lang w:val="en-US" w:eastAsia="zh-CN"/>
        </w:rPr>
        <w:t xml:space="preserve">赛事结束，以及赛后工作完全完成</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联合体投标。</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bCs/>
          <w:color w:val="auto"/>
          <w:sz w:val="24"/>
          <w:highlight w:val="none"/>
        </w:rPr>
        <w:t xml:space="preserve">本项目采购标的所属</w:t>
      </w:r>
      <w:r>
        <w:rPr>
          <w:rFonts w:hint="eastAsia" w:ascii="宋体" w:hAnsi="宋体"/>
          <w:color w:val="auto"/>
          <w:sz w:val="24"/>
          <w:highlight w:val="none"/>
        </w:rPr>
        <w:t xml:space="preserve">行业为：租赁和商务服务业</w:t>
      </w:r>
      <w:r>
        <w:rPr>
          <w:rFonts w:hint="eastAsia" w:ascii="宋体" w:hAnsi="宋体"/>
          <w:color w:val="auto"/>
          <w:sz w:val="24"/>
          <w:highlight w:val="none"/>
          <w:lang w:eastAsia="zh-CN"/>
        </w:rPr>
        <w:t xml:space="preserve">。</w:t>
      </w:r>
      <w:r/>
    </w:p>
    <w:p>
      <w:pPr>
        <w:pStyle w:val="771"/>
        <w:pageBreakBefore w:val="0"/>
        <w:spacing w:before="0" w:after="0" w:line="360" w:lineRule="auto"/>
        <w:widowControl w:val="off"/>
        <w:rPr>
          <w:rFonts w:hint="eastAsia" w:ascii="宋体" w:hAnsi="宋体" w:eastAsia="宋体" w:cs="宋体"/>
          <w:b/>
          <w:bCs/>
          <w:color w:val="auto"/>
          <w:highlight w:val="none"/>
        </w:rPr>
      </w:pPr>
      <w:r/>
      <w:bookmarkStart w:id="23" w:name="_Toc35393791"/>
      <w:r/>
      <w:bookmarkStart w:id="24" w:name="_Toc35393622"/>
      <w:r/>
      <w:bookmarkStart w:id="25" w:name="_Toc28359080"/>
      <w:r/>
      <w:bookmarkStart w:id="26" w:name="_Toc38985264"/>
      <w:r/>
      <w:bookmarkStart w:id="27" w:name="_Toc28359003"/>
      <w:r>
        <w:rPr>
          <w:rFonts w:hint="eastAsia" w:ascii="宋体" w:hAnsi="宋体" w:eastAsia="宋体" w:cs="宋体"/>
          <w:b/>
          <w:bCs/>
          <w:color w:val="auto"/>
          <w:highlight w:val="none"/>
        </w:rPr>
        <w:t xml:space="preserve">二、申请人的资格要求</w:t>
      </w:r>
      <w:bookmarkEnd w:id="23"/>
      <w:r/>
      <w:bookmarkEnd w:id="24"/>
      <w:r/>
      <w:bookmarkEnd w:id="25"/>
      <w:r/>
      <w:bookmarkEnd w:id="26"/>
      <w:r/>
      <w:bookmarkEnd w:id="27"/>
      <w:r/>
      <w:r/>
    </w:p>
    <w:p>
      <w:pPr>
        <w:ind w:firstLine="480"/>
        <w:spacing w:line="360" w:lineRule="auto"/>
        <w:widowControl/>
        <w:rPr>
          <w:rFonts w:ascii="宋体" w:hAnsi="宋体" w:cs="宋体"/>
          <w:bCs/>
          <w:color w:val="auto"/>
          <w:sz w:val="24"/>
          <w:highlight w:val="none"/>
        </w:rPr>
      </w:pPr>
      <w:r/>
      <w:bookmarkStart w:id="28" w:name="_Hlk8392111"/>
      <w:r/>
      <w:bookmarkStart w:id="29" w:name="_Toc38985265"/>
      <w:r/>
      <w:bookmarkStart w:id="30" w:name="_Toc28359081"/>
      <w:r/>
      <w:bookmarkStart w:id="31" w:name="_Toc28359004"/>
      <w:r/>
      <w:bookmarkStart w:id="32" w:name="_Toc35393623"/>
      <w:r/>
      <w:bookmarkStart w:id="33" w:name="_Toc35393792"/>
      <w:r>
        <w:rPr>
          <w:rFonts w:hint="eastAsia" w:ascii="宋体" w:hAnsi="宋体" w:cs="宋体"/>
          <w:bCs/>
          <w:color w:val="auto"/>
          <w:sz w:val="24"/>
          <w:highlight w:val="none"/>
        </w:rPr>
        <w:t xml:space="preserve">2.1满足《中华人民共和国政府采购法》第二十二条规定，并提供下列材料：</w:t>
      </w:r>
      <w:r/>
    </w:p>
    <w:p>
      <w:pPr>
        <w:ind w:firstLine="48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（1）具有独立承担民事责任的能力（提供法人或者其他组织的营业执照等证明文件并加盖公章。如投标人为自然人的，提供其身份证明，并加盖公章。）； </w:t>
      </w:r>
      <w:r/>
    </w:p>
    <w:p>
      <w:pPr>
        <w:ind w:firstLine="480"/>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（2）具有良好的商业信誉和健全的财务会计制度（提供202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年度财务审计报告，或2025年</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月以来银行出具的资信证明，或2025年</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月以来财政部门认可的专业担保机构出具的投标担保函；并加盖公章。投标人成立不满一年不需提供。）；</w:t>
      </w:r>
      <w:r/>
    </w:p>
    <w:p>
      <w:pPr>
        <w:ind w:firstLine="480"/>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（3）有依法缴纳税收</w:t>
      </w:r>
      <w:r>
        <w:rPr>
          <w:rFonts w:hint="eastAsia" w:ascii="宋体" w:hAnsi="宋体" w:cs="宋体"/>
          <w:color w:val="auto"/>
          <w:sz w:val="24"/>
          <w:highlight w:val="none"/>
        </w:rPr>
        <w:t xml:space="preserve">和社会保障资金的良好记录（提交2025年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月以来</w:t>
      </w:r>
      <w:r>
        <w:rPr>
          <w:rFonts w:hint="eastAsia" w:ascii="宋体" w:hAnsi="宋体" w:cs="Arial"/>
          <w:color w:val="auto"/>
          <w:sz w:val="24"/>
          <w:highlight w:val="none"/>
        </w:rPr>
        <w:t xml:space="preserve">至少一个月</w:t>
      </w:r>
      <w:r>
        <w:rPr>
          <w:rFonts w:ascii="宋体" w:hAnsi="宋体" w:cs="宋体"/>
          <w:color w:val="auto"/>
          <w:sz w:val="24"/>
          <w:highlight w:val="none"/>
        </w:rPr>
        <w:t xml:space="preserve">依法缴纳税收和社会保障资金的</w:t>
      </w:r>
      <w:r>
        <w:rPr>
          <w:rFonts w:hint="eastAsia" w:ascii="宋体" w:hAnsi="宋体" w:cs="宋体"/>
          <w:color w:val="auto"/>
          <w:sz w:val="24"/>
          <w:highlight w:val="none"/>
        </w:rPr>
        <w:t xml:space="preserve">有效证明</w:t>
      </w:r>
      <w:r>
        <w:rPr>
          <w:rFonts w:ascii="宋体" w:hAnsi="宋体" w:cs="宋体"/>
          <w:color w:val="auto"/>
          <w:sz w:val="24"/>
          <w:highlight w:val="none"/>
        </w:rPr>
        <w:t xml:space="preserve">材料</w:t>
      </w:r>
      <w:r>
        <w:rPr>
          <w:rFonts w:hint="eastAsia" w:ascii="宋体" w:hAnsi="宋体" w:cs="宋体"/>
          <w:color w:val="auto"/>
          <w:sz w:val="24"/>
          <w:highlight w:val="none"/>
        </w:rPr>
        <w:t xml:space="preserve">，并加盖公章。</w:t>
      </w:r>
      <w:r>
        <w:rPr>
          <w:rFonts w:hint="eastAsia" w:ascii="宋体" w:hAnsi="宋体"/>
          <w:color w:val="auto"/>
          <w:sz w:val="24"/>
          <w:highlight w:val="none"/>
        </w:rPr>
        <w:t xml:space="preserve">投标人依法享受缓缴、免缴税收或社会保障资金的，须提供有效证明材料。</w:t>
      </w:r>
      <w:r>
        <w:rPr>
          <w:rFonts w:hint="eastAsia" w:ascii="宋体" w:hAnsi="宋体"/>
          <w:color w:val="auto"/>
          <w:szCs w:val="21"/>
          <w:highlight w:val="none"/>
        </w:rPr>
        <w:t xml:space="preserve">）</w:t>
      </w: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具备履行合同所必需的设备和专业技术能力</w:t>
      </w:r>
      <w:r>
        <w:rPr>
          <w:rFonts w:hint="eastAsia" w:ascii="宋体" w:hAnsi="宋体" w:cs="宋体"/>
          <w:color w:val="auto"/>
          <w:sz w:val="24"/>
          <w:highlight w:val="none"/>
        </w:rPr>
        <w:t xml:space="preserve">（提供书面</w:t>
      </w:r>
      <w:r>
        <w:rPr>
          <w:rFonts w:ascii="宋体" w:hAnsi="宋体" w:cs="宋体"/>
          <w:color w:val="auto"/>
          <w:sz w:val="24"/>
          <w:highlight w:val="none"/>
        </w:rPr>
        <w:t xml:space="preserve">声明</w:t>
      </w:r>
      <w:r>
        <w:rPr>
          <w:rFonts w:hint="eastAsia" w:ascii="宋体" w:hAnsi="宋体" w:cs="宋体"/>
          <w:color w:val="auto"/>
          <w:sz w:val="24"/>
          <w:highlight w:val="none"/>
        </w:rPr>
        <w:t xml:space="preserve">并加盖公章，格式自拟）</w:t>
      </w: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参加政府采购活动前3年内在经营活动中没有重大违法记录</w:t>
      </w:r>
      <w:r>
        <w:rPr>
          <w:rFonts w:hint="eastAsia" w:ascii="宋体" w:hAnsi="宋体" w:cs="宋体"/>
          <w:color w:val="auto"/>
          <w:sz w:val="24"/>
          <w:highlight w:val="none"/>
        </w:rPr>
        <w:t xml:space="preserve">（提供书面</w:t>
      </w:r>
      <w:r>
        <w:rPr>
          <w:rFonts w:ascii="宋体" w:hAnsi="宋体" w:cs="宋体"/>
          <w:color w:val="auto"/>
          <w:sz w:val="24"/>
          <w:highlight w:val="none"/>
        </w:rPr>
        <w:t xml:space="preserve">声明</w:t>
      </w:r>
      <w:r>
        <w:rPr>
          <w:rFonts w:hint="eastAsia" w:ascii="宋体" w:hAnsi="宋体" w:cs="宋体"/>
          <w:color w:val="auto"/>
          <w:sz w:val="24"/>
          <w:highlight w:val="none"/>
        </w:rPr>
        <w:t xml:space="preserve">并加盖公章，格式自拟）。</w:t>
      </w:r>
      <w:r/>
    </w:p>
    <w:p>
      <w:pPr>
        <w:ind w:firstLine="482"/>
        <w:spacing w:line="360" w:lineRule="auto"/>
        <w:rPr>
          <w:rFonts w:ascii="宋体" w:hAnsi="宋体" w:cs="Arial"/>
          <w:b/>
          <w:bCs/>
          <w:color w:val="auto"/>
          <w:sz w:val="24"/>
          <w:highlight w:val="none"/>
        </w:rPr>
      </w:pPr>
      <w:r/>
      <w:bookmarkStart w:id="34" w:name="_Hlk106724798"/>
      <w:r>
        <w:rPr>
          <w:rFonts w:ascii="宋体" w:hAnsi="宋体" w:cs="Arial"/>
          <w:b/>
          <w:bCs/>
          <w:color w:val="auto"/>
          <w:sz w:val="24"/>
          <w:highlight w:val="none"/>
        </w:rPr>
        <w:t xml:space="preserve">2.2</w:t>
      </w:r>
      <w:bookmarkStart w:id="35" w:name="_Hlk106726432"/>
      <w:r/>
      <w:bookmarkStart w:id="36" w:name="_Hlk106725740"/>
      <w:r>
        <w:rPr>
          <w:rFonts w:hint="eastAsia" w:ascii="宋体" w:hAnsi="宋体" w:cs="Arial"/>
          <w:b/>
          <w:bCs/>
          <w:color w:val="auto"/>
          <w:sz w:val="24"/>
          <w:highlight w:val="none"/>
        </w:rPr>
        <w:t xml:space="preserve">落实政府采购政策需满足的资格要求：</w:t>
      </w:r>
      <w:r/>
    </w:p>
    <w:p>
      <w:pPr>
        <w:ind w:firstLine="482"/>
        <w:spacing w:line="360" w:lineRule="auto"/>
        <w:rPr>
          <w:rFonts w:ascii="宋体" w:hAnsi="宋体" w:cs="Arial"/>
          <w:b/>
          <w:bCs/>
          <w:color w:val="auto"/>
          <w:sz w:val="24"/>
          <w:highlight w:val="none"/>
        </w:rPr>
      </w:pPr>
      <w:r>
        <w:rPr>
          <w:rFonts w:hint="eastAsia" w:ascii="宋体" w:hAnsi="宋体" w:cs="宋体"/>
          <w:b/>
          <w:bCs/>
          <w:color w:val="auto"/>
          <w:sz w:val="24"/>
          <w:highlight w:val="none"/>
        </w:rPr>
        <w:t xml:space="preserve">本项目按照采用以下第</w:t>
      </w:r>
      <w:r>
        <w:rPr>
          <w:rFonts w:hint="eastAsia" w:ascii="宋体" w:hAnsi="宋体" w:cs="宋体"/>
          <w:b/>
          <w:bCs/>
          <w:color w:val="auto"/>
          <w:sz w:val="24"/>
          <w:highlight w:val="none"/>
          <w:u w:val="single"/>
        </w:rPr>
        <w:t xml:space="preserve">（4）</w:t>
      </w:r>
      <w:r>
        <w:rPr>
          <w:rFonts w:hint="eastAsia" w:ascii="宋体" w:hAnsi="宋体" w:cs="宋体"/>
          <w:b/>
          <w:bCs/>
          <w:color w:val="auto"/>
          <w:sz w:val="24"/>
          <w:highlight w:val="none"/>
        </w:rPr>
        <w:t xml:space="preserve">种方式落实政府采购促进中小企业发展的要求：</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（1）本项目整体专门面向中小企业采购；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（2）本项目整体专门面向小微企业采购；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（3）本项目通过以下第</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种方式预留部分采购份额，面向中小企业采购：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①本项目要求供应商以联合体形式参加，中小企业合同金额应当达到的比例为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②本项目要求供应商进行合同分包，中小企业合同金额应当达到的比例为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（4）本项目为非预留份额专门面向中小企业的采购项目或采购包，执行价格扣除优</w:t>
      </w:r>
      <w:r>
        <w:rPr>
          <w:rFonts w:hint="eastAsia" w:ascii="宋体" w:hAnsi="宋体" w:cs="宋体"/>
          <w:b/>
          <w:bCs/>
          <w:color w:val="auto"/>
          <w:sz w:val="24"/>
          <w:highlight w:val="none"/>
        </w:rPr>
        <w:t xml:space="preserve">惠政策，详见“第五章评标办法与评分标准”。</w:t>
      </w:r>
      <w:bookmarkEnd w:id="34"/>
      <w:bookmarkEnd w:id="35"/>
      <w:bookmarkEnd w:id="36"/>
      <w:r/>
    </w:p>
    <w:p>
      <w:pPr>
        <w:ind w:firstLine="482"/>
        <w:spacing w:line="360" w:lineRule="auto"/>
        <w:widowControl/>
        <w:rPr>
          <w:rFonts w:ascii="宋体" w:hAnsi="宋体" w:cs="宋体"/>
          <w:b/>
          <w:color w:val="auto"/>
          <w:sz w:val="24"/>
          <w:highlight w:val="none"/>
        </w:rPr>
      </w:pPr>
      <w:r>
        <w:rPr>
          <w:rFonts w:ascii="宋体" w:hAnsi="宋体" w:cs="宋体"/>
          <w:b/>
          <w:color w:val="auto"/>
          <w:sz w:val="24"/>
          <w:highlight w:val="none"/>
        </w:rPr>
        <w:t xml:space="preserve">2.3</w:t>
      </w:r>
      <w:r>
        <w:rPr>
          <w:rFonts w:hint="eastAsia" w:ascii="宋体" w:hAnsi="宋体" w:cs="宋体"/>
          <w:b/>
          <w:color w:val="auto"/>
          <w:sz w:val="24"/>
          <w:highlight w:val="none"/>
        </w:rPr>
        <w:t xml:space="preserve">本项目 </w:t>
      </w:r>
      <w:r>
        <w:rPr>
          <w:rFonts w:hint="eastAsia" w:ascii="宋体" w:hAnsi="宋体" w:cs="宋体"/>
          <w:b/>
          <w:color w:val="auto"/>
          <w:sz w:val="24"/>
          <w:highlight w:val="none"/>
          <w:u w:val="single"/>
        </w:rPr>
        <w:t xml:space="preserve">不接受 </w:t>
      </w:r>
      <w:r>
        <w:rPr>
          <w:rFonts w:hint="eastAsia" w:ascii="宋体" w:hAnsi="宋体" w:cs="宋体"/>
          <w:b/>
          <w:color w:val="auto"/>
          <w:sz w:val="24"/>
          <w:highlight w:val="none"/>
        </w:rPr>
        <w:t xml:space="preserve">进口产品投标；本项目 </w:t>
      </w:r>
      <w:r>
        <w:rPr>
          <w:rFonts w:hint="eastAsia" w:ascii="宋体" w:hAnsi="宋体" w:cs="宋体"/>
          <w:b/>
          <w:color w:val="auto"/>
          <w:sz w:val="24"/>
          <w:highlight w:val="none"/>
          <w:u w:val="single"/>
        </w:rPr>
        <w:t xml:space="preserve">不接受</w:t>
      </w:r>
      <w:r>
        <w:rPr>
          <w:rFonts w:hint="eastAsia" w:ascii="宋体" w:hAnsi="宋体" w:cs="宋体"/>
          <w:b/>
          <w:color w:val="auto"/>
          <w:sz w:val="24"/>
          <w:highlight w:val="none"/>
        </w:rPr>
        <w:t xml:space="preserve"> 联合体参与投标。</w:t>
      </w:r>
      <w:r/>
    </w:p>
    <w:p>
      <w:pPr>
        <w:ind w:firstLine="482"/>
        <w:spacing w:line="360" w:lineRule="auto"/>
        <w:widowControl/>
        <w:rPr>
          <w:rFonts w:ascii="宋体" w:hAnsi="宋体" w:cs="宋体"/>
          <w:color w:val="auto"/>
          <w:sz w:val="24"/>
          <w:highlight w:val="none"/>
        </w:rPr>
      </w:pPr>
      <w:r>
        <w:rPr>
          <w:rFonts w:ascii="宋体" w:hAnsi="宋体"/>
          <w:b/>
          <w:bCs/>
          <w:color w:val="auto"/>
          <w:sz w:val="24"/>
          <w:highlight w:val="none"/>
        </w:rPr>
        <w:t xml:space="preserve">2.4</w:t>
      </w:r>
      <w:r>
        <w:rPr>
          <w:rFonts w:hint="eastAsia" w:ascii="宋体" w:hAnsi="宋体"/>
          <w:b/>
          <w:bCs/>
          <w:color w:val="auto"/>
          <w:sz w:val="24"/>
          <w:highlight w:val="none"/>
        </w:rPr>
        <w:t xml:space="preserve">本项目的特定资格要求：</w:t>
      </w:r>
      <w:bookmarkStart w:id="37" w:name="_Hlk28680991"/>
      <w:r>
        <w:rPr>
          <w:rFonts w:hint="eastAsia" w:ascii="宋体" w:hAnsi="宋体"/>
          <w:b/>
          <w:bCs/>
          <w:color w:val="auto"/>
          <w:sz w:val="24"/>
          <w:highlight w:val="none"/>
        </w:rPr>
        <w:t xml:space="preserve">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5</w:t>
      </w:r>
      <w:r>
        <w:rPr>
          <w:rFonts w:hint="eastAsia" w:ascii="宋体" w:hAnsi="宋体" w:cs="宋体"/>
          <w:color w:val="auto"/>
          <w:sz w:val="24"/>
          <w:highlight w:val="none"/>
        </w:rPr>
        <w:t xml:space="preserve">拒绝以下投标人参加本次采购活动：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（1）被“信用中国”网站（</w:t>
      </w:r>
      <w:r>
        <w:rPr>
          <w:rFonts w:ascii="宋体" w:hAnsi="宋体" w:cs="宋体"/>
          <w:color w:val="auto"/>
          <w:sz w:val="24"/>
          <w:highlight w:val="none"/>
        </w:rPr>
        <w:t xml:space="preserve">www.creditchina.gov.cn</w:t>
      </w:r>
      <w:r>
        <w:rPr>
          <w:rFonts w:hint="eastAsia" w:ascii="宋体" w:hAnsi="宋体" w:cs="宋体"/>
          <w:color w:val="auto"/>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w:t>
      </w:r>
      <w:r>
        <w:rPr>
          <w:rFonts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为</w:t>
      </w:r>
      <w:r>
        <w:rPr>
          <w:rFonts w:hint="eastAsia" w:ascii="宋体" w:hAnsi="宋体" w:cs="宋体"/>
          <w:color w:val="auto"/>
          <w:sz w:val="24"/>
          <w:highlight w:val="none"/>
        </w:rPr>
        <w:t xml:space="preserve">本</w:t>
      </w:r>
      <w:r>
        <w:rPr>
          <w:rFonts w:ascii="宋体" w:hAnsi="宋体" w:cs="宋体"/>
          <w:color w:val="auto"/>
          <w:sz w:val="24"/>
          <w:highlight w:val="none"/>
        </w:rPr>
        <w:t xml:space="preserve">项目提供整体设计、规范编制或者项目管理、监理、检测等服务的供应商，不得再参加</w:t>
      </w:r>
      <w:r>
        <w:rPr>
          <w:rFonts w:hint="eastAsia" w:ascii="宋体" w:hAnsi="宋体" w:cs="宋体"/>
          <w:color w:val="auto"/>
          <w:sz w:val="24"/>
          <w:highlight w:val="none"/>
        </w:rPr>
        <w:t xml:space="preserve">本项目的其他</w:t>
      </w:r>
      <w:r>
        <w:rPr>
          <w:rFonts w:ascii="宋体" w:hAnsi="宋体" w:cs="宋体"/>
          <w:color w:val="auto"/>
          <w:sz w:val="24"/>
          <w:highlight w:val="none"/>
        </w:rPr>
        <w:t xml:space="preserve">采购活动</w:t>
      </w:r>
      <w:r>
        <w:rPr>
          <w:rFonts w:hint="eastAsia" w:ascii="宋体" w:hAnsi="宋体" w:cs="宋体"/>
          <w:color w:val="auto"/>
          <w:sz w:val="24"/>
          <w:highlight w:val="non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（4）依据“财政部令第102号《政府购买服务管理办法》”第二章 第八条“公益一类事业单位、使用事业编制且由财政拨款保障的群团组织，不作为政府购买服务的购买主体和承接主体。”</w:t>
      </w:r>
      <w:bookmarkEnd w:id="28"/>
      <w:bookmarkEnd w:id="37"/>
      <w:r/>
    </w:p>
    <w:p>
      <w:pPr>
        <w:pStyle w:val="771"/>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w:t>
      </w:r>
      <w:r>
        <w:rPr>
          <w:rFonts w:hint="eastAsia" w:ascii="宋体" w:hAnsi="宋体" w:eastAsia="宋体" w:cs="宋体"/>
          <w:b/>
          <w:bCs/>
          <w:color w:val="auto"/>
          <w:highlight w:val="none"/>
        </w:rPr>
        <w:t xml:space="preserve">文件</w:t>
      </w:r>
      <w:bookmarkEnd w:id="29"/>
      <w:r/>
      <w:bookmarkEnd w:id="30"/>
      <w:r/>
      <w:bookmarkEnd w:id="31"/>
      <w:r/>
      <w:bookmarkEnd w:id="32"/>
      <w:r/>
      <w:bookmarkEnd w:id="33"/>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bookmarkStart w:id="38" w:name="_Toc28359082"/>
      <w:r/>
      <w:bookmarkStart w:id="39" w:name="_Toc28359005"/>
      <w:r/>
      <w:bookmarkStart w:id="40" w:name="_Toc35393793"/>
      <w:r/>
      <w:bookmarkStart w:id="41" w:name="_Toc35393624"/>
      <w:r/>
      <w:bookmarkStart w:id="42" w:name="_Toc38985266"/>
      <w:r>
        <w:rPr>
          <w:rFonts w:hint="eastAsia" w:ascii="宋体" w:hAnsi="宋体" w:eastAsia="宋体" w:cs="宋体"/>
          <w:color w:val="auto"/>
          <w:sz w:val="24"/>
          <w:szCs w:val="24"/>
          <w:highlight w:val="none"/>
          <w:lang w:val="zh-CN"/>
        </w:rPr>
        <w:t xml:space="preserve">时间：</w:t>
      </w:r>
      <w:r>
        <w:rPr>
          <w:rFonts w:hint="eastAsia" w:ascii="宋体" w:hAnsi="宋体" w:cs="宋体"/>
          <w:bCs/>
          <w:color w:val="auto"/>
          <w:sz w:val="24"/>
          <w:highlight w:val="none"/>
        </w:rPr>
        <w:t xml:space="preserve">自</w:t>
      </w:r>
      <w:r>
        <w:rPr>
          <w:rFonts w:hint="eastAsia" w:ascii="宋体" w:hAnsi="宋体" w:cs="宋体"/>
          <w:bCs/>
          <w:color w:val="auto"/>
          <w:sz w:val="24"/>
          <w:highlight w:val="none"/>
          <w:lang w:val="en-US" w:eastAsia="zh-CN"/>
        </w:rPr>
        <w:t xml:space="preserve">竞争性磋商</w:t>
      </w:r>
      <w:r>
        <w:rPr>
          <w:rFonts w:hint="eastAsia" w:ascii="宋体" w:hAnsi="宋体" w:cs="宋体"/>
          <w:bCs/>
          <w:color w:val="auto"/>
          <w:sz w:val="24"/>
          <w:highlight w:val="none"/>
        </w:rPr>
        <w:t xml:space="preserve">公告发布之日起5个工作日</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地点：</w:t>
      </w:r>
      <w:r>
        <w:rPr>
          <w:rFonts w:hint="eastAsia" w:ascii="宋体" w:hAnsi="宋体" w:eastAsia="宋体" w:cs="宋体"/>
          <w:color w:val="auto"/>
          <w:sz w:val="24"/>
          <w:szCs w:val="24"/>
          <w:highlight w:val="none"/>
          <w:lang w:val="en-US" w:eastAsia="zh-CN"/>
        </w:rPr>
        <w:t xml:space="preserve">江苏政府采购网</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方式：</w:t>
      </w:r>
      <w:r>
        <w:rPr>
          <w:rFonts w:hint="eastAsia" w:ascii="宋体" w:hAnsi="宋体" w:eastAsia="宋体" w:cs="宋体"/>
          <w:color w:val="auto"/>
          <w:sz w:val="24"/>
          <w:szCs w:val="24"/>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售价：0.00元</w:t>
      </w:r>
      <w:r/>
    </w:p>
    <w:p>
      <w:pPr>
        <w:pStyle w:val="771"/>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w:t>
      </w:r>
      <w:r>
        <w:rPr>
          <w:rFonts w:hint="eastAsia" w:ascii="宋体" w:hAnsi="宋体" w:eastAsia="宋体" w:cs="宋体"/>
          <w:b/>
          <w:bCs/>
          <w:color w:val="auto"/>
          <w:highlight w:val="none"/>
          <w:lang w:eastAsia="zh-CN"/>
        </w:rPr>
        <w:t xml:space="preserve">响应</w:t>
      </w:r>
      <w:r>
        <w:rPr>
          <w:rFonts w:hint="eastAsia" w:ascii="宋体" w:hAnsi="宋体" w:eastAsia="宋体" w:cs="宋体"/>
          <w:b/>
          <w:bCs/>
          <w:color w:val="auto"/>
          <w:highlight w:val="none"/>
        </w:rPr>
        <w:t xml:space="preserve">文件</w:t>
      </w:r>
      <w:bookmarkEnd w:id="38"/>
      <w:r/>
      <w:bookmarkEnd w:id="39"/>
      <w:r>
        <w:rPr>
          <w:rFonts w:hint="eastAsia" w:ascii="宋体" w:hAnsi="宋体" w:eastAsia="宋体" w:cs="宋体"/>
          <w:b/>
          <w:bCs/>
          <w:color w:val="auto"/>
          <w:highlight w:val="none"/>
        </w:rPr>
        <w:t xml:space="preserve">截止时间、开标时间和地点</w:t>
      </w:r>
      <w:bookmarkEnd w:id="40"/>
      <w:r/>
      <w:bookmarkEnd w:id="41"/>
      <w:r/>
      <w:bookmarkEnd w:id="42"/>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bookmarkStart w:id="43" w:name="_Toc28359007"/>
      <w:r/>
      <w:bookmarkStart w:id="44" w:name="_Toc35393625"/>
      <w:r/>
      <w:bookmarkStart w:id="45" w:name="_Toc38985267"/>
      <w:r/>
      <w:bookmarkStart w:id="46" w:name="_Toc28359084"/>
      <w:r/>
      <w:bookmarkStart w:id="47" w:name="_Toc35393794"/>
      <w:r>
        <w:rPr>
          <w:rFonts w:hint="eastAsia" w:ascii="宋体" w:hAnsi="宋体" w:eastAsia="宋体" w:cs="宋体"/>
          <w:color w:val="auto"/>
          <w:sz w:val="24"/>
          <w:szCs w:val="24"/>
          <w:highlight w:val="none"/>
          <w:lang w:val="zh-CN" w:eastAsia="zh-CN"/>
        </w:rPr>
        <w:t xml:space="preserve">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日14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（北京时间）</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地点：江苏省政府采购交易系统（以下简称苏采云系统）网上开标大厅</w:t>
      </w:r>
      <w:r/>
    </w:p>
    <w:p>
      <w:pPr>
        <w:pStyle w:val="771"/>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bookmarkEnd w:id="43"/>
      <w:r/>
      <w:bookmarkEnd w:id="44"/>
      <w:r/>
      <w:bookmarkEnd w:id="45"/>
      <w:r/>
      <w:bookmarkEnd w:id="46"/>
      <w:r/>
      <w:bookmarkEnd w:id="47"/>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8" w:name="_Toc35393626"/>
      <w:r/>
      <w:bookmarkStart w:id="49" w:name="_Toc35393795"/>
      <w:r/>
      <w:bookmarkStart w:id="50" w:name="_Toc38985268"/>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pStyle w:val="771"/>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六、其他事宜</w:t>
      </w:r>
      <w:bookmarkEnd w:id="48"/>
      <w:r/>
      <w:bookmarkEnd w:id="49"/>
      <w:r/>
      <w:bookmarkEnd w:id="50"/>
      <w:r/>
      <w:r/>
    </w:p>
    <w:p>
      <w:pPr>
        <w:ind w:firstLine="482"/>
        <w:pageBreakBefore w:val="0"/>
        <w:spacing w:line="360" w:lineRule="auto"/>
        <w:widowControl w:val="off"/>
        <w:rPr>
          <w:rFonts w:hint="eastAsia" w:ascii="宋体" w:hAnsi="宋体" w:eastAsia="宋体" w:cs="宋体"/>
          <w:b/>
          <w:bCs/>
          <w:color w:val="auto"/>
          <w:sz w:val="24"/>
          <w:szCs w:val="24"/>
          <w:highlight w:val="none"/>
          <w:lang w:val="zh-CN" w:eastAsia="zh-CN"/>
        </w:rPr>
      </w:pPr>
      <w:r/>
      <w:bookmarkStart w:id="51" w:name="_Toc35393627"/>
      <w:r/>
      <w:bookmarkStart w:id="52" w:name="_Toc35393796"/>
      <w:r/>
      <w:bookmarkStart w:id="53" w:name="_Toc38985269"/>
      <w:r/>
      <w:bookmarkStart w:id="54" w:name="_Toc28359085"/>
      <w:r/>
      <w:bookmarkStart w:id="55" w:name="_Toc28359008"/>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eastAsia="zh-CN"/>
        </w:rPr>
        <w:t xml:space="preserve">.本次招标 </w:t>
      </w:r>
      <w:r>
        <w:rPr>
          <w:rFonts w:hint="eastAsia" w:ascii="宋体" w:hAnsi="宋体" w:eastAsia="宋体" w:cs="宋体"/>
          <w:b/>
          <w:bCs/>
          <w:color w:val="auto"/>
          <w:sz w:val="24"/>
          <w:szCs w:val="24"/>
          <w:highlight w:val="none"/>
          <w:u w:val="single"/>
          <w:lang w:val="zh-CN" w:eastAsia="zh-CN"/>
        </w:rPr>
        <w:t xml:space="preserve">不收取</w:t>
      </w:r>
      <w:r>
        <w:rPr>
          <w:rFonts w:hint="eastAsia" w:ascii="宋体" w:hAnsi="宋体" w:eastAsia="宋体" w:cs="宋体"/>
          <w:b/>
          <w:bCs/>
          <w:color w:val="auto"/>
          <w:sz w:val="24"/>
          <w:szCs w:val="24"/>
          <w:highlight w:val="none"/>
          <w:lang w:val="zh-CN" w:eastAsia="zh-CN"/>
        </w:rPr>
        <w:t xml:space="preserve"> </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lang w:val="zh-CN" w:eastAsia="zh-CN"/>
        </w:rPr>
        <w:t xml:space="preserve">保证金</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分为包一、包二，共计两个采购包，可兼投但不兼中。按照包一、包二顺序依次评审。如供应商在包一中为第一中标候选人，则不再推荐为包二的中标候选人，包二的中标候选人按综合得分由高到低依序产生。</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.潜在供应</w:t>
      </w:r>
      <w:r>
        <w:rPr>
          <w:rFonts w:hint="eastAsia" w:ascii="宋体" w:hAnsi="宋体" w:eastAsia="宋体" w:cs="宋体"/>
          <w:color w:val="auto"/>
          <w:sz w:val="24"/>
          <w:szCs w:val="24"/>
          <w:highlight w:val="none"/>
          <w:lang w:val="zh-CN" w:eastAsia="zh-CN"/>
        </w:rPr>
        <w:t xml:space="preserve">商访问政府采购管理交易系统（苏采云）的网络地址和方法：</w:t>
      </w:r>
      <w:r/>
    </w:p>
    <w:p>
      <w:pPr>
        <w:ind w:firstLine="48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宋体"/>
          <w:color w:val="auto"/>
          <w:sz w:val="24"/>
          <w:szCs w:val="24"/>
          <w:highlight w:val="none"/>
          <w:lang w:val="zh-CN" w:eastAsia="zh-CN"/>
        </w:rPr>
        <w:t xml:space="preserve">（1）潜在供应商访问政府采购管理交易系统（苏采云）的方法：“苏采云”系统用户注册--获取“CA</w:t>
      </w:r>
      <w:r>
        <w:rPr>
          <w:rFonts w:hint="eastAsia" w:ascii="宋体" w:hAnsi="宋体" w:eastAsia="宋体" w:cs="Times New Roman"/>
          <w:color w:val="auto"/>
          <w:sz w:val="24"/>
          <w:highlight w:val="none"/>
        </w:rPr>
        <w:t xml:space="preserve">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（3）“CA数字证书”的办理材料以及供应商操作手册详见：http://jsxcmm.com/help/gys.html。</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w:t>
      </w:r>
      <w:r>
        <w:rPr>
          <w:rFonts w:hint="eastAsia" w:ascii="宋体" w:hAnsi="宋体" w:eastAsia="宋体" w:cs="Times New Roman"/>
          <w:color w:val="auto"/>
          <w:sz w:val="24"/>
          <w:highlight w:val="none"/>
          <w:lang w:eastAsia="zh-CN"/>
        </w:rPr>
        <w:t xml:space="preserve">采购代理机构</w:t>
      </w:r>
      <w:r>
        <w:rPr>
          <w:rFonts w:hint="eastAsia" w:ascii="宋体" w:hAnsi="宋体" w:eastAsia="宋体" w:cs="Times New Roman"/>
          <w:color w:val="auto"/>
          <w:sz w:val="24"/>
          <w:highlight w:val="none"/>
        </w:rPr>
        <w:t xml:space="preserve">将数据电文形式的采购文件加载至“苏采云”系统，供潜在供应商下载或者查阅。</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（7）苏采云系统使用谷歌浏览器参与不见面开标。</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（8）“苏采云”南京地区客服热线025-83633744、025-83633743。</w:t>
      </w:r>
      <w:r/>
    </w:p>
    <w:p>
      <w:pPr>
        <w:ind w:firstLine="480"/>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pStyle w:val="771"/>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51"/>
      <w:r/>
      <w:bookmarkEnd w:id="52"/>
      <w:r/>
      <w:bookmarkEnd w:id="53"/>
      <w:r/>
      <w:bookmarkEnd w:id="54"/>
      <w:r/>
      <w:bookmarkEnd w:id="5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7.1采购人信息</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名  称：</w:t>
      </w:r>
      <w:r>
        <w:rPr>
          <w:rFonts w:hint="eastAsia" w:ascii="宋体" w:hAnsi="宋体" w:eastAsia="宋体" w:cs="Times New Roman"/>
          <w:color w:val="auto"/>
          <w:sz w:val="24"/>
          <w:highlight w:val="none"/>
          <w:lang w:val="en-US" w:eastAsia="zh-CN"/>
        </w:rPr>
        <w:t xml:space="preserve">江苏省退役军人事务厅</w:t>
      </w:r>
      <w:r/>
    </w:p>
    <w:p>
      <w:pPr>
        <w:ind w:firstLine="48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地  址：</w:t>
      </w:r>
      <w:r>
        <w:rPr>
          <w:rFonts w:hint="eastAsia" w:ascii="宋体" w:hAnsi="宋体" w:cs="Times New Roman"/>
          <w:color w:val="auto"/>
          <w:sz w:val="24"/>
          <w:highlight w:val="none"/>
          <w:lang w:eastAsia="zh-CN"/>
        </w:rPr>
        <w:t xml:space="preserve">南京市鼓楼区新模范马路</w:t>
      </w:r>
      <w:r>
        <w:rPr>
          <w:rFonts w:hint="eastAsia" w:ascii="宋体" w:hAnsi="宋体" w:cs="Times New Roman"/>
          <w:color w:val="auto"/>
          <w:sz w:val="24"/>
          <w:highlight w:val="none"/>
          <w:lang w:val="en-US" w:eastAsia="zh-CN"/>
        </w:rPr>
        <w:t xml:space="preserve">90号</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联系人：</w:t>
      </w:r>
      <w:r>
        <w:rPr>
          <w:rFonts w:hint="eastAsia" w:ascii="宋体" w:hAnsi="宋体" w:cs="Times New Roman"/>
          <w:color w:val="auto"/>
          <w:sz w:val="24"/>
          <w:highlight w:val="none"/>
          <w:lang w:eastAsia="zh-CN"/>
        </w:rPr>
        <w:t xml:space="preserve">方进</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w:t>
      </w:r>
      <w:r>
        <w:rPr>
          <w:rFonts w:hint="eastAsia" w:ascii="宋体" w:hAnsi="宋体" w:cs="Times New Roman"/>
          <w:color w:val="auto"/>
          <w:sz w:val="24"/>
          <w:highlight w:val="none"/>
          <w:lang w:val="en-US" w:eastAsia="zh-CN"/>
        </w:rPr>
        <w:t xml:space="preserve">025-58502086</w:t>
      </w:r>
      <w:r>
        <w:rPr>
          <w:rFonts w:hint="default" w:ascii="Arial" w:hAnsi="Arial" w:eastAsia="Arial" w:cs="Arial"/>
          <w:i w:val="0"/>
          <w:iCs w:val="0"/>
          <w:caps w:val="0"/>
          <w:color w:val="auto"/>
          <w:spacing w:val="0"/>
          <w:sz w:val="18"/>
          <w:szCs w:val="18"/>
          <w:highlight w:val="none"/>
          <w:shd w:val="clear" w:color="auto" w:fill="ffffff"/>
          <w:lang w:val="en-US" w:eastAsia="zh-CN" w:bidi="ar"/>
        </w:rPr>
        <w:fldChar w:fldCharType="begin"/>
      </w:r>
      <w:r>
        <w:rPr>
          <w:rFonts w:hint="default" w:ascii="Arial" w:hAnsi="Arial" w:eastAsia="Arial" w:cs="Arial"/>
          <w:i w:val="0"/>
          <w:iCs w:val="0"/>
          <w:caps w:val="0"/>
          <w:color w:val="auto"/>
          <w:spacing w:val="0"/>
          <w:sz w:val="18"/>
          <w:szCs w:val="18"/>
          <w:highlight w:val="none"/>
          <w:shd w:val="clear" w:color="auto" w:fill="ffffff"/>
          <w:lang w:val="en-US" w:eastAsia="zh-CN" w:bidi="ar"/>
        </w:rPr>
        <w:instrText xml:space="preserve"> HYPERLINK "http://www.baidu.com/link?url=Ya445uzKW3OAmDV6Be4__MUfxcj7peZRbcRDdgDI6mdsCwFFxxUR31jJ7d-bUyFn" \t "https://www.baidu.com/_blank" </w:instrText>
      </w:r>
      <w:r>
        <w:rPr>
          <w:rFonts w:hint="default" w:ascii="Arial" w:hAnsi="Arial" w:eastAsia="Arial" w:cs="Arial"/>
          <w:i w:val="0"/>
          <w:iCs w:val="0"/>
          <w:caps w:val="0"/>
          <w:color w:val="auto"/>
          <w:spacing w:val="0"/>
          <w:sz w:val="18"/>
          <w:szCs w:val="18"/>
          <w:highlight w:val="none"/>
          <w:shd w:val="clear" w:color="auto" w:fill="ffffff"/>
          <w:lang w:val="en-US" w:eastAsia="zh-CN" w:bidi="ar"/>
        </w:rPr>
        <w:fldChar w:fldCharType="separate"/>
      </w:r>
      <w:r>
        <w:rPr>
          <w:rFonts w:hint="default" w:ascii="Arial" w:hAnsi="Arial" w:eastAsia="Arial" w:cs="Arial"/>
          <w:i w:val="0"/>
          <w:iCs w:val="0"/>
          <w:caps w:val="0"/>
          <w:color w:val="auto"/>
          <w:spacing w:val="0"/>
          <w:sz w:val="18"/>
          <w:szCs w:val="18"/>
          <w:highlight w:val="none"/>
          <w:shd w:val="clear" w:color="auto" w:fill="ffffff"/>
          <w:lang w:val="en-US" w:eastAsia="zh-CN" w:bidi="ar"/>
        </w:rPr>
        <w:fldChar w:fldCharType="end"/>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7.2采购代理机构信息</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名  称：江苏苏咨工程咨询有限责任公司</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  址：南京市鼓楼区中山北路285号附楼（原江虞宾馆）3-4楼</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联系人：何仁杰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联系电话：025-83581356</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7.3项目联系方式</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项目联系人：何仁杰</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电话：025-83581356</w:t>
      </w:r>
      <w:r/>
    </w:p>
    <w:p>
      <w:pPr>
        <w:pStyle w:val="821"/>
        <w:rPr>
          <w:rFonts w:hint="eastAsia"/>
          <w:color w:val="auto"/>
          <w:highlight w:val="none"/>
        </w:rPr>
      </w:pPr>
      <w:r>
        <w:rPr>
          <w:rFonts w:hint="eastAsia"/>
          <w:color w:val="auto"/>
          <w:highlight w:val="none"/>
        </w:rPr>
      </w:r>
      <w:r/>
    </w:p>
    <w:p>
      <w:pPr>
        <w:pStyle w:val="821"/>
        <w:rPr>
          <w:rFonts w:hint="eastAsia"/>
          <w:color w:val="auto"/>
          <w:highlight w:val="none"/>
        </w:rPr>
      </w:pPr>
      <w:r>
        <w:rPr>
          <w:rFonts w:hint="eastAsia"/>
          <w:color w:val="auto"/>
          <w:highlight w:val="none"/>
        </w:rPr>
      </w:r>
      <w:r/>
    </w:p>
    <w:p>
      <w:pPr>
        <w:pStyle w:val="829"/>
        <w:ind w:left="0"/>
        <w:jc w:val="center"/>
        <w:keepLines w:val="0"/>
        <w:keepNext w:val="0"/>
        <w:pageBreakBefore w:val="0"/>
        <w:spacing w:line="360" w:lineRule="auto"/>
        <w:widowControl w:val="off"/>
        <w:tabs>
          <w:tab w:val="left" w:pos="463" w:leader="none"/>
        </w:tabs>
        <w:rPr>
          <w:rFonts w:hint="eastAsia" w:ascii="宋体" w:hAnsi="宋体" w:eastAsia="宋体" w:cs="宋体"/>
          <w:color w:val="auto"/>
          <w:sz w:val="36"/>
          <w:szCs w:val="36"/>
          <w:highlight w:val="none"/>
          <w:lang w:val="en-US"/>
        </w:rPr>
        <w:outlineLvl w:val="0"/>
      </w:pPr>
      <w:r/>
      <w:bookmarkStart w:id="56" w:name="_Toc120614211"/>
      <w:r>
        <w:rPr>
          <w:rFonts w:hint="eastAsia" w:ascii="方正小标宋简体" w:hAnsi="方正小标宋简体" w:eastAsia="方正小标宋简体" w:cs="方正小标宋简体"/>
          <w:color w:val="auto"/>
          <w:sz w:val="36"/>
          <w:szCs w:val="36"/>
          <w:highlight w:val="none"/>
          <w:lang w:val="en-US"/>
        </w:rPr>
        <w:br w:type="page" w:clear="all"/>
      </w:r>
      <w:bookmarkStart w:id="57" w:name="_Toc17999"/>
      <w:r/>
      <w:bookmarkStart w:id="58" w:name="_Toc719"/>
      <w:r>
        <w:rPr>
          <w:rFonts w:hint="eastAsia" w:ascii="宋体" w:hAnsi="宋体" w:eastAsia="宋体" w:cs="宋体"/>
          <w:b/>
          <w:bCs/>
          <w:color w:val="auto"/>
          <w:sz w:val="36"/>
          <w:szCs w:val="36"/>
          <w:highlight w:val="none"/>
          <w:lang w:val="en-US" w:eastAsia="zh-CN" w:bidi="ar-SA"/>
        </w:rPr>
        <w:t xml:space="preserve">第二章  </w:t>
      </w:r>
      <w:bookmarkEnd w:id="10"/>
      <w:r/>
      <w:bookmarkEnd w:id="11"/>
      <w:r/>
      <w:bookmarkEnd w:id="12"/>
      <w:r/>
      <w:bookmarkEnd w:id="13"/>
      <w:r/>
      <w:bookmarkEnd w:id="14"/>
      <w:r/>
      <w:bookmarkEnd w:id="56"/>
      <w:r/>
      <w:bookmarkStart w:id="59" w:name="_Toc120614213"/>
      <w:r/>
      <w:bookmarkStart w:id="60" w:name="_Toc513029202"/>
      <w:r/>
      <w:bookmarkStart w:id="61" w:name="_Toc20823274"/>
      <w:r/>
      <w:bookmarkStart w:id="62" w:name="_Toc16938518"/>
      <w:r>
        <w:rPr>
          <w:rFonts w:hint="eastAsia" w:ascii="宋体" w:hAnsi="宋体" w:eastAsia="宋体" w:cs="宋体"/>
          <w:b/>
          <w:bCs/>
          <w:color w:val="auto"/>
          <w:sz w:val="36"/>
          <w:szCs w:val="36"/>
          <w:highlight w:val="none"/>
          <w:lang w:val="en-US" w:eastAsia="zh-CN" w:bidi="ar-SA"/>
        </w:rPr>
        <w:t xml:space="preserve">供应商须知</w:t>
      </w:r>
      <w:bookmarkEnd w:id="57"/>
      <w:r/>
      <w:bookmarkEnd w:id="58"/>
      <w:r/>
      <w:bookmarkEnd w:id="59"/>
      <w:r/>
      <w:bookmarkEnd w:id="60"/>
      <w:r/>
      <w:bookmarkEnd w:id="61"/>
      <w:r/>
      <w:bookmarkEnd w:id="62"/>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bookmarkStart w:id="63" w:name="_Toc479757207"/>
      <w:r/>
      <w:bookmarkStart w:id="64" w:name="_Toc513029242"/>
      <w:r/>
      <w:bookmarkStart w:id="65" w:name="_Toc120614221"/>
      <w:r/>
      <w:bookmarkStart w:id="66" w:name="_Toc16938558"/>
      <w:r/>
      <w:bookmarkStart w:id="67" w:name="_Toc20823314"/>
      <w:r>
        <w:rPr>
          <w:rFonts w:ascii="宋体" w:hAnsi="宋体" w:eastAsia="宋体" w:cs="宋体"/>
          <w:b/>
          <w:color w:val="auto"/>
          <w:sz w:val="24"/>
          <w:highlight w:val="none"/>
        </w:rPr>
        <w:t xml:space="preserve">一、总则</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1、适用法律</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1.1《中华人民共和国政府采购法》、《中华人民共和国政府采购法实施条例》、《政府采购竞争性磋商采购方式管理暂行办法》等有关法律、规章和规定等。</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2、定义</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2.1“供应商”是指参加磋商竞争，并符合采购文件规定资格条件的法人、其他组织或者自然人。</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2.2“服务”指本磋商文件中所述服务。</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2.3“用户或使用单位”是指本项目采购人。</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3、政策功能</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3.1中小企业政策</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left="0" w:right="0" w:firstLine="480"/>
        <w:jc w:val="both"/>
        <w:keepLines w:val="0"/>
        <w:keepNext w:val="0"/>
        <w:pageBreakBefore w:val="0"/>
        <w:spacing w:before="0" w:after="0" w:line="360" w:lineRule="auto"/>
        <w:widowControl w:val="off"/>
        <w:rPr>
          <w:rFonts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（2）对于专门面向中小企业或小型、微型企业的项目，只面向中小企业或小型、微型企业采购。对于非专门面向中小企业的项目，对小</w:t>
      </w:r>
      <w:r>
        <w:rPr>
          <w:rFonts w:ascii="宋体" w:hAnsi="宋体" w:eastAsia="宋体" w:cs="宋体"/>
          <w:b w:val="0"/>
          <w:bCs w:val="0"/>
          <w:color w:val="auto"/>
          <w:sz w:val="24"/>
          <w:highlight w:val="none"/>
        </w:rPr>
        <w:t xml:space="preserve">型和微型企业提供的货物、承担的工程或服报价价格给予扣除，用扣除后的价格参与评审：投标供应商为小微企业，则给予投标价格10%的扣除，用扣除后的价格参与评审。</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（6）组成联合体的大中型企业和其他自然人、法人或者其他组织，与小型、微型企业之间不得存在投资关系；</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（7）供应商同时为小型、微型企业、监狱企业或残疾人福利性单位的，评审中只享受一次价格扣除。不重复进行价格扣除。</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（8）未按要求提供相关材料的，不享受相关政策。</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本项目归属行业为</w:t>
      </w:r>
      <w:r>
        <w:rPr>
          <w:rFonts w:hint="eastAsia" w:ascii="宋体" w:hAnsi="宋体"/>
          <w:b/>
          <w:bCs/>
          <w:color w:val="auto"/>
          <w:sz w:val="24"/>
          <w:highlight w:val="none"/>
        </w:rPr>
        <w:t xml:space="preserve">租赁和商务服务业</w:t>
      </w:r>
      <w:r>
        <w:rPr>
          <w:rFonts w:hint="eastAsia" w:ascii="宋体" w:hAnsi="宋体" w:eastAsia="宋体" w:cs="宋体"/>
          <w:b/>
          <w:bCs/>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3.2供应商信用信息查询</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（1）采购人或采购代理机构将在“信用中国”（www.creditchina.gov.cn）、“中国政府采购网”（www.ccgp.gov.cn）对供应商进行信用信息查询，并将网站查询有关记录留存（财库[2016]125号）。</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（2）供应商信用查询记录不符合</w:t>
      </w:r>
      <w:r>
        <w:rPr>
          <w:rFonts w:hint="eastAsia" w:ascii="宋体" w:hAnsi="宋体" w:cs="宋体"/>
          <w:color w:val="auto"/>
          <w:sz w:val="24"/>
          <w:highlight w:val="none"/>
          <w:lang w:eastAsia="zh-CN"/>
        </w:rPr>
        <w:t xml:space="preserve">磋商文件</w:t>
      </w:r>
      <w:r>
        <w:rPr>
          <w:rFonts w:ascii="宋体" w:hAnsi="宋体" w:eastAsia="宋体" w:cs="宋体"/>
          <w:color w:val="auto"/>
          <w:sz w:val="24"/>
          <w:highlight w:val="none"/>
        </w:rPr>
        <w:t xml:space="preserve">要求的，采购人或采购代理机构将依法拒绝供应商参加本次采购活动。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4、磋商费用</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4.1供应商应承担所有与准备和参加磋商有关的费用，无论采购结果如何，采购代理机构和采购人在任何情况下均无义务和责任承担这些费用。</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4.2本次采购代理服务费由成交供应商支付给采购代理机构，请供应商予以关注并核算到总报价中。具体收费标准如下：</w:t>
      </w:r>
      <w:r>
        <w:rPr>
          <w:rFonts w:hint="eastAsia" w:ascii="宋体" w:hAnsi="宋体" w:cs="宋体"/>
          <w:b/>
          <w:bCs w:val="0"/>
          <w:color w:val="auto"/>
          <w:sz w:val="24"/>
          <w:highlight w:val="none"/>
          <w:lang w:val="en-US" w:eastAsia="zh-CN"/>
        </w:rPr>
        <w:t xml:space="preserve">3000元/每采购包</w:t>
      </w:r>
      <w:r>
        <w:rPr>
          <w:rFonts w:ascii="宋体" w:hAnsi="宋体" w:eastAsia="宋体" w:cs="宋体"/>
          <w:b/>
          <w:bCs w:val="0"/>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4.3本次采购代理服务费在成交供应商领取成交通知书时结算。</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二、响应文件编制</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5、供应商应当按照磋商文件的要求编制响应文件，并对其提交的响应文件真实性、合法性承担法律责任。</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6、响应文件的语言、计量单位、货币和编制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w:t>
      </w:r>
      <w:r>
        <w:rPr>
          <w:rFonts w:ascii="宋体" w:hAnsi="宋体" w:eastAsia="宋体" w:cs="宋体"/>
          <w:b w:val="0"/>
          <w:bCs w:val="0"/>
          <w:color w:val="auto"/>
          <w:sz w:val="24"/>
          <w:highlight w:val="none"/>
        </w:rPr>
        <w:t xml:space="preserve">提交的响应文件、技术文件和资料，包括相关说明，以及供应商与采购代理机构就有关磋商的所有来往函电均应使用中文。响应文件中若有英文或其他语言文字的资料，应提供相应的中文翻译资料，否则不予认可。对不同文本响应文件的解释发生异议的，以中文文本为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6.2供应商所使用的计量单位应为国家法定计量单位。</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6.3供应商应用人民币报价。</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6.4响应文件应字迹清楚、内容齐全。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7、响应文件的组成</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（1）※磋商申请及声明；</w:t>
      </w:r>
      <w:r/>
    </w:p>
    <w:p>
      <w:pPr>
        <w:ind w:left="0" w:right="0" w:firstLine="482"/>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（2）※法定代表人授权委托书及委托代理人的身份证复印件； </w:t>
      </w:r>
      <w:r/>
    </w:p>
    <w:p>
      <w:pPr>
        <w:ind w:left="0" w:right="0" w:firstLine="482"/>
        <w:keepLines w:val="0"/>
        <w:keepNext w:val="0"/>
        <w:pageBreakBefore w:val="0"/>
        <w:spacing w:before="0" w:after="0" w:line="360" w:lineRule="auto"/>
        <w:shd w:val="clear" w:color="ffffff" w:fill="ffffff"/>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（3）不存在与参加本项目的其他供应商单位负责人为同一人或者存在直接控股、管理关系承诺；</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（4）※第一章竞争性磋商邀请中《中华人民共和国政府采购法》第二十二条规定的条件的证明文件；</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（5）※第一章竞争性磋商邀请中采购人根据采购项目的特殊要求规定的特定条件的证明文件</w:t>
      </w:r>
      <w:r>
        <w:rPr>
          <w:rFonts w:hint="eastAsia" w:ascii="宋体" w:hAnsi="宋体" w:cs="宋体"/>
          <w:b/>
          <w:bCs w:val="0"/>
          <w:color w:val="auto"/>
          <w:sz w:val="24"/>
          <w:highlight w:val="none"/>
          <w:lang w:eastAsia="zh-CN"/>
        </w:rPr>
        <w:t xml:space="preserve">（如有）</w:t>
      </w:r>
      <w:r>
        <w:rPr>
          <w:rFonts w:ascii="宋体" w:hAnsi="宋体" w:eastAsia="宋体" w:cs="宋体"/>
          <w:b/>
          <w:bCs w:val="0"/>
          <w:color w:val="auto"/>
          <w:sz w:val="24"/>
          <w:highlight w:val="none"/>
        </w:rPr>
        <w:t xml:space="preserve">； </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ascii="宋体" w:hAnsi="宋体" w:eastAsia="宋体" w:cs="宋体"/>
          <w:b w:val="0"/>
          <w:bCs/>
          <w:color w:val="auto"/>
          <w:sz w:val="24"/>
          <w:highlight w:val="none"/>
        </w:rPr>
        <w:t xml:space="preserve">）供应商认为需要提供的其他资格证明文件和商务资料；</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ascii="宋体" w:hAnsi="宋体" w:eastAsia="宋体" w:cs="宋体"/>
          <w:b w:val="0"/>
          <w:bCs/>
          <w:color w:val="auto"/>
          <w:sz w:val="24"/>
          <w:highlight w:val="none"/>
        </w:rPr>
        <w:t xml:space="preserve">）《商务条款偏离表》。</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7.3响应文件的技术部分。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其中加“※”项目不得有缺失或无效：</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（1）服务内容的详细说明；</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（2）项目实施方案；</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（3）验收标准、技术资料；</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（4）服务承诺；</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（5）供应商认为需要提供的其他技术资料等；</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7.4响应文件的价格部分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（1）价格部分是对服务价格构成的说明，磋商文件如没有特别说明的话，对每一项服务仅接受一个价格。</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（2）报价应包含完成本服务项目发生的所有含税费用、支付给员工的工资和国家强制缴纳的各种社会保障资金，以及供应商认为需要的其他费用等</w:t>
      </w:r>
      <w:r>
        <w:rPr>
          <w:rFonts w:ascii="宋体" w:hAnsi="宋体" w:eastAsia="宋体" w:cs="宋体"/>
          <w:b/>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（3）供应商应充分考虑到市场价格变动，以及项目实施过程中的不可预见因素，一旦成交，单价不变。如果有漏项，视同让利。</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（4）经磋商后，如果成交价高于或低于供应商在响应文件首次报价的，单价同比例调整。</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7.5响应文件的其他部分。其他部分由供应商根据编制响应文件需要提供的其他相关文件。</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8、磋商保证金</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8.1本项目不收取磋商保证金。</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三、响应文件签署与提交、撤回与修改</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9.供应商应当按照《操作手册》规定，在磋商公告规定的提交响应文件截止时间前制作并上传电子响应文件。</w:t>
      </w:r>
      <w:r/>
    </w:p>
    <w:p>
      <w:pPr>
        <w:ind w:left="0" w:right="0" w:firstLine="482"/>
        <w:jc w:val="both"/>
        <w:keepLines w:val="0"/>
        <w:keepNext w:val="0"/>
        <w:pageBreakBefore w:val="0"/>
        <w:spacing w:before="0" w:after="0" w:line="360" w:lineRule="auto"/>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10.供应商应充分考虑网络环境、网络带宽等因素可能对磋商产生的影响，如因供应商自身原因造成的电子响应文件上传不成功的，按无效响应文件处理。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11、有下列情形之一的响应文件将拒收：</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11.1列入失信被执行人、重大税收违法案件当事人名单、政府采购严重违法失信行为记录名单及其他失信记录的供应商；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11.2拒绝接收提交响应文件截止时间后上传的任何电子响应文件。</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 响应文件的撤回</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12.1供应商可在提交响应文件截止时间前撤回其电子响应文件，具体操作方法见《操作手册》。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供应商撤回电子响应文件，则认为其不再参与本项目磋商活动。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13.响应文件的修改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 供应商可在提交响应文件截止时间前对其电子响应文件进行修改，具体操作方法见《操作手册》。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13.2提交响应文件截止时间之后，供应商不得对其电子响应文件作任何修改。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13.3 在提交响应文件截止时间至磋商文件中规定的磋商有效期满之间的这段时间内，供应商不得撤回其响应文件。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14.采购代理机构可以按照规定，通过修改磋商文件酌情延长提交响应文件截止日期，在此情况下，供应商的所有权利和义务均以延长后新的截止日期为准。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四、</w:t>
      </w:r>
      <w:r>
        <w:rPr>
          <w:rFonts w:ascii="宋体" w:hAnsi="宋体" w:eastAsia="宋体" w:cs="宋体"/>
          <w:b/>
          <w:color w:val="auto"/>
          <w:sz w:val="24"/>
          <w:highlight w:val="none"/>
        </w:rPr>
        <w:t xml:space="preserve">联合体</w:t>
      </w:r>
      <w:r/>
    </w:p>
    <w:p>
      <w:pPr>
        <w:ind w:left="0" w:right="0" w:firstLine="482"/>
        <w:jc w:val="both"/>
        <w:keepLines w:val="0"/>
        <w:keepNext w:val="0"/>
        <w:pageBreakBefore w:val="0"/>
        <w:spacing w:before="0" w:after="0" w:line="360" w:lineRule="auto"/>
        <w:widowControl w:val="off"/>
        <w:rPr>
          <w:rFonts w:eastAsia="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15.本项目不接受联合体磋商。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五、响应文件的解密与评审</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16.响应文件解密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供应商应当按照《操作手册》规定，在苏采云系统规定的时间内对响应文件进行解密。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17.</w:t>
      </w:r>
      <w:r>
        <w:rPr>
          <w:rFonts w:ascii="宋体" w:hAnsi="宋体" w:eastAsia="宋体" w:cs="宋体"/>
          <w:b/>
          <w:color w:val="auto"/>
          <w:sz w:val="24"/>
          <w:highlight w:val="none"/>
        </w:rPr>
        <w:t xml:space="preserve">磋商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 采购代理机构将组织磋商小组对响应文件进行评审。</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 磋商小组由采购人代表和有关技术、经济等方面的专家组成，且人员构成符合政府采购有关规定。</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17.3 磋商小组独立工作，负责评审所有响应文件并推荐成交候选人，或根据采购人授权直接确定成交供应商。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18.评审过程的保密与公正</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18.1 磋商小组、采购人和采购代理机构工作人员、相关监督人员等与评审工作有关的人员，对评审情况以及在评审过程中获悉的国家秘密、商业秘密负有保密责任。</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18.2 供应商不得以任何方式影响磋商评审，否则其响应文件将被作为无效响应文件。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18.3 采购代理机构和磋商小组不向未成交的供应商解释未成交原因，也不公布评审过程中的相关细节。</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19</w:t>
      </w:r>
      <w:r>
        <w:rPr>
          <w:rFonts w:ascii="宋体" w:hAnsi="宋体" w:eastAsia="宋体" w:cs="宋体"/>
          <w:b/>
          <w:color w:val="auto"/>
          <w:sz w:val="24"/>
          <w:highlight w:val="none"/>
        </w:rPr>
        <w:t xml:space="preserve">.评审过程中的澄清</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19.1 项目评审期间，磋商小组有权要求供应商对响应文件中含义不明确、同类问题表述不一致或者有明显文字和计算错误的内容等作出必要的澄清、说明或者补正。</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供应商的澄清、说明或者补正不得超出响应文件的范围或者改变响应文件的实质性内容。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磋商小组并非对每个供应商都作澄清要求。</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19.3 接到磋商小组澄清、说明和补正要求的供应商如未按规定做出澄清、说明和补正，其风险由供应商自行承担。</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20</w:t>
      </w:r>
      <w:r>
        <w:rPr>
          <w:rFonts w:ascii="宋体" w:hAnsi="宋体" w:eastAsia="宋体" w:cs="宋体"/>
          <w:b/>
          <w:color w:val="auto"/>
          <w:sz w:val="24"/>
          <w:highlight w:val="none"/>
        </w:rPr>
        <w:t xml:space="preserve">.响应文件的审查</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响应文件审查分为资格审查和符合性审查。</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20.1资格审查。</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依据法律法规和磋商文件的规定，磋商小组对响应文件中的资格证明文件进行审查，以确定供应商是否具备参加磋商的资格。</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磋商小组进行资格审查时，将在“信用中国”网站（www.creditchina.gov.cn）、“中国政府采购网”网站（www.ccgp.gov.cn）查询供应商的信用记录，以确定供应商是否具备磋商资格,查询结果留存并归档。</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接受联合体的项目，联合体成员存在不良信用记录的，视同联合体存在不良信用记录。</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20.2符合性审查。</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依据磋商文件的规定，由磋商小组从有效性、完整性和对磋商文件的响应程度等方面对响应文件进行审查，以确定是否对磋商文件的实质性要求作出响应。</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20.3未通过资格审查或符合性审查的供应商，磋商小组将通过苏采云系统告知具体原因，评审结束后将不再接受有关询问。</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20.4在详细评审之前，磋商小组将首先审查每份响应文件是否实质性响应了磋商文件的要求。实质性响应的响应文件应该是与磋商文件要求的条款、条件和规格相符，没有重大偏离或保留的文件。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20.5</w:t>
      </w:r>
      <w:r>
        <w:rPr>
          <w:rFonts w:ascii="宋体" w:hAnsi="宋体" w:eastAsia="宋体" w:cs="宋体"/>
          <w:b/>
          <w:bCs/>
          <w:color w:val="auto"/>
          <w:sz w:val="24"/>
          <w:highlight w:val="none"/>
        </w:rPr>
        <w:t xml:space="preserve">响应文件属下列情形之一的，按照无效</w:t>
      </w:r>
      <w:r>
        <w:rPr>
          <w:rFonts w:hint="eastAsia" w:ascii="宋体" w:hAnsi="宋体" w:eastAsia="宋体" w:cs="宋体"/>
          <w:b/>
          <w:bCs/>
          <w:color w:val="auto"/>
          <w:sz w:val="24"/>
          <w:highlight w:val="none"/>
        </w:rPr>
        <w:t xml:space="preserve">响应</w:t>
      </w:r>
      <w:r>
        <w:rPr>
          <w:rFonts w:ascii="宋体" w:hAnsi="宋体" w:eastAsia="宋体" w:cs="宋体"/>
          <w:b/>
          <w:bCs/>
          <w:color w:val="auto"/>
          <w:sz w:val="24"/>
          <w:highlight w:val="none"/>
        </w:rPr>
        <w:t xml:space="preserve">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如果响应文件实质上没有响应竞争性磋商文件的要求，磋商小组将予以拒绝，供应商不得通过修改或撤销不合要求的偏离或保留而使其投标成为实质性响应的投标。</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供应商在苏采云系统规定的时间内未成功解密电子响应文件</w:t>
      </w:r>
      <w:r>
        <w:rPr>
          <w:rFonts w:ascii="宋体" w:hAnsi="宋体" w:eastAsia="宋体" w:cs="宋体"/>
          <w:b/>
          <w:bCs/>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68" w:name="OLE_LINK9"/>
      <w:r>
        <w:rPr>
          <w:rFonts w:hint="eastAsia" w:ascii="宋体" w:hAnsi="宋体" w:eastAsia="宋体" w:cs="宋体"/>
          <w:color w:val="auto"/>
          <w:sz w:val="24"/>
          <w:highlight w:val="none"/>
        </w:rPr>
        <w:t xml:space="preserve">（2</w:t>
      </w:r>
      <w:r>
        <w:rPr>
          <w:rFonts w:ascii="宋体" w:hAnsi="宋体" w:eastAsia="宋体" w:cs="宋体"/>
          <w:color w:val="auto"/>
          <w:sz w:val="24"/>
          <w:highlight w:val="none"/>
        </w:rPr>
        <w:t xml:space="preserve">）</w:t>
      </w:r>
      <w:bookmarkEnd w:id="68"/>
      <w:r>
        <w:rPr>
          <w:rFonts w:hint="eastAsia" w:ascii="宋体" w:hAnsi="宋体" w:eastAsia="宋体" w:cs="宋体"/>
          <w:color w:val="auto"/>
          <w:sz w:val="24"/>
          <w:highlight w:val="none"/>
        </w:rPr>
        <w:t xml:space="preserve">供应商未按照磋商文件要求上传电子响应文件；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响应文件未按照磋商文件要求加盖电子公章；</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同一供应商提交两个（含两个）以上不同的响应文件或者最后报价</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rPr>
          <w:rFonts w:ascii="宋体" w:hAnsi="宋体" w:eastAsia="宋体" w:cs="宋体"/>
          <w:color w:val="auto"/>
          <w:sz w:val="24"/>
          <w:highlight w:val="none"/>
        </w:rPr>
        <w:t xml:space="preserve">）不具备</w:t>
      </w:r>
      <w:r>
        <w:rPr>
          <w:rFonts w:hint="eastAsia" w:ascii="宋体" w:hAnsi="宋体" w:eastAsia="宋体" w:cs="宋体"/>
          <w:color w:val="auto"/>
          <w:sz w:val="24"/>
          <w:highlight w:val="none"/>
        </w:rPr>
        <w:t xml:space="preserve">竞争性磋商文件</w:t>
      </w:r>
      <w:r>
        <w:rPr>
          <w:rFonts w:ascii="宋体" w:hAnsi="宋体" w:eastAsia="宋体" w:cs="宋体"/>
          <w:color w:val="auto"/>
          <w:sz w:val="24"/>
          <w:highlight w:val="none"/>
        </w:rPr>
        <w:t xml:space="preserve">中规定资格要求的；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rPr>
          <w:rFonts w:ascii="宋体" w:hAnsi="宋体" w:eastAsia="宋体" w:cs="宋体"/>
          <w:color w:val="auto"/>
          <w:sz w:val="24"/>
          <w:highlight w:val="none"/>
        </w:rPr>
        <w:t xml:space="preserve">）投标总价超出采购项目预算或者最高限价的；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rPr>
          <w:rFonts w:ascii="宋体" w:hAnsi="宋体" w:eastAsia="宋体" w:cs="宋体"/>
          <w:color w:val="auto"/>
          <w:sz w:val="24"/>
          <w:highlight w:val="none"/>
        </w:rPr>
        <w:t xml:space="preserve">）不同供应商的响应文件由同一单位或者个人编制；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）不同供应商委托同一单位或者个人办理投标事宜；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（9）不同供应商的ip地址、MAC地址、标书制作工具客户端标识码一致的；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w:t>
      </w:r>
      <w:r>
        <w:rPr>
          <w:rFonts w:ascii="宋体" w:hAnsi="宋体" w:eastAsia="宋体" w:cs="宋体"/>
          <w:color w:val="auto"/>
          <w:sz w:val="24"/>
          <w:highlight w:val="none"/>
        </w:rPr>
        <w:t xml:space="preserve">）</w:t>
      </w:r>
      <w:bookmarkStart w:id="69" w:name="OLE_LINK7"/>
      <w:r>
        <w:rPr>
          <w:rFonts w:ascii="宋体" w:hAnsi="宋体" w:eastAsia="宋体" w:cs="宋体"/>
          <w:color w:val="auto"/>
          <w:sz w:val="24"/>
          <w:highlight w:val="none"/>
        </w:rPr>
        <w:t xml:space="preserve">不同供应商的响应文件载明的项目管理成员</w:t>
      </w:r>
      <w:r>
        <w:rPr>
          <w:rFonts w:hint="eastAsia" w:ascii="宋体" w:hAnsi="宋体" w:eastAsia="宋体" w:cs="宋体"/>
          <w:color w:val="auto"/>
          <w:sz w:val="24"/>
          <w:highlight w:val="none"/>
        </w:rPr>
        <w:t xml:space="preserve">或者联系人员为同一</w:t>
      </w:r>
      <w:r>
        <w:rPr>
          <w:rFonts w:ascii="宋体" w:hAnsi="宋体" w:eastAsia="宋体" w:cs="宋体"/>
          <w:color w:val="auto"/>
          <w:sz w:val="24"/>
          <w:highlight w:val="none"/>
        </w:rPr>
        <w:t xml:space="preserve">人</w:t>
      </w:r>
      <w:bookmarkEnd w:id="69"/>
      <w:r>
        <w:rPr>
          <w:rFonts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rPr>
          <w:rFonts w:ascii="宋体" w:hAnsi="宋体" w:eastAsia="宋体" w:cs="宋体"/>
          <w:color w:val="auto"/>
          <w:sz w:val="24"/>
          <w:highlight w:val="none"/>
        </w:rPr>
        <w:t xml:space="preserve">）不同供应商的响应文件异常一致或者投标报价呈规律性差异；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rPr>
          <w:rFonts w:ascii="宋体" w:hAnsi="宋体" w:eastAsia="宋体" w:cs="宋体"/>
          <w:color w:val="auto"/>
          <w:sz w:val="24"/>
          <w:highlight w:val="none"/>
        </w:rPr>
        <w:t xml:space="preserve">）不同供应商的负责人为同一人或者存在控股、管理关系的；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w:t>
      </w:r>
      <w:r>
        <w:rPr>
          <w:rFonts w:ascii="宋体" w:hAnsi="宋体" w:eastAsia="宋体" w:cs="宋体"/>
          <w:color w:val="auto"/>
          <w:sz w:val="24"/>
          <w:highlight w:val="none"/>
        </w:rPr>
        <w:t xml:space="preserve">）响应文件含有采购人不能接受的附加条件的；</w:t>
      </w:r>
      <w:r/>
    </w:p>
    <w:p>
      <w:pPr>
        <w:ind w:left="0" w:right="0" w:firstLine="480"/>
        <w:jc w:val="both"/>
        <w:keepLines w:val="0"/>
        <w:keepNext w:val="0"/>
        <w:pageBreakBefore w:val="0"/>
        <w:spacing w:before="0" w:after="0" w:line="360" w:lineRule="auto"/>
        <w:widowControl w:val="off"/>
        <w:rPr>
          <w:rFonts w:hint="eastAsia" w:cs="Times New Roman" w:asciiTheme="majorEastAsia" w:hAnsiTheme="majorEastAsia" w:eastAsia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rPr>
          <w:rFonts w:ascii="宋体" w:hAnsi="宋体" w:eastAsia="宋体" w:cs="宋体"/>
          <w:color w:val="auto"/>
          <w:sz w:val="24"/>
          <w:highlight w:val="none"/>
        </w:rPr>
        <w:t xml:space="preserve">）不符合法律、法规和</w:t>
      </w:r>
      <w:r>
        <w:rPr>
          <w:rFonts w:hint="eastAsia" w:ascii="宋体" w:hAnsi="宋体" w:eastAsia="宋体" w:cs="宋体"/>
          <w:color w:val="auto"/>
          <w:sz w:val="24"/>
          <w:highlight w:val="none"/>
        </w:rPr>
        <w:t xml:space="preserve">竞争性磋商文件</w:t>
      </w:r>
      <w:r>
        <w:rPr>
          <w:rFonts w:ascii="宋体" w:hAnsi="宋体" w:eastAsia="宋体" w:cs="宋体"/>
          <w:color w:val="auto"/>
          <w:sz w:val="24"/>
          <w:highlight w:val="none"/>
        </w:rPr>
        <w:t xml:space="preserve">规定的其他实质性要求的</w:t>
      </w:r>
      <w:r>
        <w:rPr>
          <w:rFonts w:hint="eastAsia" w:ascii="宋体" w:hAnsi="宋体" w:eastAsia="宋体" w:cs="宋体"/>
          <w:color w:val="auto"/>
          <w:sz w:val="24"/>
          <w:highlight w:val="none"/>
          <w:lang w:val="zh-CN"/>
        </w:rPr>
        <w:t xml:space="preserve">。</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20.6如果响应文件实质上没有响应磋商文件的要求，磋商小组将予以拒绝，供应商不得通过修改或撤销不合要求的偏离或保留而使其成为实质性响应的文件。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w:t>
      </w:r>
      <w:r>
        <w:rPr>
          <w:rFonts w:ascii="宋体" w:hAnsi="宋体" w:eastAsia="宋体" w:cs="宋体"/>
          <w:color w:val="auto"/>
          <w:sz w:val="24"/>
          <w:highlight w:val="none"/>
        </w:rPr>
        <w:t xml:space="preserve">0.7 供应商在项目评审全过程中应保持通讯畅通，及时登录苏采云系统查阅、答复相关信息，并安排专人与采购代理机构及磋商小组联系。</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21.磋商程序及评审方法和评审标准</w:t>
      </w:r>
      <w:r/>
    </w:p>
    <w:p>
      <w:pPr>
        <w:numPr>
          <w:ilvl w:val="0"/>
          <w:numId w:val="0"/>
        </w:numPr>
        <w:ind w:lef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21.1 磋商程序</w:t>
      </w:r>
      <w:r/>
    </w:p>
    <w:p>
      <w:pPr>
        <w:numPr>
          <w:ilvl w:val="0"/>
          <w:numId w:val="0"/>
        </w:numPr>
        <w:ind w:lef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(1)磋商小组将与通过资格审查和符合性审查的供应商分别进行磋商。磋商小组通过苏采云系统向供应商</w:t>
      </w:r>
      <w:r>
        <w:rPr>
          <w:rFonts w:ascii="宋体" w:hAnsi="宋体" w:eastAsia="宋体" w:cs="宋体"/>
          <w:color w:val="auto"/>
          <w:sz w:val="24"/>
          <w:highlight w:val="none"/>
        </w:rPr>
        <w:t xml:space="preserve">发出《磋商函》，供应商应当按照要求在苏采云系统提交《磋商响应函》并加盖电子公章。</w:t>
      </w:r>
      <w:r/>
    </w:p>
    <w:p>
      <w:pPr>
        <w:numPr>
          <w:ilvl w:val="0"/>
          <w:numId w:val="0"/>
        </w:numPr>
        <w:ind w:lef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)磋商文件能</w:t>
      </w:r>
      <w:r>
        <w:rPr>
          <w:rFonts w:ascii="宋体" w:hAnsi="宋体" w:eastAsia="宋体" w:cs="宋体"/>
          <w:color w:val="auto"/>
          <w:sz w:val="24"/>
          <w:highlight w:val="none"/>
        </w:rPr>
        <w:t xml:space="preserve">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numPr>
          <w:ilvl w:val="0"/>
          <w:numId w:val="0"/>
        </w:numPr>
        <w:ind w:lef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苏采云系统中向其发出《最后报价要求函》及最后报价格</w:t>
      </w:r>
      <w:r>
        <w:rPr>
          <w:rFonts w:hint="default" w:ascii="宋体" w:hAnsi="宋体" w:eastAsia="宋体" w:cs="宋体"/>
          <w:color w:val="auto"/>
          <w:sz w:val="24"/>
          <w:highlight w:val="none"/>
          <w:lang w:val="en-US" w:eastAsia="zh-CN"/>
        </w:rPr>
        <w:t xml:space="preserve">式表，要求其在规定时间内提交最后报价。</w:t>
      </w:r>
      <w:r/>
    </w:p>
    <w:p>
      <w:pPr>
        <w:numPr>
          <w:ilvl w:val="0"/>
          <w:numId w:val="0"/>
        </w:numPr>
        <w:ind w:lef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numPr>
          <w:ilvl w:val="0"/>
          <w:numId w:val="0"/>
        </w:numPr>
        <w:ind w:left="0" w:firstLine="482"/>
        <w:jc w:val="both"/>
        <w:keepLines w:val="0"/>
        <w:keepNext w:val="0"/>
        <w:pageBreakBefore w:val="0"/>
        <w:spacing w:before="0" w:after="0"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5</w:t>
      </w:r>
      <w:r>
        <w:rPr>
          <w:rFonts w:hint="default" w:ascii="宋体" w:hAnsi="宋体" w:eastAsia="宋体" w:cs="宋体"/>
          <w:b/>
          <w:bCs/>
          <w:color w:val="auto"/>
          <w:sz w:val="24"/>
          <w:highlight w:val="none"/>
          <w:lang w:val="en-US" w:eastAsia="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21.2 评审方法和评审标准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评审方法。</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（2）评审标准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见本磋商文件。</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（3）采购活动终止</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出现下列情形之一的，本次采购活动将被终止：</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1）因情况变化，不再符合竞争性磋商采购方式适用情形。</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2）出现影响采购公正的违法、违规行为。</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3）在苏采云系统规定时间内成功解密电子响应文件的供应商不足3家。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4）除本磋商文件第二章第21.1（5）条第三款规定的情形外，磋商过程中符合要求的供应商或者提交最后报价且未超过采购预算（最高限价）的供应商不足3家。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5）法律法规规定的其他应当终止情形。</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22、确定成交候选供应商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22.1 成交候选供应商的确定原则和数量见磋商文件第三章。</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22.2 按以下第（</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）种方式确定成交供应商</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（1）磋商小组直接确定排名第一的成交候选供应商为成交供应商；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（2）采购人在磋商小组推荐的成交候选供应商中按顺序确定成交供应商。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22.3采购代理机构将在江苏政府采购网（http://www.ccgp-jiangsu.gov.cn）发布成交结果公告，公告期限为1个工作日。</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22.4 若有充分证据证明成交供应商有下列情况之一的，一经查实将被取消成交资格：</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提供虚假材料谋取成交。</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与评审专家、采购人、其他供应商或者采购代理机构工作人员恶意串通。</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向评审专家、采购人或采购代理机构工作人员行贿或者提供其他不正当利益。</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不满足本磋商文件规定的实质性要求，但在评审过程中未被磋商小组发现。</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成交后无正当理由拒不与采购人签订政府采购合同或者未按照磋商文件确定的事项签订政府采购合同。</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将合同标的转包。</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23.成交通知书</w:t>
      </w:r>
      <w:r/>
    </w:p>
    <w:p>
      <w:pPr>
        <w:ind w:left="0" w:right="0" w:firstLine="480"/>
        <w:jc w:val="both"/>
        <w:keepLines w:val="0"/>
        <w:keepNext w:val="0"/>
        <w:pageBreakBefore w:val="0"/>
        <w:spacing w:before="0" w:after="0" w:line="360" w:lineRule="auto"/>
        <w:widowControl w:val="off"/>
        <w:rPr>
          <w:rFonts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23.1 成交结果确定后，采购代理机构将向成交供应商发出《成交通知书》。成交供应商应在3工作日内</w:t>
      </w:r>
      <w:r>
        <w:rPr>
          <w:rFonts w:hint="eastAsia" w:ascii="宋体" w:hAnsi="宋体" w:cs="宋体"/>
          <w:b w:val="0"/>
          <w:bCs w:val="0"/>
          <w:color w:val="auto"/>
          <w:sz w:val="24"/>
          <w:highlight w:val="none"/>
          <w:lang w:eastAsia="zh-CN"/>
        </w:rPr>
        <w:t xml:space="preserve">前往</w:t>
      </w:r>
      <w:r>
        <w:rPr>
          <w:rFonts w:ascii="宋体" w:hAnsi="宋体" w:eastAsia="宋体" w:cs="宋体"/>
          <w:b w:val="0"/>
          <w:bCs w:val="0"/>
          <w:color w:val="auto"/>
          <w:sz w:val="24"/>
          <w:highlight w:val="none"/>
        </w:rPr>
        <w:t xml:space="preserve">采购代理机构</w:t>
      </w:r>
      <w:r>
        <w:rPr>
          <w:rFonts w:hint="eastAsia" w:ascii="宋体" w:hAnsi="宋体" w:cs="宋体"/>
          <w:b w:val="0"/>
          <w:bCs w:val="0"/>
          <w:color w:val="auto"/>
          <w:sz w:val="24"/>
          <w:highlight w:val="none"/>
          <w:lang w:eastAsia="zh-CN"/>
        </w:rPr>
        <w:t xml:space="preserve">领取</w:t>
      </w:r>
      <w:r>
        <w:rPr>
          <w:rFonts w:ascii="宋体" w:hAnsi="宋体" w:eastAsia="宋体" w:cs="宋体"/>
          <w:b w:val="0"/>
          <w:bCs w:val="0"/>
          <w:color w:val="auto"/>
          <w:sz w:val="24"/>
          <w:highlight w:val="none"/>
        </w:rPr>
        <w:t xml:space="preserve">成交通知书。</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24、签订合同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24.1成交供应商应当自成交通知书发出之日起三十日内，与采购人签订政府采购合同，所签订的合同不得对磋商文件和响应文件作实质性修改。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24.2采购人不得向成交供应商提出任何不合理的要求作为签订合同的条件，不得与成交供应商私下订立背离合同实质性内容的协议。</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24.3除不可抗力等因素外，成交通知书发出后，采购人改变成交结果，或者成交供应商拒绝签订政府采购合同的，应当承担相应的法律责任。</w:t>
      </w:r>
      <w:r/>
    </w:p>
    <w:p>
      <w:pPr>
        <w:ind w:left="0" w:right="0" w:firstLine="480"/>
        <w:jc w:val="both"/>
        <w:keepLines w:val="0"/>
        <w:keepNext w:val="0"/>
        <w:pageBreakBefore w:val="0"/>
        <w:spacing w:before="0" w:after="0" w:line="360" w:lineRule="auto"/>
        <w:shd w:val="clear" w:color="ffffff" w:fill="ffffff"/>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24.4成交供应商除发生法律规定的不能预见、不能避免并不能克服的客观情况外不得放弃或拒绝签订合同的。放弃或拒绝签订合同的，财政部门视情将其列入不良行为名单，在一至三年内禁止参加政府采购活动，并予以通报。</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六、询问、质疑、投诉和诚实信用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25、询问</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25.1供应商对采购活动事项有疑问的，可以依法向采购代理机构或采购人提出询问（口头或书面），采购人或者采购代理机构在三个工作日内对供应商依法提出的询问作出答复，但答复的内容不涉及商业秘密。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26、质疑</w:t>
      </w:r>
      <w:r/>
    </w:p>
    <w:p>
      <w:pPr>
        <w:ind w:left="0" w:right="0" w:firstLine="480"/>
        <w:jc w:val="both"/>
        <w:keepLines w:val="0"/>
        <w:keepNext w:val="0"/>
        <w:pageBreakBefore w:val="0"/>
        <w:spacing w:before="0" w:after="0" w:line="360" w:lineRule="auto"/>
        <w:shd w:val="clear" w:color="ffffff" w:fill="ffffff"/>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26.1供应商认为采购文件、采购过程和成交结果使自己的合法权益受到损害的，可以在知道或者应当知道其权益受到损害之日起七个工作日内，将书面质疑文件原件送达采购代理机构。</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26.2 供应商的质疑行为应符合《政府采购质疑和投诉办法》（财政部令第 94 号）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相关规定，提出质疑的供应商应当是参与项目投标活动的供应商，潜在供应商已依法获取磋商文件的，可以对磋商文件提出质疑。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26.3 供应商应知其权益受到损害之日，是指：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（1）对磋商文件提出质疑的，自获取磋商文件或磋商公告期限届满之日起计算；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（2）对磋商过程提出质疑的，自磋商各程序环节结束之日起计算；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（3）对成交结果提出质疑的，自成交结果公告期限届满之日起计算。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26.4供应商应在法定质疑期内一次性提出针对同一采购程序环节的质疑。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26.5 供应商提出质疑应当提交质疑函和必要的证明材料。质疑函应当包括下列内容：</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（1）供应商的姓名或者名称、地址、邮编、联系人及联系电话；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（2）质疑项目的名称、编号；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（3）具体、明确的质疑事项和与质疑事项相关的请求；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（4）事实依据；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（5）必要的法律依据；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（6）提出质疑的日期；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（7）供应商为自然人</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应当由本人签字；供应商为法人或者其他组织的，应当由法定代表人、主要负责人或者其授权代表签字或者盖章</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并加盖公章。委托代理人提出质疑</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应当提交供应商签署的授权委托书。其授权委托书应当载明委托代理人的姓名或者名称、代理事项、具体权限、期限和相关事项。 </w:t>
      </w:r>
      <w:r/>
    </w:p>
    <w:p>
      <w:pPr>
        <w:ind w:left="0" w:right="0" w:firstLine="480"/>
        <w:jc w:val="both"/>
        <w:keepLines w:val="0"/>
        <w:keepNext w:val="0"/>
        <w:pageBreakBefore w:val="0"/>
        <w:spacing w:before="0" w:after="0" w:line="360" w:lineRule="auto"/>
        <w:shd w:val="clear" w:color="ffffff" w:fill="ffffff"/>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26.6 供应商不得虚假质疑和恶意质疑，并对质疑内容的真实性承担责任。供应商或者其他利害关系人通过捏造事实、伪造证明材料等方式提出异议或投诉，阻碍磋商活动正常进行的，属于严重不良行为，采购代理机构将提请财政部门将其列入不良行为记录名单，并依法予以处罚。</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26.7采购代理机构在收到供应商的书面质疑后将及时组织调查核实，在七个工作日内作出答复，并以书面或电子邮件形式通知质疑供应商和其他有关供应商，答复的内容不涉及商业秘密。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27、投诉</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27.1质疑供应商对采购人、采购代理机构的答复不满意或者采购人、采购代理机构未在规定的时间内作出答复的，可以在答复期满后十五个工作日内向同级政府采购监督管理部门投诉。</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28、诚实信用</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28.1供应商之间不得相互串通报价，不得妨碍其他供应商的公平竞争，不得损害采购人和其他供应商的合法权益。</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28.3供应商不得虚假承诺，否则，按照提供虚假材料谋取成交处理。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left="0" w:right="0" w:firstLine="482"/>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29、违反信用承诺的法律责任</w:t>
      </w:r>
      <w:r/>
    </w:p>
    <w:p>
      <w:pPr>
        <w:ind w:left="0" w:right="0" w:firstLine="480"/>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29.1供应商应对其</w:t>
      </w:r>
      <w:r>
        <w:rPr>
          <w:rFonts w:hint="eastAsia" w:ascii="宋体" w:hAnsi="宋体" w:cs="宋体"/>
          <w:b w:val="0"/>
          <w:bCs/>
          <w:color w:val="auto"/>
          <w:sz w:val="24"/>
          <w:highlight w:val="none"/>
          <w:lang w:eastAsia="zh-CN"/>
        </w:rPr>
        <w:t xml:space="preserve">提供响应文件</w:t>
      </w:r>
      <w:r>
        <w:rPr>
          <w:rFonts w:ascii="宋体" w:hAnsi="宋体" w:eastAsia="宋体" w:cs="宋体"/>
          <w:b w:val="0"/>
          <w:bCs/>
          <w:color w:val="auto"/>
          <w:sz w:val="24"/>
          <w:highlight w:val="none"/>
        </w:rPr>
        <w:t xml:space="preserve">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r/>
    </w:p>
    <w:p>
      <w:pPr>
        <w:ind w:left="0"/>
        <w:jc w:val="center"/>
        <w:keepLines w:val="0"/>
        <w:keepNext w:val="0"/>
        <w:pageBreakBefore w:val="0"/>
        <w:widowControl w:val="off"/>
        <w:rPr>
          <w:rFonts w:hint="eastAsia" w:ascii="宋体" w:hAnsi="宋体" w:eastAsia="宋体" w:cs="宋体"/>
          <w:color w:val="auto"/>
          <w:sz w:val="36"/>
          <w:szCs w:val="36"/>
          <w:highlight w:val="none"/>
          <w:lang w:val="en-US" w:eastAsia="zh-CN" w:bidi="ar-SA"/>
        </w:rPr>
        <w:outlineLvl w:val="0"/>
      </w:pPr>
      <w:r/>
      <w:bookmarkStart w:id="70" w:name="_Toc10277"/>
      <w:r>
        <w:rPr>
          <w:rFonts w:hint="eastAsia" w:ascii="宋体" w:hAnsi="宋体" w:eastAsia="宋体" w:cs="宋体"/>
          <w:color w:val="auto"/>
          <w:sz w:val="36"/>
          <w:szCs w:val="36"/>
          <w:highlight w:val="none"/>
          <w:lang w:val="en-US" w:eastAsia="zh-CN" w:bidi="ar-SA"/>
        </w:rPr>
        <w:br w:type="page" w:clear="all"/>
      </w:r>
      <w:r/>
    </w:p>
    <w:p>
      <w:pPr>
        <w:pStyle w:val="829"/>
        <w:ind w:left="0"/>
        <w:jc w:val="center"/>
        <w:keepLines w:val="0"/>
        <w:keepNext w:val="0"/>
        <w:pageBreakBefore w:val="0"/>
        <w:widowControl w:val="off"/>
        <w:tabs>
          <w:tab w:val="left" w:pos="463" w:leader="none"/>
        </w:tabs>
        <w:rPr>
          <w:rFonts w:hint="eastAsia" w:ascii="方正小标宋简体" w:hAnsi="方正小标宋简体" w:eastAsia="方正小标宋简体" w:cs="方正小标宋简体"/>
          <w:b/>
          <w:bCs/>
          <w:color w:val="auto"/>
          <w:sz w:val="36"/>
          <w:szCs w:val="36"/>
          <w:highlight w:val="none"/>
          <w:lang w:val="en-US"/>
        </w:rPr>
        <w:outlineLvl w:val="0"/>
      </w:pPr>
      <w:r/>
      <w:bookmarkStart w:id="71" w:name="_Toc14629"/>
      <w:r>
        <w:rPr>
          <w:rFonts w:hint="eastAsia" w:ascii="宋体" w:hAnsi="宋体" w:eastAsia="宋体" w:cs="宋体"/>
          <w:b/>
          <w:bCs/>
          <w:color w:val="auto"/>
          <w:sz w:val="36"/>
          <w:szCs w:val="36"/>
          <w:highlight w:val="none"/>
          <w:lang w:val="en-US" w:eastAsia="zh-CN" w:bidi="ar-SA"/>
        </w:rPr>
        <w:t xml:space="preserve">第三章  </w:t>
      </w:r>
      <w:bookmarkEnd w:id="63"/>
      <w:r/>
      <w:bookmarkEnd w:id="64"/>
      <w:r/>
      <w:bookmarkEnd w:id="65"/>
      <w:r/>
      <w:bookmarkEnd w:id="66"/>
      <w:r/>
      <w:bookmarkEnd w:id="67"/>
      <w:r>
        <w:rPr>
          <w:rFonts w:hint="eastAsia" w:ascii="宋体" w:hAnsi="宋体" w:eastAsia="宋体" w:cs="宋体"/>
          <w:b/>
          <w:bCs/>
          <w:color w:val="auto"/>
          <w:sz w:val="36"/>
          <w:szCs w:val="36"/>
          <w:highlight w:val="none"/>
          <w:lang w:val="en-US" w:eastAsia="zh-CN" w:bidi="ar-SA"/>
        </w:rPr>
        <w:t xml:space="preserve">合同条款及格式</w:t>
      </w:r>
      <w:bookmarkEnd w:id="70"/>
      <w:r/>
      <w:bookmarkEnd w:id="71"/>
      <w:r/>
      <w:r/>
    </w:p>
    <w:p>
      <w:pPr>
        <w:spacing w:line="360" w:lineRule="auto"/>
        <w:rPr>
          <w:rFonts w:hint="eastAsia" w:ascii="宋体" w:hAnsi="宋体" w:eastAsia="宋体" w:cs="宋体"/>
          <w:b/>
          <w:bCs/>
          <w:color w:val="auto"/>
          <w:sz w:val="24"/>
          <w:szCs w:val="24"/>
          <w:highlight w:val="none"/>
          <w:lang w:val="en-US" w:eastAsia="zh-CN"/>
        </w:rPr>
      </w:pPr>
      <w:r/>
      <w:bookmarkStart w:id="72" w:name="_Hlt16619350"/>
      <w:r/>
      <w:bookmarkStart w:id="73" w:name="_Toc120614244"/>
      <w:r/>
      <w:bookmarkStart w:id="74" w:name="_Toc16938590"/>
      <w:r/>
      <w:bookmarkStart w:id="75" w:name="_Toc20823346"/>
      <w:r/>
      <w:bookmarkStart w:id="76" w:name="_Toc31632"/>
      <w:r/>
      <w:bookmarkStart w:id="77" w:name="_Toc462564139"/>
      <w:r/>
      <w:bookmarkStart w:id="78" w:name="_Toc479757211"/>
      <w:r/>
      <w:r/>
    </w:p>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政府采购合同范本（</w:t>
      </w:r>
      <w:r>
        <w:rPr>
          <w:rFonts w:hint="eastAsia" w:ascii="宋体" w:hAnsi="宋体" w:eastAsia="宋体" w:cs="宋体"/>
          <w:b/>
          <w:bCs/>
          <w:color w:val="auto"/>
          <w:sz w:val="24"/>
          <w:szCs w:val="24"/>
          <w:highlight w:val="none"/>
        </w:rPr>
        <w:t xml:space="preserve">服务类</w:t>
      </w:r>
      <w:r>
        <w:rPr>
          <w:rFonts w:hint="eastAsia" w:ascii="宋体" w:hAnsi="宋体" w:eastAsia="宋体" w:cs="宋体"/>
          <w:b/>
          <w:bCs/>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合同编号：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甲方（采购人）：</w:t>
      </w:r>
      <w:r>
        <w:rPr>
          <w:rFonts w:hint="eastAsia" w:ascii="宋体" w:hAnsi="宋体" w:eastAsia="宋体" w:cs="宋体"/>
          <w:color w:val="auto"/>
          <w:sz w:val="24"/>
          <w:szCs w:val="24"/>
          <w:highlight w:val="none"/>
          <w:u w:val="single"/>
          <w:lang w:val="zh-CN"/>
        </w:rPr>
        <w:t xml:space="preserve">                    </w:t>
      </w:r>
      <w:r/>
    </w:p>
    <w:p>
      <w:pPr>
        <w:ind w:firstLine="480"/>
        <w:spacing w:line="360" w:lineRule="auto"/>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住所地：</w:t>
      </w:r>
      <w:r>
        <w:rPr>
          <w:rFonts w:hint="eastAsia" w:ascii="宋体" w:hAnsi="宋体" w:eastAsia="宋体" w:cs="宋体"/>
          <w:color w:val="auto"/>
          <w:sz w:val="24"/>
          <w:szCs w:val="24"/>
          <w:highlight w:val="none"/>
          <w:u w:val="single"/>
          <w:lang w:val="zh-CN"/>
        </w:rPr>
        <w:t xml:space="preserve">                           </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zh-CN"/>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住所地：</w:t>
      </w:r>
      <w:r>
        <w:rPr>
          <w:rFonts w:hint="eastAsia" w:ascii="宋体" w:hAnsi="宋体" w:eastAsia="宋体" w:cs="宋体"/>
          <w:color w:val="auto"/>
          <w:sz w:val="24"/>
          <w:szCs w:val="24"/>
          <w:highlight w:val="none"/>
          <w:u w:val="single"/>
          <w:lang w:val="zh-CN"/>
        </w:rPr>
        <w:t xml:space="preserve">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zh-CN"/>
        </w:rPr>
        <w:t xml:space="preserve">乙</w:t>
      </w:r>
      <w:r>
        <w:rPr>
          <w:rFonts w:hint="eastAsia" w:ascii="宋体" w:hAnsi="宋体" w:eastAsia="宋体" w:cs="宋体"/>
          <w:color w:val="auto"/>
          <w:sz w:val="24"/>
          <w:szCs w:val="24"/>
          <w:highlight w:val="none"/>
        </w:rPr>
        <w:t xml:space="preserve">双方根据</w:t>
      </w:r>
      <w:r>
        <w:rPr>
          <w:rFonts w:hint="eastAsia" w:ascii="宋体" w:hAnsi="宋体" w:eastAsia="宋体" w:cs="宋体"/>
          <w:color w:val="auto"/>
          <w:sz w:val="24"/>
          <w:szCs w:val="24"/>
          <w:highlight w:val="none"/>
          <w:u w:val="single"/>
          <w:lang w:val="zh-CN"/>
        </w:rPr>
        <w:t xml:space="preserve"> （采购人或者代理机构） </w:t>
      </w:r>
      <w:r>
        <w:rPr>
          <w:rFonts w:hint="eastAsia" w:ascii="宋体" w:hAnsi="宋体" w:eastAsia="宋体" w:cs="宋体"/>
          <w:color w:val="auto"/>
          <w:sz w:val="24"/>
          <w:szCs w:val="24"/>
          <w:highlight w:val="none"/>
          <w:lang w:val="zh-CN"/>
        </w:rPr>
        <w:t xml:space="preserve">组织的“ </w:t>
      </w:r>
      <w:r>
        <w:rPr>
          <w:rFonts w:hint="eastAsia" w:ascii="宋体" w:hAnsi="宋体" w:eastAsia="宋体" w:cs="宋体"/>
          <w:color w:val="auto"/>
          <w:sz w:val="24"/>
          <w:szCs w:val="24"/>
          <w:highlight w:val="none"/>
          <w:u w:val="single"/>
          <w:lang w:val="zh-CN"/>
        </w:rPr>
        <w:t xml:space="preserve"> （项目名称及项目编号）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的采购结果</w:t>
      </w:r>
      <w:r>
        <w:rPr>
          <w:rFonts w:hint="eastAsia" w:ascii="宋体" w:hAnsi="宋体" w:eastAsia="宋体" w:cs="宋体"/>
          <w:color w:val="auto"/>
          <w:sz w:val="24"/>
          <w:szCs w:val="24"/>
          <w:highlight w:val="none"/>
          <w:lang w:val="zh-CN"/>
        </w:rPr>
        <w:t xml:space="preserve">及</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zh-CN"/>
        </w:rPr>
        <w:t xml:space="preserve">文件规定条款</w:t>
      </w:r>
      <w:r>
        <w:rPr>
          <w:rFonts w:hint="eastAsia" w:ascii="宋体" w:hAnsi="宋体" w:eastAsia="宋体" w:cs="宋体"/>
          <w:color w:val="auto"/>
          <w:sz w:val="24"/>
          <w:szCs w:val="24"/>
          <w:highlight w:val="none"/>
        </w:rPr>
        <w:t xml:space="preserve">与乙方</w:t>
      </w:r>
      <w:r>
        <w:rPr>
          <w:rFonts w:hint="eastAsia" w:ascii="宋体" w:hAnsi="宋体" w:eastAsia="宋体" w:cs="宋体"/>
          <w:color w:val="auto"/>
          <w:sz w:val="24"/>
          <w:szCs w:val="24"/>
          <w:highlight w:val="none"/>
          <w:lang w:val="zh-CN"/>
        </w:rPr>
        <w:t xml:space="preserve">承诺，</w:t>
      </w: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val="zh-CN"/>
        </w:rPr>
        <w:t xml:space="preserve">《中华人民共和国民法典》《中华人民共和国政府采购法》</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zh-CN"/>
        </w:rPr>
        <w:t xml:space="preserve">相关法律法规</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规定，经甲乙双方协商一致，签订本合同。</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79" w:name="_Toc29982"/>
      <w:r>
        <w:rPr>
          <w:rFonts w:hint="eastAsia" w:ascii="宋体" w:hAnsi="宋体" w:eastAsia="宋体" w:cs="宋体"/>
          <w:b/>
          <w:bCs/>
          <w:color w:val="auto"/>
          <w:sz w:val="24"/>
          <w:szCs w:val="24"/>
          <w:highlight w:val="none"/>
          <w:lang w:val="zh-CN"/>
        </w:rPr>
        <w:t xml:space="preserve">第一条 服务内容及要求</w:t>
      </w:r>
      <w:bookmarkEnd w:id="79"/>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1.服务名称：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2.服务内容：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3.服务时间：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4.服务标准：详见采购文件及响应文件，以标准高者（严格者）为准。</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5.提供服务的地点：</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6.提供服务的形式：</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0" w:name="_Toc22257"/>
      <w:r>
        <w:rPr>
          <w:rFonts w:hint="eastAsia" w:ascii="宋体" w:hAnsi="宋体" w:eastAsia="宋体" w:cs="宋体"/>
          <w:b/>
          <w:bCs/>
          <w:color w:val="auto"/>
          <w:sz w:val="24"/>
          <w:szCs w:val="24"/>
          <w:highlight w:val="none"/>
          <w:lang w:val="zh-CN"/>
        </w:rPr>
        <w:t xml:space="preserve">第二条 合同总价款</w:t>
      </w:r>
      <w:bookmarkEnd w:id="80"/>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本合同项下服务总价款（含税）为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zh-CN"/>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（大写）人民币，分项价款在“分项报价表”中有明确规定。</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甲方就本合同不再向乙方支付任何其他款项。 </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1" w:name="_Toc13996"/>
      <w:r>
        <w:rPr>
          <w:rFonts w:hint="eastAsia" w:ascii="宋体" w:hAnsi="宋体" w:eastAsia="宋体" w:cs="宋体"/>
          <w:b/>
          <w:bCs/>
          <w:color w:val="auto"/>
          <w:sz w:val="24"/>
          <w:szCs w:val="24"/>
          <w:highlight w:val="none"/>
          <w:lang w:val="zh-CN"/>
        </w:rPr>
        <w:t xml:space="preserve">第三条 组成本合同的有关文件</w:t>
      </w:r>
      <w:bookmarkEnd w:id="81"/>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1.本合同履行过程中双方共同签署的补充、修正文件及双方确认的明确双方权利、义务的会谈纪要；</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2.本合同书；</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3.本项目成交通知书；</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4.乙方的本项目响应文件的全部内容（含电子档）；</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5.本项目采购文件中的全部内容；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6.其他合同文件（需列明）：甲乙双方在成交通知书发出后至本合同签订前的来往函件。</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2" w:name="_Toc29842"/>
      <w:r>
        <w:rPr>
          <w:rFonts w:hint="eastAsia" w:ascii="宋体" w:hAnsi="宋体" w:eastAsia="宋体" w:cs="宋体"/>
          <w:b/>
          <w:bCs/>
          <w:color w:val="auto"/>
          <w:sz w:val="24"/>
          <w:szCs w:val="24"/>
          <w:highlight w:val="none"/>
          <w:lang w:val="zh-CN"/>
        </w:rPr>
        <w:t xml:space="preserve">第四条 甲方权利与义务</w:t>
      </w:r>
      <w:bookmarkEnd w:id="82"/>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3.甲方在任何时候可以向乙方发出书面指示，在合同总体范围内提出变更。</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6.甲方有权同意或不同意乙方因自身工作需要而更换合同约定的项目服务人员的要求。</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3" w:name="_Toc7566"/>
      <w:r>
        <w:rPr>
          <w:rFonts w:hint="eastAsia" w:ascii="宋体" w:hAnsi="宋体" w:eastAsia="宋体" w:cs="宋体"/>
          <w:b/>
          <w:bCs/>
          <w:color w:val="auto"/>
          <w:sz w:val="24"/>
          <w:szCs w:val="24"/>
          <w:highlight w:val="none"/>
          <w:lang w:val="zh-CN"/>
        </w:rPr>
        <w:t xml:space="preserve">第五条 乙方权利与义务</w:t>
      </w:r>
      <w:bookmarkEnd w:id="83"/>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3.乙方应对本项目所提供服务结果的可靠性、准确性、全面性向甲方负责，由于服务结果的可靠性、准确性、全面性不足而导致甲方工作偏差或失误，乙方应承担相应法律责任。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4" w:name="_Toc19647"/>
      <w:r>
        <w:rPr>
          <w:rFonts w:hint="eastAsia" w:ascii="宋体" w:hAnsi="宋体" w:eastAsia="宋体" w:cs="宋体"/>
          <w:b/>
          <w:bCs/>
          <w:color w:val="auto"/>
          <w:sz w:val="24"/>
          <w:szCs w:val="24"/>
          <w:highlight w:val="none"/>
          <w:lang w:val="zh-CN"/>
        </w:rPr>
        <w:t xml:space="preserve">第六条 权利保证</w:t>
      </w:r>
      <w:bookmarkEnd w:id="84"/>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1.知识产权</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2.所有权</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5" w:name="_Toc2610"/>
      <w:r>
        <w:rPr>
          <w:rFonts w:hint="eastAsia" w:ascii="宋体" w:hAnsi="宋体" w:eastAsia="宋体" w:cs="宋体"/>
          <w:b/>
          <w:bCs/>
          <w:color w:val="auto"/>
          <w:sz w:val="24"/>
          <w:szCs w:val="24"/>
          <w:highlight w:val="none"/>
          <w:lang w:val="zh-CN"/>
        </w:rPr>
        <w:t xml:space="preserve">第七条 质量保证</w:t>
      </w:r>
      <w:bookmarkEnd w:id="85"/>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3.乙方所交付的项目还应符合国家和江苏省有关安全、环保、卫生之规定。</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6" w:name="_Toc21626"/>
      <w:r>
        <w:rPr>
          <w:rFonts w:hint="eastAsia" w:ascii="宋体" w:hAnsi="宋体" w:eastAsia="宋体" w:cs="宋体"/>
          <w:b/>
          <w:bCs/>
          <w:color w:val="auto"/>
          <w:sz w:val="24"/>
          <w:szCs w:val="24"/>
          <w:highlight w:val="none"/>
          <w:lang w:val="zh-CN"/>
        </w:rPr>
        <w:t xml:space="preserve">第八条 交付使用和验收</w:t>
      </w:r>
      <w:bookmarkEnd w:id="86"/>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7" w:name="_Toc688"/>
      <w:r>
        <w:rPr>
          <w:rFonts w:hint="eastAsia" w:ascii="宋体" w:hAnsi="宋体" w:eastAsia="宋体" w:cs="宋体"/>
          <w:b/>
          <w:bCs/>
          <w:color w:val="auto"/>
          <w:sz w:val="24"/>
          <w:szCs w:val="24"/>
          <w:highlight w:val="none"/>
          <w:lang w:val="zh-CN"/>
        </w:rPr>
        <w:t xml:space="preserve">第九条 履约保证金（如有）</w:t>
      </w:r>
      <w:bookmarkEnd w:id="87"/>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8" w:name="_Toc21009"/>
      <w:r>
        <w:rPr>
          <w:rFonts w:hint="eastAsia" w:ascii="宋体" w:hAnsi="宋体" w:eastAsia="宋体" w:cs="宋体"/>
          <w:b/>
          <w:bCs/>
          <w:color w:val="auto"/>
          <w:sz w:val="24"/>
          <w:szCs w:val="24"/>
          <w:highlight w:val="none"/>
          <w:lang w:val="zh-CN"/>
        </w:rPr>
        <w:t xml:space="preserve">第十条 合同款支付</w:t>
      </w:r>
      <w:bookmarkEnd w:id="88"/>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合同签订后15个工作日内，采购人向成交供应商支付合同款项的</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0%</w:t>
      </w:r>
      <w:r>
        <w:rPr>
          <w:rFonts w:hint="eastAsia" w:ascii="宋体" w:hAnsi="宋体" w:eastAsia="宋体" w:cs="宋体"/>
          <w:color w:val="auto"/>
          <w:sz w:val="24"/>
          <w:szCs w:val="24"/>
          <w:highlight w:val="none"/>
          <w:lang w:val="zh-CN"/>
        </w:rPr>
        <w:t xml:space="preserve">作为预付款；项目结束且验收合格后，采购人向成交供应商支付剩余款项。采购人向成交供应商付款时，成交供应商需提供国家正规等额发票。</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因财政资金未按时拨付，付款期限顺延。</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89" w:name="_Toc4690"/>
      <w:r>
        <w:rPr>
          <w:rFonts w:hint="eastAsia" w:ascii="宋体" w:hAnsi="宋体" w:eastAsia="宋体" w:cs="宋体"/>
          <w:b/>
          <w:bCs/>
          <w:color w:val="auto"/>
          <w:sz w:val="24"/>
          <w:szCs w:val="24"/>
          <w:highlight w:val="none"/>
          <w:lang w:val="zh-CN"/>
        </w:rPr>
        <w:t xml:space="preserve">第十一条 违约责任</w:t>
      </w:r>
      <w:bookmarkEnd w:id="89"/>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2.如乙方拒绝提供服务的，甲方有权单方解除合同，乙方还应向甲方支付合同总金额30%的违约金。</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eastAsia="宋体" w:cs="宋体"/>
          <w:color w:val="auto"/>
          <w:sz w:val="24"/>
          <w:szCs w:val="24"/>
          <w:highlight w:val="none"/>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0" w:name="_Toc20757"/>
      <w:r>
        <w:rPr>
          <w:rFonts w:hint="eastAsia" w:ascii="宋体" w:hAnsi="宋体" w:eastAsia="宋体" w:cs="宋体"/>
          <w:b/>
          <w:bCs/>
          <w:color w:val="auto"/>
          <w:sz w:val="24"/>
          <w:szCs w:val="24"/>
          <w:highlight w:val="none"/>
          <w:lang w:val="zh-CN"/>
        </w:rPr>
        <w:t xml:space="preserve">第十二条 保密</w:t>
      </w:r>
      <w:bookmarkEnd w:id="90"/>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3.乙方为履行本合同所形成的任何成果，乙方负有保密义务。</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6.保密的内容包括但不限于书面、电子数据等承载保密信息的各种形式。</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7.前述保密义务条款为独立条款，不因本协议的解除、终止而失效。</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8.如乙方违反保密义务，应向甲方支付合同总金额20%的违约金。</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1" w:name="_Toc13862"/>
      <w:r>
        <w:rPr>
          <w:rFonts w:hint="eastAsia" w:ascii="宋体" w:hAnsi="宋体" w:eastAsia="宋体" w:cs="宋体"/>
          <w:b/>
          <w:bCs/>
          <w:color w:val="auto"/>
          <w:sz w:val="24"/>
          <w:szCs w:val="24"/>
          <w:highlight w:val="none"/>
          <w:lang w:val="zh-CN"/>
        </w:rPr>
        <w:t xml:space="preserve">第十三条 合同的变更和终止</w:t>
      </w:r>
      <w:bookmarkEnd w:id="91"/>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1.除《政府采购法》第50条第二款规定的情形外，本合同一经签订，甲乙双方不得擅自变更、中止或终止合同。</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2" w:name="_Toc788"/>
      <w:r>
        <w:rPr>
          <w:rFonts w:hint="eastAsia" w:ascii="宋体" w:hAnsi="宋体" w:eastAsia="宋体" w:cs="宋体"/>
          <w:b/>
          <w:bCs/>
          <w:color w:val="auto"/>
          <w:sz w:val="24"/>
          <w:szCs w:val="24"/>
          <w:highlight w:val="none"/>
          <w:lang w:val="zh-CN"/>
        </w:rPr>
        <w:t xml:space="preserve">第十四条 合同的转让</w:t>
      </w:r>
      <w:bookmarkEnd w:id="92"/>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乙方不得将本项目转包或分包（经甲方同意的非主体子项目分包除外），否则甲方有权单方解除本合同。</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3" w:name="_Toc18263"/>
      <w:r>
        <w:rPr>
          <w:rFonts w:hint="eastAsia" w:ascii="宋体" w:hAnsi="宋体" w:eastAsia="宋体" w:cs="宋体"/>
          <w:b/>
          <w:bCs/>
          <w:color w:val="auto"/>
          <w:sz w:val="24"/>
          <w:szCs w:val="24"/>
          <w:highlight w:val="none"/>
          <w:lang w:val="zh-CN"/>
        </w:rPr>
        <w:t xml:space="preserve">第十五条 不可抗力</w:t>
      </w:r>
      <w:bookmarkEnd w:id="93"/>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3.当不可抗力情形终止或消除后，受影响的一方应尽快以电话、传真或邮政EMS通知对方。</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4.受不可抗力影响方应尽一切努力减少因不可抗力而产生的损失，否则应对扩大的损失承担责任。</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5.如不可抗力延续超过45日以上（含本数）时，双方应通过友好协商解决本合同的履行问题，并应尽快达成协议。</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4" w:name="_Toc23322"/>
      <w:r>
        <w:rPr>
          <w:rFonts w:hint="eastAsia" w:ascii="宋体" w:hAnsi="宋体" w:eastAsia="宋体" w:cs="宋体"/>
          <w:b/>
          <w:bCs/>
          <w:color w:val="auto"/>
          <w:sz w:val="24"/>
          <w:szCs w:val="24"/>
          <w:highlight w:val="none"/>
          <w:lang w:val="zh-CN"/>
        </w:rPr>
        <w:t xml:space="preserve">第十六条 争议的解决</w:t>
      </w:r>
      <w:bookmarkEnd w:id="94"/>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（1）向甲方所在地有管辖权的人民法院提起诉讼；</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（2）向南京仲裁委员会按其仲裁规则申请仲裁。 </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2.在争议解决期间，本合同应继续履行。</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5" w:name="_Toc6434"/>
      <w:r>
        <w:rPr>
          <w:rFonts w:hint="eastAsia" w:ascii="宋体" w:hAnsi="宋体" w:eastAsia="宋体" w:cs="宋体"/>
          <w:b/>
          <w:bCs/>
          <w:color w:val="auto"/>
          <w:sz w:val="24"/>
          <w:szCs w:val="24"/>
          <w:highlight w:val="none"/>
          <w:lang w:val="zh-CN"/>
        </w:rPr>
        <w:t xml:space="preserve">第十七条 诚实信用</w:t>
      </w:r>
      <w:bookmarkEnd w:id="95"/>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乙方应诚实信用，严格按照采购文件要求和承诺履行合同，不向甲方进行商业贿赂或者提供不正当利益。</w:t>
      </w:r>
      <w:r/>
    </w:p>
    <w:p>
      <w:pPr>
        <w:ind w:firstLine="482"/>
        <w:spacing w:line="360" w:lineRule="auto"/>
        <w:rPr>
          <w:rFonts w:hint="eastAsia" w:ascii="宋体" w:hAnsi="宋体" w:eastAsia="宋体" w:cs="宋体"/>
          <w:b/>
          <w:bCs/>
          <w:color w:val="auto"/>
          <w:sz w:val="24"/>
          <w:szCs w:val="24"/>
          <w:highlight w:val="none"/>
          <w:lang w:val="zh-CN"/>
        </w:rPr>
        <w:outlineLvl w:val="0"/>
      </w:pPr>
      <w:r/>
      <w:bookmarkStart w:id="96" w:name="_Toc25155"/>
      <w:r>
        <w:rPr>
          <w:rFonts w:hint="eastAsia" w:ascii="宋体" w:hAnsi="宋体" w:eastAsia="宋体" w:cs="宋体"/>
          <w:b/>
          <w:bCs/>
          <w:color w:val="auto"/>
          <w:sz w:val="24"/>
          <w:szCs w:val="24"/>
          <w:highlight w:val="none"/>
          <w:lang w:val="zh-CN"/>
        </w:rPr>
        <w:t xml:space="preserve">第十八条 合同生效及其他</w:t>
      </w:r>
      <w:bookmarkEnd w:id="96"/>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1.本合同自双方加盖公章之日起生效。</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2.本合同一式四份，甲乙双方各执二份，具有同等法律效力。</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3.本合同应按照中华人民共和国的现行法律进行解释。</w:t>
      </w:r>
      <w:r/>
    </w:p>
    <w:p>
      <w:pPr>
        <w:ind w:firstLine="48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以下无正文</w:t>
      </w:r>
      <w:r>
        <w:rPr>
          <w:rFonts w:hint="eastAsia" w:ascii="宋体" w:hAnsi="宋体" w:eastAsia="宋体" w:cs="宋体"/>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ageBreakBefore/>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本页为合同签署页</w:t>
      </w:r>
      <w:r>
        <w:rPr>
          <w:rFonts w:hint="eastAsia" w:ascii="宋体" w:hAnsi="宋体" w:eastAsia="宋体" w:cs="宋体"/>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甲方（盖章）：</w:t>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法定代表人或其授权委托人（签章）：</w:t>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签订时间：     </w:t>
      </w:r>
      <w:r>
        <w:rPr>
          <w:rFonts w:hint="eastAsia" w:ascii="宋体" w:hAnsi="宋体" w:eastAsia="宋体" w:cs="宋体"/>
          <w:color w:val="auto"/>
          <w:sz w:val="24"/>
          <w:szCs w:val="24"/>
          <w:highlight w:val="none"/>
          <w:lang w:val="zh-CN"/>
        </w:rPr>
        <w:t xml:space="preserve">年  月   日</w:t>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乙方（盖章）：</w:t>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法定代表人或其授权委托人（签章）：</w:t>
      </w:r>
      <w:r/>
    </w:p>
    <w:p>
      <w:pPr>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签订时间：     </w:t>
      </w:r>
      <w:r>
        <w:rPr>
          <w:rFonts w:hint="eastAsia" w:ascii="宋体" w:hAnsi="宋体" w:eastAsia="宋体" w:cs="宋体"/>
          <w:color w:val="auto"/>
          <w:sz w:val="24"/>
          <w:szCs w:val="24"/>
          <w:highlight w:val="none"/>
          <w:lang w:val="zh-CN"/>
        </w:rPr>
        <w:t xml:space="preserve">年  月   日</w:t>
      </w:r>
      <w:r/>
    </w:p>
    <w:p>
      <w:pPr>
        <w:ind w:firstLine="482"/>
        <w:spacing w:line="360" w:lineRule="auto"/>
        <w:tabs>
          <w:tab w:val="left" w:pos="782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r>
      <w:r/>
    </w:p>
    <w:p>
      <w:pPr>
        <w:rPr>
          <w:rFonts w:hint="eastAsia" w:ascii="宋体" w:hAnsi="宋体" w:eastAsia="宋体" w:cs="宋体"/>
          <w:b/>
          <w:bCs/>
          <w:color w:val="auto"/>
          <w:sz w:val="36"/>
          <w:szCs w:val="36"/>
          <w:highlight w:val="none"/>
          <w:lang w:val="en-US" w:eastAsia="zh-CN" w:bidi="ar-SA"/>
        </w:rPr>
      </w:pPr>
      <w:r/>
      <w:bookmarkStart w:id="97" w:name="_Toc28579"/>
      <w:r>
        <w:rPr>
          <w:rFonts w:hint="eastAsia" w:ascii="宋体" w:hAnsi="宋体" w:eastAsia="宋体" w:cs="宋体"/>
          <w:b/>
          <w:bCs/>
          <w:color w:val="auto"/>
          <w:sz w:val="36"/>
          <w:szCs w:val="36"/>
          <w:highlight w:val="none"/>
          <w:lang w:val="en-US" w:eastAsia="zh-CN" w:bidi="ar-SA"/>
        </w:rPr>
        <w:br w:type="page" w:clear="all"/>
      </w:r>
      <w:r/>
    </w:p>
    <w:p>
      <w:pPr>
        <w:pStyle w:val="996"/>
        <w:jc w:val="center"/>
        <w:keepLines w:val="0"/>
        <w:keepNext w:val="0"/>
        <w:pageBreakBefore w:val="0"/>
        <w:spacing w:before="120" w:after="120" w:line="0" w:lineRule="atLeast"/>
        <w:widowControl w:val="off"/>
        <w:rPr>
          <w:rFonts w:hint="eastAsia" w:hAnsi="宋体"/>
          <w:b/>
          <w:bCs/>
          <w:color w:val="auto"/>
          <w:sz w:val="24"/>
          <w:szCs w:val="24"/>
          <w:highlight w:val="none"/>
        </w:rPr>
        <w:outlineLvl w:val="0"/>
      </w:pPr>
      <w:r>
        <w:rPr>
          <w:rFonts w:hint="eastAsia" w:ascii="宋体" w:hAnsi="宋体" w:eastAsia="宋体" w:cs="宋体"/>
          <w:b/>
          <w:bCs/>
          <w:color w:val="auto"/>
          <w:sz w:val="36"/>
          <w:szCs w:val="36"/>
          <w:highlight w:val="none"/>
          <w:lang w:val="en-US" w:eastAsia="zh-CN" w:bidi="ar-SA"/>
        </w:rPr>
        <w:t xml:space="preserve">第</w:t>
      </w:r>
      <w:bookmarkEnd w:id="72"/>
      <w:r>
        <w:rPr>
          <w:rFonts w:hint="eastAsia" w:ascii="宋体" w:hAnsi="宋体" w:eastAsia="宋体" w:cs="宋体"/>
          <w:b/>
          <w:bCs/>
          <w:color w:val="auto"/>
          <w:sz w:val="36"/>
          <w:szCs w:val="36"/>
          <w:highlight w:val="none"/>
          <w:lang w:val="en-US" w:eastAsia="zh-CN" w:bidi="ar-SA"/>
        </w:rPr>
        <w:t xml:space="preserve">四章  项目需求</w:t>
      </w:r>
      <w:bookmarkEnd w:id="73"/>
      <w:r/>
      <w:bookmarkEnd w:id="74"/>
      <w:r/>
      <w:bookmarkEnd w:id="75"/>
      <w:r/>
      <w:bookmarkEnd w:id="76"/>
      <w:r/>
      <w:bookmarkEnd w:id="97"/>
      <w:r/>
      <w:r/>
    </w:p>
    <w:p>
      <w:pPr>
        <w:rPr>
          <w:rFonts w:hint="eastAsia" w:ascii="方正小标宋简体" w:hAnsi="方正小标宋简体" w:eastAsia="方正小标宋简体" w:cs="方正小标宋简体"/>
          <w:color w:val="auto"/>
          <w:sz w:val="28"/>
          <w:szCs w:val="28"/>
          <w:highlight w:val="none"/>
        </w:rPr>
      </w:pPr>
      <w:r/>
      <w:bookmarkStart w:id="98" w:name="_Toc26554093"/>
      <w:r/>
      <w:bookmarkStart w:id="99" w:name="_Toc120614281"/>
      <w:r/>
      <w:bookmarkStart w:id="100" w:name="_Toc49090575"/>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采购包1（第四届创业创新大赛技术支持）</w:t>
      </w:r>
      <w:r>
        <w:rPr>
          <w:rFonts w:hint="eastAsia" w:ascii="宋体" w:hAnsi="宋体" w:eastAsia="宋体" w:cs="宋体"/>
          <w:b/>
          <w:bCs/>
          <w:color w:val="auto"/>
          <w:sz w:val="24"/>
          <w:szCs w:val="24"/>
          <w:highlight w:val="none"/>
          <w:lang w:val="en-US" w:eastAsia="zh-CN"/>
        </w:rPr>
        <w:t xml:space="preserve">90万元】</w:t>
      </w:r>
      <w:r/>
    </w:p>
    <w:p>
      <w:pP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一</w:t>
      </w:r>
      <w:r>
        <w:rPr>
          <w:rFonts w:hint="eastAsia" w:ascii="宋体" w:hAnsi="宋体" w:eastAsia="宋体" w:cs="宋体"/>
          <w:b/>
          <w:color w:val="auto"/>
          <w:sz w:val="22"/>
          <w:szCs w:val="22"/>
          <w:highlight w:val="none"/>
        </w:rPr>
        <w:t xml:space="preserve">、项目概况</w:t>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为深入贯彻</w:t>
      </w:r>
      <w:r>
        <w:rPr>
          <w:rFonts w:hint="eastAsia" w:ascii="宋体" w:hAnsi="宋体" w:eastAsia="宋体" w:cs="宋体"/>
          <w:color w:val="auto"/>
          <w:sz w:val="22"/>
          <w:szCs w:val="22"/>
          <w:highlight w:val="none"/>
          <w:lang w:eastAsia="zh-CN"/>
        </w:rPr>
        <w:t xml:space="preserve">习近平总书记关于退役军人工作的重要论述</w:t>
      </w:r>
      <w:r>
        <w:rPr>
          <w:rFonts w:hint="eastAsia" w:ascii="宋体" w:hAnsi="宋体" w:eastAsia="宋体" w:cs="宋体"/>
          <w:color w:val="auto"/>
          <w:sz w:val="22"/>
          <w:szCs w:val="22"/>
          <w:highlight w:val="none"/>
        </w:rPr>
        <w:t xml:space="preserve">，全面落实党中央、国务院关于纵深推进大众创业万众创新的决策部署和省委、省政府相关要求，激发退役军人创业创新热情，展示退役军人创业创新风采，推进退役军人实现更高质量创业。江苏省退役军人事务厅决定举办</w:t>
      </w:r>
      <w:r>
        <w:rPr>
          <w:rFonts w:hint="eastAsia" w:ascii="宋体" w:hAnsi="宋体" w:eastAsia="宋体" w:cs="宋体"/>
          <w:color w:val="auto"/>
          <w:sz w:val="22"/>
          <w:szCs w:val="22"/>
          <w:highlight w:val="none"/>
          <w:lang w:val="en-US" w:eastAsia="zh-CN"/>
        </w:rPr>
        <w:t xml:space="preserve">于2026年7月举办</w:t>
      </w:r>
      <w:r>
        <w:rPr>
          <w:rFonts w:hint="eastAsia" w:ascii="宋体" w:hAnsi="宋体" w:eastAsia="宋体" w:cs="宋体"/>
          <w:color w:val="auto"/>
          <w:sz w:val="22"/>
          <w:szCs w:val="22"/>
          <w:highlight w:val="none"/>
        </w:rPr>
        <w:t xml:space="preserve">第</w:t>
      </w:r>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届江苏省退役军人创业创新大赛，大赛设“新兴和未来产业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传统产业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生活服务业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现代农业（乡村振兴）</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退役士兵大学生士兵”5个赛道。</w:t>
      </w:r>
      <w:r>
        <w:rPr>
          <w:rFonts w:hint="eastAsia" w:ascii="宋体" w:hAnsi="宋体" w:eastAsia="宋体" w:cs="宋体"/>
          <w:color w:val="auto"/>
          <w:sz w:val="22"/>
          <w:szCs w:val="22"/>
          <w:highlight w:val="none"/>
          <w:lang w:val="en-US" w:eastAsia="zh-CN"/>
        </w:rPr>
        <w:t xml:space="preserve">现</w:t>
      </w:r>
      <w:r>
        <w:rPr>
          <w:rFonts w:hint="eastAsia" w:ascii="宋体" w:hAnsi="宋体" w:eastAsia="宋体" w:cs="宋体"/>
          <w:color w:val="auto"/>
          <w:sz w:val="22"/>
          <w:szCs w:val="22"/>
          <w:highlight w:val="none"/>
        </w:rPr>
        <w:t xml:space="preserve">通过竞争性磋商的方式</w:t>
      </w:r>
      <w:r>
        <w:rPr>
          <w:rFonts w:hint="eastAsia" w:ascii="宋体" w:hAnsi="宋体" w:eastAsia="宋体" w:cs="宋体"/>
          <w:color w:val="auto"/>
          <w:sz w:val="22"/>
          <w:szCs w:val="22"/>
          <w:highlight w:val="none"/>
          <w:lang w:val="en-US" w:eastAsia="zh-CN"/>
        </w:rPr>
        <w:t xml:space="preserve">确定</w:t>
      </w:r>
      <w:r>
        <w:rPr>
          <w:rFonts w:hint="eastAsia" w:ascii="宋体" w:hAnsi="宋体" w:eastAsia="宋体" w:cs="宋体"/>
          <w:color w:val="auto"/>
          <w:sz w:val="22"/>
          <w:szCs w:val="22"/>
          <w:highlight w:val="none"/>
        </w:rPr>
        <w:t xml:space="preserve">本项目供应商。</w:t>
      </w:r>
      <w:r/>
    </w:p>
    <w:p>
      <w:pPr>
        <w:pStyle w:val="709"/>
        <w:ind w:firstLine="440"/>
        <w:pageBreakBefore w:val="0"/>
        <w:spacing w:before="0" w:after="0"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本采购包预算90万元，供应商报价须包含以下全部费用：</w:t>
      </w:r>
      <w:r/>
    </w:p>
    <w:p>
      <w:pPr>
        <w:pStyle w:val="709"/>
        <w:ind w:firstLine="440"/>
        <w:pageBreakBefore w:val="0"/>
        <w:spacing w:before="0" w:after="0"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1.市级赛事对接支持；</w:t>
      </w:r>
      <w:r/>
    </w:p>
    <w:p>
      <w:pPr>
        <w:pStyle w:val="709"/>
        <w:ind w:firstLine="440"/>
        <w:pageBreakBefore w:val="0"/>
        <w:spacing w:before="0" w:after="0"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2.省级决赛前的项目审查、初评、赛前指导；</w:t>
      </w:r>
      <w:r/>
    </w:p>
    <w:p>
      <w:pPr>
        <w:pStyle w:val="709"/>
        <w:ind w:firstLine="440"/>
        <w:pageBreakBefore w:val="0"/>
        <w:spacing w:before="0" w:after="0"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3.省级决赛期间（约300人）的食宿费用，开赛仪式、5个赛场、颁奖仪式等场地费用；</w:t>
      </w:r>
      <w:r/>
    </w:p>
    <w:p>
      <w:pPr>
        <w:pStyle w:val="709"/>
        <w:ind w:firstLine="440"/>
        <w:pageBreakBefore w:val="0"/>
        <w:spacing w:before="0" w:after="0" w:line="360" w:lineRule="auto"/>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4.省级决赛期间的评审组织、赛事执行、会务服务、企业及金融资源对接；</w:t>
      </w:r>
      <w:r/>
    </w:p>
    <w:p>
      <w:pPr>
        <w:pStyle w:val="709"/>
        <w:ind w:firstLine="44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b w:val="0"/>
          <w:bCs w:val="0"/>
          <w:color w:val="auto"/>
          <w:sz w:val="22"/>
          <w:szCs w:val="22"/>
          <w:highlight w:val="none"/>
          <w:lang w:val="en-US" w:eastAsia="zh-CN" w:bidi="ar-SA"/>
        </w:rPr>
        <w:t xml:space="preserve">5.省赛后国赛前的项目辅导。</w:t>
      </w:r>
      <w:r/>
    </w:p>
    <w:p>
      <w:pP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二</w:t>
      </w:r>
      <w:r>
        <w:rPr>
          <w:rFonts w:hint="eastAsia" w:ascii="宋体" w:hAnsi="宋体" w:eastAsia="宋体" w:cs="宋体"/>
          <w:b/>
          <w:color w:val="auto"/>
          <w:sz w:val="22"/>
          <w:szCs w:val="22"/>
          <w:highlight w:val="none"/>
        </w:rPr>
        <w:t xml:space="preserve">、项目内容及要求：</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（一）</w:t>
      </w:r>
      <w:r>
        <w:rPr>
          <w:rFonts w:hint="eastAsia" w:ascii="宋体" w:hAnsi="宋体" w:eastAsia="宋体" w:cs="宋体"/>
          <w:color w:val="auto"/>
          <w:sz w:val="22"/>
          <w:szCs w:val="22"/>
          <w:highlight w:val="none"/>
          <w:lang w:val="en-US" w:eastAsia="zh-CN"/>
        </w:rPr>
        <w:t xml:space="preserve">市级赛事支持</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1.对接各市，参与各市级赛事，</w:t>
      </w:r>
      <w:r>
        <w:rPr>
          <w:rFonts w:hint="eastAsia" w:ascii="宋体" w:hAnsi="宋体" w:eastAsia="宋体" w:cs="宋体"/>
          <w:color w:val="auto"/>
          <w:sz w:val="22"/>
          <w:szCs w:val="22"/>
          <w:highlight w:val="none"/>
          <w:lang w:val="en-US" w:eastAsia="zh-CN"/>
        </w:rPr>
        <w:t xml:space="preserve">协助各市完成项目资格审查，市级决赛现场邀请专家团（不低于3人）对市级项目进行预审观察，挑选优秀项目备赛省赛国赛。</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（二）</w:t>
      </w:r>
      <w:r>
        <w:rPr>
          <w:rFonts w:hint="eastAsia" w:ascii="宋体" w:hAnsi="宋体" w:eastAsia="宋体" w:cs="宋体"/>
          <w:color w:val="auto"/>
          <w:sz w:val="22"/>
          <w:szCs w:val="22"/>
          <w:highlight w:val="none"/>
          <w:lang w:val="en-US" w:eastAsia="zh-CN"/>
        </w:rPr>
        <w:t xml:space="preserve">省级</w:t>
      </w:r>
      <w:r>
        <w:rPr>
          <w:rFonts w:hint="eastAsia" w:ascii="宋体" w:hAnsi="宋体" w:eastAsia="宋体" w:cs="宋体"/>
          <w:color w:val="auto"/>
          <w:sz w:val="22"/>
          <w:szCs w:val="22"/>
          <w:highlight w:val="none"/>
        </w:rPr>
        <w:t xml:space="preserve">决赛前</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1.对各设区市上报的项目进行汇总、统计、资格审查等，经审查通过的项目方可参赛。</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负责提供就业创业研究和指导专家、成功创业企业家及创投行业领军人士、孵化载体及创服机构负责人等相关创业领域至少五十名专家评审备选名单（姓名、单位、职务、联系方式、相关工作经验），确保真实、准确、有效、自愿参与。</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3.组织项目初评：根据参赛项目数量，组织不低于5位专家评委参与项目初评。</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组织决赛赛前指导：组织进入决赛的参赛企业（团队）开展赛事训练营，为参赛项目提供项目优化、路演技巧、路演礼仪、模拟路演展示等方面的指导，评委点评纠偏等辅导过程，帮助项目掌握创业项目的优化、路演展示方法与技巧，并学会通过路演进行项目推介及自我推介。</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5.根据进入决赛的项目情况，制定活动策划，拟订决赛方案；</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6.供应商需联系不少于10家包括各风投、金融机构为获奖创业项目进行投资对接，通过现场交流，为退役军人创业已成熟的企业寻求投资机会。</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省级</w:t>
      </w:r>
      <w:r>
        <w:rPr>
          <w:rFonts w:hint="eastAsia" w:ascii="宋体" w:hAnsi="宋体" w:eastAsia="宋体" w:cs="宋体"/>
          <w:color w:val="auto"/>
          <w:sz w:val="22"/>
          <w:szCs w:val="22"/>
          <w:highlight w:val="none"/>
        </w:rPr>
        <w:t xml:space="preserve">决赛期间</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1.食宿与场地要求</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食宿费用：供应商须承担省级决赛期间所有人员的食宿费用，包括：约300人（5个赛道每市2个项目约200人+各市领队及工作人员50人+评委40人+会务人员20人，共约310人，按300人预估），日程为2.5天（第一天报到彩排，第二天全天比赛，第三天上午颁奖仪式、下午离会）。</w:t>
      </w:r>
      <w:r/>
    </w:p>
    <w:p>
      <w:pPr>
        <w:numPr>
          <w:ilvl w:val="0"/>
          <w:numId w:val="0"/>
        </w:numPr>
        <w:ind w:firstLine="442"/>
        <w:keepLines w:val="0"/>
        <w:keepNext w:val="0"/>
        <w:pageBreakBefore w:val="0"/>
        <w:spacing w:line="360" w:lineRule="auto"/>
        <w:widowControl w:val="off"/>
        <w:rPr>
          <w:rFonts w:hint="eastAsia" w:ascii="宋体" w:hAnsi="宋体" w:eastAsia="宋体" w:cs="宋体"/>
          <w:b/>
          <w:bCs/>
          <w:i/>
          <w:iCs/>
          <w:color w:val="auto"/>
          <w:sz w:val="22"/>
          <w:szCs w:val="22"/>
          <w:highlight w:val="none"/>
          <w:u w:val="single"/>
          <w:lang w:val="en-US" w:eastAsia="zh-CN"/>
        </w:rPr>
      </w:pPr>
      <w:r>
        <w:rPr>
          <w:rFonts w:hint="eastAsia" w:ascii="宋体" w:hAnsi="宋体" w:eastAsia="宋体" w:cs="宋体"/>
          <w:b/>
          <w:bCs/>
          <w:i/>
          <w:iCs/>
          <w:color w:val="auto"/>
          <w:sz w:val="22"/>
          <w:szCs w:val="22"/>
          <w:highlight w:val="none"/>
          <w:u w:val="single"/>
        </w:rPr>
        <w:t xml:space="preserve">（</w:t>
      </w:r>
      <w:r>
        <w:rPr>
          <w:rFonts w:hint="eastAsia" w:ascii="宋体" w:hAnsi="宋体" w:eastAsia="宋体" w:cs="宋体"/>
          <w:b/>
          <w:bCs/>
          <w:i/>
          <w:iCs/>
          <w:color w:val="auto"/>
          <w:sz w:val="22"/>
          <w:szCs w:val="22"/>
          <w:highlight w:val="none"/>
          <w:u w:val="single"/>
          <w:lang w:val="en-US" w:eastAsia="zh-CN"/>
        </w:rPr>
        <w:t xml:space="preserve">2</w:t>
      </w:r>
      <w:r>
        <w:rPr>
          <w:rFonts w:hint="eastAsia" w:ascii="宋体" w:hAnsi="宋体" w:eastAsia="宋体" w:cs="宋体"/>
          <w:b/>
          <w:bCs/>
          <w:i/>
          <w:iCs/>
          <w:color w:val="auto"/>
          <w:sz w:val="22"/>
          <w:szCs w:val="22"/>
          <w:highlight w:val="none"/>
          <w:u w:val="single"/>
        </w:rPr>
        <w:t xml:space="preserve">）</w:t>
      </w:r>
      <w:r>
        <w:rPr>
          <w:rFonts w:hint="eastAsia" w:ascii="宋体" w:hAnsi="宋体" w:eastAsia="宋体" w:cs="宋体"/>
          <w:b/>
          <w:bCs/>
          <w:i/>
          <w:iCs/>
          <w:color w:val="auto"/>
          <w:sz w:val="22"/>
          <w:szCs w:val="22"/>
          <w:highlight w:val="none"/>
          <w:u w:val="single"/>
          <w:lang w:val="en-US" w:eastAsia="zh-CN"/>
        </w:rPr>
        <w:t xml:space="preserve">酒店要求（本项为实质性需求，如未响应为无效标）：酒店应具备同时容纳300人以上住宿、用餐的能力，且必须选择</w:t>
      </w:r>
      <w:r>
        <w:rPr>
          <w:rFonts w:hint="eastAsia" w:ascii="宋体" w:hAnsi="宋体" w:cs="宋体"/>
          <w:b/>
          <w:bCs/>
          <w:i/>
          <w:iCs/>
          <w:color w:val="auto"/>
          <w:sz w:val="22"/>
          <w:szCs w:val="22"/>
          <w:highlight w:val="none"/>
          <w:u w:val="single"/>
          <w:lang w:val="en-US" w:eastAsia="zh-CN"/>
        </w:rPr>
        <w:t xml:space="preserve">“2026-2027年度南京市国家机关、事业单位和社会团体会议（分包一：具有大型会议接待能力的单位）”的入围单位；</w:t>
      </w:r>
      <w:r>
        <w:rPr>
          <w:rFonts w:hint="eastAsia" w:ascii="宋体" w:hAnsi="宋体" w:eastAsia="宋体" w:cs="宋体"/>
          <w:b/>
          <w:bCs/>
          <w:i/>
          <w:iCs/>
          <w:color w:val="auto"/>
          <w:sz w:val="22"/>
          <w:szCs w:val="22"/>
          <w:highlight w:val="none"/>
          <w:u w:val="single"/>
          <w:lang w:val="en-US" w:eastAsia="zh-CN"/>
        </w:rPr>
        <w:t xml:space="preserve">定点酒店名录随本磋商文件后附。（供应商应提供与相关定点酒店名录的会务确认函）。</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决赛赛场：5个赛道需设置5个平行赛场，每个赛场面积不低于100平方米，配备LED屏幕、音响、评分系统等标准路演设施。</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颁奖仪式主会场：面积不低于800平方米，须具备大型活动的基础条件。</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场地费用：包括上述5个平行赛场和1个主会场的租赁费用，均包含在供应商报价中。</w:t>
      </w:r>
      <w:r/>
    </w:p>
    <w:p>
      <w:pPr>
        <w:numPr>
          <w:ilvl w:val="0"/>
          <w:numId w:val="4"/>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会务及赛事组织</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rPr>
        <w:t xml:space="preserve">负责会务服务：签到、用餐、</w:t>
      </w:r>
      <w:r>
        <w:rPr>
          <w:rFonts w:hint="eastAsia" w:ascii="宋体" w:hAnsi="宋体" w:eastAsia="宋体" w:cs="宋体"/>
          <w:color w:val="auto"/>
          <w:sz w:val="22"/>
          <w:szCs w:val="22"/>
          <w:highlight w:val="none"/>
          <w:lang w:val="en-US" w:eastAsia="zh-CN"/>
        </w:rPr>
        <w:t xml:space="preserve">现场组织</w:t>
      </w:r>
      <w:r>
        <w:rPr>
          <w:rFonts w:hint="eastAsia" w:ascii="宋体" w:hAnsi="宋体" w:eastAsia="宋体" w:cs="宋体"/>
          <w:color w:val="auto"/>
          <w:sz w:val="22"/>
          <w:szCs w:val="22"/>
          <w:highlight w:val="none"/>
        </w:rPr>
        <w:t xml:space="preserve">、安保等会务服务。</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负责大赛的所有组织协调服务，包括5个赛道的主持人、评分系统、现场工作人员等。</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对因不可抗力不能参加现场比赛的选手，同步开展线上比赛。</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邀请决赛评委：配合采购方做好评委遴选工作，每个赛道评委各不少于7人。</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配合拟定配套的颁奖典礼方案，协调颁奖现场全流程。</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w:t>
      </w:r>
      <w:r>
        <w:rPr>
          <w:rFonts w:hint="eastAsia" w:ascii="宋体" w:hAnsi="宋体" w:eastAsia="宋体" w:cs="宋体"/>
          <w:color w:val="auto"/>
          <w:sz w:val="22"/>
          <w:szCs w:val="22"/>
          <w:highlight w:val="none"/>
          <w:lang w:val="en-US" w:eastAsia="zh-CN"/>
        </w:rPr>
        <w:t xml:space="preserve">省赛</w:t>
      </w:r>
      <w:r>
        <w:rPr>
          <w:rFonts w:hint="eastAsia" w:ascii="宋体" w:hAnsi="宋体" w:eastAsia="宋体" w:cs="宋体"/>
          <w:color w:val="auto"/>
          <w:sz w:val="22"/>
          <w:szCs w:val="22"/>
          <w:highlight w:val="none"/>
        </w:rPr>
        <w:t xml:space="preserve">赛后服务</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国赛跟踪指导：</w:t>
      </w:r>
      <w:r>
        <w:rPr>
          <w:rFonts w:hint="eastAsia" w:ascii="宋体" w:hAnsi="宋体" w:eastAsia="宋体" w:cs="宋体"/>
          <w:color w:val="auto"/>
          <w:sz w:val="22"/>
          <w:szCs w:val="22"/>
          <w:highlight w:val="none"/>
          <w:lang w:val="en-US" w:eastAsia="zh-CN"/>
        </w:rPr>
        <w:t xml:space="preserve">入围国赛项目4个，每个项目提供不低于10人次的专项辅导</w:t>
      </w:r>
      <w:r>
        <w:rPr>
          <w:rFonts w:hint="eastAsia" w:ascii="宋体" w:hAnsi="宋体" w:eastAsia="宋体" w:cs="宋体"/>
          <w:color w:val="auto"/>
          <w:sz w:val="22"/>
          <w:szCs w:val="22"/>
          <w:highlight w:val="none"/>
          <w:lang w:val="en-US" w:eastAsia="zh-CN"/>
        </w:rPr>
        <w:t xml:space="preserve">，挖掘好项目亮点，协助选手讲好创业故事。</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2.对参赛项目的路演PPT、商业计划书、展示视频、演讲稿等材料进行包装设计和拍摄制作。</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3.委派专人做好国赛期间的现场辅导服务保障工作。</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4.回顾总结阶段。整理大赛数据，对本次大赛活动形成系统分析，形成总结台账及汇报PPT。</w:t>
      </w:r>
      <w:r/>
    </w:p>
    <w:p>
      <w:pP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四、商务要求</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（一）供应商</w:t>
      </w:r>
      <w:r>
        <w:rPr>
          <w:rFonts w:hint="eastAsia" w:ascii="宋体" w:hAnsi="宋体" w:eastAsia="宋体" w:cs="宋体"/>
          <w:color w:val="auto"/>
          <w:sz w:val="22"/>
          <w:szCs w:val="22"/>
          <w:highlight w:val="none"/>
          <w:lang w:eastAsia="zh-CN"/>
        </w:rPr>
        <w:t xml:space="preserve">所提</w:t>
      </w:r>
      <w:r>
        <w:rPr>
          <w:rFonts w:hint="eastAsia" w:ascii="宋体" w:hAnsi="宋体" w:eastAsia="宋体" w:cs="宋体"/>
          <w:color w:val="auto"/>
          <w:sz w:val="22"/>
          <w:szCs w:val="22"/>
          <w:highlight w:val="none"/>
        </w:rPr>
        <w:t xml:space="preserve">供本大赛活动所需的宣传资料，应保证其不侵犯第三方包括知识产权、肖像权等在内的一切合法权益。</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（二）采购人有权对供应商所</w:t>
      </w:r>
      <w:r>
        <w:rPr>
          <w:rFonts w:hint="eastAsia" w:ascii="宋体" w:hAnsi="宋体" w:eastAsia="宋体" w:cs="宋体"/>
          <w:color w:val="auto"/>
          <w:sz w:val="22"/>
          <w:szCs w:val="22"/>
          <w:highlight w:val="none"/>
          <w:lang w:eastAsia="zh-CN"/>
        </w:rPr>
        <w:t xml:space="preserve">做</w:t>
      </w:r>
      <w:r>
        <w:rPr>
          <w:rFonts w:hint="eastAsia" w:ascii="宋体" w:hAnsi="宋体" w:eastAsia="宋体" w:cs="宋体"/>
          <w:color w:val="auto"/>
          <w:sz w:val="22"/>
          <w:szCs w:val="22"/>
          <w:highlight w:val="none"/>
        </w:rPr>
        <w:t xml:space="preserve">的宣传等服务进行全程监督，根据项目进展提出意见和建议。</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（三）服务流程须符合最新的国家、省市及其他相关的行业规范和技术标准。</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w:t>
      </w:r>
      <w:r>
        <w:rPr>
          <w:rFonts w:hint="eastAsia" w:ascii="宋体" w:hAnsi="宋体" w:eastAsia="宋体" w:cs="宋体"/>
          <w:color w:val="auto"/>
          <w:sz w:val="22"/>
          <w:szCs w:val="22"/>
          <w:highlight w:val="none"/>
          <w:lang w:val="en-US" w:eastAsia="zh-CN"/>
        </w:rPr>
        <w:t xml:space="preserve">本次</w:t>
      </w:r>
      <w:r>
        <w:rPr>
          <w:rFonts w:hint="eastAsia" w:ascii="宋体" w:hAnsi="宋体" w:eastAsia="宋体" w:cs="宋体"/>
          <w:color w:val="auto"/>
          <w:sz w:val="22"/>
          <w:szCs w:val="22"/>
          <w:highlight w:val="none"/>
        </w:rPr>
        <w:t xml:space="preserve">项目未经采购人同意，不得转包或分包。</w:t>
      </w:r>
      <w:r/>
    </w:p>
    <w:p>
      <w:pP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五、付款方式</w:t>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合同签订后15个工作日内，采购人向成交供应商支付合同款项的</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0%作为预付款；项目结束后，采购人向成交供应商支付剩余款项。采购人向成交供应商付款时，成交供应商需提供国家正规等额发票。</w:t>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ind w:left="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【采购包2（第四届创业创新大赛会展服务）78万元】</w:t>
      </w:r>
      <w:r/>
    </w:p>
    <w:p>
      <w:pPr>
        <w:pStyle w:val="724"/>
        <w:spacing w:before="120" w:after="120" w:line="360" w:lineRule="auto"/>
        <w:rPr>
          <w:rFonts w:hint="eastAsia" w:ascii="宋体" w:hAnsi="宋体" w:eastAsia="宋体" w:cs="宋体"/>
          <w:b/>
          <w:color w:val="auto"/>
          <w:sz w:val="24"/>
          <w:szCs w:val="24"/>
          <w:highlight w:val="none"/>
        </w:rPr>
        <w:outlineLvl w:val="1"/>
      </w:pPr>
      <w:r/>
      <w:bookmarkStart w:id="101" w:name="_Toc23624"/>
      <w:r/>
      <w:bookmarkStart w:id="102" w:name="_Toc30708"/>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、项目概况</w:t>
      </w:r>
      <w:bookmarkEnd w:id="101"/>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为深入贯彻习近平总书记关于退役军人工作重要论述，全面落实党中央、国务院关于纵深推进大众创业万众创新的决策部署和省委、省政府相关要求，激发退役军人创业创新热情，展示退役军人创业创新风采，推进退役军人实现更高质量创业。大赛</w:t>
      </w:r>
      <w:r>
        <w:rPr>
          <w:rFonts w:hint="eastAsia" w:ascii="宋体" w:hAnsi="宋体" w:eastAsia="宋体" w:cs="宋体"/>
          <w:color w:val="auto"/>
          <w:sz w:val="22"/>
          <w:highlight w:val="none"/>
          <w:lang w:eastAsia="zh-CN"/>
        </w:rPr>
        <w:t xml:space="preserve">设“新兴和未来产业”、“传统产业”、“生活服务业”、“</w:t>
      </w:r>
      <w:r>
        <w:rPr>
          <w:rFonts w:hint="eastAsia" w:ascii="宋体" w:hAnsi="宋体" w:eastAsia="宋体" w:cs="宋体"/>
          <w:color w:val="auto"/>
          <w:sz w:val="22"/>
          <w:highlight w:val="none"/>
          <w:lang w:val="en-US" w:eastAsia="zh-CN"/>
        </w:rPr>
        <w:t xml:space="preserve">现代农业（乡村振兴）</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大学生退役士兵</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eastAsia="zh-CN"/>
        </w:rPr>
        <w:t xml:space="preserve">个赛道</w:t>
      </w:r>
      <w:r>
        <w:rPr>
          <w:rFonts w:hint="eastAsia" w:ascii="宋体" w:hAnsi="宋体" w:eastAsia="宋体" w:cs="宋体"/>
          <w:color w:val="auto"/>
          <w:sz w:val="22"/>
          <w:highlight w:val="none"/>
        </w:rPr>
        <w:t xml:space="preserve">，由各设区市推荐每个赛道2个项目参加省级决赛。</w:t>
      </w:r>
      <w:r/>
    </w:p>
    <w:p>
      <w:pPr>
        <w:pStyle w:val="724"/>
        <w:spacing w:before="120" w:after="120" w:line="360" w:lineRule="auto"/>
        <w:rPr>
          <w:rFonts w:hint="eastAsia" w:ascii="宋体" w:hAnsi="宋体" w:eastAsia="宋体" w:cs="宋体"/>
          <w:b/>
          <w:color w:val="auto"/>
          <w:sz w:val="24"/>
          <w:szCs w:val="24"/>
          <w:highlight w:val="none"/>
        </w:rPr>
        <w:outlineLvl w:val="1"/>
      </w:pPr>
      <w:r/>
      <w:bookmarkStart w:id="103" w:name="_Toc13411"/>
      <w:r>
        <w:rPr>
          <w:rFonts w:hint="eastAsia" w:ascii="宋体" w:hAnsi="宋体" w:eastAsia="宋体" w:cs="宋体"/>
          <w:b/>
          <w:color w:val="auto"/>
          <w:sz w:val="24"/>
          <w:szCs w:val="24"/>
          <w:highlight w:val="none"/>
        </w:rPr>
        <w:t xml:space="preserve">三、项目内容及要求：</w:t>
      </w:r>
      <w:bookmarkEnd w:id="103"/>
      <w:r/>
      <w:r/>
    </w:p>
    <w:p>
      <w:pPr>
        <w:numPr>
          <w:ilvl w:val="0"/>
          <w:numId w:val="0"/>
        </w:numPr>
        <w:ind w:firstLine="442"/>
        <w:spacing w:line="360" w:lineRule="auto"/>
        <w:rPr>
          <w:rFonts w:hint="eastAsia" w:ascii="宋体" w:hAnsi="宋体" w:eastAsia="宋体" w:cs="宋体"/>
          <w:color w:val="auto"/>
          <w:sz w:val="22"/>
          <w:highlight w:val="none"/>
        </w:rPr>
      </w:pPr>
      <w:r>
        <w:rPr>
          <w:rFonts w:hint="eastAsia" w:ascii="宋体" w:hAnsi="宋体" w:eastAsia="宋体" w:cs="宋体"/>
          <w:b/>
          <w:bCs/>
          <w:color w:val="auto"/>
          <w:sz w:val="22"/>
          <w:szCs w:val="21"/>
          <w:highlight w:val="none"/>
          <w:lang w:val="en-US" w:eastAsia="zh-CN" w:bidi="ar-SA"/>
        </w:rPr>
        <w:t xml:space="preserve">1、</w:t>
      </w:r>
      <w:r>
        <w:rPr>
          <w:rFonts w:hint="eastAsia" w:ascii="宋体" w:hAnsi="宋体" w:eastAsia="宋体" w:cs="宋体"/>
          <w:b/>
          <w:bCs/>
          <w:color w:val="auto"/>
          <w:sz w:val="22"/>
          <w:highlight w:val="none"/>
        </w:rPr>
        <w:t xml:space="preserve">设计</w:t>
      </w:r>
      <w:r>
        <w:rPr>
          <w:rFonts w:hint="eastAsia" w:ascii="宋体" w:hAnsi="宋体" w:eastAsia="宋体" w:cs="宋体"/>
          <w:b/>
          <w:color w:val="auto"/>
          <w:sz w:val="22"/>
          <w:highlight w:val="none"/>
        </w:rPr>
        <w:t xml:space="preserve">服务</w:t>
      </w:r>
      <w:r>
        <w:rPr>
          <w:rFonts w:hint="eastAsia" w:ascii="宋体" w:hAnsi="宋体" w:eastAsia="宋体" w:cs="宋体"/>
          <w:color w:val="auto"/>
          <w:sz w:val="22"/>
          <w:highlight w:val="none"/>
        </w:rPr>
        <w:t xml:space="preserve">:主要包括活动主KV创意及延展物料设计、活动创意策划、PPT制作、背景板海报设计、活动现场展板设计、宣传海报设计</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物料及延展应用、颁奖舞台造型设计、舞美灯光设计、比赛场地设计等。</w:t>
      </w:r>
      <w:r/>
    </w:p>
    <w:p>
      <w:pPr>
        <w:ind w:firstLine="442"/>
        <w:spacing w:line="360" w:lineRule="auto"/>
        <w:rPr>
          <w:rFonts w:hint="eastAsia" w:ascii="宋体" w:hAnsi="宋体" w:eastAsia="宋体" w:cs="宋体"/>
          <w:color w:val="auto"/>
          <w:sz w:val="22"/>
          <w:highlight w:val="none"/>
        </w:rPr>
      </w:pPr>
      <w:r>
        <w:rPr>
          <w:rFonts w:hint="eastAsia" w:ascii="宋体" w:hAnsi="宋体" w:eastAsia="宋体" w:cs="宋体"/>
          <w:b/>
          <w:color w:val="auto"/>
          <w:sz w:val="22"/>
          <w:highlight w:val="none"/>
          <w:lang w:val="en-US" w:eastAsia="zh-CN"/>
        </w:rPr>
        <w:t xml:space="preserve">2</w:t>
      </w:r>
      <w:r>
        <w:rPr>
          <w:rFonts w:hint="eastAsia" w:ascii="宋体" w:hAnsi="宋体" w:eastAsia="宋体" w:cs="宋体"/>
          <w:b/>
          <w:color w:val="auto"/>
          <w:sz w:val="22"/>
          <w:highlight w:val="none"/>
        </w:rPr>
        <w:t xml:space="preserve">、印刷服务</w:t>
      </w:r>
      <w:r>
        <w:rPr>
          <w:rFonts w:hint="eastAsia" w:ascii="宋体" w:hAnsi="宋体" w:eastAsia="宋体" w:cs="宋体"/>
          <w:color w:val="auto"/>
          <w:sz w:val="22"/>
          <w:highlight w:val="none"/>
        </w:rPr>
        <w:t xml:space="preserve">：相关物料包括会议流程资料、坐席卡、椅背贴、工作证100个、参赛证200个、请柬、荣誉证书156个、评审手册50份、项目手册400份、参赛手册600份、选手胸贴2套每套156个、手卡若干、手拎袋400个、道旗、宣传册、获奖支票、嘉宾流程单、沿途指引地贴、签到簿、签到台卡、横幅、站位贴、主持人手卡、易拉宝、抽签条等。</w:t>
      </w:r>
      <w:r/>
    </w:p>
    <w:p>
      <w:pPr>
        <w:ind w:firstLine="442"/>
        <w:spacing w:line="360" w:lineRule="auto"/>
        <w:rPr>
          <w:rFonts w:hint="eastAsia" w:ascii="宋体" w:hAnsi="宋体" w:eastAsia="宋体" w:cs="宋体"/>
          <w:color w:val="auto"/>
          <w:sz w:val="22"/>
          <w:highlight w:val="none"/>
        </w:rPr>
      </w:pPr>
      <w:r>
        <w:rPr>
          <w:rFonts w:hint="eastAsia" w:ascii="宋体" w:hAnsi="宋体" w:eastAsia="宋体" w:cs="宋体"/>
          <w:b/>
          <w:color w:val="auto"/>
          <w:sz w:val="22"/>
          <w:highlight w:val="none"/>
          <w:lang w:val="en-US" w:eastAsia="zh-CN"/>
        </w:rPr>
        <w:t xml:space="preserve">3</w:t>
      </w:r>
      <w:r>
        <w:rPr>
          <w:rFonts w:hint="eastAsia" w:ascii="宋体" w:hAnsi="宋体" w:eastAsia="宋体" w:cs="宋体"/>
          <w:b/>
          <w:color w:val="auto"/>
          <w:sz w:val="22"/>
          <w:highlight w:val="none"/>
        </w:rPr>
        <w:t xml:space="preserve">、搭建服务</w:t>
      </w:r>
      <w:r>
        <w:rPr>
          <w:rFonts w:hint="eastAsia" w:ascii="宋体" w:hAnsi="宋体" w:eastAsia="宋体" w:cs="宋体"/>
          <w:color w:val="auto"/>
          <w:sz w:val="22"/>
          <w:highlight w:val="none"/>
        </w:rPr>
        <w:t xml:space="preserve">：相关开赛仪式、赛场和颁奖会场布置搭建服务，主要包括1个开赛仪式、</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个赛场、1个颁奖会场、活动背景6个、品牌logo墙1个、签到墙1个、舞台+台阶、主题立体字、优秀创业成果背景板5组、龙门架、雷亚架、光速灯、LEDpar灯、LOGO灯+造型、戎耀今生主题雕刻字、辅屏、音响、舞台前沿屏、大屏控台、演讲台包边画面、启动球、提词器、灯光控台等。</w:t>
      </w:r>
      <w:r/>
    </w:p>
    <w:p>
      <w:pPr>
        <w:ind w:firstLine="442"/>
        <w:spacing w:line="360" w:lineRule="auto"/>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4、视频服务</w:t>
      </w:r>
      <w:r>
        <w:rPr>
          <w:rFonts w:hint="eastAsia" w:ascii="宋体" w:hAnsi="宋体" w:eastAsia="宋体" w:cs="宋体"/>
          <w:color w:val="auto"/>
          <w:sz w:val="22"/>
          <w:highlight w:val="none"/>
        </w:rPr>
        <w:t xml:space="preserve">：包括拍摄制作、全程摄像录制、全程摄影、现场视频技术传输、图片直播、活动宣传片（5分钟）、活动花絮视频剪辑、创业者访谈视频、大赛回顾视频、优惠政策和帮扶措施视频等，大屏动态画面设计、节目背景视频、新媒体短视频等。灯光舞美等。</w:t>
      </w:r>
      <w:r/>
    </w:p>
    <w:p>
      <w:pPr>
        <w:ind w:firstLine="442"/>
        <w:spacing w:line="360" w:lineRule="auto"/>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5、人员服务</w:t>
      </w:r>
      <w:r>
        <w:rPr>
          <w:rFonts w:hint="eastAsia" w:ascii="宋体" w:hAnsi="宋体" w:eastAsia="宋体" w:cs="宋体"/>
          <w:color w:val="auto"/>
          <w:sz w:val="22"/>
          <w:highlight w:val="none"/>
        </w:rPr>
        <w:t xml:space="preserve">：导演、编导、表演人员、礼仪、项目经理、知名主持人男女各1人、大屏、音响、灯光师、化妆造型人员、日常服务工作人员等。带妆彩排一次。</w:t>
      </w:r>
      <w:r/>
    </w:p>
    <w:p>
      <w:pPr>
        <w:ind w:firstLine="442"/>
        <w:spacing w:line="360" w:lineRule="auto"/>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6、杂项服务</w:t>
      </w:r>
      <w:r>
        <w:rPr>
          <w:rFonts w:hint="eastAsia" w:ascii="宋体" w:hAnsi="宋体" w:eastAsia="宋体" w:cs="宋体"/>
          <w:color w:val="auto"/>
          <w:sz w:val="22"/>
          <w:highlight w:val="none"/>
        </w:rPr>
        <w:t xml:space="preserve">: 现场速记、地毯、签到笔、电子签约设备、对讲机、绿植、抽签箱、奖牌和奖杯各若干个、指示牌若干、线阵含手持话筒与鹅颈话筒、话筒牌、其它设备器材（租或自备）、文具用品、矿泉水、地面保护、通讯交通办公杂费、物料运输费、花篮、台花等。</w:t>
      </w:r>
      <w:r/>
    </w:p>
    <w:p>
      <w:pP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四、商务要求</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（一）供应商</w:t>
      </w:r>
      <w:r>
        <w:rPr>
          <w:rFonts w:hint="eastAsia" w:ascii="宋体" w:hAnsi="宋体" w:eastAsia="宋体" w:cs="宋体"/>
          <w:color w:val="auto"/>
          <w:sz w:val="22"/>
          <w:szCs w:val="22"/>
          <w:highlight w:val="none"/>
          <w:lang w:eastAsia="zh-CN"/>
        </w:rPr>
        <w:t xml:space="preserve">所提</w:t>
      </w:r>
      <w:r>
        <w:rPr>
          <w:rFonts w:hint="eastAsia" w:ascii="宋体" w:hAnsi="宋体" w:eastAsia="宋体" w:cs="宋体"/>
          <w:color w:val="auto"/>
          <w:sz w:val="22"/>
          <w:szCs w:val="22"/>
          <w:highlight w:val="none"/>
        </w:rPr>
        <w:t xml:space="preserve">供本大赛活动所需的宣传资料，应保证其不侵犯第三方包括知识产权、肖像权等在内的一切合法权益。</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（二）采购人有权对供应商所</w:t>
      </w:r>
      <w:r>
        <w:rPr>
          <w:rFonts w:hint="eastAsia" w:ascii="宋体" w:hAnsi="宋体" w:eastAsia="宋体" w:cs="宋体"/>
          <w:color w:val="auto"/>
          <w:sz w:val="22"/>
          <w:szCs w:val="22"/>
          <w:highlight w:val="none"/>
          <w:lang w:eastAsia="zh-CN"/>
        </w:rPr>
        <w:t xml:space="preserve">做</w:t>
      </w:r>
      <w:r>
        <w:rPr>
          <w:rFonts w:hint="eastAsia" w:ascii="宋体" w:hAnsi="宋体" w:eastAsia="宋体" w:cs="宋体"/>
          <w:color w:val="auto"/>
          <w:sz w:val="22"/>
          <w:szCs w:val="22"/>
          <w:highlight w:val="none"/>
        </w:rPr>
        <w:t xml:space="preserve">的宣传等服务进行全程监督，根据项目进展提出意见和建议。</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（三）服务流程须符合最新的国家、省市及其他相关的行业规范和技术标准。</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w:t>
      </w:r>
      <w:r>
        <w:rPr>
          <w:rFonts w:hint="eastAsia" w:ascii="宋体" w:hAnsi="宋体" w:eastAsia="宋体" w:cs="宋体"/>
          <w:color w:val="auto"/>
          <w:sz w:val="22"/>
          <w:szCs w:val="22"/>
          <w:highlight w:val="none"/>
          <w:lang w:val="en-US" w:eastAsia="zh-CN"/>
        </w:rPr>
        <w:t xml:space="preserve">本次</w:t>
      </w:r>
      <w:r>
        <w:rPr>
          <w:rFonts w:hint="eastAsia" w:ascii="宋体" w:hAnsi="宋体" w:eastAsia="宋体" w:cs="宋体"/>
          <w:color w:val="auto"/>
          <w:sz w:val="22"/>
          <w:szCs w:val="22"/>
          <w:highlight w:val="none"/>
        </w:rPr>
        <w:t xml:space="preserve">项目未经采购人同意，不得转包或分包。</w:t>
      </w:r>
      <w:r/>
    </w:p>
    <w:p>
      <w:pP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五、付款方式</w:t>
      </w:r>
      <w:r/>
    </w:p>
    <w:p>
      <w:pPr>
        <w:ind w:firstLine="44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合同签订后15个工作日内，采购人向成交供应商支付合同款项的</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0%作为预付款；项目结束后，采购人向成交供应商支付剩余款项。采购人向成交供应商付款时，成交供应商需提供国家正规等额发票。</w:t>
      </w:r>
      <w:r/>
    </w:p>
    <w:p>
      <w:pPr>
        <w:rPr>
          <w:rStyle w:val="749"/>
          <w:rFonts w:hint="eastAsia"/>
          <w:color w:val="auto"/>
          <w:sz w:val="36"/>
          <w:szCs w:val="36"/>
          <w:highlight w:val="none"/>
          <w:lang w:val="en-US" w:eastAsia="zh-CN"/>
        </w:rPr>
      </w:pPr>
      <w:r>
        <w:rPr>
          <w:rStyle w:val="749"/>
          <w:rFonts w:hint="eastAsia"/>
          <w:color w:val="auto"/>
          <w:sz w:val="36"/>
          <w:szCs w:val="36"/>
          <w:highlight w:val="none"/>
          <w:lang w:val="en-US" w:eastAsia="zh-CN"/>
        </w:rPr>
        <w:br w:type="page" w:clear="all"/>
      </w:r>
      <w:r/>
    </w:p>
    <w:p>
      <w:pPr>
        <w:jc w:val="center"/>
        <w:rPr>
          <w:rStyle w:val="749"/>
          <w:rFonts w:hint="eastAsia"/>
          <w:b/>
          <w:bCs/>
          <w:color w:val="auto"/>
          <w:sz w:val="36"/>
          <w:szCs w:val="36"/>
          <w:highlight w:val="none"/>
          <w:lang w:val="en-US" w:eastAsia="zh-CN"/>
        </w:rPr>
        <w:outlineLvl w:val="0"/>
      </w:pPr>
      <w:r/>
      <w:bookmarkStart w:id="104" w:name="_Toc30186"/>
      <w:r>
        <w:rPr>
          <w:rStyle w:val="749"/>
          <w:rFonts w:hint="eastAsia"/>
          <w:b/>
          <w:bCs/>
          <w:color w:val="auto"/>
          <w:sz w:val="36"/>
          <w:szCs w:val="36"/>
          <w:highlight w:val="none"/>
          <w:lang w:val="en-US" w:eastAsia="zh-CN"/>
        </w:rPr>
        <w:t xml:space="preserve">第五章  评标方法与评标标准</w:t>
      </w:r>
      <w:bookmarkEnd w:id="102"/>
      <w:r/>
      <w:bookmarkEnd w:id="104"/>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采用综合评分法的，评标结果按评审后得分由高到低顺序排列。得分相同的，按投标报价由低到高顺序排列。得分且投标报价相同的，按</w:t>
      </w: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得分由高到低顺序排列。在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全部实质性要求的供应商中，按照评审得分由高到低选取3名中标候选人。</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分为包一、包二，共计两个采购包，可兼投但不兼中。按照包一、包二顺序依次评审。如供应商在包一中为第一中标候选人，则不再推荐为包二的中标候选人，包二的中标候选人按综合得分由高到低依序产生。</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二、小微企业价格扣除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本项目服务全部由小微企业承接的，</w:t>
      </w:r>
      <w:r>
        <w:rPr>
          <w:rFonts w:hint="eastAsia" w:ascii="宋体" w:hAnsi="宋体" w:eastAsia="宋体" w:cs="宋体"/>
          <w:color w:val="auto"/>
          <w:sz w:val="24"/>
          <w:szCs w:val="24"/>
          <w:highlight w:val="none"/>
        </w:rPr>
        <w:t xml:space="preserve">对报价给予</w:t>
      </w:r>
      <w:r>
        <w:rPr>
          <w:rFonts w:hint="eastAsia" w:ascii="宋体" w:hAnsi="宋体" w:eastAsia="宋体" w:cs="宋体"/>
          <w:color w:val="auto"/>
          <w:sz w:val="24"/>
          <w:szCs w:val="24"/>
          <w:highlight w:val="none"/>
          <w:lang w:val="zh-CN"/>
        </w:rPr>
        <w:t xml:space="preserve">10%</w:t>
      </w:r>
      <w:r>
        <w:rPr>
          <w:rFonts w:hint="eastAsia" w:ascii="宋体" w:hAnsi="宋体" w:eastAsia="宋体" w:cs="宋体"/>
          <w:color w:val="auto"/>
          <w:sz w:val="24"/>
          <w:szCs w:val="24"/>
          <w:highlight w:val="none"/>
        </w:rPr>
        <w:t xml:space="preserve">的扣除，用扣除后的价格参与评审。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三、评标标准</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采购包1（第四届创业创新大赛技术支持）90万元</w:t>
      </w:r>
      <w:r/>
    </w:p>
    <w:tbl>
      <w:tblPr>
        <w:tblStyle w:val="71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ind w:firstLine="442"/>
              <w:jc w:val="cente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分值</w:t>
            </w:r>
            <w:r/>
          </w:p>
        </w:tc>
      </w:tr>
      <w:tr>
        <w:trPr>
          <w:jc w:val="center"/>
          <w:trHeight w:val="426"/>
        </w:trPr>
        <w:tc>
          <w:tcPr>
            <w:gridSpan w:val="4"/>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jc w:val="both"/>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一</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价格部分（10分）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采用低价优先法计算，即满足磋商文件要求且最终报价最低的响应报价为评审基准价，其价格分为满分。其他供应商的价格分统一按照下列公式计算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响应报价得分=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评审基准价/最终响应报价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r>
      <w:tr>
        <w:trPr>
          <w:jc w:val="center"/>
          <w:trHeight w:val="388"/>
        </w:trPr>
        <w:tc>
          <w:tcPr>
            <w:gridSpan w:val="4"/>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jc w:val="both"/>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技术部分（45分）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w:t>
            </w:r>
            <w:r/>
          </w:p>
        </w:tc>
        <w:tc>
          <w:tcPr>
            <w:tcBorders>
              <w:top w:val="single" w:color="auto" w:sz="4" w:space="0"/>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活动策划方案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根据供应商提供的活动策划方案全面性、创新性、特色亮点等进行综合评分：</w:t>
            </w:r>
            <w:r/>
          </w:p>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方案全面、可操作性强、有针对性、新颖、有特色、有较好的图文设计能力得1</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分；方案全面</w:t>
            </w:r>
            <w:r>
              <w:rPr>
                <w:rFonts w:hint="eastAsia" w:ascii="宋体" w:hAnsi="宋体" w:eastAsia="宋体" w:cs="宋体"/>
                <w:color w:val="auto"/>
                <w:sz w:val="22"/>
                <w:szCs w:val="22"/>
                <w:highlight w:val="none"/>
                <w:lang w:eastAsia="zh-CN"/>
              </w:rPr>
              <w:t xml:space="preserve">，具</w:t>
            </w:r>
            <w:r>
              <w:rPr>
                <w:rFonts w:hint="eastAsia" w:ascii="宋体" w:hAnsi="宋体" w:eastAsia="宋体" w:cs="宋体"/>
                <w:color w:val="auto"/>
                <w:sz w:val="22"/>
                <w:szCs w:val="22"/>
                <w:highlight w:val="none"/>
              </w:rPr>
              <w:t xml:space="preserve">有操作性、定位准确、比较新颖，具有一定的创新性</w:t>
            </w:r>
            <w:r>
              <w:rPr>
                <w:rFonts w:hint="eastAsia" w:ascii="宋体" w:hAnsi="宋体" w:eastAsia="宋体" w:cs="宋体"/>
                <w:color w:val="auto"/>
                <w:sz w:val="22"/>
                <w:szCs w:val="22"/>
                <w:highlight w:val="none"/>
                <w:lang w:eastAsia="zh-CN"/>
              </w:rPr>
              <w:t xml:space="preserve">，具</w:t>
            </w:r>
            <w:r>
              <w:rPr>
                <w:rFonts w:hint="eastAsia" w:ascii="宋体" w:hAnsi="宋体" w:eastAsia="宋体" w:cs="宋体"/>
                <w:color w:val="auto"/>
                <w:sz w:val="22"/>
                <w:szCs w:val="22"/>
                <w:highlight w:val="none"/>
              </w:rPr>
              <w:t xml:space="preserve">有一定图文设计能力得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 方案基本全面</w:t>
            </w:r>
            <w:r>
              <w:rPr>
                <w:rFonts w:hint="eastAsia" w:ascii="宋体" w:hAnsi="宋体" w:eastAsia="宋体" w:cs="宋体"/>
                <w:color w:val="auto"/>
                <w:sz w:val="22"/>
                <w:szCs w:val="22"/>
                <w:highlight w:val="none"/>
                <w:lang w:eastAsia="zh-CN"/>
              </w:rPr>
              <w:t xml:space="preserve">，具</w:t>
            </w:r>
            <w:r>
              <w:rPr>
                <w:rFonts w:hint="eastAsia" w:ascii="宋体" w:hAnsi="宋体" w:eastAsia="宋体" w:cs="宋体"/>
                <w:color w:val="auto"/>
                <w:sz w:val="22"/>
                <w:szCs w:val="22"/>
                <w:highlight w:val="none"/>
              </w:rPr>
              <w:t xml:space="preserve">有一定操作性、定位基本准确，图文设计能力一般得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分；方案不够全面，定位不够准确、针对性不强得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其他或未提供不得分。 </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r>
      <w:tr>
        <w:trPr>
          <w:jc w:val="center"/>
        </w:trPr>
        <w:tc>
          <w:tcPr>
            <w:tcBorders>
              <w:top w:val="single" w:color="auto" w:sz="4" w:space="0"/>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参赛项目对接及审查方案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根据供应商提供的参赛项目对接及项目审查方案进行综合评分：</w:t>
            </w:r>
            <w:r/>
          </w:p>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有切实可行的对接方式以及明确的项目审查经验及审查方法得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分；有切实可行的对接方式以及较为明确的项目审查经验及审查方法得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分；对接方式和审查项目方法尚可得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分；对接方式及审查项目方法都不明确得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分；无对接方式和审查方法不得分。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食宿及场地安排方案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strike w:val="0"/>
                <w:color w:val="auto"/>
                <w:sz w:val="22"/>
                <w:szCs w:val="22"/>
                <w:highlight w:val="none"/>
              </w:rPr>
              <w:t xml:space="preserve">在提供政府定点酒店及场地确认函</w:t>
            </w:r>
            <w:r>
              <w:rPr>
                <w:rFonts w:hint="eastAsia" w:ascii="宋体" w:hAnsi="宋体" w:eastAsia="宋体" w:cs="宋体"/>
                <w:strike w:val="0"/>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基础上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食宿方案科学细致、满足300人2.5天得2分；5个平行赛场方案清晰、设备齐全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每提供1个</w:t>
            </w:r>
            <w:r>
              <w:rPr>
                <w:rFonts w:hint="eastAsia" w:ascii="宋体" w:hAnsi="宋体" w:eastAsia="宋体" w:cs="宋体"/>
                <w:color w:val="auto"/>
                <w:sz w:val="22"/>
                <w:szCs w:val="22"/>
                <w:highlight w:val="none"/>
              </w:rPr>
              <w:t xml:space="preserve">平行赛场方案得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最多得5分</w:t>
            </w:r>
            <w:r>
              <w:rPr>
                <w:rFonts w:hint="eastAsia" w:ascii="宋体" w:hAnsi="宋体" w:eastAsia="宋体" w:cs="宋体"/>
                <w:color w:val="auto"/>
                <w:sz w:val="22"/>
                <w:szCs w:val="22"/>
                <w:highlight w:val="none"/>
              </w:rPr>
              <w:t xml:space="preserve">；主会场≥800平米且</w:t>
            </w:r>
            <w:r>
              <w:rPr>
                <w:rFonts w:hint="eastAsia" w:ascii="宋体" w:hAnsi="宋体" w:eastAsia="宋体" w:cs="宋体"/>
                <w:color w:val="auto"/>
                <w:sz w:val="22"/>
                <w:szCs w:val="22"/>
                <w:highlight w:val="none"/>
                <w:lang w:val="en-US" w:eastAsia="zh-CN"/>
              </w:rPr>
              <w:t xml:space="preserve">设计</w:t>
            </w:r>
            <w:r>
              <w:rPr>
                <w:rFonts w:hint="eastAsia" w:ascii="宋体" w:hAnsi="宋体" w:eastAsia="宋体" w:cs="宋体"/>
                <w:color w:val="auto"/>
                <w:sz w:val="22"/>
                <w:szCs w:val="22"/>
                <w:highlight w:val="none"/>
              </w:rPr>
              <w:t xml:space="preserve">方案完善得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总计8分</w:t>
            </w:r>
            <w:r>
              <w:rPr>
                <w:rFonts w:hint="eastAsia" w:ascii="宋体" w:hAnsi="宋体" w:eastAsia="宋体" w:cs="宋体"/>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国赛前辅导方案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跟踪辅导每个项目≥10人次；材料包装制作方案专业可行；专人现场保障；总结方案完整</w:t>
            </w:r>
            <w:r>
              <w:rPr>
                <w:rFonts w:hint="eastAsia" w:ascii="宋体" w:hAnsi="宋体" w:eastAsia="宋体" w:cs="宋体"/>
                <w:color w:val="auto"/>
                <w:sz w:val="22"/>
                <w:szCs w:val="22"/>
                <w:highlight w:val="none"/>
                <w:lang w:val="en-US" w:eastAsia="zh-CN"/>
              </w:rPr>
              <w:t xml:space="preserve">得5分；</w:t>
            </w:r>
            <w:r>
              <w:rPr>
                <w:rFonts w:hint="eastAsia" w:ascii="宋体" w:hAnsi="宋体" w:eastAsia="宋体" w:cs="宋体"/>
                <w:color w:val="auto"/>
                <w:sz w:val="22"/>
                <w:szCs w:val="22"/>
                <w:highlight w:val="none"/>
              </w:rPr>
              <w:t xml:space="preserve">方案基本完整，细节略有不足</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得3分；</w:t>
            </w:r>
            <w:r>
              <w:rPr>
                <w:rFonts w:hint="eastAsia" w:ascii="宋体" w:hAnsi="宋体" w:eastAsia="宋体" w:cs="宋体"/>
                <w:color w:val="auto"/>
                <w:sz w:val="22"/>
                <w:szCs w:val="22"/>
                <w:highlight w:val="none"/>
              </w:rPr>
              <w:t xml:space="preserve">仅有简单描述</w:t>
            </w:r>
            <w:r>
              <w:rPr>
                <w:rFonts w:hint="eastAsia" w:ascii="宋体" w:hAnsi="宋体" w:eastAsia="宋体" w:cs="宋体"/>
                <w:color w:val="auto"/>
                <w:sz w:val="22"/>
                <w:szCs w:val="22"/>
                <w:highlight w:val="none"/>
                <w:lang w:val="en-US" w:eastAsia="zh-CN"/>
              </w:rPr>
              <w:t xml:space="preserve">得1分；</w:t>
            </w:r>
            <w:r>
              <w:rPr>
                <w:rFonts w:hint="eastAsia" w:ascii="宋体" w:hAnsi="宋体" w:eastAsia="宋体" w:cs="宋体"/>
                <w:color w:val="auto"/>
                <w:sz w:val="22"/>
                <w:szCs w:val="22"/>
                <w:highlight w:val="none"/>
              </w:rPr>
              <w:t xml:space="preserve">未提供</w:t>
            </w:r>
            <w:r>
              <w:rPr>
                <w:rFonts w:hint="eastAsia" w:ascii="宋体" w:hAnsi="宋体" w:eastAsia="宋体" w:cs="宋体"/>
                <w:color w:val="auto"/>
                <w:sz w:val="22"/>
                <w:szCs w:val="22"/>
                <w:highlight w:val="none"/>
                <w:lang w:val="en-US" w:eastAsia="zh-CN"/>
              </w:rPr>
              <w:t xml:space="preserve">不得分。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r>
      <w:tr>
        <w:trPr>
          <w:jc w:val="center"/>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2.5</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1"/>
                <w:szCs w:val="21"/>
                <w:highlight w:val="none"/>
              </w:rPr>
              <w:t xml:space="preserve">人员配备</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根据供应商提供的本项目拟投入的人员配备情况（人员配备是否充足，分工是否明确、分配是否合理等）进行综合评分：</w:t>
            </w:r>
            <w:r/>
          </w:p>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安排合理、拟安排人员经验丰富且综合素质高且不低于10人得10分；人员安排合理、人员经验尚可，综合素质尚可且不低于8人得8分；人员安排能够满足采购需求、经验一般、综合素质一般且不低于6人得6分；人员安排合理性、经验、综合素质较弱且不低于4人得4分；</w:t>
            </w:r>
            <w:r/>
          </w:p>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项目负责人资质加分：提供</w:t>
            </w:r>
            <w:r>
              <w:rPr>
                <w:rFonts w:hint="eastAsia" w:ascii="宋体" w:hAnsi="宋体" w:eastAsia="宋体" w:cs="宋体"/>
                <w:color w:val="auto"/>
                <w:sz w:val="22"/>
                <w:szCs w:val="22"/>
                <w:highlight w:val="none"/>
              </w:rPr>
              <w:t xml:space="preserve">1次</w:t>
            </w:r>
            <w:r>
              <w:rPr>
                <w:rFonts w:hint="eastAsia" w:ascii="宋体" w:hAnsi="宋体" w:cs="宋体"/>
                <w:color w:val="auto"/>
                <w:sz w:val="22"/>
                <w:szCs w:val="22"/>
                <w:highlight w:val="none"/>
                <w:lang w:eastAsia="zh-CN"/>
              </w:rPr>
              <w:t xml:space="preserve">省级及以上</w:t>
            </w:r>
            <w:r>
              <w:rPr>
                <w:rFonts w:hint="eastAsia" w:ascii="宋体" w:hAnsi="宋体" w:eastAsia="宋体" w:cs="宋体"/>
                <w:color w:val="auto"/>
                <w:sz w:val="22"/>
                <w:szCs w:val="22"/>
                <w:highlight w:val="none"/>
              </w:rPr>
              <w:t xml:space="preserve">同类赛事评委经验有效证明得2分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其他或未提供不得分。（项目团队均需提供社保缴纳证明，负责人需提供相关聘书、邀请函等）</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r>
      <w:tr>
        <w:trPr>
          <w:jc w:val="center"/>
          <w:trHeight w:val="315"/>
        </w:trPr>
        <w:tc>
          <w:tcPr>
            <w:gridSpan w:val="4"/>
            <w:tcBorders>
              <w:left w:val="single" w:color="auto" w:sz="4" w:space="0"/>
              <w:right w:val="single" w:color="auto" w:sz="4" w:space="0"/>
            </w:tcBorders>
            <w:tcW w:w="9071" w:type="dxa"/>
            <w:vAlign w:val="center"/>
            <w:textDirection w:val="lrTb"/>
            <w:noWrap w:val="false"/>
          </w:tcPr>
          <w:p>
            <w:pPr>
              <w:jc w:val="both"/>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商务部分（45分）</w:t>
            </w:r>
            <w:r/>
          </w:p>
        </w:tc>
      </w:tr>
      <w:tr>
        <w:trPr>
          <w:jc w:val="center"/>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类似业绩：响应供应商提供20</w:t>
            </w:r>
            <w:r>
              <w:rPr>
                <w:rFonts w:hint="eastAsia" w:ascii="宋体" w:hAnsi="宋体" w:eastAsia="宋体" w:cs="宋体"/>
                <w:color w:val="auto"/>
                <w:sz w:val="22"/>
                <w:szCs w:val="22"/>
                <w:highlight w:val="none"/>
                <w:lang w:val="en-US" w:eastAsia="zh-CN"/>
              </w:rPr>
              <w:t xml:space="preserve">21</w:t>
            </w:r>
            <w:r>
              <w:rPr>
                <w:rFonts w:hint="eastAsia" w:ascii="宋体" w:hAnsi="宋体" w:eastAsia="宋体" w:cs="宋体"/>
                <w:color w:val="auto"/>
                <w:sz w:val="22"/>
                <w:szCs w:val="22"/>
                <w:highlight w:val="none"/>
              </w:rPr>
              <w:t xml:space="preserve">年7月1日（含）以来承接过类似大赛项目业绩，每提供一个业绩得3分，最多得15分。（以合同签订时间为准，需提供完整的合同复印件加盖公章，提供的材料须反映相关数据，否则视为未提供，原件备查）</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r>
      <w:tr>
        <w:trPr>
          <w:jc w:val="center"/>
          <w:trHeight w:val="1970"/>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评委导师库</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根据供应商提供的本次赛事相关要求的评委导师库总人数达50人及以上的得</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分，总人数达30人及以上得</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分，总人数达10人及以上得6分，总人数低于10人得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分。（需提供相关证明材料加盖公章，提供的材料须反映相关数据，否则视为未提供，原件备查）</w:t>
            </w:r>
            <w:r/>
          </w:p>
        </w:tc>
        <w:tc>
          <w:tcPr>
            <w:tcBorders>
              <w:left w:val="single" w:color="auto" w:sz="4" w:space="0"/>
              <w:right w:val="single" w:color="auto" w:sz="4" w:space="0"/>
            </w:tcBorders>
            <w:tcW w:w="776"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r>
      <w:tr>
        <w:trPr>
          <w:jc w:val="center"/>
          <w:trHeight w:val="436"/>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企业实力</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w:t>
            </w:r>
            <w:r>
              <w:rPr>
                <w:rFonts w:hint="eastAsia" w:ascii="宋体" w:hAnsi="宋体" w:cs="宋体"/>
                <w:color w:val="auto"/>
                <w:sz w:val="22"/>
                <w:szCs w:val="22"/>
                <w:highlight w:val="none"/>
                <w:lang w:eastAsia="zh-CN"/>
              </w:rPr>
              <w:t xml:space="preserve">类似创业创新赛事</w:t>
            </w:r>
            <w:r>
              <w:rPr>
                <w:rFonts w:hint="eastAsia" w:ascii="宋体" w:hAnsi="宋体" w:eastAsia="宋体" w:cs="宋体"/>
                <w:color w:val="auto"/>
                <w:sz w:val="22"/>
                <w:szCs w:val="22"/>
                <w:highlight w:val="none"/>
              </w:rPr>
              <w:t xml:space="preserve">辅导项目获得过三等奖及以上奖项的一个得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分，满分</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（需提供相关证明材料加盖公章，提供的材料须反映相关数据，否则视为未提供，原件备查）</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r>
      <w:tr>
        <w:trPr>
          <w:jc w:val="center"/>
          <w:trHeight w:val="436"/>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风投机构</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根据供应商引进的风投机构数量进行打分，每引进一家得2分，满分</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分。（需提供相关证明材料加盖公章，提供的材料须反映相关数据，否则视为未提供，原件备查）</w:t>
            </w:r>
            <w:r/>
          </w:p>
        </w:tc>
        <w:tc>
          <w:tcPr>
            <w:tcBorders>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6</w:t>
            </w:r>
            <w:r/>
          </w:p>
        </w:tc>
      </w:tr>
      <w:tr>
        <w:trPr>
          <w:jc w:val="center"/>
          <w:trHeight w:val="436"/>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3.5</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技术经理人配备</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供应商需提供不少于2名专职技术经理人的相关证明材料及近6个月社保缴纳证明：2名及以上技术经理人资质齐全、社保缴纳证明完整有效的得8分；仅提供1名技术经理人完整证明材料的得4分；未提供或提供的材料不完整、不符合要求的不得分。（需提供技术经理人资质证明、社保缴纳证明复印件加盖公章，原件备查）</w:t>
            </w:r>
            <w:r/>
          </w:p>
        </w:tc>
        <w:tc>
          <w:tcPr>
            <w:tcBorders>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r>
      <w:tr>
        <w:trPr>
          <w:jc w:val="center"/>
        </w:trPr>
        <w:tc>
          <w:tcPr>
            <w:gridSpan w:val="3"/>
            <w:tcBorders>
              <w:top w:val="single" w:color="auto" w:sz="4" w:space="0"/>
              <w:left w:val="single" w:color="auto" w:sz="4" w:space="0"/>
              <w:bottom w:val="single" w:color="auto" w:sz="4" w:space="0"/>
              <w:right w:val="single" w:color="auto" w:sz="4" w:space="0"/>
            </w:tcBorders>
            <w:tcW w:w="8295" w:type="dxa"/>
            <w:vAlign w:val="center"/>
            <w:textDirection w:val="lrTb"/>
            <w:noWrap w:val="false"/>
          </w:tcPr>
          <w:p>
            <w:pPr>
              <w:ind w:firstLine="44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w:t>
            </w:r>
            <w:r/>
          </w:p>
        </w:tc>
      </w:tr>
    </w:tbl>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keepLines w:val="0"/>
        <w:keepNext w:val="0"/>
        <w:pageBreakBefore w:val="0"/>
        <w:spacing w:line="360" w:lineRule="auto"/>
        <w:widowControl w:val="off"/>
        <w:rPr>
          <w:rFonts w:hint="eastAsia"/>
          <w:b/>
          <w:bCs/>
          <w:color w:val="auto"/>
          <w:highlight w:val="none"/>
        </w:rPr>
      </w:pPr>
      <w:r>
        <w:rPr>
          <w:rFonts w:hint="eastAsia" w:ascii="宋体" w:hAnsi="宋体" w:cs="宋体"/>
          <w:b/>
          <w:bCs/>
          <w:color w:val="auto"/>
          <w:sz w:val="24"/>
          <w:szCs w:val="24"/>
          <w:highlight w:val="none"/>
          <w:lang w:val="en-US" w:eastAsia="zh-CN"/>
        </w:rPr>
        <w:t xml:space="preserve">采购包2（第四届创业创新大赛会展服务）78万元</w:t>
      </w:r>
      <w:r/>
    </w:p>
    <w:tbl>
      <w:tblPr>
        <w:tblStyle w:val="71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01"/>
        <w:gridCol w:w="785"/>
      </w:tblGrid>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ind w:firstLine="442"/>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磋商文件要求且最终报价最低的响应报价为评审基准价，其价格分为满分。其他供应商的价格分统一按照下列公式计算:响应报价得分=(评审基准价/最终响应报价)×15（小数点保留两位）。</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Borders>
              <w:top w:val="single" w:color="auto" w:sz="4" w:space="0"/>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大赛活动主题、物料设计方案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根据供应商提供的大赛</w:t>
            </w:r>
            <w:r>
              <w:rPr>
                <w:rFonts w:hint="eastAsia" w:ascii="宋体" w:hAnsi="宋体" w:eastAsia="宋体" w:cs="宋体"/>
                <w:color w:val="auto"/>
                <w:sz w:val="22"/>
                <w:szCs w:val="22"/>
                <w:highlight w:val="none"/>
              </w:rPr>
              <w:t xml:space="preserve">展示</w:t>
            </w:r>
            <w:r>
              <w:rPr>
                <w:rFonts w:hint="eastAsia" w:ascii="宋体" w:hAnsi="宋体" w:eastAsia="宋体" w:cs="宋体"/>
                <w:color w:val="auto"/>
                <w:sz w:val="22"/>
                <w:szCs w:val="22"/>
                <w:highlight w:val="none"/>
              </w:rPr>
              <w:t xml:space="preserve">整体视觉</w:t>
            </w:r>
            <w:r>
              <w:rPr>
                <w:rFonts w:hint="eastAsia" w:ascii="宋体" w:hAnsi="宋体" w:eastAsia="宋体" w:cs="宋体"/>
                <w:color w:val="auto"/>
                <w:sz w:val="22"/>
                <w:szCs w:val="22"/>
                <w:highlight w:val="none"/>
              </w:rPr>
              <w:t xml:space="preserve">物料及展陈设计方案</w:t>
            </w:r>
            <w:r>
              <w:rPr>
                <w:rFonts w:hint="eastAsia" w:ascii="宋体" w:hAnsi="宋体" w:eastAsia="宋体" w:cs="宋体"/>
                <w:color w:val="auto"/>
                <w:sz w:val="22"/>
                <w:szCs w:val="22"/>
                <w:highlight w:val="none"/>
                <w:lang w:val="en-US" w:eastAsia="zh-CN"/>
              </w:rPr>
              <w:t xml:space="preserve">以及效果图</w:t>
            </w:r>
            <w:r>
              <w:rPr>
                <w:rFonts w:hint="eastAsia" w:ascii="宋体" w:hAnsi="宋体" w:eastAsia="宋体" w:cs="宋体"/>
                <w:color w:val="auto"/>
                <w:sz w:val="22"/>
                <w:szCs w:val="22"/>
                <w:highlight w:val="none"/>
              </w:rPr>
              <w:t xml:space="preserve">进行综合评分： </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详细合理，整体思路非常清晰，充分体现本次活动主题、思路新颖，可操作性强的得12分；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思路清晰，基本体现活动主题，有一定可操作性得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思路基本清晰，可操作性一般的得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思路较差、不具备可操作性得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Borders>
              <w:top w:val="single" w:color="auto" w:sz="4" w:space="0"/>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颁奖舞台及比赛场地设计</w:t>
            </w:r>
            <w:r>
              <w:rPr>
                <w:rFonts w:hint="eastAsia" w:ascii="宋体" w:hAnsi="宋体" w:eastAsia="宋体" w:cs="宋体"/>
                <w:color w:val="auto"/>
                <w:sz w:val="22"/>
                <w:szCs w:val="22"/>
                <w:highlight w:val="none"/>
              </w:rPr>
              <w:t xml:space="preserve">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w:t>
            </w:r>
            <w:r>
              <w:rPr>
                <w:rFonts w:hint="eastAsia" w:ascii="宋体" w:hAnsi="宋体" w:eastAsia="宋体" w:cs="宋体"/>
                <w:color w:val="auto"/>
                <w:sz w:val="22"/>
                <w:szCs w:val="22"/>
                <w:highlight w:val="none"/>
              </w:rPr>
              <w:t xml:space="preserve">颁奖舞台</w:t>
            </w:r>
            <w:r>
              <w:rPr>
                <w:rFonts w:hint="eastAsia" w:ascii="宋体" w:hAnsi="宋体" w:eastAsia="宋体" w:cs="宋体"/>
                <w:color w:val="auto"/>
                <w:sz w:val="22"/>
                <w:szCs w:val="22"/>
                <w:highlight w:val="none"/>
              </w:rPr>
              <w:t xml:space="preserve">和比赛场地</w:t>
            </w:r>
            <w:r>
              <w:rPr>
                <w:rFonts w:hint="eastAsia" w:ascii="宋体" w:hAnsi="宋体" w:eastAsia="宋体" w:cs="宋体"/>
                <w:color w:val="auto"/>
                <w:sz w:val="22"/>
                <w:szCs w:val="22"/>
                <w:highlight w:val="none"/>
              </w:rPr>
              <w:t xml:space="preserve">设计</w:t>
            </w:r>
            <w:r>
              <w:rPr>
                <w:rFonts w:hint="eastAsia" w:ascii="宋体" w:hAnsi="宋体" w:eastAsia="宋体" w:cs="宋体"/>
                <w:color w:val="auto"/>
                <w:sz w:val="22"/>
                <w:szCs w:val="22"/>
                <w:highlight w:val="none"/>
              </w:rPr>
              <w:t xml:space="preserve">方案</w:t>
            </w:r>
            <w:r>
              <w:rPr>
                <w:rFonts w:hint="eastAsia" w:ascii="宋体" w:hAnsi="宋体" w:eastAsia="宋体" w:cs="宋体"/>
                <w:color w:val="auto"/>
                <w:sz w:val="22"/>
                <w:szCs w:val="22"/>
                <w:highlight w:val="none"/>
                <w:lang w:val="en-US" w:eastAsia="zh-CN"/>
              </w:rPr>
              <w:t xml:space="preserve">以及效果图等</w:t>
            </w:r>
            <w:r>
              <w:rPr>
                <w:rFonts w:hint="eastAsia" w:ascii="宋体" w:hAnsi="宋体" w:eastAsia="宋体" w:cs="宋体"/>
                <w:color w:val="auto"/>
                <w:sz w:val="22"/>
                <w:szCs w:val="22"/>
                <w:highlight w:val="none"/>
              </w:rPr>
              <w:t xml:space="preserve">进行综合评分： </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非常独特、思路新颖，可操作性很强的得</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思路较为突出、思路清晰，可操作性尚可的得</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思路基本清晰、有可操作性的得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设计方案</w:t>
            </w:r>
            <w:r>
              <w:rPr>
                <w:rFonts w:hint="eastAsia" w:ascii="宋体" w:hAnsi="宋体" w:eastAsia="宋体" w:cs="宋体"/>
                <w:color w:val="auto"/>
                <w:sz w:val="22"/>
                <w:szCs w:val="22"/>
                <w:highlight w:val="none"/>
              </w:rPr>
              <w:t xml:space="preserve">思路基本清晰、可操作性较弱的得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4</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视频脚本策划</w:t>
            </w:r>
            <w:r>
              <w:rPr>
                <w:rFonts w:hint="eastAsia" w:ascii="宋体" w:hAnsi="宋体" w:eastAsia="宋体" w:cs="宋体"/>
                <w:color w:val="auto"/>
                <w:sz w:val="22"/>
                <w:szCs w:val="22"/>
                <w:highlight w:val="none"/>
              </w:rPr>
              <w:t xml:space="preserve">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根据供应商提供的关于大赛展示的</w:t>
            </w:r>
            <w:r>
              <w:rPr>
                <w:rFonts w:hint="eastAsia" w:ascii="宋体" w:hAnsi="宋体" w:eastAsia="宋体" w:cs="宋体"/>
                <w:color w:val="auto"/>
                <w:sz w:val="22"/>
                <w:szCs w:val="22"/>
                <w:highlight w:val="none"/>
              </w:rPr>
              <w:t xml:space="preserve">视频脚本策划</w:t>
            </w:r>
            <w:r>
              <w:rPr>
                <w:rFonts w:hint="eastAsia" w:ascii="宋体" w:hAnsi="宋体" w:eastAsia="宋体" w:cs="宋体"/>
                <w:color w:val="auto"/>
                <w:sz w:val="22"/>
                <w:szCs w:val="22"/>
                <w:highlight w:val="none"/>
              </w:rPr>
              <w:t xml:space="preserve">方案进行综合评分</w:t>
            </w:r>
            <w:r>
              <w:rPr>
                <w:rFonts w:hint="eastAsia" w:ascii="宋体" w:hAnsi="宋体" w:eastAsia="宋体" w:cs="宋体"/>
                <w:color w:val="auto"/>
                <w:sz w:val="22"/>
                <w:szCs w:val="22"/>
                <w:highlight w:val="none"/>
              </w:rPr>
              <w:t xml:space="preserve">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方案创作</w:t>
            </w:r>
            <w:r>
              <w:rPr>
                <w:rFonts w:hint="eastAsia" w:ascii="宋体" w:hAnsi="宋体" w:eastAsia="宋体" w:cs="宋体"/>
                <w:color w:val="auto"/>
                <w:sz w:val="22"/>
                <w:szCs w:val="22"/>
                <w:highlight w:val="none"/>
              </w:rPr>
              <w:t xml:space="preserve">思路新颖，主题特出、可操作性强的得12分；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方案创作</w:t>
            </w:r>
            <w:r>
              <w:rPr>
                <w:rFonts w:hint="eastAsia" w:ascii="宋体" w:hAnsi="宋体" w:eastAsia="宋体" w:cs="宋体"/>
                <w:color w:val="auto"/>
                <w:sz w:val="22"/>
                <w:szCs w:val="22"/>
                <w:highlight w:val="none"/>
              </w:rPr>
              <w:t xml:space="preserve">思路清晰，贴合主题、可操作性尚可的得9分；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方案创作</w:t>
            </w:r>
            <w:r>
              <w:rPr>
                <w:rFonts w:hint="eastAsia" w:ascii="宋体" w:hAnsi="宋体" w:eastAsia="宋体" w:cs="宋体"/>
                <w:color w:val="auto"/>
                <w:sz w:val="22"/>
                <w:szCs w:val="22"/>
                <w:highlight w:val="none"/>
              </w:rPr>
              <w:t xml:space="preserve">思路基本清晰、有可操作性的得6分；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方案创作</w:t>
            </w:r>
            <w:r>
              <w:rPr>
                <w:rFonts w:hint="eastAsia" w:ascii="宋体" w:hAnsi="宋体" w:eastAsia="宋体" w:cs="宋体"/>
                <w:color w:val="auto"/>
                <w:sz w:val="22"/>
                <w:szCs w:val="22"/>
                <w:highlight w:val="none"/>
              </w:rPr>
              <w:t xml:space="preserve">思路基本清晰、可操作性较弱的得3分；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12分</w:t>
            </w:r>
            <w:r/>
          </w:p>
        </w:tc>
      </w:tr>
      <w:tr>
        <w:trPr>
          <w:jc w:val="center"/>
          <w:trHeight w:val="381"/>
        </w:trPr>
        <w:tc>
          <w:tcPr>
            <w:tcBorders>
              <w:top w:val="single" w:color="auto" w:sz="4" w:space="0"/>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5</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保障、</w:t>
            </w:r>
            <w:r>
              <w:rPr>
                <w:rFonts w:hint="eastAsia" w:ascii="宋体" w:hAnsi="宋体" w:eastAsia="宋体" w:cs="宋体"/>
                <w:color w:val="auto"/>
                <w:sz w:val="22"/>
                <w:szCs w:val="22"/>
                <w:highlight w:val="none"/>
              </w:rPr>
              <w:t xml:space="preserve">服务承诺方案</w:t>
            </w:r>
            <w:r>
              <w:rPr>
                <w:rFonts w:hint="eastAsia" w:ascii="宋体" w:hAnsi="宋体" w:eastAsia="宋体" w:cs="宋体"/>
                <w:color w:val="auto"/>
                <w:sz w:val="22"/>
                <w:szCs w:val="22"/>
                <w:highlight w:val="none"/>
              </w:rPr>
              <w:t xml:space="preserve">及</w:t>
            </w:r>
            <w:r>
              <w:rPr>
                <w:rFonts w:hint="eastAsia" w:ascii="宋体" w:hAnsi="宋体" w:eastAsia="宋体" w:cs="宋体"/>
                <w:color w:val="auto"/>
                <w:sz w:val="22"/>
                <w:szCs w:val="22"/>
                <w:highlight w:val="none"/>
              </w:rPr>
              <w:t xml:space="preserve">应急预案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根据供应商提供的后勤保障方案、承诺达到有效参赛效果及应急预案防控进行综合评分：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保障服务项目响应时间及时、合理，实施性强，承诺和</w:t>
            </w:r>
            <w:r>
              <w:rPr>
                <w:rFonts w:hint="eastAsia" w:ascii="宋体" w:hAnsi="宋体" w:eastAsia="宋体" w:cs="宋体"/>
                <w:color w:val="auto"/>
                <w:sz w:val="22"/>
                <w:szCs w:val="22"/>
                <w:highlight w:val="none"/>
              </w:rPr>
              <w:t xml:space="preserve">应急预案</w:t>
            </w:r>
            <w:r>
              <w:rPr>
                <w:rFonts w:hint="eastAsia" w:ascii="宋体" w:hAnsi="宋体" w:eastAsia="宋体" w:cs="宋体"/>
                <w:color w:val="auto"/>
                <w:sz w:val="22"/>
                <w:szCs w:val="22"/>
                <w:highlight w:val="none"/>
              </w:rPr>
              <w:t xml:space="preserve">内容全面的得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保障服务项目响应时间及时，实施性尚可，承诺和</w:t>
            </w:r>
            <w:r>
              <w:rPr>
                <w:rFonts w:hint="eastAsia" w:ascii="宋体" w:hAnsi="宋体" w:eastAsia="宋体" w:cs="宋体"/>
                <w:color w:val="auto"/>
                <w:sz w:val="22"/>
                <w:szCs w:val="22"/>
                <w:highlight w:val="none"/>
              </w:rPr>
              <w:t xml:space="preserve">应急预案</w:t>
            </w:r>
            <w:r>
              <w:rPr>
                <w:rFonts w:hint="eastAsia" w:ascii="宋体" w:hAnsi="宋体" w:eastAsia="宋体" w:cs="宋体"/>
                <w:color w:val="auto"/>
                <w:sz w:val="22"/>
                <w:szCs w:val="22"/>
                <w:highlight w:val="none"/>
              </w:rPr>
              <w:t xml:space="preserve">内容较为合理得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保障服务项目响应时间及时，可实施性，承诺和</w:t>
            </w:r>
            <w:r>
              <w:rPr>
                <w:rFonts w:hint="eastAsia" w:ascii="宋体" w:hAnsi="宋体" w:eastAsia="宋体" w:cs="宋体"/>
                <w:color w:val="auto"/>
                <w:sz w:val="22"/>
                <w:szCs w:val="22"/>
                <w:highlight w:val="none"/>
              </w:rPr>
              <w:t xml:space="preserve">应急预案</w:t>
            </w:r>
            <w:r>
              <w:rPr>
                <w:rFonts w:hint="eastAsia" w:ascii="宋体" w:hAnsi="宋体" w:eastAsia="宋体" w:cs="宋体"/>
                <w:color w:val="auto"/>
                <w:sz w:val="22"/>
                <w:szCs w:val="22"/>
                <w:highlight w:val="none"/>
              </w:rPr>
              <w:t xml:space="preserve">内容一般得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分；未提供的不得分。 </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r>
      <w:tr>
        <w:trPr>
          <w:jc w:val="center"/>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7</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服务团队人员配备方案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根据供应商服务团队人员配备方案的进行综合评分: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供应商组建服务团队人员配备岗位设置合理，专业配备齐全的得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供应商组建服务团队人员配备岗位设置较为合理，专业配备较为齐全的得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供应商组建服务团队人员配备岗位设置不够合理，专业配备欠缺的得1分;未提供的不得分。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r>
      <w:tr>
        <w:trPr>
          <w:jc w:val="center"/>
          <w:trHeight w:val="2163"/>
        </w:trPr>
        <w:tc>
          <w:tcPr>
            <w:tcBorders>
              <w:left w:val="single" w:color="auto" w:sz="4" w:space="0"/>
              <w:right w:val="single" w:color="auto" w:sz="4" w:space="0"/>
            </w:tcBorders>
            <w:tcW w:w="681"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8</w:t>
            </w:r>
            <w:r/>
          </w:p>
        </w:tc>
        <w:tc>
          <w:tcPr>
            <w:tcBorders>
              <w:left w:val="single" w:color="auto" w:sz="4" w:space="0"/>
              <w:right w:val="single" w:color="auto" w:sz="4" w:space="0"/>
            </w:tcBorders>
            <w:tcW w:w="1104"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团队人员专业性</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根据供应商服务团队设计、策划人员组成专业性的进行综合评分:</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1、拟派项目负责人具有工艺美术或设计类职称证书的，得2分。</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2、拟派本项目组成员中（除项目负责人外），每提供一名“艺术设计类相关专业（如艺术、设计、美术、平面设计、视觉传达设计、数字媒体艺术等）毕业或有对应从业经历的人员得2分，最多得8分。</w:t>
            </w:r>
            <w:r/>
          </w:p>
          <w:p>
            <w:pPr>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注：需提供详细的人员名单、</w:t>
            </w:r>
            <w:bookmarkStart w:id="130" w:name="_GoBack"/>
            <w:r/>
            <w:bookmarkEnd w:id="130"/>
            <w:r>
              <w:rPr>
                <w:rFonts w:hint="eastAsia" w:ascii="宋体" w:hAnsi="宋体" w:eastAsia="宋体" w:cs="宋体"/>
                <w:color w:val="auto"/>
                <w:sz w:val="22"/>
                <w:szCs w:val="22"/>
                <w:highlight w:val="none"/>
                <w:lang w:val="en-US" w:eastAsia="zh-CN"/>
              </w:rPr>
              <w:t xml:space="preserve">职称证书、学历证书复印件或扫描件以及供应商为其缴纳的近六个月以来的社保证明材料，不提供不得分。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分</w:t>
            </w:r>
            <w:r/>
          </w:p>
        </w:tc>
      </w:tr>
      <w:tr>
        <w:trPr>
          <w:jc w:val="center"/>
          <w:trHeight w:val="1018"/>
        </w:trPr>
        <w:tc>
          <w:tcPr>
            <w:tcBorders>
              <w:left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1104"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根据供应商提供的外聘或本单位的主持人、编导及导演，每提供一人得1分，得3分。（需提供外聘主持人、编导及导演的相关资质证书的复印件或扫描件证明材料）。</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3分</w:t>
            </w:r>
            <w:r/>
          </w:p>
        </w:tc>
      </w:tr>
      <w:tr>
        <w:trPr>
          <w:jc w:val="center"/>
          <w:trHeight w:val="746"/>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印刷保证</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供应商具有</w:t>
            </w:r>
            <w:r>
              <w:rPr>
                <w:rFonts w:hint="eastAsia" w:ascii="宋体" w:hAnsi="宋体" w:eastAsia="宋体" w:cs="宋体"/>
                <w:color w:val="auto"/>
                <w:sz w:val="22"/>
                <w:szCs w:val="22"/>
                <w:highlight w:val="none"/>
                <w:lang w:val="en-US" w:eastAsia="zh-CN"/>
              </w:rPr>
              <w:t xml:space="preserve">有效期内的</w:t>
            </w:r>
            <w:r>
              <w:rPr>
                <w:rFonts w:hint="eastAsia" w:ascii="宋体" w:hAnsi="宋体" w:eastAsia="宋体" w:cs="宋体"/>
                <w:color w:val="auto"/>
                <w:sz w:val="22"/>
                <w:szCs w:val="22"/>
                <w:highlight w:val="none"/>
                <w:lang w:val="zh-CN"/>
              </w:rPr>
              <w:t xml:space="preserve">《印刷经营许可证》</w:t>
            </w:r>
            <w:r>
              <w:rPr>
                <w:rFonts w:hint="eastAsia" w:ascii="宋体" w:hAnsi="宋体" w:eastAsia="宋体" w:cs="宋体"/>
                <w:color w:val="auto"/>
                <w:sz w:val="22"/>
                <w:szCs w:val="22"/>
                <w:highlight w:val="none"/>
              </w:rPr>
              <w:t xml:space="preserve">得3分。响应文件相关证明材料的复印件并加盖公章，否则不得分，原件备查。</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3分</w:t>
            </w:r>
            <w:r/>
          </w:p>
        </w:tc>
      </w:tr>
      <w:tr>
        <w:trPr>
          <w:jc w:val="center"/>
          <w:trHeight w:val="746"/>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质量保证</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根据供应商的省质量检测中心出具的印刷质量检测报告，得3分。（响应文件内需提供有效的检测报告书复印件，原件备查）</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3分</w:t>
            </w:r>
            <w:r/>
          </w:p>
        </w:tc>
      </w:tr>
      <w:tr>
        <w:trPr>
          <w:jc w:val="center"/>
          <w:trHeight w:val="508"/>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企业证书</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获得</w:t>
            </w:r>
            <w:r>
              <w:rPr>
                <w:rFonts w:hint="eastAsia" w:ascii="宋体" w:hAnsi="宋体" w:eastAsia="宋体" w:cs="宋体"/>
                <w:color w:val="auto"/>
                <w:sz w:val="22"/>
                <w:szCs w:val="22"/>
                <w:highlight w:val="none"/>
                <w:lang w:val="en-US" w:eastAsia="zh-CN"/>
              </w:rPr>
              <w:t xml:space="preserve">有效期内的</w:t>
            </w:r>
            <w:r>
              <w:rPr>
                <w:rFonts w:hint="eastAsia" w:ascii="宋体" w:hAnsi="宋体" w:eastAsia="宋体" w:cs="宋体"/>
                <w:color w:val="auto"/>
                <w:sz w:val="22"/>
                <w:szCs w:val="22"/>
                <w:highlight w:val="none"/>
              </w:rPr>
              <w:t xml:space="preserve">质量体系认证证书的得2分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tc>
      </w:tr>
      <w:tr>
        <w:trPr>
          <w:jc w:val="center"/>
          <w:trHeight w:val="228"/>
        </w:trPr>
        <w:tc>
          <w:tcPr>
            <w:tcBorders>
              <w:left w:val="single" w:color="auto" w:sz="4" w:space="0"/>
              <w:right w:val="single" w:color="auto" w:sz="4" w:space="0"/>
            </w:tcBorders>
            <w:tcW w:w="681"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tcBorders>
              <w:left w:val="single" w:color="auto" w:sz="4" w:space="0"/>
              <w:right w:val="single" w:color="auto" w:sz="4" w:space="0"/>
            </w:tcBorders>
            <w:tcW w:w="1104"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业绩</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供应商自2021年1月1日</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以合同签订日期为准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以来</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承接过类似本项目综合会展</w:t>
            </w:r>
            <w:r>
              <w:rPr>
                <w:rFonts w:hint="eastAsia" w:ascii="宋体" w:hAnsi="宋体" w:eastAsia="宋体" w:cs="宋体"/>
                <w:color w:val="auto"/>
                <w:sz w:val="22"/>
                <w:szCs w:val="22"/>
                <w:highlight w:val="none"/>
              </w:rPr>
              <w:t xml:space="preserve">服务</w:t>
            </w:r>
            <w:r>
              <w:rPr>
                <w:rFonts w:hint="eastAsia" w:ascii="宋体" w:hAnsi="宋体" w:eastAsia="宋体" w:cs="宋体"/>
                <w:color w:val="auto"/>
                <w:sz w:val="22"/>
                <w:szCs w:val="22"/>
                <w:highlight w:val="none"/>
                <w:lang w:val="en-US" w:eastAsia="zh-CN"/>
              </w:rPr>
              <w:t xml:space="preserve">项目的</w:t>
            </w:r>
            <w:r>
              <w:rPr>
                <w:rFonts w:hint="eastAsia" w:ascii="宋体" w:hAnsi="宋体" w:eastAsia="宋体" w:cs="宋体"/>
                <w:color w:val="auto"/>
                <w:sz w:val="22"/>
                <w:szCs w:val="22"/>
                <w:highlight w:val="none"/>
              </w:rPr>
              <w:t xml:space="preserve">，每提供一个案例得2分，本项最高得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注：响应文件内需提供案例合同、中标（成交）通知书的复印件，合同内容须清晰可见，原件备查。</w:t>
            </w:r>
            <w:r/>
          </w:p>
          <w:p>
            <w:pPr>
              <w:pStyle w:val="709"/>
              <w:rPr>
                <w:rFonts w:hint="eastAsia"/>
                <w:color w:val="auto"/>
                <w:highlight w:val="none"/>
              </w:rPr>
            </w:pPr>
            <w:r>
              <w:rPr>
                <w:rFonts w:hint="eastAsia" w:ascii="宋体" w:hAnsi="宋体" w:eastAsia="宋体" w:cs="宋体"/>
                <w:b/>
                <w:bCs/>
                <w:color w:val="auto"/>
                <w:sz w:val="22"/>
                <w:szCs w:val="22"/>
                <w:highlight w:val="none"/>
                <w:lang w:val="en-US" w:eastAsia="zh-CN"/>
              </w:rPr>
              <w:t xml:space="preserve">两项业绩评分可兼得。</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r>
      <w:tr>
        <w:trPr>
          <w:jc w:val="center"/>
        </w:trPr>
        <w:tc>
          <w:tcPr>
            <w:tcBorders>
              <w:left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Borders>
              <w:left w:val="single" w:color="auto" w:sz="4" w:space="0"/>
              <w:right w:val="single" w:color="auto" w:sz="4" w:space="0"/>
            </w:tcBorders>
            <w:tcW w:w="1104"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供应商自2021年1月1日</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以合同签订日期为准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以来</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承接过类似本项目视频制作</w:t>
            </w:r>
            <w:r>
              <w:rPr>
                <w:rFonts w:hint="eastAsia" w:ascii="宋体" w:hAnsi="宋体" w:eastAsia="宋体" w:cs="宋体"/>
                <w:color w:val="auto"/>
                <w:sz w:val="22"/>
                <w:szCs w:val="22"/>
                <w:highlight w:val="none"/>
              </w:rPr>
              <w:t xml:space="preserve">服务</w:t>
            </w:r>
            <w:r>
              <w:rPr>
                <w:rFonts w:hint="eastAsia" w:ascii="宋体" w:hAnsi="宋体" w:eastAsia="宋体" w:cs="宋体"/>
                <w:color w:val="auto"/>
                <w:sz w:val="22"/>
                <w:szCs w:val="22"/>
                <w:highlight w:val="none"/>
                <w:lang w:val="en-US" w:eastAsia="zh-CN"/>
              </w:rPr>
              <w:t xml:space="preserve">项目的</w:t>
            </w:r>
            <w:r>
              <w:rPr>
                <w:rFonts w:hint="eastAsia" w:ascii="宋体" w:hAnsi="宋体" w:eastAsia="宋体" w:cs="宋体"/>
                <w:color w:val="auto"/>
                <w:sz w:val="22"/>
                <w:szCs w:val="22"/>
                <w:highlight w:val="none"/>
              </w:rPr>
              <w:t xml:space="preserve">，每提供一个案例得2分，本项最高得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注</w:t>
            </w:r>
            <w:r>
              <w:rPr>
                <w:rFonts w:hint="eastAsia" w:ascii="宋体" w:hAnsi="宋体" w:eastAsia="宋体" w:cs="宋体"/>
                <w:color w:val="auto"/>
                <w:sz w:val="22"/>
                <w:szCs w:val="22"/>
                <w:highlight w:val="none"/>
                <w:lang w:val="en-US" w:eastAsia="zh-CN"/>
              </w:rPr>
              <w:t xml:space="preserve">：响应文件内需提供案例合同、中标（成交）通知书的复印件，合同内容须清晰可见，原件备查。</w:t>
            </w:r>
            <w:r/>
          </w:p>
          <w:p>
            <w:pPr>
              <w:jc w:val="left"/>
              <w:spacing w:line="360" w:lineRule="auto"/>
              <w:rPr>
                <w:rFonts w:hint="default" w:eastAsia="宋体"/>
                <w:color w:val="auto"/>
                <w:highlight w:val="none"/>
                <w:lang w:val="en-US" w:eastAsia="zh-CN"/>
              </w:rPr>
            </w:pPr>
            <w:r>
              <w:rPr>
                <w:rFonts w:hint="eastAsia" w:ascii="宋体" w:hAnsi="宋体" w:eastAsia="宋体" w:cs="宋体"/>
                <w:b/>
                <w:bCs/>
                <w:color w:val="auto"/>
                <w:sz w:val="22"/>
                <w:szCs w:val="22"/>
                <w:highlight w:val="none"/>
                <w:lang w:val="en-US" w:eastAsia="zh-CN"/>
              </w:rPr>
              <w:t xml:space="preserve">两项业绩评分可兼得。</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r>
      <w:tr>
        <w:trPr>
          <w:jc w:val="center"/>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13</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Cs w:val="20"/>
                <w:highlight w:val="none"/>
              </w:rPr>
              <w:t xml:space="preserve">履约情况</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color w:val="auto"/>
                <w:szCs w:val="20"/>
                <w:highlight w:val="none"/>
                <w:lang w:eastAsia="zh-CN"/>
              </w:rPr>
            </w:pPr>
            <w:r>
              <w:rPr>
                <w:rFonts w:hint="eastAsia" w:ascii="宋体" w:hAnsi="宋体" w:eastAsia="宋体" w:cs="宋体"/>
                <w:color w:val="auto"/>
                <w:szCs w:val="20"/>
                <w:highlight w:val="none"/>
                <w:lang w:val="en-US" w:eastAsia="zh-CN"/>
              </w:rPr>
              <w:t xml:space="preserve">供应商需提供</w:t>
            </w:r>
            <w:r>
              <w:rPr>
                <w:rFonts w:hint="eastAsia" w:ascii="宋体" w:hAnsi="宋体" w:cs="宋体"/>
                <w:color w:val="auto"/>
                <w:szCs w:val="20"/>
                <w:highlight w:val="none"/>
                <w:lang w:val="en-US" w:eastAsia="zh-CN"/>
              </w:rPr>
              <w:t xml:space="preserve">类似本项目</w:t>
            </w:r>
            <w:r>
              <w:rPr>
                <w:rFonts w:hint="eastAsia" w:ascii="宋体" w:hAnsi="宋体" w:eastAsia="宋体" w:cs="宋体"/>
                <w:color w:val="auto"/>
                <w:szCs w:val="20"/>
                <w:highlight w:val="none"/>
                <w:lang w:val="en-US" w:eastAsia="zh-CN"/>
              </w:rPr>
              <w:t xml:space="preserve">业绩的服务评价证明材料，</w:t>
            </w:r>
            <w:r>
              <w:rPr>
                <w:rFonts w:hint="eastAsia" w:ascii="宋体" w:hAnsi="宋体" w:eastAsia="宋体" w:cs="宋体"/>
                <w:color w:val="auto"/>
                <w:szCs w:val="20"/>
                <w:highlight w:val="none"/>
              </w:rPr>
              <w:t xml:space="preserve">评委</w:t>
            </w:r>
            <w:r>
              <w:rPr>
                <w:rFonts w:hint="eastAsia" w:ascii="宋体" w:hAnsi="宋体" w:eastAsia="宋体" w:cs="宋体"/>
                <w:color w:val="auto"/>
                <w:szCs w:val="20"/>
                <w:highlight w:val="none"/>
                <w:lang w:val="en-US" w:eastAsia="zh-CN"/>
              </w:rPr>
              <w:t xml:space="preserve">对得分业绩的</w:t>
            </w:r>
            <w:r>
              <w:rPr>
                <w:rFonts w:hint="eastAsia" w:ascii="宋体" w:hAnsi="宋体" w:eastAsia="宋体" w:cs="宋体"/>
                <w:color w:val="auto"/>
                <w:szCs w:val="20"/>
                <w:highlight w:val="none"/>
              </w:rPr>
              <w:t xml:space="preserve">展览项目的履约情况按下述规则进行打分</w:t>
            </w:r>
            <w:r>
              <w:rPr>
                <w:rFonts w:hint="eastAsia" w:ascii="宋体" w:hAnsi="宋体" w:eastAsia="宋体" w:cs="宋体"/>
                <w:color w:val="auto"/>
                <w:szCs w:val="20"/>
                <w:highlight w:val="none"/>
                <w:lang w:eastAsia="zh-CN"/>
              </w:rPr>
              <w:t xml:space="preserve">：</w:t>
            </w:r>
            <w:r/>
          </w:p>
          <w:p>
            <w:pPr>
              <w:jc w:val="left"/>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color w:val="auto"/>
                <w:szCs w:val="20"/>
                <w:highlight w:val="none"/>
              </w:rPr>
              <w:t xml:space="preserve">每提供一份业主单位满意度评价“良好”等类似评价及以上的得2分，最高得</w:t>
            </w:r>
            <w:r>
              <w:rPr>
                <w:rFonts w:hint="eastAsia" w:ascii="宋体" w:hAnsi="宋体" w:eastAsia="宋体" w:cs="宋体"/>
                <w:color w:val="auto"/>
                <w:szCs w:val="20"/>
                <w:highlight w:val="none"/>
                <w:lang w:val="en-US" w:eastAsia="zh-CN"/>
              </w:rPr>
              <w:t xml:space="preserve">6</w:t>
            </w:r>
            <w:r>
              <w:rPr>
                <w:rFonts w:hint="eastAsia" w:ascii="宋体" w:hAnsi="宋体" w:eastAsia="宋体" w:cs="宋体"/>
                <w:color w:val="auto"/>
                <w:szCs w:val="20"/>
                <w:highlight w:val="none"/>
              </w:rPr>
              <w:t xml:space="preserve">分。（提供有业主单位公章的复印件，原件备查。同一单位的证明文件不重复计分。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6分</w:t>
            </w:r>
            <w:r/>
          </w:p>
        </w:tc>
      </w:tr>
      <w:tr>
        <w:trPr>
          <w:jc w:val="center"/>
        </w:trPr>
        <w:tc>
          <w:tcPr>
            <w:gridSpan w:val="3"/>
            <w:tcBorders>
              <w:top w:val="single" w:color="auto" w:sz="4" w:space="0"/>
              <w:left w:val="single" w:color="auto" w:sz="4" w:space="0"/>
              <w:bottom w:val="single" w:color="auto" w:sz="4" w:space="0"/>
              <w:right w:val="single" w:color="auto" w:sz="4" w:space="0"/>
            </w:tcBorders>
            <w:tcW w:w="8286" w:type="dxa"/>
            <w:vAlign w:val="center"/>
            <w:textDirection w:val="lrTb"/>
            <w:noWrap w:val="false"/>
          </w:tcPr>
          <w:p>
            <w:pPr>
              <w:ind w:firstLine="44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w:t>
            </w:r>
            <w:r/>
          </w:p>
        </w:tc>
      </w:tr>
    </w:tbl>
    <w:p>
      <w:pPr>
        <w:ind w:firstLine="482"/>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四、关于“强化政府采购异常低价审查的要求”</w:t>
      </w:r>
      <w:r/>
    </w:p>
    <w:p>
      <w:pPr>
        <w:ind w:firstLine="723"/>
        <w:spacing w:line="360" w:lineRule="auto"/>
        <w:rPr>
          <w:rFonts w:hint="eastAsia" w:ascii="宋体" w:hAnsi="宋体" w:cs="宋体"/>
          <w:b/>
          <w:color w:val="auto"/>
          <w:sz w:val="24"/>
          <w:szCs w:val="11"/>
          <w:highlight w:val="none"/>
        </w:rPr>
      </w:pPr>
      <w:r>
        <w:rPr>
          <w:rFonts w:hint="eastAsia" w:ascii="宋体" w:hAnsi="宋体" w:cs="宋体"/>
          <w:b/>
          <w:color w:val="auto"/>
          <w:sz w:val="24"/>
          <w:szCs w:val="11"/>
          <w:highlight w:val="none"/>
        </w:rPr>
        <w:t xml:space="preserve">参照财库【2026】2号文《财政部关于推动解决政府采购异常低价问题的通知》执行，具体说明如下：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（一）采购人应当在采购文件中明确，政府采购评审中出现下列情形之一的，评审委员会应当启动异常低价投标（响应）审查程序：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794"/>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rPr>
          <w:rFonts w:hint="eastAsia" w:ascii="宋体" w:hAnsi="宋体" w:cs="宋体"/>
          <w:b/>
          <w:bCs/>
          <w:color w:val="auto"/>
          <w:sz w:val="30"/>
          <w:szCs w:val="30"/>
          <w:highlight w:val="none"/>
        </w:rPr>
      </w:pPr>
      <w:r>
        <w:rPr>
          <w:rFonts w:hint="eastAsia" w:ascii="宋体" w:hAnsi="宋体" w:eastAsia="宋体" w:cs="宋体"/>
          <w:color w:val="auto"/>
          <w:sz w:val="36"/>
          <w:szCs w:val="36"/>
          <w:highlight w:val="none"/>
          <w:lang w:val="en-US" w:eastAsia="zh-CN" w:bidi="ar-SA"/>
        </w:rPr>
        <w:br w:type="page" w:clear="all"/>
      </w:r>
      <w:r/>
    </w:p>
    <w:p>
      <w:pPr>
        <w:rPr>
          <w:rFonts w:hint="eastAsia" w:ascii="宋体" w:hAnsi="宋体" w:eastAsia="宋体" w:cs="宋体"/>
          <w:color w:val="auto"/>
          <w:sz w:val="36"/>
          <w:szCs w:val="36"/>
          <w:highlight w:val="none"/>
          <w:lang w:val="en-US" w:eastAsia="zh-CN" w:bidi="ar-SA"/>
        </w:rPr>
      </w:pPr>
      <w:r/>
      <w:bookmarkStart w:id="105" w:name="_Toc21162"/>
      <w:r/>
      <w:r/>
    </w:p>
    <w:p>
      <w:pPr>
        <w:pStyle w:val="996"/>
        <w:jc w:val="center"/>
        <w:spacing w:before="120" w:after="120" w:line="0" w:lineRule="atLeast"/>
        <w:rPr>
          <w:rFonts w:hint="eastAsia" w:ascii="宋体" w:hAnsi="宋体" w:eastAsia="宋体" w:cs="宋体"/>
          <w:b/>
          <w:bCs/>
          <w:color w:val="auto"/>
          <w:sz w:val="36"/>
          <w:szCs w:val="36"/>
          <w:highlight w:val="none"/>
          <w:lang w:val="en-US" w:eastAsia="zh-CN" w:bidi="ar-SA"/>
        </w:rPr>
        <w:outlineLvl w:val="0"/>
      </w:pPr>
      <w:r/>
      <w:bookmarkStart w:id="106" w:name="_Toc24012"/>
      <w:r>
        <w:rPr>
          <w:rFonts w:hint="eastAsia" w:ascii="宋体" w:hAnsi="宋体" w:eastAsia="宋体" w:cs="宋体"/>
          <w:b/>
          <w:bCs/>
          <w:color w:val="auto"/>
          <w:sz w:val="36"/>
          <w:szCs w:val="36"/>
          <w:highlight w:val="none"/>
          <w:lang w:val="en-US" w:eastAsia="zh-CN" w:bidi="ar-SA"/>
        </w:rPr>
        <w:t xml:space="preserve">第六章  </w:t>
      </w:r>
      <w:bookmarkEnd w:id="98"/>
      <w:r/>
      <w:bookmarkEnd w:id="99"/>
      <w:r/>
      <w:bookmarkEnd w:id="100"/>
      <w:r>
        <w:rPr>
          <w:rFonts w:hint="eastAsia" w:hAnsi="宋体" w:cs="宋体"/>
          <w:b/>
          <w:bCs/>
          <w:color w:val="auto"/>
          <w:sz w:val="36"/>
          <w:szCs w:val="36"/>
          <w:highlight w:val="none"/>
          <w:lang w:val="en-US" w:eastAsia="zh-CN" w:bidi="ar-SA"/>
        </w:rPr>
        <w:t xml:space="preserve">响应文件</w:t>
      </w:r>
      <w:r>
        <w:rPr>
          <w:rFonts w:hint="eastAsia" w:ascii="宋体" w:hAnsi="宋体" w:eastAsia="宋体" w:cs="宋体"/>
          <w:b/>
          <w:bCs/>
          <w:color w:val="auto"/>
          <w:sz w:val="36"/>
          <w:szCs w:val="36"/>
          <w:highlight w:val="none"/>
          <w:lang w:val="en-US" w:eastAsia="zh-CN" w:bidi="ar-SA"/>
        </w:rPr>
        <w:t xml:space="preserve">格式</w:t>
      </w:r>
      <w:bookmarkEnd w:id="105"/>
      <w:r/>
      <w:bookmarkEnd w:id="106"/>
      <w:r/>
      <w:r/>
    </w:p>
    <w:p>
      <w:pPr>
        <w:jc w:val="center"/>
        <w:rPr>
          <w:rFonts w:hint="eastAsia" w:ascii="宋体" w:hAnsi="宋体"/>
          <w:b/>
          <w:color w:val="auto"/>
          <w:sz w:val="72"/>
          <w:highlight w:val="none"/>
        </w:rPr>
      </w:pPr>
      <w:r/>
      <w:bookmarkStart w:id="107" w:name="_Hlt26671244"/>
      <w:r/>
      <w:bookmarkEnd w:id="107"/>
      <w:r/>
      <w:bookmarkStart w:id="108" w:name="_Hlt26955039"/>
      <w:r/>
      <w:bookmarkEnd w:id="108"/>
      <w:r/>
      <w:bookmarkStart w:id="109" w:name="_Toc49090576"/>
      <w:r/>
      <w:bookmarkStart w:id="110" w:name="_Toc120614282"/>
      <w:r/>
      <w:bookmarkStart w:id="111" w:name="_Toc26554094"/>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lang w:eastAsia="zh-CN"/>
        </w:rPr>
        <w:t xml:space="preserve">响应文件</w:t>
      </w:r>
      <w:r>
        <w:rPr>
          <w:rFonts w:hint="eastAsia" w:ascii="方正黑体_GBK" w:hAnsi="方正黑体_GBK" w:eastAsia="方正黑体_GBK" w:cs="方正黑体_GBK"/>
          <w:color w:val="auto"/>
          <w:sz w:val="32"/>
          <w:szCs w:val="32"/>
          <w:highlight w:val="none"/>
        </w:rPr>
        <w:t xml:space="preserve">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四、</w:t>
      </w:r>
      <w:r>
        <w:rPr>
          <w:rFonts w:hint="eastAsia" w:ascii="宋体" w:hAnsi="宋体" w:cs="宋体"/>
          <w:color w:val="auto"/>
          <w:sz w:val="28"/>
          <w:szCs w:val="28"/>
          <w:highlight w:val="none"/>
          <w:lang w:eastAsia="zh-CN"/>
        </w:rPr>
        <w:t xml:space="preserve">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1035"/>
        <w:rPr>
          <w:color w:val="auto"/>
          <w:sz w:val="24"/>
          <w:highlight w:val="none"/>
        </w:rPr>
      </w:pPr>
      <w:r>
        <w:rPr>
          <w:color w:val="auto"/>
          <w:sz w:val="24"/>
          <w:highlight w:val="none"/>
        </w:rPr>
      </w:r>
      <w:r/>
    </w:p>
    <w:p>
      <w:pPr>
        <w:pStyle w:val="1035"/>
        <w:rPr>
          <w:color w:val="auto"/>
          <w:sz w:val="24"/>
          <w:highlight w:val="none"/>
        </w:rPr>
      </w:pPr>
      <w:r>
        <w:rPr>
          <w:color w:val="auto"/>
          <w:sz w:val="24"/>
          <w:highlight w:val="none"/>
        </w:rPr>
      </w:r>
      <w:r/>
    </w:p>
    <w:p>
      <w:pPr>
        <w:pStyle w:val="1035"/>
        <w:rPr>
          <w:color w:val="auto"/>
          <w:sz w:val="24"/>
          <w:highlight w:val="none"/>
        </w:rPr>
      </w:pPr>
      <w:r>
        <w:rPr>
          <w:color w:val="auto"/>
          <w:sz w:val="24"/>
          <w:highlight w:val="none"/>
        </w:rPr>
      </w:r>
      <w:r/>
    </w:p>
    <w:p>
      <w:pPr>
        <w:pStyle w:val="1035"/>
        <w:rPr>
          <w:color w:val="auto"/>
          <w:sz w:val="24"/>
          <w:highlight w:val="none"/>
        </w:rPr>
      </w:pPr>
      <w:r>
        <w:rPr>
          <w:color w:val="auto"/>
          <w:sz w:val="24"/>
          <w:highlight w:val="none"/>
        </w:rPr>
      </w:r>
      <w:r/>
    </w:p>
    <w:p>
      <w:pPr>
        <w:pStyle w:val="1035"/>
        <w:rPr>
          <w:color w:val="auto"/>
          <w:sz w:val="24"/>
          <w:highlight w:val="none"/>
        </w:rPr>
      </w:pPr>
      <w:r>
        <w:rPr>
          <w:color w:val="auto"/>
          <w:sz w:val="24"/>
          <w:highlight w:val="none"/>
        </w:rPr>
      </w:r>
      <w:bookmarkEnd w:id="77"/>
      <w:bookmarkEnd w:id="78"/>
      <w:bookmarkEnd w:id="109"/>
      <w:bookmarkEnd w:id="110"/>
      <w:bookmarkEnd w:id="111"/>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一、投标函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0"/>
      </w:pPr>
      <w:r/>
      <w:bookmarkStart w:id="112" w:name="_Toc25654"/>
      <w:r>
        <w:rPr>
          <w:rFonts w:hint="eastAsia" w:ascii="方正小标宋简体" w:hAnsi="方正小标宋简体" w:eastAsia="方正小标宋简体" w:cs="方正小标宋简体"/>
          <w:color w:val="auto"/>
          <w:sz w:val="32"/>
          <w:szCs w:val="32"/>
          <w:highlight w:val="none"/>
        </w:rPr>
        <w:t xml:space="preserve">投标函</w:t>
      </w:r>
      <w:bookmarkEnd w:id="112"/>
      <w:r/>
      <w:r/>
    </w:p>
    <w:p>
      <w:pPr>
        <w:pStyle w:val="1046"/>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江苏苏咨工程咨询有限责任公司</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规定的各项要求，向买方提供所需服务（包含与服务相关的货物）。</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及其有效补充文件，我们知道必须放弃提出含糊不清或误解问题的权利。</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，并在规定的投标有效期期满之前均具有约束力。</w:t>
      </w:r>
      <w:r/>
    </w:p>
    <w:p>
      <w:pPr>
        <w:pStyle w:val="1046"/>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46"/>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的规定，严格履行合同的责任和义务,并保证在</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4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104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104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104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4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1072"/>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034"/>
        <w:rPr>
          <w:rFonts w:hint="eastAsia" w:ascii="宋体" w:hAnsi="宋体"/>
          <w:b/>
          <w:bCs/>
          <w:color w:val="auto"/>
          <w:highlight w:val="none"/>
          <w:lang w:eastAsia="zh-CN"/>
        </w:rPr>
        <w:sectPr>
          <w:footerReference w:type="default" r:id="rId12"/>
          <w:footerReference w:type="first" r:id="rId13"/>
          <w:footnotePr/>
          <w:endnotePr/>
          <w:type w:val="nextPage"/>
          <w:pgSz w:w="11906" w:h="16838" w:orient="portrait"/>
          <w:pgMar w:top="1417" w:right="1814" w:bottom="1417" w:left="1814" w:header="851" w:footer="907" w:gutter="0"/>
          <w:pgNumType w:start="1"/>
          <w:cols w:num="1" w:sep="0" w:space="1701" w:equalWidth="1"/>
          <w:docGrid w:linePitch="360"/>
          <w:titlePg/>
        </w:sectPr>
      </w:pPr>
      <w:r>
        <w:rPr>
          <w:rFonts w:hint="eastAsia" w:ascii="宋体" w:hAnsi="宋体"/>
          <w:b/>
          <w:bCs/>
          <w:color w:val="auto"/>
          <w:highlight w:val="none"/>
          <w:lang w:eastAsia="zh-CN"/>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1044"/>
        <w:ind w:firstLine="480"/>
        <w:rPr>
          <w:rFonts w:hint="eastAsia"/>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34"/>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0"/>
      </w:pPr>
      <w:r/>
      <w:bookmarkStart w:id="113" w:name="_Toc19516"/>
      <w:r/>
      <w:bookmarkStart w:id="114" w:name="_Toc17303"/>
      <w:r>
        <w:rPr>
          <w:rFonts w:hint="eastAsia" w:ascii="方正小标宋简体" w:hAnsi="方正小标宋简体" w:eastAsia="方正小标宋简体" w:cs="方正小标宋简体"/>
          <w:color w:val="auto"/>
          <w:sz w:val="32"/>
          <w:szCs w:val="32"/>
          <w:highlight w:val="none"/>
        </w:rPr>
        <w:t xml:space="preserve">法人授权书</w:t>
      </w:r>
      <w:bookmarkEnd w:id="113"/>
      <w:r/>
      <w:bookmarkEnd w:id="114"/>
      <w:r/>
      <w:r/>
    </w:p>
    <w:p>
      <w:pPr>
        <w:pStyle w:val="1044"/>
        <w:ind w:firstLine="480"/>
        <w:spacing w:line="420" w:lineRule="exact"/>
        <w:rPr>
          <w:rFonts w:hint="eastAsia"/>
          <w:color w:val="auto"/>
          <w:sz w:val="24"/>
          <w:szCs w:val="24"/>
          <w:highlight w:val="none"/>
        </w:rPr>
      </w:pPr>
      <w:r>
        <w:rPr>
          <w:rFonts w:hint="eastAsia"/>
          <w:color w:val="auto"/>
          <w:sz w:val="24"/>
          <w:szCs w:val="24"/>
          <w:highlight w:val="none"/>
        </w:rPr>
      </w:r>
      <w:r/>
    </w:p>
    <w:p>
      <w:pPr>
        <w:pStyle w:val="1044"/>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1044"/>
        <w:ind w:firstLine="480"/>
        <w:spacing w:line="480" w:lineRule="exact"/>
        <w:rPr>
          <w:rFonts w:hint="eastAsia"/>
          <w:color w:val="auto"/>
          <w:sz w:val="24"/>
          <w:szCs w:val="24"/>
          <w:highlight w:val="none"/>
        </w:rPr>
      </w:pPr>
      <w:r>
        <w:rPr>
          <w:rFonts w:hint="eastAsia"/>
          <w:color w:val="auto"/>
          <w:sz w:val="24"/>
          <w:szCs w:val="24"/>
          <w:highlight w:val="none"/>
        </w:rPr>
        <w:t xml:space="preserve">本授权书自______年____月____日起生效，特此声明。</w:t>
      </w:r>
      <w:r/>
    </w:p>
    <w:p>
      <w:pPr>
        <w:pStyle w:val="1044"/>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1044"/>
        <w:ind w:firstLine="480"/>
        <w:spacing w:line="480" w:lineRule="exact"/>
        <w:rPr>
          <w:rFonts w:hint="eastAsia"/>
          <w:color w:val="auto"/>
          <w:sz w:val="24"/>
          <w:szCs w:val="24"/>
          <w:highlight w:val="none"/>
          <w:u w:val="single"/>
        </w:rPr>
      </w:pPr>
      <w:r>
        <w:rPr>
          <w:rFonts w:hint="eastAsia"/>
          <w:color w:val="auto"/>
          <w:sz w:val="24"/>
          <w:szCs w:val="24"/>
          <w:highlight w:val="none"/>
        </w:rPr>
        <w:t xml:space="preserve">被授权人联系电话：（手机）</w:t>
      </w:r>
      <w:r/>
    </w:p>
    <w:p>
      <w:pPr>
        <w:pStyle w:val="1044"/>
        <w:ind w:firstLine="46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1044"/>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1044"/>
        <w:ind w:firstLine="480"/>
        <w:spacing w:line="480" w:lineRule="exact"/>
        <w:rPr>
          <w:rFonts w:hint="eastAsia"/>
          <w:color w:val="auto"/>
          <w:sz w:val="24"/>
          <w:szCs w:val="24"/>
          <w:highlight w:val="none"/>
        </w:rPr>
      </w:pPr>
      <w:r>
        <w:rPr>
          <w:rFonts w:hint="eastAsia"/>
          <w:color w:val="auto"/>
          <w:sz w:val="24"/>
          <w:szCs w:val="24"/>
          <w:highlight w:val="none"/>
        </w:rPr>
        <w:t xml:space="preserve">日    期：</w:t>
      </w:r>
      <w:bookmarkStart w:id="115" w:name="_Hlt26955070"/>
      <w:r/>
      <w:bookmarkEnd w:id="115"/>
      <w:r/>
      <w:bookmarkStart w:id="116" w:name="_格式3__银行出具的资信证明"/>
      <w:r/>
      <w:bookmarkEnd w:id="116"/>
      <w:r/>
      <w:bookmarkStart w:id="117" w:name="_Hlt26671380"/>
      <w:r/>
      <w:bookmarkEnd w:id="117"/>
      <w:r/>
      <w:r/>
    </w:p>
    <w:p>
      <w:pPr>
        <w:pStyle w:val="772"/>
        <w:rPr>
          <w:rFonts w:hint="eastAsia"/>
          <w:i/>
          <w:color w:val="auto"/>
          <w:sz w:val="24"/>
          <w:szCs w:val="24"/>
          <w:highlight w:val="none"/>
          <w:u w:val="single"/>
        </w:rPr>
      </w:pPr>
      <w:r>
        <w:rPr>
          <w:rFonts w:hint="eastAsia"/>
          <w:i/>
          <w:color w:val="auto"/>
          <w:sz w:val="24"/>
          <w:szCs w:val="24"/>
          <w:highlight w:val="none"/>
          <w:u w:val="single"/>
        </w:rPr>
      </w:r>
      <w:r/>
    </w:p>
    <w:p>
      <w:pPr>
        <w:pStyle w:val="772"/>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1035"/>
        <w:rPr>
          <w:rFonts w:hint="eastAsia"/>
          <w:bCs/>
          <w:color w:val="auto"/>
          <w:sz w:val="24"/>
          <w:highlight w:val="none"/>
        </w:rPr>
      </w:pPr>
      <w:r>
        <w:rPr>
          <w:rFonts w:hint="eastAsia"/>
          <w:bCs/>
          <w:color w:val="auto"/>
          <w:sz w:val="24"/>
          <w:highlight w:val="none"/>
        </w:rPr>
      </w:r>
      <w:r/>
    </w:p>
    <w:p>
      <w:pPr>
        <w:pStyle w:val="1035"/>
        <w:rPr>
          <w:rFonts w:hint="eastAsia"/>
          <w:bCs/>
          <w:color w:val="auto"/>
          <w:sz w:val="24"/>
          <w:highlight w:val="none"/>
        </w:rPr>
      </w:pPr>
      <w:r>
        <w:rPr>
          <w:rFonts w:hint="eastAsia"/>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lang w:eastAsia="zh-CN"/>
        </w:rPr>
        <w:t xml:space="preserve">四</w:t>
      </w:r>
      <w:r>
        <w:rPr>
          <w:rFonts w:hint="eastAsia" w:ascii="黑体" w:hAnsi="黑体" w:eastAsia="黑体"/>
          <w:color w:val="auto"/>
          <w:sz w:val="32"/>
          <w:szCs w:val="32"/>
          <w:highlight w:val="none"/>
        </w:rPr>
        <w:t xml:space="preserve">、</w:t>
      </w:r>
      <w:r>
        <w:rPr>
          <w:rFonts w:hint="eastAsia" w:ascii="黑体" w:hAnsi="黑体" w:eastAsia="黑体"/>
          <w:color w:val="auto"/>
          <w:sz w:val="32"/>
          <w:szCs w:val="32"/>
          <w:highlight w:val="none"/>
          <w:lang w:eastAsia="zh-CN"/>
        </w:rPr>
        <w:t xml:space="preserve">报价表</w:t>
      </w:r>
      <w:r/>
    </w:p>
    <w:p>
      <w:pPr>
        <w:jc w:val="center"/>
        <w:spacing w:line="480" w:lineRule="auto"/>
        <w:rPr>
          <w:rFonts w:hint="eastAsia" w:ascii="方正小标宋简体" w:hAnsi="方正小标宋简体" w:eastAsia="方正小标宋简体" w:cs="方正小标宋简体"/>
          <w:color w:val="auto"/>
          <w:sz w:val="32"/>
          <w:szCs w:val="32"/>
          <w:highlight w:val="none"/>
        </w:rPr>
        <w:outlineLvl w:val="0"/>
      </w:pPr>
      <w:r/>
      <w:bookmarkStart w:id="118" w:name="_Toc16907"/>
      <w:r/>
      <w:bookmarkStart w:id="119" w:name="_Toc513"/>
      <w:r>
        <w:rPr>
          <w:rFonts w:hint="eastAsia" w:ascii="方正小标宋简体" w:hAnsi="方正小标宋简体" w:eastAsia="方正小标宋简体" w:cs="方正小标宋简体"/>
          <w:color w:val="auto"/>
          <w:sz w:val="32"/>
          <w:szCs w:val="32"/>
          <w:highlight w:val="none"/>
          <w:lang w:eastAsia="zh-CN"/>
        </w:rPr>
        <w:t xml:space="preserve">报价</w:t>
      </w:r>
      <w:r>
        <w:rPr>
          <w:rFonts w:hint="eastAsia" w:ascii="方正小标宋简体" w:hAnsi="方正小标宋简体" w:eastAsia="方正小标宋简体" w:cs="方正小标宋简体"/>
          <w:color w:val="auto"/>
          <w:sz w:val="32"/>
          <w:szCs w:val="32"/>
          <w:highlight w:val="none"/>
        </w:rPr>
        <w:t xml:space="preserve">表</w:t>
      </w:r>
      <w:bookmarkEnd w:id="118"/>
      <w:r/>
      <w:bookmarkEnd w:id="119"/>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480" w:lineRule="auto"/>
        <w:rPr>
          <w:color w:val="auto"/>
          <w:sz w:val="24"/>
          <w:szCs w:val="24"/>
          <w:highlight w:val="none"/>
        </w:rPr>
      </w:pPr>
      <w:r>
        <w:rPr>
          <w:rFonts w:hint="eastAsia" w:ascii="宋体" w:hAnsi="宋体"/>
          <w:color w:val="auto"/>
          <w:sz w:val="24"/>
          <w:szCs w:val="24"/>
          <w:highlight w:val="none"/>
        </w:rPr>
        <w:t xml:space="preserve">项目名称：</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716"/>
        <w:tblW w:w="87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9"/>
      </w:tblGrid>
      <w:tr>
        <w:trPr>
          <w:cantSplit/>
          <w:trHeight w:val="725"/>
        </w:trPr>
        <w:tc>
          <w:tcPr>
            <w:tcW w:w="8799" w:type="dxa"/>
            <w:vAlign w:val="center"/>
            <w:textDirection w:val="lrTb"/>
            <w:noWrap w:val="false"/>
          </w:tcPr>
          <w:p>
            <w:pPr>
              <w:jc w:val="cente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8799" w:type="dxa"/>
            <w:vAlign w:val="center"/>
            <w:textDirection w:val="lrTb"/>
            <w:noWrap w:val="false"/>
          </w:tcPr>
          <w:p>
            <w:pPr>
              <w:pStyle w:val="1046"/>
              <w:ind w:firstLine="0"/>
              <w:spacing w:before="0" w:after="0" w:line="240" w:lineRule="auto"/>
              <w:rPr>
                <w:rFonts w:hint="eastAsia" w:ascii="宋体" w:hAnsi="宋体"/>
                <w:color w:val="auto"/>
                <w:szCs w:val="21"/>
                <w:highlight w:val="none"/>
              </w:rPr>
            </w:pPr>
            <w:r>
              <w:rPr>
                <w:rFonts w:hint="eastAsia" w:ascii="宋体" w:hAnsi="宋体" w:cs="宋体"/>
                <w:color w:val="auto"/>
                <w:highlight w:val="none"/>
              </w:rPr>
              <w:t xml:space="preserve">小写（人民币：元）：                             </w:t>
            </w:r>
            <w:r/>
          </w:p>
        </w:tc>
      </w:tr>
      <w:tr>
        <w:trPr>
          <w:cantSplit/>
          <w:trHeight w:val="780"/>
        </w:trPr>
        <w:tc>
          <w:tcPr>
            <w:tcW w:w="8799" w:type="dxa"/>
            <w:vAlign w:val="center"/>
            <w:textDirection w:val="lrTb"/>
            <w:noWrap w:val="false"/>
          </w:tcPr>
          <w:p>
            <w:pPr>
              <w:pStyle w:val="1046"/>
              <w:ind w:firstLine="0"/>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大</w:t>
            </w:r>
            <w:r>
              <w:rPr>
                <w:rFonts w:hint="eastAsia" w:ascii="宋体" w:hAnsi="宋体" w:cs="宋体"/>
                <w:color w:val="auto"/>
                <w:highlight w:val="none"/>
              </w:rPr>
              <w:t xml:space="preserve">写（人民币：元）：</w:t>
            </w:r>
            <w:r/>
          </w:p>
        </w:tc>
      </w:tr>
    </w:tbl>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jc w:val="center"/>
        <w:spacing w:line="360" w:lineRule="auto"/>
        <w:rPr>
          <w:rFonts w:hint="eastAsia" w:ascii="黑体" w:eastAsia="黑体"/>
          <w:color w:val="auto"/>
          <w:sz w:val="32"/>
          <w:szCs w:val="32"/>
          <w:highlight w:val="none"/>
        </w:rPr>
        <w:outlineLvl w:val="9"/>
      </w:pPr>
      <w:r>
        <w:rPr>
          <w:rFonts w:hint="eastAsia" w:ascii="黑体" w:eastAsia="黑体"/>
          <w:color w:val="auto"/>
          <w:sz w:val="32"/>
          <w:szCs w:val="32"/>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bookmarkStart w:id="120" w:name="_Hlt26955054"/>
      <w:r/>
      <w:bookmarkEnd w:id="120"/>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eastAsia="zh-CN"/>
        </w:rPr>
        <w:t xml:space="preserve">五</w:t>
      </w:r>
      <w:r>
        <w:rPr>
          <w:rFonts w:hint="eastAsia" w:ascii="黑体" w:hAnsi="黑体" w:eastAsia="黑体"/>
          <w:iCs/>
          <w:color w:val="auto"/>
          <w:sz w:val="32"/>
          <w:szCs w:val="32"/>
          <w:highlight w:val="none"/>
        </w:rPr>
        <w:t xml:space="preserve">、商务要求响应及偏离表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16"/>
        <w:tblW w:w="86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220"/>
        <w:gridCol w:w="2108"/>
        <w:gridCol w:w="3467"/>
      </w:tblGrid>
      <w:tr>
        <w:trPr>
          <w:cantSplit/>
          <w:trHeight w:val="600"/>
        </w:trPr>
        <w:tc>
          <w:tcPr>
            <w:tcW w:w="835" w:type="dxa"/>
            <w:vAlign w:val="center"/>
            <w:textDirection w:val="lrTb"/>
            <w:noWrap w:val="false"/>
          </w:tcPr>
          <w:p>
            <w:pPr>
              <w:jc w:val="center"/>
              <w:rPr>
                <w:rFonts w:hint="eastAsia" w:ascii="宋体" w:hAnsi="宋体"/>
                <w:color w:val="auto"/>
                <w:sz w:val="24"/>
                <w:szCs w:val="24"/>
                <w:highlight w:val="none"/>
              </w:rPr>
            </w:pPr>
            <w:r/>
            <w:bookmarkStart w:id="121" w:name="_Hlt26955056"/>
            <w:r/>
            <w:bookmarkEnd w:id="121"/>
            <w:r/>
            <w:bookmarkStart w:id="122" w:name="_Hlt26671343"/>
            <w:r/>
            <w:bookmarkEnd w:id="122"/>
            <w:r/>
            <w:bookmarkStart w:id="123" w:name="_Hlt26955064"/>
            <w:r/>
            <w:bookmarkEnd w:id="123"/>
            <w:r/>
            <w:bookmarkStart w:id="124" w:name="_Hlt26671372"/>
            <w:r/>
            <w:bookmarkEnd w:id="124"/>
            <w:r/>
            <w:bookmarkStart w:id="125" w:name="_Hlt26580838"/>
            <w:r/>
            <w:bookmarkEnd w:id="125"/>
            <w:r/>
            <w:bookmarkStart w:id="126" w:name="_Hlt26609391"/>
            <w:r/>
            <w:bookmarkEnd w:id="126"/>
            <w:r/>
            <w:bookmarkStart w:id="127" w:name="_Hlt24879081"/>
            <w:r/>
            <w:bookmarkEnd w:id="127"/>
            <w:r/>
            <w:bookmarkStart w:id="128" w:name="_Hlt26782999"/>
            <w:r/>
            <w:bookmarkEnd w:id="128"/>
            <w:r>
              <w:rPr>
                <w:rFonts w:hint="eastAsia" w:ascii="宋体" w:hAnsi="宋体"/>
                <w:color w:val="auto"/>
                <w:sz w:val="24"/>
                <w:szCs w:val="24"/>
                <w:highlight w:val="none"/>
              </w:rPr>
              <w:t xml:space="preserve">序号</w:t>
            </w:r>
            <w:r/>
          </w:p>
        </w:tc>
        <w:tc>
          <w:tcPr>
            <w:tcW w:w="222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w:t>
            </w:r>
            <w:r/>
          </w:p>
        </w:tc>
        <w:tc>
          <w:tcPr>
            <w:tcW w:w="21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467"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18"/>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1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818"/>
        <w:ind w:firstLine="480"/>
        <w:jc w:val="both"/>
        <w:spacing w:before="0" w:beforeAutospacing="0" w:after="0" w:afterAutospacing="0" w:line="360" w:lineRule="auto"/>
        <w:rPr>
          <w:color w:val="auto"/>
          <w:highlight w:val="none"/>
        </w:rPr>
      </w:pPr>
      <w:r>
        <w:rPr>
          <w:rFonts w:hint="eastAsia"/>
          <w:color w:val="auto"/>
          <w:highlight w:val="none"/>
        </w:rPr>
        <w:t xml:space="preserve">1.供应商须对</w:t>
      </w:r>
      <w:r>
        <w:rPr>
          <w:rFonts w:hint="eastAsia"/>
          <w:color w:val="auto"/>
          <w:highlight w:val="none"/>
          <w:lang w:eastAsia="zh-CN"/>
        </w:rPr>
        <w:t xml:space="preserve">磋商文件</w:t>
      </w:r>
      <w:r>
        <w:rPr>
          <w:rFonts w:hint="eastAsia"/>
          <w:color w:val="auto"/>
          <w:highlight w:val="none"/>
        </w:rPr>
        <w:t xml:space="preserve">商务要求中的实质性要求（斜体下划线内容或打“★”内容）做出明确响应，供应商未对实质性要求作出明确响应的，视为无效投标。</w:t>
      </w:r>
      <w:r/>
    </w:p>
    <w:p>
      <w:pPr>
        <w:pStyle w:val="81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29"/>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eastAsia="zh-CN"/>
        </w:rPr>
        <w:t xml:space="preserve">六</w:t>
      </w:r>
      <w:r>
        <w:rPr>
          <w:rFonts w:hint="eastAsia" w:ascii="黑体" w:hAnsi="黑体" w:eastAsia="黑体"/>
          <w:iCs/>
          <w:color w:val="auto"/>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left="0" w:righ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left="0" w:right="0" w:firstLine="48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left="0" w:right="0" w:firstLine="480"/>
        <w:keepLines w:val="0"/>
        <w:keepNext w:val="0"/>
        <w:pageBreakBefore w:val="0"/>
        <w:spacing w:line="360" w:lineRule="auto"/>
        <w:widowControl w:val="off"/>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left="0" w:right="0"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829"/>
        <w:ind w:left="0" w:right="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keepLines w:val="0"/>
        <w:keepNext w:val="0"/>
        <w:pageBreakBefore w:val="0"/>
        <w:spacing w:line="360" w:lineRule="auto"/>
        <w:widowControl w:val="off"/>
        <w:rPr>
          <w:rFonts w:hint="eastAsia"/>
          <w:color w:val="auto"/>
          <w:highlight w:val="none"/>
        </w:rPr>
      </w:pPr>
      <w:r>
        <w:rPr>
          <w:rFonts w:hint="eastAsia"/>
          <w:color w:val="auto"/>
          <w:highlight w:val="none"/>
        </w:rPr>
      </w:r>
      <w:r/>
    </w:p>
    <w:p>
      <w:pPr>
        <w:ind w:left="0" w:right="0" w:firstLine="360"/>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left="0" w:right="0" w:firstLine="600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ascii="黑体" w:hAnsi="黑体" w:eastAsia="黑体"/>
          <w:b/>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ascii="黑体" w:hAnsi="黑体" w:eastAsia="黑体"/>
          <w:b/>
          <w:color w:val="auto"/>
          <w:sz w:val="32"/>
          <w:szCs w:val="32"/>
          <w:highlight w:val="none"/>
        </w:rPr>
      </w:r>
      <w:r/>
    </w:p>
    <w:p>
      <w:pPr>
        <w:jc w:val="center"/>
        <w:spacing w:before="312" w:after="312" w:line="360" w:lineRule="auto"/>
        <w:rPr>
          <w:rFonts w:hint="eastAsia" w:ascii="Times New Roman" w:hAnsi="Times New Roman" w:eastAsia="宋体" w:cs="Times New Roman"/>
          <w:b/>
          <w:bCs/>
          <w:color w:val="auto"/>
          <w:highlight w:val="none"/>
        </w:rPr>
      </w:pPr>
      <w:r/>
      <w:bookmarkStart w:id="129" w:name="_Toc109304977"/>
      <w:r>
        <w:rPr>
          <w:rFonts w:hint="eastAsia" w:ascii="Times New Roman" w:hAnsi="Times New Roman" w:eastAsia="宋体" w:cs="Times New Roman"/>
          <w:b/>
          <w:bCs/>
          <w:color w:val="auto"/>
          <w:highlight w:val="none"/>
        </w:rPr>
        <w:t xml:space="preserve">中小微企业划型标准</w:t>
      </w:r>
      <w:bookmarkEnd w:id="129"/>
      <w:r>
        <w:rPr>
          <w:rFonts w:hint="eastAsia" w:ascii="Times New Roman" w:hAnsi="Times New Roman" w:eastAsia="宋体" w:cs="Times New Roman"/>
          <w:b/>
          <w:bCs/>
          <w:color w:val="auto"/>
          <w:highlight w:val="none"/>
        </w:rPr>
        <w:t xml:space="preserve"> </w:t>
      </w:r>
      <w:r/>
    </w:p>
    <w:p>
      <w:pPr>
        <w:rPr>
          <w:rFonts w:hint="eastAsia"/>
          <w:color w:val="auto"/>
          <w:highlight w:val="none"/>
        </w:rPr>
      </w:pPr>
      <w:r>
        <w:rPr>
          <w:rFonts w:hint="eastAsia"/>
          <w:color w:val="auto"/>
          <w:highlight w:val="none"/>
        </w:rPr>
        <w:t xml:space="preserve">    中小微企业划型标准如下：</w:t>
      </w:r>
      <w:r/>
    </w:p>
    <w:tbl>
      <w:tblPr>
        <w:tblStyle w:val="716"/>
        <w:tblW w:w="8988"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1772"/>
        <w:gridCol w:w="1137"/>
        <w:gridCol w:w="1887"/>
        <w:gridCol w:w="1757"/>
        <w:gridCol w:w="1112"/>
      </w:tblGrid>
      <w:tr>
        <w:trPr>
          <w:jc w:val="center"/>
          <w:tblCellSpacing w:w="15" w:type="dxa"/>
          <w:trHeight w:val="285"/>
        </w:trPr>
        <w:tc>
          <w:tcPr>
            <w:tcMar>
              <w:left w:w="105" w:type="dxa"/>
              <w:top w:w="0" w:type="dxa"/>
              <w:right w:w="105" w:type="dxa"/>
              <w:bottom w:w="0" w:type="dxa"/>
            </w:tcMar>
            <w:tcW w:w="1278" w:type="dxa"/>
            <w:vAlign w:val="center"/>
            <w:textDirection w:val="lrTb"/>
            <w:noWrap w:val="false"/>
          </w:tcPr>
          <w:p>
            <w:pPr>
              <w:jc w:val="center"/>
              <w:rPr>
                <w:color w:val="auto"/>
                <w:highlight w:val="none"/>
              </w:rPr>
            </w:pPr>
            <w:r>
              <w:rPr>
                <w:rFonts w:hint="eastAsia"/>
                <w:color w:val="auto"/>
                <w:highlight w:val="none"/>
              </w:rPr>
              <w:t xml:space="preserve">行业名称</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指标名称</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计量单位</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中型</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小型</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微型</w:t>
            </w:r>
            <w:r/>
          </w:p>
        </w:tc>
      </w:tr>
      <w:tr>
        <w:trPr>
          <w:jc w:val="center"/>
          <w:tblCellSpacing w:w="15" w:type="dxa"/>
          <w:trHeight w:val="225"/>
        </w:trPr>
        <w:tc>
          <w:tcPr>
            <w:tcMar>
              <w:left w:w="105" w:type="dxa"/>
              <w:top w:w="0" w:type="dxa"/>
              <w:right w:w="105" w:type="dxa"/>
              <w:bottom w:w="0" w:type="dxa"/>
            </w:tcMar>
            <w:tcW w:w="1278" w:type="dxa"/>
            <w:vAlign w:val="center"/>
            <w:textDirection w:val="lrTb"/>
            <w:noWrap w:val="false"/>
          </w:tcPr>
          <w:p>
            <w:pPr>
              <w:jc w:val="center"/>
              <w:rPr>
                <w:color w:val="auto"/>
                <w:highlight w:val="none"/>
              </w:rPr>
            </w:pPr>
            <w:r>
              <w:rPr>
                <w:rFonts w:hint="eastAsia"/>
                <w:color w:val="auto"/>
                <w:highlight w:val="none"/>
              </w:rPr>
              <w:t xml:space="preserve">农、林、牧、渔</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both"/>
              <w:rPr>
                <w:color w:val="auto"/>
                <w:highlight w:val="none"/>
              </w:rPr>
            </w:pPr>
            <w:r>
              <w:rPr>
                <w:rFonts w:hint="eastAsia"/>
                <w:color w:val="auto"/>
                <w:highlight w:val="none"/>
              </w:rPr>
              <w:t xml:space="preserve">万万元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50≤Y＜500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工业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2000≤Y＜40000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300≤Y＜2000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Y＜300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建筑业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6000≤Y＜80000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300≤Y＜6000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Y＜300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5000≤Z＜80000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300≤Z＜5000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Z＜300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批发业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20≤X＜200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5≤X＜20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X＜5</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5000≤Y＜40000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零售业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10≤X＜50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100≤Y＜500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3000≤Y＜30000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200≤Y＜3000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Y＜200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仓储业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100≤X＜200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1000≤Y＜30000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邮政业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2000≤Y＜30000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住宿业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餐饮业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100≤X＜2000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1000≤Y＜100000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1000≤Y＜200000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100≤X＜1000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5000≤Z＜10000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2000≤Y＜5000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Y＜2000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物业管理</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500≤Y＜1000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Y＜500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8000≤Z＜120000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100≤Z＜8000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textDirection w:val="lrTb"/>
            <w:noWrap w:val="false"/>
          </w:tcPr>
          <w:p>
            <w:pPr>
              <w:jc w:val="center"/>
              <w:rPr>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bl>
    <w:p>
      <w:pPr>
        <w:pStyle w:val="1020"/>
        <w:ind w:firstLine="420"/>
        <w:spacing w:before="300" w:after="452" w:line="360" w:lineRule="auto"/>
        <w:widowControl/>
        <w:rPr>
          <w:rStyle w:val="1029"/>
          <w:rFonts w:ascii="宋体" w:hAnsi="宋体" w:cs="仿宋"/>
          <w:color w:val="auto"/>
          <w:sz w:val="21"/>
          <w:szCs w:val="21"/>
          <w:highlight w:val="none"/>
        </w:rPr>
      </w:pPr>
      <w:r>
        <w:rPr>
          <w:rStyle w:val="102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pacing w:line="360" w:lineRule="auto"/>
        <w:rPr>
          <w:rFonts w:ascii="黑体" w:hAnsi="黑体" w:eastAsia="黑体"/>
          <w:b/>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lang w:eastAsia="zh-CN"/>
        </w:rPr>
        <w:t xml:space="preserve">七</w:t>
      </w:r>
      <w:r>
        <w:rPr>
          <w:rFonts w:hint="eastAsia" w:ascii="黑体" w:hAnsi="黑体" w:eastAsia="黑体"/>
          <w:iCs/>
          <w:color w:val="auto"/>
          <w:sz w:val="32"/>
          <w:szCs w:val="32"/>
          <w:highlight w:val="none"/>
        </w:rPr>
        <w:t xml:space="preserve">、</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829"/>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29"/>
        <w:rPr>
          <w:rFonts w:hint="eastAsia"/>
          <w:color w:val="auto"/>
          <w:highlight w:val="none"/>
        </w:rPr>
      </w:pPr>
      <w:r>
        <w:rPr>
          <w:rFonts w:hint="eastAsia"/>
          <w:color w:val="auto"/>
          <w:highlight w:val="none"/>
        </w:rPr>
      </w:r>
      <w:r/>
    </w:p>
    <w:p>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p>
    <w:p>
      <w:pPr>
        <w:pStyle w:val="708"/>
        <w:jc w:val="center"/>
        <w:spacing w:before="0" w:after="200" w:line="240" w:lineRule="auto"/>
        <w:rPr>
          <w:b/>
          <w:bCs/>
          <w:color w:val="auto"/>
          <w:highlight w:val="none"/>
        </w:rPr>
      </w:pPr>
      <w:r>
        <w:rPr>
          <w:rFonts w:hint="eastAsia"/>
          <w:b/>
          <w:bCs/>
          <w:color w:val="auto"/>
          <w:highlight w:val="none"/>
        </w:rPr>
        <w:t xml:space="preserve">质疑函范本</w:t>
      </w:r>
      <w:r/>
    </w:p>
    <w:p>
      <w:pPr>
        <w:spacing w:line="400" w:lineRule="exact"/>
        <w:rPr>
          <w:rFonts w:ascii="宋体" w:hAnsi="宋体" w:cs="仿宋"/>
          <w:b/>
          <w:bCs/>
          <w:color w:val="auto"/>
          <w:sz w:val="24"/>
          <w:highlight w:val="none"/>
        </w:rPr>
      </w:pPr>
      <w:r>
        <w:rPr>
          <w:rFonts w:hint="eastAsia" w:ascii="宋体" w:hAnsi="宋体" w:cs="仿宋"/>
          <w:b/>
          <w:bCs/>
          <w:color w:val="auto"/>
          <w:sz w:val="24"/>
          <w:highlight w:val="none"/>
        </w:rPr>
        <w:t xml:space="preserve">一、质疑供应商基本信息</w:t>
      </w:r>
      <w:r/>
    </w:p>
    <w:p>
      <w:pPr>
        <w:spacing w:line="36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400" w:lineRule="exact"/>
        <w:rPr>
          <w:rFonts w:ascii="宋体" w:hAnsi="宋体" w:cs="仿宋"/>
          <w:b/>
          <w:bCs/>
          <w:color w:val="auto"/>
          <w:sz w:val="24"/>
          <w:highlight w:val="none"/>
        </w:rPr>
      </w:pPr>
      <w:r>
        <w:rPr>
          <w:rFonts w:hint="eastAsia" w:ascii="宋体" w:hAnsi="宋体" w:cs="仿宋"/>
          <w:b/>
          <w:bCs/>
          <w:color w:val="auto"/>
          <w:sz w:val="24"/>
          <w:highlight w:val="none"/>
        </w:rPr>
        <w:t xml:space="preserve">二、质疑项目基本情况</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400" w:lineRule="exact"/>
        <w:rPr>
          <w:rFonts w:ascii="宋体" w:hAnsi="宋体" w:cs="仿宋"/>
          <w:b/>
          <w:bCs/>
          <w:color w:val="auto"/>
          <w:sz w:val="24"/>
          <w:highlight w:val="none"/>
        </w:rPr>
      </w:pPr>
      <w:r>
        <w:rPr>
          <w:rFonts w:hint="eastAsia" w:ascii="宋体" w:hAnsi="宋体" w:cs="仿宋"/>
          <w:b/>
          <w:bCs/>
          <w:color w:val="auto"/>
          <w:sz w:val="24"/>
          <w:highlight w:val="none"/>
        </w:rPr>
        <w:t xml:space="preserve">三、质疑事项具体内容</w:t>
      </w:r>
      <w:r/>
    </w:p>
    <w:p>
      <w:pPr>
        <w:spacing w:line="36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400" w:lineRule="exact"/>
        <w:rPr>
          <w:rFonts w:ascii="宋体" w:hAnsi="宋体" w:cs="仿宋"/>
          <w:b/>
          <w:bCs/>
          <w:color w:val="auto"/>
          <w:sz w:val="24"/>
          <w:highlight w:val="none"/>
        </w:rPr>
      </w:pPr>
      <w:r>
        <w:rPr>
          <w:rFonts w:hint="eastAsia" w:ascii="宋体" w:hAnsi="宋体" w:cs="仿宋"/>
          <w:b/>
          <w:bCs/>
          <w:color w:val="auto"/>
          <w:sz w:val="24"/>
          <w:highlight w:val="none"/>
        </w:rPr>
        <w:t xml:space="preserve">四、与质疑事项相关的质疑请求</w:t>
      </w:r>
      <w:r/>
    </w:p>
    <w:p>
      <w:pPr>
        <w:spacing w:line="400" w:lineRule="exact"/>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单位公章： </w:t>
      </w:r>
      <w:r>
        <w:rPr>
          <w:rFonts w:ascii="宋体" w:hAnsi="宋体"/>
          <w:color w:val="auto"/>
          <w:sz w:val="24"/>
          <w:highlight w:val="none"/>
        </w:rPr>
        <w:t xml:space="preserve">                    </w:t>
      </w:r>
      <w:r>
        <w:rPr>
          <w:rFonts w:hint="eastAsia" w:ascii="宋体" w:hAnsi="宋体"/>
          <w:color w:val="auto"/>
          <w:sz w:val="24"/>
          <w:highlight w:val="none"/>
        </w:rPr>
        <w:t xml:space="preserve">签字(签章)：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w:t>
      </w:r>
      <w:r/>
    </w:p>
    <w:p>
      <w:pPr>
        <w:spacing w:line="400" w:lineRule="exact"/>
        <w:rPr>
          <w:rFonts w:ascii="宋体" w:hAnsi="宋体"/>
          <w:color w:val="auto"/>
          <w:sz w:val="24"/>
          <w:highlight w:val="none"/>
        </w:rPr>
      </w:pPr>
      <w:r>
        <w:rPr>
          <w:rFonts w:ascii="宋体" w:hAnsi="宋体"/>
          <w:color w:val="auto"/>
          <w:sz w:val="24"/>
          <w:highlight w:val="none"/>
        </w:rPr>
      </w:r>
      <w:r/>
    </w:p>
    <w:p>
      <w:pPr>
        <w:jc w:val="left"/>
        <w:spacing w:line="320" w:lineRule="exact"/>
        <w:rPr>
          <w:rFonts w:ascii="宋体" w:hAnsi="宋体"/>
          <w:b/>
          <w:color w:val="auto"/>
          <w:highlight w:val="none"/>
        </w:rPr>
      </w:pPr>
      <w:r>
        <w:rPr>
          <w:rFonts w:hint="eastAsia" w:ascii="宋体" w:hAnsi="宋体"/>
          <w:b/>
          <w:color w:val="auto"/>
          <w:highlight w:val="none"/>
        </w:rPr>
        <w:t xml:space="preserve">质疑函制作说明：</w:t>
      </w:r>
      <w:r/>
    </w:p>
    <w:p>
      <w:pPr>
        <w:spacing w:line="320" w:lineRule="exact"/>
        <w:widowControl/>
        <w:rPr>
          <w:rFonts w:ascii="宋体" w:hAnsi="宋体"/>
          <w:color w:val="auto"/>
          <w:highlight w:val="none"/>
        </w:rPr>
      </w:pPr>
      <w:r>
        <w:rPr>
          <w:rFonts w:hint="eastAsia" w:ascii="宋体" w:hAnsi="宋体"/>
          <w:color w:val="auto"/>
          <w:highlight w:val="none"/>
        </w:rPr>
        <w:t xml:space="preserve">1.供应商提出质疑时，应提交质疑函和必要的证明材料。</w:t>
      </w:r>
      <w:r/>
    </w:p>
    <w:p>
      <w:pPr>
        <w:spacing w:line="320" w:lineRule="exact"/>
        <w:widowControl/>
        <w:rPr>
          <w:rFonts w:ascii="宋体" w:hAnsi="宋体"/>
          <w:color w:val="auto"/>
          <w:highlight w:val="none"/>
        </w:rPr>
      </w:pPr>
      <w:r>
        <w:rPr>
          <w:rFonts w:hint="eastAsia" w:ascii="宋体" w:hAnsi="宋体"/>
          <w:color w:val="auto"/>
          <w:highlight w:val="none"/>
        </w:rPr>
        <w:t xml:space="preserve">2.质疑供应商若委托代理人进行质疑的，质疑函应按要求列明“授权代表”的有关内容，并在附件中提交由质疑</w:t>
      </w:r>
      <w:r>
        <w:rPr>
          <w:rFonts w:hint="eastAsia" w:ascii="宋体" w:hAnsi="宋体" w:cs="宋体"/>
          <w:color w:val="auto"/>
          <w:highlight w:val="none"/>
        </w:rPr>
        <w:t xml:space="preserve">供应商签署的授权委托书。授权委托书应载明代理人的姓名或者名称、代理事项、具体权限、期限和相关事项。</w:t>
      </w:r>
      <w:r/>
    </w:p>
    <w:p>
      <w:pPr>
        <w:spacing w:line="320" w:lineRule="exact"/>
        <w:widowControl/>
        <w:rPr>
          <w:rFonts w:ascii="宋体" w:hAnsi="宋体"/>
          <w:color w:val="auto"/>
          <w:highlight w:val="none"/>
        </w:rPr>
      </w:pPr>
      <w:r>
        <w:rPr>
          <w:rFonts w:hint="eastAsia" w:ascii="宋体" w:hAnsi="宋体"/>
          <w:color w:val="auto"/>
          <w:highlight w:val="none"/>
        </w:rPr>
        <w:t xml:space="preserve">3.质疑供应商若对项目的某一分包进行质疑，质疑函中应列明具体分包号。</w:t>
      </w:r>
      <w:r/>
    </w:p>
    <w:p>
      <w:pPr>
        <w:spacing w:line="320" w:lineRule="exact"/>
        <w:widowControl/>
        <w:rPr>
          <w:rFonts w:ascii="宋体" w:hAnsi="宋体"/>
          <w:color w:val="auto"/>
          <w:highlight w:val="none"/>
        </w:rPr>
      </w:pPr>
      <w:r>
        <w:rPr>
          <w:rFonts w:hint="eastAsia" w:ascii="宋体" w:hAnsi="宋体"/>
          <w:color w:val="auto"/>
          <w:highlight w:val="none"/>
        </w:rPr>
        <w:t xml:space="preserve">4.质疑函的质疑事项应具体、明确，并有必要的事实依据和法律依据。</w:t>
      </w:r>
      <w:r/>
    </w:p>
    <w:p>
      <w:pPr>
        <w:spacing w:line="320" w:lineRule="exact"/>
        <w:widowControl/>
        <w:rPr>
          <w:rFonts w:ascii="宋体" w:hAnsi="宋体"/>
          <w:color w:val="auto"/>
          <w:highlight w:val="none"/>
        </w:rPr>
      </w:pPr>
      <w:r>
        <w:rPr>
          <w:rFonts w:hint="eastAsia" w:ascii="宋体" w:hAnsi="宋体"/>
          <w:color w:val="auto"/>
          <w:highlight w:val="none"/>
        </w:rPr>
        <w:t xml:space="preserve">5.质疑函的质疑请求应与质疑事项相关。</w:t>
      </w:r>
      <w:r/>
    </w:p>
    <w:p>
      <w:pPr>
        <w:spacing w:line="320" w:lineRule="exact"/>
        <w:widowControl/>
        <w:rPr>
          <w:rFonts w:ascii="宋体" w:hAnsi="宋体"/>
          <w:color w:val="auto"/>
          <w:highlight w:val="none"/>
        </w:rPr>
      </w:pPr>
      <w:r>
        <w:rPr>
          <w:rFonts w:hint="eastAsia" w:ascii="宋体" w:hAnsi="宋体"/>
          <w:color w:val="auto"/>
          <w:highlight w:val="none"/>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color w:val="auto"/>
          <w:highlight w:val="none"/>
        </w:rPr>
      </w:pPr>
      <w:r>
        <w:rPr>
          <w:rFonts w:hint="eastAsia" w:ascii="宋体" w:hAnsi="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sectPr>
      <w:footnotePr/>
      <w:endnotePr/>
      <w:type w:val="nextPage"/>
      <w:pgSz w:w="11906" w:h="16838" w:orient="portrait"/>
      <w:pgMar w:top="1417" w:right="1814" w:bottom="1417" w:left="181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1"/>
      <w:isLgl w:val="false"/>
      <w:suff w:val="nothing"/>
      <w:lvlText w:val=""/>
      <w:lvlJc w:val="left"/>
      <w:pPr>
        <w:ind w:left="0" w:firstLine="0"/>
      </w:pPr>
      <w:rPr>
        <w:rFonts w:hint="eastAsia"/>
      </w:rPr>
    </w:lvl>
    <w:lvl w:ilvl="6">
      <w:start w:val="1"/>
      <w:numFmt w:val="decimal"/>
      <w:pStyle w:val="973"/>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3">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10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6">
    <w:name w:val="Heading 1"/>
    <w:basedOn w:val="705"/>
    <w:next w:val="705"/>
    <w:link w:val="748"/>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49"/>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0"/>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1"/>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2"/>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3"/>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5"/>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6"/>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7">
    <w:name w:val="Body Text First Indent 2"/>
    <w:basedOn w:val="718"/>
    <w:uiPriority w:val="0"/>
    <w:unhideWhenUsed/>
    <w:pPr>
      <w:ind w:left="420" w:firstLine="420"/>
      <w:spacing w:after="120"/>
    </w:pPr>
    <w:rPr>
      <w:rFonts w:ascii="宋体" w:hAnsi="宋体"/>
      <w:sz w:val="21"/>
    </w:rPr>
  </w:style>
  <w:style w:type="paragraph" w:styleId="718">
    <w:name w:val="Body Text Indent"/>
    <w:basedOn w:val="705"/>
    <w:uiPriority w:val="0"/>
    <w:qFormat/>
    <w:pPr>
      <w:ind w:firstLine="645"/>
    </w:pPr>
    <w:rPr>
      <w:rFonts w:ascii="楷体_GB2312" w:eastAsia="楷体_GB2312"/>
      <w:sz w:val="32"/>
      <w:szCs w:val="20"/>
    </w:rPr>
  </w:style>
  <w:style w:type="paragraph" w:styleId="719">
    <w:name w:val="toc 7"/>
    <w:basedOn w:val="705"/>
    <w:next w:val="705"/>
    <w:uiPriority w:val="39"/>
    <w:unhideWhenUsed/>
    <w:qFormat/>
    <w:pPr>
      <w:ind w:left="1701" w:right="0" w:firstLine="0"/>
      <w:spacing w:after="57"/>
    </w:p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5"/>
    <w:uiPriority w:val="99"/>
    <w:semiHidden/>
    <w:unhideWhenUsed/>
    <w:qFormat/>
    <w:pPr>
      <w:jc w:val="left"/>
    </w:pPr>
  </w:style>
  <w:style w:type="paragraph" w:styleId="722">
    <w:name w:val="toc 5"/>
    <w:basedOn w:val="705"/>
    <w:next w:val="705"/>
    <w:uiPriority w:val="39"/>
    <w:unhideWhenUsed/>
    <w:qFormat/>
    <w:pPr>
      <w:ind w:left="1134" w:right="0" w:firstLine="0"/>
      <w:spacing w:after="57"/>
    </w:pPr>
  </w:style>
  <w:style w:type="paragraph" w:styleId="723">
    <w:name w:val="toc 3"/>
    <w:basedOn w:val="705"/>
    <w:next w:val="705"/>
    <w:uiPriority w:val="39"/>
    <w:unhideWhenUsed/>
    <w:qFormat/>
    <w:pPr>
      <w:ind w:left="567" w:right="0" w:firstLine="0"/>
      <w:spacing w:after="57"/>
    </w:pPr>
  </w:style>
  <w:style w:type="paragraph" w:styleId="724">
    <w:name w:val="Plain Text"/>
    <w:basedOn w:val="705"/>
    <w:uiPriority w:val="0"/>
    <w:qFormat/>
    <w:rPr>
      <w:rFonts w:ascii="宋体" w:hAnsi="Courier New" w:eastAsia="宋体"/>
      <w:sz w:val="28"/>
      <w:szCs w:val="28"/>
    </w:rPr>
  </w:style>
  <w:style w:type="paragraph" w:styleId="725">
    <w:name w:val="toc 8"/>
    <w:basedOn w:val="705"/>
    <w:next w:val="705"/>
    <w:uiPriority w:val="39"/>
    <w:unhideWhenUsed/>
    <w:qFormat/>
    <w:pPr>
      <w:ind w:left="1984" w:right="0" w:firstLine="0"/>
      <w:spacing w:after="57"/>
    </w:pPr>
  </w:style>
  <w:style w:type="paragraph" w:styleId="726">
    <w:name w:val="endnote text"/>
    <w:basedOn w:val="705"/>
    <w:link w:val="768"/>
    <w:uiPriority w:val="99"/>
    <w:semiHidden/>
    <w:unhideWhenUsed/>
    <w:qFormat/>
    <w:pPr>
      <w:spacing w:after="0" w:line="240" w:lineRule="auto"/>
    </w:pPr>
    <w:rPr>
      <w:sz w:val="20"/>
    </w:rPr>
  </w:style>
  <w:style w:type="paragraph" w:styleId="727">
    <w:name w:val="Footer"/>
    <w:basedOn w:val="705"/>
    <w:link w:val="766"/>
    <w:uiPriority w:val="99"/>
    <w:unhideWhenUsed/>
    <w:qFormat/>
    <w:pPr>
      <w:spacing w:after="0" w:line="240" w:lineRule="auto"/>
      <w:tabs>
        <w:tab w:val="center" w:pos="7143" w:leader="none"/>
        <w:tab w:val="right" w:pos="14287" w:leader="none"/>
      </w:tabs>
    </w:pPr>
  </w:style>
  <w:style w:type="paragraph" w:styleId="728">
    <w:name w:val="Header"/>
    <w:basedOn w:val="705"/>
    <w:link w:val="765"/>
    <w:uiPriority w:val="99"/>
    <w:unhideWhenUsed/>
    <w:qFormat/>
    <w:pPr>
      <w:spacing w:after="0" w:line="240" w:lineRule="auto"/>
      <w:tabs>
        <w:tab w:val="center" w:pos="7143" w:leader="none"/>
        <w:tab w:val="right" w:pos="14287" w:leader="none"/>
      </w:tabs>
    </w:pPr>
  </w:style>
  <w:style w:type="paragraph" w:styleId="729">
    <w:name w:val="toc 1"/>
    <w:basedOn w:val="705"/>
    <w:next w:val="705"/>
    <w:uiPriority w:val="39"/>
    <w:unhideWhenUsed/>
    <w:qFormat/>
    <w:pPr>
      <w:ind w:left="0" w:right="0" w:firstLine="0"/>
      <w:spacing w:after="57"/>
    </w:pPr>
  </w:style>
  <w:style w:type="paragraph" w:styleId="730">
    <w:name w:val="toc 4"/>
    <w:basedOn w:val="705"/>
    <w:next w:val="705"/>
    <w:uiPriority w:val="39"/>
    <w:unhideWhenUsed/>
    <w:qFormat/>
    <w:pPr>
      <w:ind w:left="850" w:right="0" w:firstLine="0"/>
      <w:spacing w:after="57"/>
    </w:pPr>
  </w:style>
  <w:style w:type="paragraph" w:styleId="731">
    <w:name w:val="Subtitle"/>
    <w:basedOn w:val="705"/>
    <w:next w:val="705"/>
    <w:link w:val="760"/>
    <w:uiPriority w:val="11"/>
    <w:qFormat/>
    <w:pPr>
      <w:spacing w:before="200" w:after="200"/>
    </w:pPr>
    <w:rPr>
      <w:sz w:val="24"/>
      <w:szCs w:val="24"/>
    </w:rPr>
  </w:style>
  <w:style w:type="paragraph" w:styleId="732">
    <w:name w:val="footnote text"/>
    <w:basedOn w:val="705"/>
    <w:link w:val="767"/>
    <w:uiPriority w:val="99"/>
    <w:semiHidden/>
    <w:unhideWhenUsed/>
    <w:qFormat/>
    <w:pPr>
      <w:spacing w:after="40" w:line="240" w:lineRule="auto"/>
    </w:pPr>
    <w:rPr>
      <w:sz w:val="18"/>
    </w:rPr>
  </w:style>
  <w:style w:type="paragraph" w:styleId="733">
    <w:name w:val="toc 6"/>
    <w:basedOn w:val="705"/>
    <w:next w:val="705"/>
    <w:uiPriority w:val="39"/>
    <w:unhideWhenUsed/>
    <w:qFormat/>
    <w:pPr>
      <w:ind w:left="1417" w:right="0" w:firstLine="0"/>
      <w:spacing w:after="57"/>
    </w:pPr>
  </w:style>
  <w:style w:type="paragraph" w:styleId="734">
    <w:name w:val="table of figures"/>
    <w:basedOn w:val="705"/>
    <w:next w:val="705"/>
    <w:uiPriority w:val="99"/>
    <w:unhideWhenUsed/>
    <w:qFormat/>
    <w:pPr>
      <w:spacing w:after="0" w:afterAutospacing="0"/>
    </w:pPr>
  </w:style>
  <w:style w:type="paragraph" w:styleId="735">
    <w:name w:val="toc 2"/>
    <w:basedOn w:val="705"/>
    <w:next w:val="705"/>
    <w:uiPriority w:val="39"/>
    <w:unhideWhenUsed/>
    <w:qFormat/>
    <w:pPr>
      <w:ind w:left="283" w:right="0" w:firstLine="0"/>
      <w:spacing w:after="57"/>
    </w:pPr>
  </w:style>
  <w:style w:type="paragraph" w:styleId="736">
    <w:name w:val="toc 9"/>
    <w:basedOn w:val="705"/>
    <w:next w:val="705"/>
    <w:uiPriority w:val="39"/>
    <w:unhideWhenUsed/>
    <w:qFormat/>
    <w:pPr>
      <w:ind w:left="2268" w:right="0" w:firstLine="0"/>
      <w:spacing w:after="57"/>
    </w:pPr>
  </w:style>
  <w:style w:type="paragraph" w:styleId="737">
    <w:name w:val="Normal (Web)"/>
    <w:basedOn w:val="705"/>
    <w:uiPriority w:val="99"/>
    <w:semiHidden/>
    <w:unhideWhenUsed/>
    <w:qFormat/>
    <w:rPr>
      <w:sz w:val="24"/>
    </w:rPr>
  </w:style>
  <w:style w:type="paragraph" w:styleId="738">
    <w:name w:val="Title"/>
    <w:basedOn w:val="705"/>
    <w:next w:val="705"/>
    <w:link w:val="759"/>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uiPriority w:val="99"/>
    <w:qFormat/>
    <w:rPr>
      <w:rFonts w:cs="Times New Roman"/>
      <w:b/>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首行缩进"/>
    <w:basedOn w:val="705"/>
    <w:uiPriority w:val="0"/>
    <w:qFormat/>
    <w:pPr>
      <w:ind w:firstLine="480"/>
    </w:pPr>
    <w:rPr>
      <w:lang w:val="zh-CN"/>
    </w:rPr>
  </w:style>
  <w:style w:type="character" w:styleId="745" w:customStyle="1">
    <w:name w:val="标题 2 Char"/>
    <w:link w:val="746"/>
    <w:uiPriority w:val="0"/>
    <w:qFormat/>
    <w:rPr>
      <w:rFonts w:ascii="Arial" w:hAnsi="Arial" w:eastAsia="幼圆" w:cs="Arial"/>
      <w:b/>
      <w:bCs/>
      <w:sz w:val="44"/>
      <w:szCs w:val="44"/>
    </w:rPr>
  </w:style>
  <w:style w:type="paragraph" w:styleId="746" w:customStyle="1">
    <w:name w:val="标题 21"/>
    <w:basedOn w:val="705"/>
    <w:next w:val="747"/>
    <w:link w:val="745"/>
    <w:uiPriority w:val="0"/>
    <w:qFormat/>
    <w:pPr>
      <w:jc w:val="center"/>
      <w:keepLines/>
      <w:keepNext/>
      <w:spacing w:before="260" w:after="260" w:line="416" w:lineRule="auto"/>
      <w:outlineLvl w:val="1"/>
    </w:pPr>
    <w:rPr>
      <w:rFonts w:ascii="Arial" w:hAnsi="Arial" w:eastAsia="幼圆"/>
      <w:b/>
      <w:bCs/>
      <w:sz w:val="44"/>
      <w:szCs w:val="44"/>
    </w:rPr>
  </w:style>
  <w:style w:type="paragraph" w:styleId="747" w:customStyle="1">
    <w:name w:val="正文缩进11"/>
    <w:basedOn w:val="705"/>
    <w:link w:val="964"/>
    <w:uiPriority w:val="0"/>
    <w:qFormat/>
    <w:pPr>
      <w:ind w:firstLine="420"/>
    </w:pPr>
    <w:rPr>
      <w:sz w:val="20"/>
    </w:rPr>
  </w:style>
  <w:style w:type="character" w:styleId="748" w:customStyle="1">
    <w:name w:val="Heading 1 Char"/>
    <w:link w:val="706"/>
    <w:uiPriority w:val="9"/>
    <w:qFormat/>
    <w:rPr>
      <w:rFonts w:ascii="Arial" w:hAnsi="Arial" w:eastAsia="Arial" w:cs="Arial"/>
      <w:sz w:val="40"/>
      <w:szCs w:val="40"/>
    </w:rPr>
  </w:style>
  <w:style w:type="character" w:styleId="749" w:customStyle="1">
    <w:name w:val="Heading 2 Char"/>
    <w:link w:val="707"/>
    <w:uiPriority w:val="9"/>
    <w:qFormat/>
    <w:rPr>
      <w:rFonts w:ascii="Arial" w:hAnsi="Arial" w:eastAsia="Arial" w:cs="Arial"/>
      <w:sz w:val="34"/>
    </w:rPr>
  </w:style>
  <w:style w:type="character" w:styleId="750" w:customStyle="1">
    <w:name w:val="Heading 3 Char"/>
    <w:link w:val="708"/>
    <w:uiPriority w:val="9"/>
    <w:qFormat/>
    <w:rPr>
      <w:rFonts w:ascii="Arial" w:hAnsi="Arial" w:eastAsia="Arial" w:cs="Arial"/>
      <w:sz w:val="30"/>
      <w:szCs w:val="30"/>
    </w:rPr>
  </w:style>
  <w:style w:type="character" w:styleId="751" w:customStyle="1">
    <w:name w:val="Heading 4 Char"/>
    <w:link w:val="709"/>
    <w:uiPriority w:val="9"/>
    <w:qFormat/>
    <w:rPr>
      <w:rFonts w:ascii="Arial" w:hAnsi="Arial" w:eastAsia="Arial" w:cs="Arial"/>
      <w:b/>
      <w:bCs/>
      <w:sz w:val="26"/>
      <w:szCs w:val="26"/>
    </w:rPr>
  </w:style>
  <w:style w:type="character" w:styleId="752" w:customStyle="1">
    <w:name w:val="Heading 5 Char"/>
    <w:link w:val="710"/>
    <w:uiPriority w:val="9"/>
    <w:qFormat/>
    <w:rPr>
      <w:rFonts w:ascii="Arial" w:hAnsi="Arial" w:eastAsia="Arial" w:cs="Arial"/>
      <w:b/>
      <w:bCs/>
      <w:sz w:val="24"/>
      <w:szCs w:val="24"/>
    </w:rPr>
  </w:style>
  <w:style w:type="character" w:styleId="753" w:customStyle="1">
    <w:name w:val="Heading 6 Char"/>
    <w:link w:val="711"/>
    <w:uiPriority w:val="9"/>
    <w:qFormat/>
    <w:rPr>
      <w:rFonts w:ascii="Arial" w:hAnsi="Arial" w:eastAsia="Arial" w:cs="Arial"/>
      <w:b/>
      <w:bCs/>
      <w:sz w:val="22"/>
      <w:szCs w:val="22"/>
    </w:rPr>
  </w:style>
  <w:style w:type="character" w:styleId="754" w:customStyle="1">
    <w:name w:val="Heading 7 Char"/>
    <w:link w:val="712"/>
    <w:uiPriority w:val="9"/>
    <w:qFormat/>
    <w:rPr>
      <w:rFonts w:ascii="Arial" w:hAnsi="Arial" w:eastAsia="Arial" w:cs="Arial"/>
      <w:b/>
      <w:bCs/>
      <w:i/>
      <w:iCs/>
      <w:sz w:val="22"/>
      <w:szCs w:val="22"/>
    </w:rPr>
  </w:style>
  <w:style w:type="character" w:styleId="755" w:customStyle="1">
    <w:name w:val="Heading 8 Char"/>
    <w:link w:val="713"/>
    <w:uiPriority w:val="9"/>
    <w:qFormat/>
    <w:rPr>
      <w:rFonts w:ascii="Arial" w:hAnsi="Arial" w:eastAsia="Arial" w:cs="Arial"/>
      <w:i/>
      <w:iCs/>
      <w:sz w:val="22"/>
      <w:szCs w:val="22"/>
    </w:rPr>
  </w:style>
  <w:style w:type="character" w:styleId="756" w:customStyle="1">
    <w:name w:val="Heading 9 Char"/>
    <w:link w:val="714"/>
    <w:uiPriority w:val="9"/>
    <w:qFormat/>
    <w:rPr>
      <w:rFonts w:ascii="Arial" w:hAnsi="Arial" w:eastAsia="Arial" w:cs="Arial"/>
      <w:i/>
      <w:iCs/>
      <w:sz w:val="21"/>
      <w:szCs w:val="21"/>
    </w:rPr>
  </w:style>
  <w:style w:type="paragraph" w:styleId="757">
    <w:name w:val="List Paragraph"/>
    <w:basedOn w:val="705"/>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38"/>
    <w:uiPriority w:val="10"/>
    <w:qFormat/>
    <w:rPr>
      <w:sz w:val="48"/>
      <w:szCs w:val="48"/>
    </w:rPr>
  </w:style>
  <w:style w:type="character" w:styleId="760" w:customStyle="1">
    <w:name w:val="Subtitle Char"/>
    <w:link w:val="731"/>
    <w:uiPriority w:val="11"/>
    <w:qFormat/>
    <w:rPr>
      <w:sz w:val="24"/>
      <w:szCs w:val="24"/>
    </w:rPr>
  </w:style>
  <w:style w:type="paragraph" w:styleId="761">
    <w:name w:val="Quote"/>
    <w:basedOn w:val="705"/>
    <w:next w:val="705"/>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5"/>
    <w:next w:val="70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28"/>
    <w:uiPriority w:val="99"/>
    <w:qFormat/>
  </w:style>
  <w:style w:type="character" w:styleId="766" w:customStyle="1">
    <w:name w:val="Footer Char"/>
    <w:link w:val="727"/>
    <w:uiPriority w:val="99"/>
    <w:qFormat/>
  </w:style>
  <w:style w:type="character" w:styleId="767" w:customStyle="1">
    <w:name w:val="Footnote Text Char"/>
    <w:link w:val="732"/>
    <w:uiPriority w:val="99"/>
    <w:qFormat/>
    <w:rPr>
      <w:sz w:val="18"/>
    </w:rPr>
  </w:style>
  <w:style w:type="character" w:styleId="768" w:customStyle="1">
    <w:name w:val="Endnote Text Char"/>
    <w:link w:val="726"/>
    <w:uiPriority w:val="99"/>
    <w:qFormat/>
    <w:rPr>
      <w:sz w:val="20"/>
    </w:rPr>
  </w:style>
  <w:style w:type="paragraph" w:styleId="769" w:customStyle="1">
    <w:name w:val="标题 111"/>
    <w:basedOn w:val="705"/>
    <w:next w:val="705"/>
    <w:link w:val="782"/>
    <w:uiPriority w:val="9"/>
    <w:qFormat/>
    <w:pPr>
      <w:keepLines/>
      <w:keepNext/>
      <w:spacing w:before="480" w:after="200"/>
      <w:outlineLvl w:val="0"/>
    </w:pPr>
    <w:rPr>
      <w:b/>
      <w:bCs/>
      <w:sz w:val="32"/>
      <w:szCs w:val="44"/>
    </w:rPr>
  </w:style>
  <w:style w:type="paragraph" w:styleId="770" w:customStyle="1">
    <w:name w:val="标题 211"/>
    <w:basedOn w:val="705"/>
    <w:next w:val="705"/>
    <w:link w:val="783"/>
    <w:uiPriority w:val="9"/>
    <w:qFormat/>
    <w:pPr>
      <w:keepLines/>
      <w:keepNext/>
      <w:spacing w:before="360" w:after="200"/>
      <w:outlineLvl w:val="1"/>
    </w:pPr>
    <w:rPr>
      <w:rFonts w:ascii="Arial" w:hAnsi="Arial" w:eastAsia="Arial"/>
      <w:sz w:val="34"/>
      <w:szCs w:val="20"/>
    </w:rPr>
  </w:style>
  <w:style w:type="paragraph" w:styleId="771" w:customStyle="1">
    <w:name w:val="标题 312"/>
    <w:basedOn w:val="705"/>
    <w:next w:val="772"/>
    <w:link w:val="784"/>
    <w:uiPriority w:val="9"/>
    <w:qFormat/>
    <w:pPr>
      <w:keepLines/>
      <w:keepNext/>
      <w:spacing w:before="320" w:after="200"/>
      <w:outlineLvl w:val="2"/>
    </w:pPr>
    <w:rPr>
      <w:rFonts w:ascii="Arial" w:hAnsi="Arial" w:eastAsia="Arial"/>
      <w:sz w:val="30"/>
      <w:szCs w:val="30"/>
    </w:rPr>
  </w:style>
  <w:style w:type="paragraph" w:styleId="772" w:customStyle="1">
    <w:name w:val="正文缩进12"/>
    <w:basedOn w:val="705"/>
    <w:uiPriority w:val="0"/>
    <w:qFormat/>
    <w:pPr>
      <w:ind w:firstLine="420"/>
    </w:pPr>
  </w:style>
  <w:style w:type="paragraph" w:styleId="773" w:customStyle="1">
    <w:name w:val="标题 411"/>
    <w:basedOn w:val="705"/>
    <w:next w:val="772"/>
    <w:link w:val="785"/>
    <w:uiPriority w:val="9"/>
    <w:qFormat/>
    <w:pPr>
      <w:keepLines/>
      <w:keepNext/>
      <w:spacing w:before="320" w:after="200"/>
      <w:outlineLvl w:val="3"/>
    </w:pPr>
    <w:rPr>
      <w:rFonts w:ascii="Arial" w:hAnsi="Arial" w:eastAsia="Arial"/>
      <w:b/>
      <w:bCs/>
      <w:sz w:val="26"/>
      <w:szCs w:val="26"/>
    </w:rPr>
  </w:style>
  <w:style w:type="paragraph" w:styleId="774" w:customStyle="1">
    <w:name w:val="标题 511"/>
    <w:basedOn w:val="705"/>
    <w:next w:val="705"/>
    <w:link w:val="786"/>
    <w:uiPriority w:val="9"/>
    <w:qFormat/>
    <w:pPr>
      <w:keepLines/>
      <w:keepNext/>
      <w:spacing w:before="320" w:after="200"/>
      <w:outlineLvl w:val="4"/>
    </w:pPr>
    <w:rPr>
      <w:rFonts w:ascii="Arial" w:hAnsi="Arial" w:eastAsia="Arial"/>
      <w:b/>
      <w:bCs/>
      <w:sz w:val="24"/>
      <w:szCs w:val="24"/>
    </w:rPr>
  </w:style>
  <w:style w:type="paragraph" w:styleId="775" w:customStyle="1">
    <w:name w:val="标题 611"/>
    <w:basedOn w:val="705"/>
    <w:next w:val="705"/>
    <w:link w:val="787"/>
    <w:uiPriority w:val="9"/>
    <w:qFormat/>
    <w:pPr>
      <w:keepLines/>
      <w:keepNext/>
      <w:spacing w:before="320" w:after="200"/>
      <w:outlineLvl w:val="5"/>
    </w:pPr>
    <w:rPr>
      <w:rFonts w:ascii="Arial" w:hAnsi="Arial" w:eastAsia="Arial"/>
      <w:b/>
      <w:bCs/>
      <w:sz w:val="22"/>
      <w:szCs w:val="22"/>
    </w:rPr>
  </w:style>
  <w:style w:type="paragraph" w:styleId="776" w:customStyle="1">
    <w:name w:val="标题 711"/>
    <w:basedOn w:val="705"/>
    <w:next w:val="705"/>
    <w:link w:val="788"/>
    <w:uiPriority w:val="9"/>
    <w:qFormat/>
    <w:pPr>
      <w:keepLines/>
      <w:keepNext/>
      <w:spacing w:before="320" w:after="200"/>
      <w:outlineLvl w:val="6"/>
    </w:pPr>
    <w:rPr>
      <w:rFonts w:ascii="Arial" w:hAnsi="Arial" w:eastAsia="Arial"/>
      <w:b/>
      <w:bCs/>
      <w:i/>
      <w:iCs/>
      <w:sz w:val="22"/>
      <w:szCs w:val="22"/>
    </w:rPr>
  </w:style>
  <w:style w:type="paragraph" w:styleId="777" w:customStyle="1">
    <w:name w:val="标题 811"/>
    <w:basedOn w:val="705"/>
    <w:next w:val="705"/>
    <w:link w:val="789"/>
    <w:uiPriority w:val="9"/>
    <w:qFormat/>
    <w:pPr>
      <w:keepLines/>
      <w:keepNext/>
      <w:spacing w:before="320" w:after="200"/>
      <w:outlineLvl w:val="7"/>
    </w:pPr>
    <w:rPr>
      <w:rFonts w:ascii="Arial" w:hAnsi="Arial" w:eastAsia="Arial"/>
      <w:i/>
      <w:iCs/>
      <w:sz w:val="22"/>
      <w:szCs w:val="22"/>
    </w:rPr>
  </w:style>
  <w:style w:type="paragraph" w:styleId="778" w:customStyle="1">
    <w:name w:val="标题 911"/>
    <w:basedOn w:val="705"/>
    <w:next w:val="705"/>
    <w:link w:val="790"/>
    <w:uiPriority w:val="9"/>
    <w:qFormat/>
    <w:pPr>
      <w:keepLines/>
      <w:keepNext/>
      <w:spacing w:before="320" w:after="200"/>
      <w:outlineLvl w:val="8"/>
    </w:pPr>
    <w:rPr>
      <w:rFonts w:ascii="Arial" w:hAnsi="Arial" w:eastAsia="Arial"/>
      <w:i/>
      <w:iCs/>
    </w:rPr>
  </w:style>
  <w:style w:type="character" w:styleId="779" w:customStyle="1">
    <w:name w:val="默认段落字体11"/>
    <w:link w:val="705"/>
    <w:uiPriority w:val="1"/>
    <w:unhideWhenUsed/>
    <w:qFormat/>
  </w:style>
  <w:style w:type="table" w:styleId="780" w:customStyle="1">
    <w:name w:val="普通表格12"/>
    <w:uiPriority w:val="99"/>
    <w:unhideWhenUsed/>
    <w:qFormat/>
    <w:tblPr/>
  </w:style>
  <w:style w:type="paragraph" w:styleId="781" w:customStyle="1">
    <w:name w:val="正文文本121"/>
    <w:basedOn w:val="705"/>
    <w:uiPriority w:val="1"/>
    <w:qFormat/>
    <w:pPr>
      <w:ind w:left="120"/>
    </w:pPr>
    <w:rPr>
      <w:rFonts w:ascii="宋体" w:hAnsi="宋体" w:eastAsia="宋体" w:cs="宋体"/>
      <w:sz w:val="21"/>
      <w:szCs w:val="21"/>
      <w:lang w:val="zh-CN" w:eastAsia="zh-CN" w:bidi="zh-CN"/>
    </w:rPr>
  </w:style>
  <w:style w:type="character" w:styleId="782" w:customStyle="1">
    <w:name w:val="标题 1 Char1"/>
    <w:link w:val="769"/>
    <w:uiPriority w:val="9"/>
    <w:qFormat/>
    <w:rPr>
      <w:rFonts w:ascii="Arial" w:hAnsi="Arial" w:eastAsia="Arial" w:cs="Arial"/>
      <w:sz w:val="40"/>
      <w:szCs w:val="40"/>
    </w:rPr>
  </w:style>
  <w:style w:type="character" w:styleId="783" w:customStyle="1">
    <w:name w:val="标题 2 Char1"/>
    <w:link w:val="770"/>
    <w:uiPriority w:val="9"/>
    <w:qFormat/>
    <w:rPr>
      <w:rFonts w:ascii="Arial" w:hAnsi="Arial" w:eastAsia="Arial" w:cs="Arial"/>
      <w:sz w:val="34"/>
    </w:rPr>
  </w:style>
  <w:style w:type="character" w:styleId="784" w:customStyle="1">
    <w:name w:val="标题 3 Char1"/>
    <w:link w:val="771"/>
    <w:uiPriority w:val="9"/>
    <w:qFormat/>
    <w:rPr>
      <w:rFonts w:ascii="Arial" w:hAnsi="Arial" w:eastAsia="Arial" w:cs="Arial"/>
      <w:sz w:val="30"/>
      <w:szCs w:val="30"/>
    </w:rPr>
  </w:style>
  <w:style w:type="character" w:styleId="785" w:customStyle="1">
    <w:name w:val="标题 4 Char1"/>
    <w:link w:val="773"/>
    <w:uiPriority w:val="9"/>
    <w:qFormat/>
    <w:rPr>
      <w:rFonts w:ascii="Arial" w:hAnsi="Arial" w:eastAsia="Arial" w:cs="Arial"/>
      <w:b/>
      <w:bCs/>
      <w:sz w:val="26"/>
      <w:szCs w:val="26"/>
    </w:rPr>
  </w:style>
  <w:style w:type="character" w:styleId="786" w:customStyle="1">
    <w:name w:val="标题 5 Char1"/>
    <w:link w:val="774"/>
    <w:uiPriority w:val="9"/>
    <w:qFormat/>
    <w:rPr>
      <w:rFonts w:ascii="Arial" w:hAnsi="Arial" w:eastAsia="Arial" w:cs="Arial"/>
      <w:b/>
      <w:bCs/>
      <w:sz w:val="24"/>
      <w:szCs w:val="24"/>
    </w:rPr>
  </w:style>
  <w:style w:type="character" w:styleId="787" w:customStyle="1">
    <w:name w:val="标题 6 Char1"/>
    <w:link w:val="775"/>
    <w:uiPriority w:val="9"/>
    <w:qFormat/>
    <w:rPr>
      <w:rFonts w:ascii="Arial" w:hAnsi="Arial" w:eastAsia="Arial" w:cs="Arial"/>
      <w:b/>
      <w:bCs/>
      <w:sz w:val="22"/>
      <w:szCs w:val="22"/>
    </w:rPr>
  </w:style>
  <w:style w:type="character" w:styleId="788" w:customStyle="1">
    <w:name w:val="标题 7 Char1"/>
    <w:link w:val="776"/>
    <w:uiPriority w:val="9"/>
    <w:qFormat/>
    <w:rPr>
      <w:rFonts w:ascii="Arial" w:hAnsi="Arial" w:eastAsia="Arial" w:cs="Arial"/>
      <w:b/>
      <w:bCs/>
      <w:i/>
      <w:iCs/>
      <w:sz w:val="22"/>
      <w:szCs w:val="22"/>
    </w:rPr>
  </w:style>
  <w:style w:type="character" w:styleId="789" w:customStyle="1">
    <w:name w:val="标题 8 Char1"/>
    <w:link w:val="777"/>
    <w:uiPriority w:val="9"/>
    <w:qFormat/>
    <w:rPr>
      <w:rFonts w:ascii="Arial" w:hAnsi="Arial" w:eastAsia="Arial" w:cs="Arial"/>
      <w:i/>
      <w:iCs/>
      <w:sz w:val="22"/>
      <w:szCs w:val="22"/>
    </w:rPr>
  </w:style>
  <w:style w:type="character" w:styleId="790" w:customStyle="1">
    <w:name w:val="标题 9 Char1"/>
    <w:link w:val="778"/>
    <w:uiPriority w:val="9"/>
    <w:qFormat/>
    <w:rPr>
      <w:rFonts w:ascii="Arial" w:hAnsi="Arial" w:eastAsia="Arial" w:cs="Arial"/>
      <w:i/>
      <w:iCs/>
      <w:sz w:val="21"/>
      <w:szCs w:val="21"/>
    </w:rPr>
  </w:style>
  <w:style w:type="paragraph" w:styleId="791" w:customStyle="1">
    <w:name w:val="目录 711"/>
    <w:basedOn w:val="705"/>
    <w:next w:val="705"/>
    <w:uiPriority w:val="39"/>
    <w:unhideWhenUsed/>
    <w:qFormat/>
    <w:pPr>
      <w:ind w:left="1701" w:right="0" w:firstLine="0"/>
      <w:spacing w:after="57"/>
    </w:pPr>
  </w:style>
  <w:style w:type="paragraph" w:styleId="792" w:customStyle="1">
    <w:name w:val="题注1"/>
    <w:basedOn w:val="705"/>
    <w:next w:val="705"/>
    <w:uiPriority w:val="35"/>
    <w:qFormat/>
    <w:pPr>
      <w:spacing w:line="276" w:lineRule="auto"/>
    </w:pPr>
    <w:rPr>
      <w:b/>
      <w:bCs/>
      <w:color w:val="4f81bd"/>
      <w:sz w:val="18"/>
      <w:szCs w:val="18"/>
    </w:rPr>
  </w:style>
  <w:style w:type="paragraph" w:styleId="793" w:customStyle="1">
    <w:name w:val="批注文字11"/>
    <w:basedOn w:val="705"/>
    <w:uiPriority w:val="99"/>
    <w:unhideWhenUsed/>
    <w:qFormat/>
    <w:pPr>
      <w:jc w:val="left"/>
    </w:pPr>
  </w:style>
  <w:style w:type="paragraph" w:styleId="794" w:customStyle="1">
    <w:name w:val="正文文本缩进11"/>
    <w:basedOn w:val="705"/>
    <w:next w:val="795"/>
    <w:uiPriority w:val="0"/>
    <w:unhideWhenUsed/>
    <w:qFormat/>
    <w:pPr>
      <w:ind w:left="420"/>
      <w:spacing w:after="120"/>
    </w:pPr>
  </w:style>
  <w:style w:type="paragraph" w:styleId="795" w:customStyle="1">
    <w:name w:val="寄信人地址1"/>
    <w:basedOn w:val="705"/>
    <w:uiPriority w:val="0"/>
    <w:qFormat/>
    <w:rPr>
      <w:rFonts w:ascii="Arial" w:hAnsi="Arial" w:eastAsia="宋体" w:cs="宋体"/>
    </w:rPr>
  </w:style>
  <w:style w:type="paragraph" w:styleId="796" w:customStyle="1">
    <w:name w:val="目录 511"/>
    <w:basedOn w:val="705"/>
    <w:next w:val="705"/>
    <w:uiPriority w:val="39"/>
    <w:unhideWhenUsed/>
    <w:qFormat/>
    <w:pPr>
      <w:ind w:left="1134" w:right="0" w:firstLine="0"/>
      <w:spacing w:after="57"/>
    </w:pPr>
  </w:style>
  <w:style w:type="paragraph" w:styleId="797" w:customStyle="1">
    <w:name w:val="目录 311"/>
    <w:basedOn w:val="705"/>
    <w:next w:val="705"/>
    <w:uiPriority w:val="39"/>
    <w:unhideWhenUsed/>
    <w:qFormat/>
    <w:pPr>
      <w:ind w:left="567" w:right="0" w:firstLine="0"/>
      <w:spacing w:after="57"/>
    </w:pPr>
  </w:style>
  <w:style w:type="paragraph" w:styleId="798" w:customStyle="1">
    <w:name w:val="纯文本11"/>
    <w:basedOn w:val="705"/>
    <w:uiPriority w:val="0"/>
    <w:qFormat/>
    <w:rPr>
      <w:rFonts w:ascii="宋体" w:hAnsi="Courier New" w:cs="Courier New"/>
    </w:rPr>
  </w:style>
  <w:style w:type="paragraph" w:styleId="799" w:customStyle="1">
    <w:name w:val="目录 811"/>
    <w:basedOn w:val="705"/>
    <w:next w:val="705"/>
    <w:uiPriority w:val="39"/>
    <w:unhideWhenUsed/>
    <w:qFormat/>
    <w:pPr>
      <w:ind w:left="1984" w:right="0" w:firstLine="0"/>
      <w:spacing w:after="57"/>
    </w:pPr>
  </w:style>
  <w:style w:type="paragraph" w:styleId="800" w:customStyle="1">
    <w:name w:val="尾注文本1"/>
    <w:basedOn w:val="705"/>
    <w:link w:val="801"/>
    <w:uiPriority w:val="99"/>
    <w:unhideWhenUsed/>
    <w:qFormat/>
    <w:pPr>
      <w:spacing w:after="0" w:line="240" w:lineRule="auto"/>
    </w:pPr>
    <w:rPr>
      <w:sz w:val="20"/>
      <w:szCs w:val="20"/>
    </w:rPr>
  </w:style>
  <w:style w:type="character" w:styleId="801" w:customStyle="1">
    <w:name w:val="尾注文本 Char"/>
    <w:link w:val="800"/>
    <w:uiPriority w:val="99"/>
    <w:qFormat/>
    <w:rPr>
      <w:sz w:val="20"/>
    </w:rPr>
  </w:style>
  <w:style w:type="paragraph" w:styleId="802" w:customStyle="1">
    <w:name w:val="批注框文本11"/>
    <w:basedOn w:val="705"/>
    <w:link w:val="803"/>
    <w:uiPriority w:val="99"/>
    <w:unhideWhenUsed/>
    <w:qFormat/>
    <w:rPr>
      <w:sz w:val="18"/>
      <w:szCs w:val="18"/>
    </w:rPr>
  </w:style>
  <w:style w:type="character" w:styleId="803" w:customStyle="1">
    <w:name w:val="批注框文本 Char1"/>
    <w:basedOn w:val="779"/>
    <w:link w:val="802"/>
    <w:uiPriority w:val="99"/>
    <w:semiHidden/>
    <w:qFormat/>
    <w:rPr>
      <w:sz w:val="18"/>
      <w:szCs w:val="18"/>
    </w:rPr>
  </w:style>
  <w:style w:type="paragraph" w:styleId="804" w:customStyle="1">
    <w:name w:val="页脚11"/>
    <w:basedOn w:val="705"/>
    <w:link w:val="805"/>
    <w:uiPriority w:val="99"/>
    <w:unhideWhenUsed/>
    <w:qFormat/>
    <w:pPr>
      <w:spacing w:after="0" w:line="240" w:lineRule="auto"/>
      <w:tabs>
        <w:tab w:val="center" w:pos="7143" w:leader="none"/>
        <w:tab w:val="right" w:pos="14287" w:leader="none"/>
      </w:tabs>
    </w:pPr>
  </w:style>
  <w:style w:type="character" w:styleId="805" w:customStyle="1">
    <w:name w:val="页脚 Char1"/>
    <w:link w:val="804"/>
    <w:uiPriority w:val="99"/>
    <w:qFormat/>
  </w:style>
  <w:style w:type="paragraph" w:styleId="806" w:customStyle="1">
    <w:name w:val="页眉11"/>
    <w:basedOn w:val="705"/>
    <w:link w:val="807"/>
    <w:uiPriority w:val="99"/>
    <w:unhideWhenUsed/>
    <w:qFormat/>
    <w:pPr>
      <w:spacing w:after="0" w:line="240" w:lineRule="auto"/>
      <w:tabs>
        <w:tab w:val="center" w:pos="7143" w:leader="none"/>
        <w:tab w:val="right" w:pos="14287" w:leader="none"/>
      </w:tabs>
    </w:pPr>
  </w:style>
  <w:style w:type="character" w:styleId="807" w:customStyle="1">
    <w:name w:val="页眉 Char1"/>
    <w:link w:val="806"/>
    <w:uiPriority w:val="99"/>
    <w:qFormat/>
  </w:style>
  <w:style w:type="paragraph" w:styleId="808" w:customStyle="1">
    <w:name w:val="目录 111"/>
    <w:basedOn w:val="705"/>
    <w:next w:val="705"/>
    <w:uiPriority w:val="39"/>
    <w:unhideWhenUsed/>
    <w:qFormat/>
    <w:pPr>
      <w:ind w:left="0" w:right="0" w:firstLine="0"/>
      <w:spacing w:after="57"/>
    </w:pPr>
  </w:style>
  <w:style w:type="paragraph" w:styleId="809" w:customStyle="1">
    <w:name w:val="目录 411"/>
    <w:basedOn w:val="705"/>
    <w:next w:val="705"/>
    <w:uiPriority w:val="39"/>
    <w:unhideWhenUsed/>
    <w:qFormat/>
    <w:pPr>
      <w:ind w:left="850" w:right="0" w:firstLine="0"/>
      <w:spacing w:after="57"/>
    </w:pPr>
  </w:style>
  <w:style w:type="paragraph" w:styleId="810" w:customStyle="1">
    <w:name w:val="副标题1"/>
    <w:basedOn w:val="705"/>
    <w:next w:val="705"/>
    <w:link w:val="811"/>
    <w:uiPriority w:val="11"/>
    <w:qFormat/>
    <w:pPr>
      <w:spacing w:before="200" w:after="200"/>
    </w:pPr>
    <w:rPr>
      <w:sz w:val="24"/>
      <w:szCs w:val="24"/>
    </w:rPr>
  </w:style>
  <w:style w:type="character" w:styleId="811" w:customStyle="1">
    <w:name w:val="副标题 Char"/>
    <w:link w:val="810"/>
    <w:uiPriority w:val="11"/>
    <w:qFormat/>
    <w:rPr>
      <w:sz w:val="24"/>
      <w:szCs w:val="24"/>
    </w:rPr>
  </w:style>
  <w:style w:type="paragraph" w:styleId="812" w:customStyle="1">
    <w:name w:val="脚注文本1"/>
    <w:basedOn w:val="705"/>
    <w:link w:val="813"/>
    <w:uiPriority w:val="99"/>
    <w:unhideWhenUsed/>
    <w:qFormat/>
    <w:pPr>
      <w:spacing w:after="40" w:line="240" w:lineRule="auto"/>
    </w:pPr>
    <w:rPr>
      <w:sz w:val="18"/>
      <w:szCs w:val="20"/>
    </w:rPr>
  </w:style>
  <w:style w:type="character" w:styleId="813" w:customStyle="1">
    <w:name w:val="脚注文本 Char"/>
    <w:link w:val="812"/>
    <w:uiPriority w:val="99"/>
    <w:qFormat/>
    <w:rPr>
      <w:sz w:val="18"/>
    </w:rPr>
  </w:style>
  <w:style w:type="paragraph" w:styleId="814" w:customStyle="1">
    <w:name w:val="目录 611"/>
    <w:basedOn w:val="705"/>
    <w:next w:val="705"/>
    <w:uiPriority w:val="39"/>
    <w:unhideWhenUsed/>
    <w:qFormat/>
    <w:pPr>
      <w:ind w:left="1417" w:right="0" w:firstLine="0"/>
      <w:spacing w:after="57"/>
    </w:pPr>
  </w:style>
  <w:style w:type="paragraph" w:styleId="815" w:customStyle="1">
    <w:name w:val="图表目录11"/>
    <w:basedOn w:val="705"/>
    <w:next w:val="705"/>
    <w:uiPriority w:val="99"/>
    <w:unhideWhenUsed/>
    <w:qFormat/>
    <w:pPr>
      <w:spacing w:after="0" w:afterAutospacing="0"/>
    </w:pPr>
  </w:style>
  <w:style w:type="paragraph" w:styleId="816" w:customStyle="1">
    <w:name w:val="目录 211"/>
    <w:basedOn w:val="705"/>
    <w:next w:val="705"/>
    <w:uiPriority w:val="39"/>
    <w:unhideWhenUsed/>
    <w:qFormat/>
    <w:pPr>
      <w:ind w:left="283" w:right="0" w:firstLine="0"/>
      <w:spacing w:after="57"/>
    </w:pPr>
  </w:style>
  <w:style w:type="paragraph" w:styleId="817" w:customStyle="1">
    <w:name w:val="目录 911"/>
    <w:basedOn w:val="705"/>
    <w:next w:val="705"/>
    <w:uiPriority w:val="39"/>
    <w:unhideWhenUsed/>
    <w:qFormat/>
    <w:pPr>
      <w:ind w:left="2268" w:right="0" w:firstLine="0"/>
      <w:spacing w:after="57"/>
    </w:pPr>
  </w:style>
  <w:style w:type="paragraph" w:styleId="818" w:customStyle="1">
    <w:name w:val="普通(网站)11"/>
    <w:basedOn w:val="705"/>
    <w:uiPriority w:val="99"/>
    <w:qFormat/>
    <w:pPr>
      <w:jc w:val="left"/>
      <w:spacing w:before="100" w:beforeAutospacing="1" w:after="100" w:afterAutospacing="1"/>
      <w:widowControl/>
    </w:pPr>
    <w:rPr>
      <w:rFonts w:ascii="宋体" w:hAnsi="宋体" w:cs="宋体"/>
      <w:sz w:val="24"/>
      <w:szCs w:val="24"/>
    </w:rPr>
  </w:style>
  <w:style w:type="paragraph" w:styleId="819" w:customStyle="1">
    <w:name w:val="标题11"/>
    <w:basedOn w:val="705"/>
    <w:next w:val="705"/>
    <w:link w:val="820"/>
    <w:uiPriority w:val="10"/>
    <w:qFormat/>
    <w:pPr>
      <w:contextualSpacing/>
      <w:spacing w:before="300" w:after="200"/>
    </w:pPr>
    <w:rPr>
      <w:sz w:val="48"/>
      <w:szCs w:val="48"/>
    </w:rPr>
  </w:style>
  <w:style w:type="character" w:styleId="820" w:customStyle="1">
    <w:name w:val="标题 Char"/>
    <w:link w:val="819"/>
    <w:uiPriority w:val="10"/>
    <w:qFormat/>
    <w:rPr>
      <w:sz w:val="48"/>
      <w:szCs w:val="48"/>
    </w:rPr>
  </w:style>
  <w:style w:type="paragraph" w:styleId="821" w:customStyle="1">
    <w:name w:val="正文首行缩进 211"/>
    <w:basedOn w:val="794"/>
    <w:next w:val="705"/>
    <w:uiPriority w:val="0"/>
    <w:qFormat/>
    <w:pPr>
      <w:ind w:left="0" w:firstLine="420"/>
      <w:spacing w:after="0" w:line="360" w:lineRule="auto"/>
    </w:pPr>
    <w:rPr>
      <w:rFonts w:ascii="宋体" w:hAnsi="宋体" w:eastAsia="宋体" w:cs="Times New Roman"/>
      <w:szCs w:val="20"/>
    </w:rPr>
  </w:style>
  <w:style w:type="table" w:styleId="822" w:customStyle="1">
    <w:name w:val="网格型12"/>
    <w:uiPriority w:val="59"/>
    <w:qFormat/>
    <w:rPr>
      <w:lang w:val="en-US" w:eastAsia="zh-CN" w:bidi="ar-SA"/>
    </w:rPr>
    <w:tblPr/>
  </w:style>
  <w:style w:type="character" w:styleId="823" w:customStyle="1">
    <w:name w:val="尾注引用1"/>
    <w:link w:val="705"/>
    <w:uiPriority w:val="99"/>
    <w:unhideWhenUsed/>
    <w:qFormat/>
    <w:rPr>
      <w:vertAlign w:val="superscript"/>
    </w:rPr>
  </w:style>
  <w:style w:type="character" w:styleId="824" w:customStyle="1">
    <w:name w:val="页码11"/>
    <w:link w:val="705"/>
    <w:uiPriority w:val="0"/>
    <w:qFormat/>
  </w:style>
  <w:style w:type="character" w:styleId="825" w:customStyle="1">
    <w:name w:val="已访问的超链接11"/>
    <w:link w:val="705"/>
    <w:uiPriority w:val="0"/>
    <w:qFormat/>
    <w:rPr>
      <w:color w:val="800080"/>
      <w:u w:val="single"/>
    </w:rPr>
  </w:style>
  <w:style w:type="character" w:styleId="826" w:customStyle="1">
    <w:name w:val="超链接11"/>
    <w:link w:val="705"/>
    <w:uiPriority w:val="99"/>
    <w:unhideWhenUsed/>
    <w:qFormat/>
    <w:rPr>
      <w:color w:val="0000ff"/>
      <w:u w:val="single"/>
    </w:rPr>
  </w:style>
  <w:style w:type="character" w:styleId="827" w:customStyle="1">
    <w:name w:val="脚注引用1"/>
    <w:link w:val="705"/>
    <w:uiPriority w:val="99"/>
    <w:unhideWhenUsed/>
    <w:qFormat/>
    <w:rPr>
      <w:vertAlign w:val="superscript"/>
    </w:rPr>
  </w:style>
  <w:style w:type="character" w:styleId="828" w:customStyle="1">
    <w:name w:val="Caption Char"/>
    <w:link w:val="705"/>
    <w:uiPriority w:val="99"/>
    <w:qFormat/>
  </w:style>
  <w:style w:type="paragraph" w:styleId="829" w:customStyle="1">
    <w:name w:val="索引 41"/>
    <w:basedOn w:val="705"/>
    <w:next w:val="705"/>
    <w:uiPriority w:val="0"/>
    <w:semiHidden/>
    <w:qFormat/>
    <w:pPr>
      <w:ind w:left="1260"/>
    </w:pPr>
    <w:rPr>
      <w:rFonts w:ascii="Calibri" w:hAnsi="Calibri" w:eastAsia="Calibri" w:cs="宋体"/>
      <w:sz w:val="20"/>
      <w:lang w:val="zh-CN"/>
    </w:rPr>
  </w:style>
  <w:style w:type="paragraph" w:styleId="830" w:customStyle="1">
    <w:name w:val="列出段落"/>
    <w:basedOn w:val="705"/>
    <w:next w:val="705"/>
    <w:uiPriority w:val="34"/>
    <w:qFormat/>
    <w:pPr>
      <w:contextualSpacing/>
      <w:ind w:left="720"/>
    </w:pPr>
  </w:style>
  <w:style w:type="paragraph" w:styleId="831" w:customStyle="1">
    <w:name w:val="无间隔"/>
    <w:uiPriority w:val="1"/>
    <w:qFormat/>
    <w:rPr>
      <w:rFonts w:hint="default" w:ascii="Times New Roman" w:hAnsi="Times New Roman" w:eastAsia="宋体" w:cs="Times New Roman"/>
      <w:lang w:val="en-US" w:eastAsia="zh-CN" w:bidi="ar-SA"/>
    </w:rPr>
  </w:style>
  <w:style w:type="paragraph" w:styleId="832" w:customStyle="1">
    <w:name w:val="引用"/>
    <w:basedOn w:val="705"/>
    <w:next w:val="705"/>
    <w:link w:val="833"/>
    <w:uiPriority w:val="29"/>
    <w:qFormat/>
    <w:pPr>
      <w:ind w:left="720" w:right="720"/>
    </w:pPr>
    <w:rPr>
      <w:i/>
      <w:sz w:val="20"/>
      <w:szCs w:val="20"/>
    </w:rPr>
  </w:style>
  <w:style w:type="character" w:styleId="833" w:customStyle="1">
    <w:name w:val="引用 Char"/>
    <w:link w:val="832"/>
    <w:uiPriority w:val="29"/>
    <w:qFormat/>
    <w:rPr>
      <w:i/>
    </w:rPr>
  </w:style>
  <w:style w:type="paragraph" w:styleId="834" w:customStyle="1">
    <w:name w:val="明显引用"/>
    <w:basedOn w:val="705"/>
    <w:next w:val="705"/>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5" w:customStyle="1">
    <w:name w:val="明显引用 Char"/>
    <w:link w:val="834"/>
    <w:uiPriority w:val="30"/>
    <w:qFormat/>
    <w:rPr>
      <w:i/>
    </w:rPr>
  </w:style>
  <w:style w:type="table" w:styleId="836" w:customStyle="1">
    <w:name w:val="Table Grid Light"/>
    <w:uiPriority w:val="59"/>
    <w:qFormat/>
    <w:rPr>
      <w:lang w:val="en-US" w:eastAsia="zh-CN" w:bidi="ar-SA"/>
    </w:rPr>
    <w:tblPr/>
  </w:style>
  <w:style w:type="table" w:styleId="837" w:customStyle="1">
    <w:name w:val="Plain Table 1"/>
    <w:uiPriority w:val="59"/>
    <w:qFormat/>
    <w:rPr>
      <w:lang w:val="en-US" w:eastAsia="zh-CN" w:bidi="ar-SA"/>
    </w:rPr>
    <w:tblPr/>
  </w:style>
  <w:style w:type="table" w:styleId="838" w:customStyle="1">
    <w:name w:val="Plain Table 2"/>
    <w:uiPriority w:val="59"/>
    <w:qFormat/>
    <w:rPr>
      <w:lang w:val="en-US" w:eastAsia="zh-CN" w:bidi="ar-SA"/>
    </w:rPr>
    <w:tblPr/>
  </w:style>
  <w:style w:type="table" w:styleId="839" w:customStyle="1">
    <w:name w:val="Plain Table 3"/>
    <w:uiPriority w:val="99"/>
    <w:qFormat/>
    <w:rPr>
      <w:lang w:val="en-US" w:eastAsia="zh-CN" w:bidi="ar-SA"/>
    </w:rPr>
    <w:tblPr/>
  </w:style>
  <w:style w:type="table" w:styleId="840" w:customStyle="1">
    <w:name w:val="Plain Table 4"/>
    <w:uiPriority w:val="99"/>
    <w:qFormat/>
    <w:rPr>
      <w:lang w:val="en-US" w:eastAsia="zh-CN" w:bidi="ar-SA"/>
    </w:rPr>
    <w:tblPr/>
  </w:style>
  <w:style w:type="table" w:styleId="841" w:customStyle="1">
    <w:name w:val="Plain Table 5"/>
    <w:uiPriority w:val="99"/>
    <w:qFormat/>
    <w:rPr>
      <w:lang w:val="en-US" w:eastAsia="zh-CN" w:bidi="ar-SA"/>
    </w:rPr>
    <w:tblPr/>
  </w:style>
  <w:style w:type="table" w:styleId="842" w:customStyle="1">
    <w:name w:val="Grid Table 1 Light"/>
    <w:uiPriority w:val="99"/>
    <w:qFormat/>
    <w:rPr>
      <w:lang w:val="en-US" w:eastAsia="zh-CN" w:bidi="ar-SA"/>
    </w:rPr>
    <w:tblPr/>
  </w:style>
  <w:style w:type="table" w:styleId="843" w:customStyle="1">
    <w:name w:val="Grid Table 1 Light - Accent 1"/>
    <w:uiPriority w:val="99"/>
    <w:qFormat/>
    <w:rPr>
      <w:lang w:val="en-US" w:eastAsia="zh-CN" w:bidi="ar-SA"/>
    </w:rPr>
    <w:tblPr/>
  </w:style>
  <w:style w:type="table" w:styleId="844" w:customStyle="1">
    <w:name w:val="Grid Table 1 Light - Accent 2"/>
    <w:uiPriority w:val="99"/>
    <w:qFormat/>
    <w:rPr>
      <w:lang w:val="en-US" w:eastAsia="zh-CN" w:bidi="ar-SA"/>
    </w:rPr>
    <w:tblPr/>
  </w:style>
  <w:style w:type="table" w:styleId="845" w:customStyle="1">
    <w:name w:val="Grid Table 1 Light - Accent 3"/>
    <w:uiPriority w:val="99"/>
    <w:qFormat/>
    <w:rPr>
      <w:lang w:val="en-US" w:eastAsia="zh-CN" w:bidi="ar-SA"/>
    </w:rPr>
    <w:tblPr/>
  </w:style>
  <w:style w:type="table" w:styleId="846" w:customStyle="1">
    <w:name w:val="Grid Table 1 Light - Accent 4"/>
    <w:uiPriority w:val="99"/>
    <w:qFormat/>
    <w:rPr>
      <w:lang w:val="en-US" w:eastAsia="zh-CN" w:bidi="ar-SA"/>
    </w:rPr>
    <w:tblPr/>
  </w:style>
  <w:style w:type="table" w:styleId="847" w:customStyle="1">
    <w:name w:val="Grid Table 1 Light - Accent 5"/>
    <w:uiPriority w:val="99"/>
    <w:qFormat/>
    <w:rPr>
      <w:lang w:val="en-US" w:eastAsia="zh-CN" w:bidi="ar-SA"/>
    </w:rPr>
    <w:tblPr/>
  </w:style>
  <w:style w:type="table" w:styleId="848" w:customStyle="1">
    <w:name w:val="Grid Table 1 Light - Accent 6"/>
    <w:uiPriority w:val="99"/>
    <w:qFormat/>
    <w:rPr>
      <w:lang w:val="en-US" w:eastAsia="zh-CN" w:bidi="ar-SA"/>
    </w:rPr>
    <w:tblPr/>
  </w:style>
  <w:style w:type="table" w:styleId="849" w:customStyle="1">
    <w:name w:val="Grid Table 2"/>
    <w:uiPriority w:val="99"/>
    <w:qFormat/>
    <w:rPr>
      <w:lang w:val="en-US" w:eastAsia="zh-CN" w:bidi="ar-SA"/>
    </w:rPr>
    <w:tblPr/>
  </w:style>
  <w:style w:type="table" w:styleId="850" w:customStyle="1">
    <w:name w:val="Grid Table 2 - Accent 1"/>
    <w:uiPriority w:val="99"/>
    <w:qFormat/>
    <w:rPr>
      <w:lang w:val="en-US" w:eastAsia="zh-CN" w:bidi="ar-SA"/>
    </w:rPr>
    <w:tblPr/>
  </w:style>
  <w:style w:type="table" w:styleId="851" w:customStyle="1">
    <w:name w:val="Grid Table 2 - Accent 2"/>
    <w:uiPriority w:val="99"/>
    <w:qFormat/>
    <w:rPr>
      <w:lang w:val="en-US" w:eastAsia="zh-CN" w:bidi="ar-SA"/>
    </w:rPr>
    <w:tblPr/>
  </w:style>
  <w:style w:type="table" w:styleId="852" w:customStyle="1">
    <w:name w:val="Grid Table 2 - Accent 3"/>
    <w:uiPriority w:val="99"/>
    <w:qFormat/>
    <w:rPr>
      <w:lang w:val="en-US" w:eastAsia="zh-CN" w:bidi="ar-SA"/>
    </w:rPr>
    <w:tblPr/>
  </w:style>
  <w:style w:type="table" w:styleId="853" w:customStyle="1">
    <w:name w:val="Grid Table 2 - Accent 4"/>
    <w:uiPriority w:val="99"/>
    <w:qFormat/>
    <w:rPr>
      <w:lang w:val="en-US" w:eastAsia="zh-CN" w:bidi="ar-SA"/>
    </w:rPr>
    <w:tblPr/>
  </w:style>
  <w:style w:type="table" w:styleId="854" w:customStyle="1">
    <w:name w:val="Grid Table 2 - Accent 5"/>
    <w:uiPriority w:val="99"/>
    <w:qFormat/>
    <w:rPr>
      <w:lang w:val="en-US" w:eastAsia="zh-CN" w:bidi="ar-SA"/>
    </w:rPr>
    <w:tblPr/>
  </w:style>
  <w:style w:type="table" w:styleId="855" w:customStyle="1">
    <w:name w:val="Grid Table 2 - Accent 6"/>
    <w:uiPriority w:val="99"/>
    <w:qFormat/>
    <w:rPr>
      <w:lang w:val="en-US" w:eastAsia="zh-CN" w:bidi="ar-SA"/>
    </w:rPr>
    <w:tblPr/>
  </w:style>
  <w:style w:type="table" w:styleId="856" w:customStyle="1">
    <w:name w:val="Grid Table 3"/>
    <w:uiPriority w:val="99"/>
    <w:qFormat/>
    <w:rPr>
      <w:lang w:val="en-US" w:eastAsia="zh-CN" w:bidi="ar-SA"/>
    </w:rPr>
    <w:tblPr/>
  </w:style>
  <w:style w:type="table" w:styleId="857" w:customStyle="1">
    <w:name w:val="Grid Table 3 - Accent 1"/>
    <w:uiPriority w:val="99"/>
    <w:qFormat/>
    <w:rPr>
      <w:lang w:val="en-US" w:eastAsia="zh-CN" w:bidi="ar-SA"/>
    </w:rPr>
    <w:tblPr/>
  </w:style>
  <w:style w:type="table" w:styleId="858" w:customStyle="1">
    <w:name w:val="Grid Table 3 - Accent 2"/>
    <w:uiPriority w:val="99"/>
    <w:qFormat/>
    <w:rPr>
      <w:lang w:val="en-US" w:eastAsia="zh-CN" w:bidi="ar-SA"/>
    </w:rPr>
    <w:tblPr/>
  </w:style>
  <w:style w:type="table" w:styleId="859" w:customStyle="1">
    <w:name w:val="Grid Table 3 - Accent 3"/>
    <w:uiPriority w:val="99"/>
    <w:qFormat/>
    <w:rPr>
      <w:lang w:val="en-US" w:eastAsia="zh-CN" w:bidi="ar-SA"/>
    </w:rPr>
    <w:tblPr/>
  </w:style>
  <w:style w:type="table" w:styleId="860" w:customStyle="1">
    <w:name w:val="Grid Table 3 - Accent 4"/>
    <w:uiPriority w:val="99"/>
    <w:qFormat/>
    <w:rPr>
      <w:lang w:val="en-US" w:eastAsia="zh-CN" w:bidi="ar-SA"/>
    </w:rPr>
    <w:tblPr/>
  </w:style>
  <w:style w:type="table" w:styleId="861" w:customStyle="1">
    <w:name w:val="Grid Table 3 - Accent 5"/>
    <w:uiPriority w:val="99"/>
    <w:qFormat/>
    <w:rPr>
      <w:lang w:val="en-US" w:eastAsia="zh-CN" w:bidi="ar-SA"/>
    </w:rPr>
    <w:tblPr/>
  </w:style>
  <w:style w:type="table" w:styleId="862" w:customStyle="1">
    <w:name w:val="Grid Table 3 - Accent 6"/>
    <w:uiPriority w:val="99"/>
    <w:qFormat/>
    <w:rPr>
      <w:lang w:val="en-US" w:eastAsia="zh-CN" w:bidi="ar-SA"/>
    </w:rPr>
    <w:tblPr/>
  </w:style>
  <w:style w:type="table" w:styleId="863" w:customStyle="1">
    <w:name w:val="Grid Table 4"/>
    <w:uiPriority w:val="59"/>
    <w:qFormat/>
    <w:rPr>
      <w:lang w:val="en-US" w:eastAsia="zh-CN" w:bidi="ar-SA"/>
    </w:rPr>
    <w:tblPr/>
  </w:style>
  <w:style w:type="table" w:styleId="864" w:customStyle="1">
    <w:name w:val="Grid Table 4 - Accent 1"/>
    <w:uiPriority w:val="59"/>
    <w:qFormat/>
    <w:rPr>
      <w:lang w:val="en-US" w:eastAsia="zh-CN" w:bidi="ar-SA"/>
    </w:rPr>
    <w:tblPr/>
  </w:style>
  <w:style w:type="table" w:styleId="865" w:customStyle="1">
    <w:name w:val="Grid Table 4 - Accent 2"/>
    <w:uiPriority w:val="59"/>
    <w:qFormat/>
    <w:rPr>
      <w:lang w:val="en-US" w:eastAsia="zh-CN" w:bidi="ar-SA"/>
    </w:rPr>
    <w:tblPr/>
  </w:style>
  <w:style w:type="table" w:styleId="866" w:customStyle="1">
    <w:name w:val="Grid Table 4 - Accent 3"/>
    <w:uiPriority w:val="59"/>
    <w:qFormat/>
    <w:rPr>
      <w:lang w:val="en-US" w:eastAsia="zh-CN" w:bidi="ar-SA"/>
    </w:rPr>
    <w:tblPr/>
  </w:style>
  <w:style w:type="table" w:styleId="867" w:customStyle="1">
    <w:name w:val="Grid Table 4 - Accent 4"/>
    <w:uiPriority w:val="59"/>
    <w:qFormat/>
    <w:rPr>
      <w:lang w:val="en-US" w:eastAsia="zh-CN" w:bidi="ar-SA"/>
    </w:rPr>
    <w:tblPr/>
  </w:style>
  <w:style w:type="table" w:styleId="868" w:customStyle="1">
    <w:name w:val="Grid Table 4 - Accent 5"/>
    <w:uiPriority w:val="59"/>
    <w:qFormat/>
    <w:rPr>
      <w:lang w:val="en-US" w:eastAsia="zh-CN" w:bidi="ar-SA"/>
    </w:rPr>
    <w:tblPr/>
  </w:style>
  <w:style w:type="table" w:styleId="869" w:customStyle="1">
    <w:name w:val="Grid Table 4 - Accent 6"/>
    <w:uiPriority w:val="59"/>
    <w:qFormat/>
    <w:rPr>
      <w:lang w:val="en-US" w:eastAsia="zh-CN" w:bidi="ar-SA"/>
    </w:rPr>
    <w:tblPr/>
  </w:style>
  <w:style w:type="table" w:styleId="870" w:customStyle="1">
    <w:name w:val="Grid Table 5 Dark"/>
    <w:uiPriority w:val="99"/>
    <w:qFormat/>
    <w:rPr>
      <w:lang w:val="en-US" w:eastAsia="zh-CN" w:bidi="ar-SA"/>
    </w:rPr>
    <w:tblPr/>
  </w:style>
  <w:style w:type="table" w:styleId="871" w:customStyle="1">
    <w:name w:val="Grid Table 5 Dark- Accent 1"/>
    <w:uiPriority w:val="99"/>
    <w:qFormat/>
    <w:rPr>
      <w:lang w:val="en-US" w:eastAsia="zh-CN" w:bidi="ar-SA"/>
    </w:rPr>
    <w:tblPr/>
  </w:style>
  <w:style w:type="table" w:styleId="872" w:customStyle="1">
    <w:name w:val="Grid Table 5 Dark - Accent 2"/>
    <w:uiPriority w:val="99"/>
    <w:qFormat/>
    <w:rPr>
      <w:lang w:val="en-US" w:eastAsia="zh-CN" w:bidi="ar-SA"/>
    </w:rPr>
    <w:tblPr/>
  </w:style>
  <w:style w:type="table" w:styleId="873" w:customStyle="1">
    <w:name w:val="Grid Table 5 Dark - Accent 3"/>
    <w:uiPriority w:val="99"/>
    <w:qFormat/>
    <w:rPr>
      <w:lang w:val="en-US" w:eastAsia="zh-CN" w:bidi="ar-SA"/>
    </w:rPr>
    <w:tblPr/>
  </w:style>
  <w:style w:type="table" w:styleId="874" w:customStyle="1">
    <w:name w:val="Grid Table 5 Dark- Accent 4"/>
    <w:uiPriority w:val="99"/>
    <w:qFormat/>
    <w:rPr>
      <w:lang w:val="en-US" w:eastAsia="zh-CN" w:bidi="ar-SA"/>
    </w:rPr>
    <w:tblPr/>
  </w:style>
  <w:style w:type="table" w:styleId="875" w:customStyle="1">
    <w:name w:val="Grid Table 5 Dark - Accent 5"/>
    <w:uiPriority w:val="99"/>
    <w:qFormat/>
    <w:rPr>
      <w:lang w:val="en-US" w:eastAsia="zh-CN" w:bidi="ar-SA"/>
    </w:rPr>
    <w:tblPr/>
  </w:style>
  <w:style w:type="table" w:styleId="876" w:customStyle="1">
    <w:name w:val="Grid Table 5 Dark - Accent 6"/>
    <w:uiPriority w:val="99"/>
    <w:qFormat/>
    <w:rPr>
      <w:lang w:val="en-US" w:eastAsia="zh-CN" w:bidi="ar-SA"/>
    </w:rPr>
    <w:tblPr/>
  </w:style>
  <w:style w:type="table" w:styleId="877" w:customStyle="1">
    <w:name w:val="Grid Table 6 Colorful"/>
    <w:uiPriority w:val="99"/>
    <w:qFormat/>
    <w:rPr>
      <w:lang w:val="en-US" w:eastAsia="zh-CN" w:bidi="ar-SA"/>
    </w:rPr>
    <w:tblPr/>
  </w:style>
  <w:style w:type="table" w:styleId="878" w:customStyle="1">
    <w:name w:val="Grid Table 6 Colorful - Accent 1"/>
    <w:uiPriority w:val="99"/>
    <w:qFormat/>
    <w:rPr>
      <w:lang w:val="en-US" w:eastAsia="zh-CN" w:bidi="ar-SA"/>
    </w:rPr>
    <w:tblPr/>
  </w:style>
  <w:style w:type="table" w:styleId="879" w:customStyle="1">
    <w:name w:val="Grid Table 6 Colorful - Accent 2"/>
    <w:uiPriority w:val="99"/>
    <w:qFormat/>
    <w:rPr>
      <w:lang w:val="en-US" w:eastAsia="zh-CN" w:bidi="ar-SA"/>
    </w:rPr>
    <w:tblPr/>
  </w:style>
  <w:style w:type="table" w:styleId="880" w:customStyle="1">
    <w:name w:val="Grid Table 6 Colorful - Accent 3"/>
    <w:uiPriority w:val="99"/>
    <w:qFormat/>
    <w:rPr>
      <w:lang w:val="en-US" w:eastAsia="zh-CN" w:bidi="ar-SA"/>
    </w:rPr>
    <w:tblPr/>
  </w:style>
  <w:style w:type="table" w:styleId="881" w:customStyle="1">
    <w:name w:val="Grid Table 6 Colorful - Accent 4"/>
    <w:uiPriority w:val="99"/>
    <w:qFormat/>
    <w:rPr>
      <w:lang w:val="en-US" w:eastAsia="zh-CN" w:bidi="ar-SA"/>
    </w:rPr>
    <w:tblPr/>
  </w:style>
  <w:style w:type="table" w:styleId="882" w:customStyle="1">
    <w:name w:val="Grid Table 6 Colorful - Accent 5"/>
    <w:uiPriority w:val="99"/>
    <w:qFormat/>
    <w:rPr>
      <w:lang w:val="en-US" w:eastAsia="zh-CN" w:bidi="ar-SA"/>
    </w:rPr>
    <w:tblPr/>
  </w:style>
  <w:style w:type="table" w:styleId="883" w:customStyle="1">
    <w:name w:val="Grid Table 6 Colorful - Accent 6"/>
    <w:uiPriority w:val="99"/>
    <w:qFormat/>
    <w:rPr>
      <w:lang w:val="en-US" w:eastAsia="zh-CN" w:bidi="ar-SA"/>
    </w:rPr>
    <w:tblPr/>
  </w:style>
  <w:style w:type="table" w:styleId="884" w:customStyle="1">
    <w:name w:val="Grid Table 7 Colorful"/>
    <w:uiPriority w:val="99"/>
    <w:qFormat/>
    <w:rPr>
      <w:lang w:val="en-US" w:eastAsia="zh-CN" w:bidi="ar-SA"/>
    </w:rPr>
    <w:tblPr/>
  </w:style>
  <w:style w:type="table" w:styleId="885" w:customStyle="1">
    <w:name w:val="Grid Table 7 Colorful - Accent 1"/>
    <w:uiPriority w:val="99"/>
    <w:qFormat/>
    <w:rPr>
      <w:lang w:val="en-US" w:eastAsia="zh-CN" w:bidi="ar-SA"/>
    </w:rPr>
    <w:tblPr/>
  </w:style>
  <w:style w:type="table" w:styleId="886" w:customStyle="1">
    <w:name w:val="Grid Table 7 Colorful - Accent 2"/>
    <w:uiPriority w:val="99"/>
    <w:qFormat/>
    <w:rPr>
      <w:lang w:val="en-US" w:eastAsia="zh-CN" w:bidi="ar-SA"/>
    </w:rPr>
    <w:tblPr/>
  </w:style>
  <w:style w:type="table" w:styleId="887" w:customStyle="1">
    <w:name w:val="Grid Table 7 Colorful - Accent 3"/>
    <w:uiPriority w:val="99"/>
    <w:qFormat/>
    <w:rPr>
      <w:lang w:val="en-US" w:eastAsia="zh-CN" w:bidi="ar-SA"/>
    </w:rPr>
    <w:tblPr/>
  </w:style>
  <w:style w:type="table" w:styleId="888" w:customStyle="1">
    <w:name w:val="Grid Table 7 Colorful - Accent 4"/>
    <w:uiPriority w:val="99"/>
    <w:qFormat/>
    <w:rPr>
      <w:lang w:val="en-US" w:eastAsia="zh-CN" w:bidi="ar-SA"/>
    </w:rPr>
    <w:tblPr/>
  </w:style>
  <w:style w:type="table" w:styleId="889" w:customStyle="1">
    <w:name w:val="Grid Table 7 Colorful - Accent 5"/>
    <w:uiPriority w:val="99"/>
    <w:qFormat/>
    <w:rPr>
      <w:lang w:val="en-US" w:eastAsia="zh-CN" w:bidi="ar-SA"/>
    </w:rPr>
    <w:tblPr/>
  </w:style>
  <w:style w:type="table" w:styleId="890" w:customStyle="1">
    <w:name w:val="Grid Table 7 Colorful - Accent 6"/>
    <w:uiPriority w:val="99"/>
    <w:qFormat/>
    <w:rPr>
      <w:lang w:val="en-US" w:eastAsia="zh-CN" w:bidi="ar-SA"/>
    </w:rPr>
    <w:tblPr/>
  </w:style>
  <w:style w:type="table" w:styleId="891" w:customStyle="1">
    <w:name w:val="List Table 1 Light"/>
    <w:uiPriority w:val="99"/>
    <w:qFormat/>
    <w:rPr>
      <w:lang w:val="en-US" w:eastAsia="zh-CN" w:bidi="ar-SA"/>
    </w:rPr>
    <w:tblPr/>
  </w:style>
  <w:style w:type="table" w:styleId="892" w:customStyle="1">
    <w:name w:val="List Table 1 Light - Accent 1"/>
    <w:uiPriority w:val="99"/>
    <w:qFormat/>
    <w:rPr>
      <w:lang w:val="en-US" w:eastAsia="zh-CN" w:bidi="ar-SA"/>
    </w:rPr>
    <w:tblPr/>
  </w:style>
  <w:style w:type="table" w:styleId="893" w:customStyle="1">
    <w:name w:val="List Table 1 Light - Accent 2"/>
    <w:uiPriority w:val="99"/>
    <w:qFormat/>
    <w:rPr>
      <w:lang w:val="en-US" w:eastAsia="zh-CN" w:bidi="ar-SA"/>
    </w:rPr>
    <w:tblPr/>
  </w:style>
  <w:style w:type="table" w:styleId="894" w:customStyle="1">
    <w:name w:val="List Table 1 Light - Accent 3"/>
    <w:uiPriority w:val="99"/>
    <w:qFormat/>
    <w:rPr>
      <w:lang w:val="en-US" w:eastAsia="zh-CN" w:bidi="ar-SA"/>
    </w:rPr>
    <w:tblPr/>
  </w:style>
  <w:style w:type="table" w:styleId="895" w:customStyle="1">
    <w:name w:val="List Table 1 Light - Accent 4"/>
    <w:uiPriority w:val="99"/>
    <w:qFormat/>
    <w:rPr>
      <w:lang w:val="en-US" w:eastAsia="zh-CN" w:bidi="ar-SA"/>
    </w:rPr>
    <w:tblPr/>
  </w:style>
  <w:style w:type="table" w:styleId="896" w:customStyle="1">
    <w:name w:val="List Table 1 Light - Accent 5"/>
    <w:uiPriority w:val="99"/>
    <w:qFormat/>
    <w:rPr>
      <w:lang w:val="en-US" w:eastAsia="zh-CN" w:bidi="ar-SA"/>
    </w:rPr>
    <w:tblPr/>
  </w:style>
  <w:style w:type="table" w:styleId="897" w:customStyle="1">
    <w:name w:val="List Table 1 Light - Accent 6"/>
    <w:uiPriority w:val="99"/>
    <w:qFormat/>
    <w:rPr>
      <w:lang w:val="en-US" w:eastAsia="zh-CN" w:bidi="ar-SA"/>
    </w:rPr>
    <w:tblPr/>
  </w:style>
  <w:style w:type="table" w:styleId="898" w:customStyle="1">
    <w:name w:val="List Table 2"/>
    <w:uiPriority w:val="99"/>
    <w:qFormat/>
    <w:rPr>
      <w:lang w:val="en-US" w:eastAsia="zh-CN" w:bidi="ar-SA"/>
    </w:rPr>
    <w:tblPr/>
  </w:style>
  <w:style w:type="table" w:styleId="899" w:customStyle="1">
    <w:name w:val="List Table 2 - Accent 1"/>
    <w:uiPriority w:val="99"/>
    <w:qFormat/>
    <w:rPr>
      <w:lang w:val="en-US" w:eastAsia="zh-CN" w:bidi="ar-SA"/>
    </w:rPr>
    <w:tblPr/>
  </w:style>
  <w:style w:type="table" w:styleId="900" w:customStyle="1">
    <w:name w:val="List Table 2 - Accent 2"/>
    <w:uiPriority w:val="99"/>
    <w:qFormat/>
    <w:rPr>
      <w:lang w:val="en-US" w:eastAsia="zh-CN" w:bidi="ar-SA"/>
    </w:rPr>
    <w:tblPr/>
  </w:style>
  <w:style w:type="table" w:styleId="901" w:customStyle="1">
    <w:name w:val="List Table 2 - Accent 3"/>
    <w:uiPriority w:val="99"/>
    <w:qFormat/>
    <w:rPr>
      <w:lang w:val="en-US" w:eastAsia="zh-CN" w:bidi="ar-SA"/>
    </w:rPr>
    <w:tblPr/>
  </w:style>
  <w:style w:type="table" w:styleId="902" w:customStyle="1">
    <w:name w:val="List Table 2 - Accent 4"/>
    <w:uiPriority w:val="99"/>
    <w:qFormat/>
    <w:rPr>
      <w:lang w:val="en-US" w:eastAsia="zh-CN" w:bidi="ar-SA"/>
    </w:rPr>
    <w:tblPr/>
  </w:style>
  <w:style w:type="table" w:styleId="903" w:customStyle="1">
    <w:name w:val="List Table 2 - Accent 5"/>
    <w:uiPriority w:val="99"/>
    <w:qFormat/>
    <w:rPr>
      <w:lang w:val="en-US" w:eastAsia="zh-CN" w:bidi="ar-SA"/>
    </w:rPr>
    <w:tblPr/>
  </w:style>
  <w:style w:type="table" w:styleId="904" w:customStyle="1">
    <w:name w:val="List Table 2 - Accent 6"/>
    <w:uiPriority w:val="99"/>
    <w:qFormat/>
    <w:rPr>
      <w:lang w:val="en-US" w:eastAsia="zh-CN" w:bidi="ar-SA"/>
    </w:rPr>
    <w:tblPr/>
  </w:style>
  <w:style w:type="table" w:styleId="905" w:customStyle="1">
    <w:name w:val="List Table 3"/>
    <w:uiPriority w:val="99"/>
    <w:qFormat/>
    <w:rPr>
      <w:lang w:val="en-US" w:eastAsia="zh-CN" w:bidi="ar-SA"/>
    </w:rPr>
    <w:tblPr/>
  </w:style>
  <w:style w:type="table" w:styleId="906" w:customStyle="1">
    <w:name w:val="List Table 3 - Accent 1"/>
    <w:uiPriority w:val="99"/>
    <w:qFormat/>
    <w:rPr>
      <w:lang w:val="en-US" w:eastAsia="zh-CN" w:bidi="ar-SA"/>
    </w:rPr>
    <w:tblPr/>
  </w:style>
  <w:style w:type="table" w:styleId="907" w:customStyle="1">
    <w:name w:val="List Table 3 - Accent 2"/>
    <w:uiPriority w:val="99"/>
    <w:qFormat/>
    <w:rPr>
      <w:lang w:val="en-US" w:eastAsia="zh-CN" w:bidi="ar-SA"/>
    </w:rPr>
    <w:tblPr/>
  </w:style>
  <w:style w:type="table" w:styleId="908" w:customStyle="1">
    <w:name w:val="List Table 3 - Accent 3"/>
    <w:uiPriority w:val="99"/>
    <w:qFormat/>
    <w:rPr>
      <w:lang w:val="en-US" w:eastAsia="zh-CN" w:bidi="ar-SA"/>
    </w:rPr>
    <w:tblPr/>
  </w:style>
  <w:style w:type="table" w:styleId="909" w:customStyle="1">
    <w:name w:val="List Table 3 - Accent 4"/>
    <w:uiPriority w:val="99"/>
    <w:qFormat/>
    <w:rPr>
      <w:lang w:val="en-US" w:eastAsia="zh-CN" w:bidi="ar-SA"/>
    </w:rPr>
    <w:tblPr/>
  </w:style>
  <w:style w:type="table" w:styleId="910" w:customStyle="1">
    <w:name w:val="List Table 3 - Accent 5"/>
    <w:uiPriority w:val="99"/>
    <w:qFormat/>
    <w:rPr>
      <w:lang w:val="en-US" w:eastAsia="zh-CN" w:bidi="ar-SA"/>
    </w:rPr>
    <w:tblPr/>
  </w:style>
  <w:style w:type="table" w:styleId="911" w:customStyle="1">
    <w:name w:val="List Table 3 - Accent 6"/>
    <w:uiPriority w:val="99"/>
    <w:qFormat/>
    <w:rPr>
      <w:lang w:val="en-US" w:eastAsia="zh-CN" w:bidi="ar-SA"/>
    </w:rPr>
    <w:tblPr/>
  </w:style>
  <w:style w:type="table" w:styleId="912" w:customStyle="1">
    <w:name w:val="List Table 4"/>
    <w:uiPriority w:val="99"/>
    <w:qFormat/>
    <w:rPr>
      <w:lang w:val="en-US" w:eastAsia="zh-CN" w:bidi="ar-SA"/>
    </w:rPr>
    <w:tblPr/>
  </w:style>
  <w:style w:type="table" w:styleId="913" w:customStyle="1">
    <w:name w:val="List Table 4 - Accent 1"/>
    <w:uiPriority w:val="99"/>
    <w:qFormat/>
    <w:rPr>
      <w:lang w:val="en-US" w:eastAsia="zh-CN" w:bidi="ar-SA"/>
    </w:rPr>
    <w:tblPr/>
  </w:style>
  <w:style w:type="table" w:styleId="914" w:customStyle="1">
    <w:name w:val="List Table 4 - Accent 2"/>
    <w:uiPriority w:val="99"/>
    <w:qFormat/>
    <w:rPr>
      <w:lang w:val="en-US" w:eastAsia="zh-CN" w:bidi="ar-SA"/>
    </w:rPr>
    <w:tblPr/>
  </w:style>
  <w:style w:type="table" w:styleId="915" w:customStyle="1">
    <w:name w:val="List Table 4 - Accent 3"/>
    <w:uiPriority w:val="99"/>
    <w:qFormat/>
    <w:rPr>
      <w:lang w:val="en-US" w:eastAsia="zh-CN" w:bidi="ar-SA"/>
    </w:rPr>
    <w:tblPr/>
  </w:style>
  <w:style w:type="table" w:styleId="916" w:customStyle="1">
    <w:name w:val="List Table 4 - Accent 4"/>
    <w:uiPriority w:val="99"/>
    <w:qFormat/>
    <w:rPr>
      <w:lang w:val="en-US" w:eastAsia="zh-CN" w:bidi="ar-SA"/>
    </w:rPr>
    <w:tblPr/>
  </w:style>
  <w:style w:type="table" w:styleId="917" w:customStyle="1">
    <w:name w:val="List Table 4 - Accent 5"/>
    <w:uiPriority w:val="99"/>
    <w:qFormat/>
    <w:rPr>
      <w:lang w:val="en-US" w:eastAsia="zh-CN" w:bidi="ar-SA"/>
    </w:rPr>
    <w:tblPr/>
  </w:style>
  <w:style w:type="table" w:styleId="918" w:customStyle="1">
    <w:name w:val="List Table 4 - Accent 6"/>
    <w:uiPriority w:val="99"/>
    <w:qFormat/>
    <w:rPr>
      <w:lang w:val="en-US" w:eastAsia="zh-CN" w:bidi="ar-SA"/>
    </w:rPr>
    <w:tblPr/>
  </w:style>
  <w:style w:type="table" w:styleId="919" w:customStyle="1">
    <w:name w:val="List Table 5 Dark"/>
    <w:uiPriority w:val="99"/>
    <w:qFormat/>
    <w:rPr>
      <w:lang w:val="en-US" w:eastAsia="zh-CN" w:bidi="ar-SA"/>
    </w:rPr>
    <w:tblPr/>
  </w:style>
  <w:style w:type="table" w:styleId="920" w:customStyle="1">
    <w:name w:val="List Table 5 Dark - Accent 1"/>
    <w:uiPriority w:val="99"/>
    <w:qFormat/>
    <w:rPr>
      <w:lang w:val="en-US" w:eastAsia="zh-CN" w:bidi="ar-SA"/>
    </w:rPr>
    <w:tblPr/>
  </w:style>
  <w:style w:type="table" w:styleId="921" w:customStyle="1">
    <w:name w:val="List Table 5 Dark - Accent 2"/>
    <w:uiPriority w:val="99"/>
    <w:qFormat/>
    <w:rPr>
      <w:lang w:val="en-US" w:eastAsia="zh-CN" w:bidi="ar-SA"/>
    </w:rPr>
    <w:tblPr/>
  </w:style>
  <w:style w:type="table" w:styleId="922" w:customStyle="1">
    <w:name w:val="List Table 5 Dark - Accent 3"/>
    <w:uiPriority w:val="99"/>
    <w:qFormat/>
    <w:rPr>
      <w:lang w:val="en-US" w:eastAsia="zh-CN" w:bidi="ar-SA"/>
    </w:rPr>
    <w:tblPr/>
  </w:style>
  <w:style w:type="table" w:styleId="923" w:customStyle="1">
    <w:name w:val="List Table 5 Dark - Accent 4"/>
    <w:uiPriority w:val="99"/>
    <w:qFormat/>
    <w:rPr>
      <w:lang w:val="en-US" w:eastAsia="zh-CN" w:bidi="ar-SA"/>
    </w:rPr>
    <w:tblPr/>
  </w:style>
  <w:style w:type="table" w:styleId="924" w:customStyle="1">
    <w:name w:val="List Table 5 Dark - Accent 5"/>
    <w:uiPriority w:val="99"/>
    <w:qFormat/>
    <w:rPr>
      <w:lang w:val="en-US" w:eastAsia="zh-CN" w:bidi="ar-SA"/>
    </w:rPr>
    <w:tblPr/>
  </w:style>
  <w:style w:type="table" w:styleId="925" w:customStyle="1">
    <w:name w:val="List Table 5 Dark - Accent 6"/>
    <w:uiPriority w:val="99"/>
    <w:qFormat/>
    <w:rPr>
      <w:lang w:val="en-US" w:eastAsia="zh-CN" w:bidi="ar-SA"/>
    </w:rPr>
    <w:tblPr/>
  </w:style>
  <w:style w:type="table" w:styleId="926" w:customStyle="1">
    <w:name w:val="List Table 6 Colorful"/>
    <w:uiPriority w:val="99"/>
    <w:qFormat/>
    <w:rPr>
      <w:lang w:val="en-US" w:eastAsia="zh-CN" w:bidi="ar-SA"/>
    </w:rPr>
    <w:tblPr/>
  </w:style>
  <w:style w:type="table" w:styleId="927" w:customStyle="1">
    <w:name w:val="List Table 6 Colorful - Accent 1"/>
    <w:uiPriority w:val="99"/>
    <w:qFormat/>
    <w:rPr>
      <w:lang w:val="en-US" w:eastAsia="zh-CN" w:bidi="ar-SA"/>
    </w:rPr>
    <w:tblPr/>
  </w:style>
  <w:style w:type="table" w:styleId="928" w:customStyle="1">
    <w:name w:val="List Table 6 Colorful - Accent 2"/>
    <w:uiPriority w:val="99"/>
    <w:qFormat/>
    <w:rPr>
      <w:lang w:val="en-US" w:eastAsia="zh-CN" w:bidi="ar-SA"/>
    </w:rPr>
    <w:tblPr/>
  </w:style>
  <w:style w:type="table" w:styleId="929" w:customStyle="1">
    <w:name w:val="List Table 6 Colorful - Accent 3"/>
    <w:uiPriority w:val="99"/>
    <w:qFormat/>
    <w:rPr>
      <w:lang w:val="en-US" w:eastAsia="zh-CN" w:bidi="ar-SA"/>
    </w:rPr>
    <w:tblPr/>
  </w:style>
  <w:style w:type="table" w:styleId="930" w:customStyle="1">
    <w:name w:val="List Table 6 Colorful - Accent 4"/>
    <w:uiPriority w:val="99"/>
    <w:qFormat/>
    <w:rPr>
      <w:lang w:val="en-US" w:eastAsia="zh-CN" w:bidi="ar-SA"/>
    </w:rPr>
    <w:tblPr/>
  </w:style>
  <w:style w:type="table" w:styleId="931" w:customStyle="1">
    <w:name w:val="List Table 6 Colorful - Accent 5"/>
    <w:uiPriority w:val="99"/>
    <w:qFormat/>
    <w:rPr>
      <w:lang w:val="en-US" w:eastAsia="zh-CN" w:bidi="ar-SA"/>
    </w:rPr>
    <w:tblPr/>
  </w:style>
  <w:style w:type="table" w:styleId="932" w:customStyle="1">
    <w:name w:val="List Table 6 Colorful - Accent 6"/>
    <w:uiPriority w:val="99"/>
    <w:qFormat/>
    <w:rPr>
      <w:lang w:val="en-US" w:eastAsia="zh-CN" w:bidi="ar-SA"/>
    </w:rPr>
    <w:tblPr/>
  </w:style>
  <w:style w:type="table" w:styleId="933" w:customStyle="1">
    <w:name w:val="List Table 7 Colorful"/>
    <w:uiPriority w:val="99"/>
    <w:qFormat/>
    <w:rPr>
      <w:lang w:val="en-US" w:eastAsia="zh-CN" w:bidi="ar-SA"/>
    </w:rPr>
    <w:tblPr/>
  </w:style>
  <w:style w:type="table" w:styleId="934" w:customStyle="1">
    <w:name w:val="List Table 7 Colorful - Accent 1"/>
    <w:uiPriority w:val="99"/>
    <w:qFormat/>
    <w:rPr>
      <w:lang w:val="en-US" w:eastAsia="zh-CN" w:bidi="ar-SA"/>
    </w:rPr>
    <w:tblPr/>
  </w:style>
  <w:style w:type="table" w:styleId="935" w:customStyle="1">
    <w:name w:val="List Table 7 Colorful - Accent 2"/>
    <w:uiPriority w:val="99"/>
    <w:qFormat/>
    <w:rPr>
      <w:lang w:val="en-US" w:eastAsia="zh-CN" w:bidi="ar-SA"/>
    </w:rPr>
    <w:tblPr/>
  </w:style>
  <w:style w:type="table" w:styleId="936" w:customStyle="1">
    <w:name w:val="List Table 7 Colorful - Accent 3"/>
    <w:uiPriority w:val="99"/>
    <w:qFormat/>
    <w:rPr>
      <w:lang w:val="en-US" w:eastAsia="zh-CN" w:bidi="ar-SA"/>
    </w:rPr>
    <w:tblPr/>
  </w:style>
  <w:style w:type="table" w:styleId="937" w:customStyle="1">
    <w:name w:val="List Table 7 Colorful - Accent 4"/>
    <w:uiPriority w:val="99"/>
    <w:qFormat/>
    <w:rPr>
      <w:lang w:val="en-US" w:eastAsia="zh-CN" w:bidi="ar-SA"/>
    </w:rPr>
    <w:tblPr/>
  </w:style>
  <w:style w:type="table" w:styleId="938" w:customStyle="1">
    <w:name w:val="List Table 7 Colorful - Accent 5"/>
    <w:uiPriority w:val="99"/>
    <w:qFormat/>
    <w:rPr>
      <w:lang w:val="en-US" w:eastAsia="zh-CN" w:bidi="ar-SA"/>
    </w:rPr>
    <w:tblPr/>
  </w:style>
  <w:style w:type="table" w:styleId="939" w:customStyle="1">
    <w:name w:val="List Table 7 Colorful - Accent 6"/>
    <w:uiPriority w:val="99"/>
    <w:qFormat/>
    <w:rPr>
      <w:lang w:val="en-US" w:eastAsia="zh-CN" w:bidi="ar-SA"/>
    </w:rPr>
    <w:tblPr/>
  </w:style>
  <w:style w:type="table" w:styleId="940" w:customStyle="1">
    <w:name w:val="Lined - Accent"/>
    <w:uiPriority w:val="99"/>
    <w:qFormat/>
    <w:rPr>
      <w:color w:val="404040"/>
      <w:lang w:val="en-US" w:eastAsia="zh-CN" w:bidi="ar-SA"/>
    </w:rPr>
    <w:tblPr/>
  </w:style>
  <w:style w:type="table" w:styleId="941" w:customStyle="1">
    <w:name w:val="Lined - Accent 1"/>
    <w:uiPriority w:val="99"/>
    <w:qFormat/>
    <w:rPr>
      <w:color w:val="404040"/>
      <w:lang w:val="en-US" w:eastAsia="zh-CN" w:bidi="ar-SA"/>
    </w:rPr>
    <w:tblPr/>
  </w:style>
  <w:style w:type="table" w:styleId="942" w:customStyle="1">
    <w:name w:val="Lined - Accent 2"/>
    <w:uiPriority w:val="99"/>
    <w:qFormat/>
    <w:rPr>
      <w:color w:val="404040"/>
      <w:lang w:val="en-US" w:eastAsia="zh-CN" w:bidi="ar-SA"/>
    </w:rPr>
    <w:tblPr/>
  </w:style>
  <w:style w:type="table" w:styleId="943" w:customStyle="1">
    <w:name w:val="Lined - Accent 3"/>
    <w:uiPriority w:val="99"/>
    <w:qFormat/>
    <w:rPr>
      <w:color w:val="404040"/>
      <w:lang w:val="en-US" w:eastAsia="zh-CN" w:bidi="ar-SA"/>
    </w:rPr>
    <w:tblPr/>
  </w:style>
  <w:style w:type="table" w:styleId="944" w:customStyle="1">
    <w:name w:val="Lined - Accent 4"/>
    <w:uiPriority w:val="99"/>
    <w:qFormat/>
    <w:rPr>
      <w:color w:val="404040"/>
      <w:lang w:val="en-US" w:eastAsia="zh-CN" w:bidi="ar-SA"/>
    </w:rPr>
    <w:tblPr/>
  </w:style>
  <w:style w:type="table" w:styleId="945" w:customStyle="1">
    <w:name w:val="Lined - Accent 5"/>
    <w:uiPriority w:val="99"/>
    <w:qFormat/>
    <w:rPr>
      <w:color w:val="404040"/>
      <w:lang w:val="en-US" w:eastAsia="zh-CN" w:bidi="ar-SA"/>
    </w:rPr>
    <w:tblPr/>
  </w:style>
  <w:style w:type="table" w:styleId="946" w:customStyle="1">
    <w:name w:val="Lined - Accent 6"/>
    <w:uiPriority w:val="99"/>
    <w:qFormat/>
    <w:rPr>
      <w:color w:val="404040"/>
      <w:lang w:val="en-US" w:eastAsia="zh-CN" w:bidi="ar-SA"/>
    </w:rPr>
    <w:tblPr/>
  </w:style>
  <w:style w:type="table" w:styleId="947" w:customStyle="1">
    <w:name w:val="Bordered &amp; Lined - Accent"/>
    <w:uiPriority w:val="99"/>
    <w:qFormat/>
    <w:rPr>
      <w:color w:val="404040"/>
      <w:lang w:val="en-US" w:eastAsia="zh-CN" w:bidi="ar-SA"/>
    </w:rPr>
    <w:tblPr/>
  </w:style>
  <w:style w:type="table" w:styleId="948" w:customStyle="1">
    <w:name w:val="Bordered &amp; Lined - Accent 1"/>
    <w:uiPriority w:val="99"/>
    <w:qFormat/>
    <w:rPr>
      <w:color w:val="404040"/>
      <w:lang w:val="en-US" w:eastAsia="zh-CN" w:bidi="ar-SA"/>
    </w:rPr>
    <w:tblPr/>
  </w:style>
  <w:style w:type="table" w:styleId="949" w:customStyle="1">
    <w:name w:val="Bordered &amp; Lined - Accent 2"/>
    <w:uiPriority w:val="99"/>
    <w:qFormat/>
    <w:rPr>
      <w:color w:val="404040"/>
      <w:lang w:val="en-US" w:eastAsia="zh-CN" w:bidi="ar-SA"/>
    </w:rPr>
    <w:tblPr/>
  </w:style>
  <w:style w:type="table" w:styleId="950" w:customStyle="1">
    <w:name w:val="Bordered &amp; Lined - Accent 3"/>
    <w:uiPriority w:val="99"/>
    <w:qFormat/>
    <w:rPr>
      <w:color w:val="404040"/>
      <w:lang w:val="en-US" w:eastAsia="zh-CN" w:bidi="ar-SA"/>
    </w:rPr>
    <w:tblPr/>
  </w:style>
  <w:style w:type="table" w:styleId="951" w:customStyle="1">
    <w:name w:val="Bordered &amp; Lined - Accent 4"/>
    <w:uiPriority w:val="99"/>
    <w:qFormat/>
    <w:rPr>
      <w:color w:val="404040"/>
      <w:lang w:val="en-US" w:eastAsia="zh-CN" w:bidi="ar-SA"/>
    </w:rPr>
    <w:tblPr/>
  </w:style>
  <w:style w:type="table" w:styleId="952" w:customStyle="1">
    <w:name w:val="Bordered &amp; Lined - Accent 5"/>
    <w:uiPriority w:val="99"/>
    <w:qFormat/>
    <w:rPr>
      <w:color w:val="404040"/>
      <w:lang w:val="en-US" w:eastAsia="zh-CN" w:bidi="ar-SA"/>
    </w:rPr>
    <w:tblPr/>
  </w:style>
  <w:style w:type="table" w:styleId="953" w:customStyle="1">
    <w:name w:val="Bordered &amp; Lined - Accent 6"/>
    <w:uiPriority w:val="99"/>
    <w:qFormat/>
    <w:rPr>
      <w:color w:val="404040"/>
      <w:lang w:val="en-US" w:eastAsia="zh-CN" w:bidi="ar-SA"/>
    </w:rPr>
    <w:tblPr/>
  </w:style>
  <w:style w:type="table" w:styleId="954" w:customStyle="1">
    <w:name w:val="Bordered"/>
    <w:uiPriority w:val="99"/>
    <w:qFormat/>
    <w:rPr>
      <w:lang w:val="en-US" w:eastAsia="zh-CN" w:bidi="ar-SA"/>
    </w:rPr>
    <w:tblPr/>
  </w:style>
  <w:style w:type="table" w:styleId="955" w:customStyle="1">
    <w:name w:val="Bordered - Accent 1"/>
    <w:uiPriority w:val="99"/>
    <w:qFormat/>
    <w:rPr>
      <w:lang w:val="en-US" w:eastAsia="zh-CN" w:bidi="ar-SA"/>
    </w:rPr>
    <w:tblPr/>
  </w:style>
  <w:style w:type="table" w:styleId="956" w:customStyle="1">
    <w:name w:val="Bordered - Accent 2"/>
    <w:uiPriority w:val="99"/>
    <w:qFormat/>
    <w:rPr>
      <w:lang w:val="en-US" w:eastAsia="zh-CN" w:bidi="ar-SA"/>
    </w:rPr>
    <w:tblPr/>
  </w:style>
  <w:style w:type="table" w:styleId="957" w:customStyle="1">
    <w:name w:val="Bordered - Accent 3"/>
    <w:uiPriority w:val="99"/>
    <w:qFormat/>
    <w:rPr>
      <w:lang w:val="en-US" w:eastAsia="zh-CN" w:bidi="ar-SA"/>
    </w:rPr>
    <w:tblPr/>
  </w:style>
  <w:style w:type="table" w:styleId="958" w:customStyle="1">
    <w:name w:val="Bordered - Accent 4"/>
    <w:uiPriority w:val="99"/>
    <w:qFormat/>
    <w:rPr>
      <w:lang w:val="en-US" w:eastAsia="zh-CN" w:bidi="ar-SA"/>
    </w:rPr>
    <w:tblPr/>
  </w:style>
  <w:style w:type="table" w:styleId="959" w:customStyle="1">
    <w:name w:val="Bordered - Accent 5"/>
    <w:uiPriority w:val="99"/>
    <w:qFormat/>
    <w:rPr>
      <w:lang w:val="en-US" w:eastAsia="zh-CN" w:bidi="ar-SA"/>
    </w:rPr>
    <w:tblPr/>
  </w:style>
  <w:style w:type="table" w:styleId="960" w:customStyle="1">
    <w:name w:val="Bordered - Accent 6"/>
    <w:uiPriority w:val="99"/>
    <w:qFormat/>
    <w:rPr>
      <w:lang w:val="en-US" w:eastAsia="zh-CN" w:bidi="ar-SA"/>
    </w:rPr>
    <w:tblPr/>
  </w:style>
  <w:style w:type="paragraph" w:styleId="961" w:customStyle="1">
    <w:name w:val="TOC Heading"/>
    <w:uiPriority w:val="39"/>
    <w:unhideWhenUsed/>
    <w:qFormat/>
    <w:rPr>
      <w:rFonts w:hint="default" w:ascii="Times New Roman" w:hAnsi="Times New Roman" w:eastAsia="宋体" w:cs="Times New Roman"/>
      <w:lang w:val="en-US" w:eastAsia="zh-CN" w:bidi="ar-SA"/>
    </w:rPr>
  </w:style>
  <w:style w:type="paragraph" w:styleId="962" w:customStyle="1">
    <w:name w:val="标题 11"/>
    <w:basedOn w:val="705"/>
    <w:next w:val="705"/>
    <w:link w:val="963"/>
    <w:uiPriority w:val="0"/>
    <w:qFormat/>
    <w:pPr>
      <w:jc w:val="center"/>
      <w:keepNext/>
      <w:outlineLvl w:val="0"/>
    </w:pPr>
    <w:rPr>
      <w:rFonts w:ascii="楷体_GB2312" w:eastAsia="楷体_GB2312"/>
      <w:sz w:val="28"/>
      <w:szCs w:val="28"/>
    </w:rPr>
  </w:style>
  <w:style w:type="character" w:styleId="963" w:customStyle="1">
    <w:name w:val="标题 1 Char"/>
    <w:link w:val="962"/>
    <w:uiPriority w:val="0"/>
    <w:qFormat/>
    <w:rPr>
      <w:rFonts w:ascii="楷体_GB2312" w:hAnsi="Times New Roman" w:eastAsia="楷体_GB2312" w:cs="Times New Roman"/>
      <w:sz w:val="28"/>
      <w:szCs w:val="28"/>
    </w:rPr>
  </w:style>
  <w:style w:type="character" w:styleId="964" w:customStyle="1">
    <w:name w:val="正文缩进 Char"/>
    <w:link w:val="747"/>
    <w:uiPriority w:val="0"/>
    <w:qFormat/>
    <w:rPr>
      <w:rFonts w:ascii="Times New Roman" w:hAnsi="Times New Roman" w:eastAsia="宋体" w:cs="Times New Roman"/>
      <w:szCs w:val="21"/>
    </w:rPr>
  </w:style>
  <w:style w:type="paragraph" w:styleId="965" w:customStyle="1">
    <w:name w:val="标题 311"/>
    <w:basedOn w:val="705"/>
    <w:next w:val="747"/>
    <w:link w:val="966"/>
    <w:uiPriority w:val="0"/>
    <w:qFormat/>
    <w:pPr>
      <w:keepLines/>
      <w:keepNext/>
      <w:spacing w:before="260" w:after="260" w:line="416" w:lineRule="auto"/>
      <w:outlineLvl w:val="2"/>
    </w:pPr>
    <w:rPr>
      <w:b/>
      <w:bCs/>
      <w:sz w:val="32"/>
      <w:szCs w:val="32"/>
    </w:rPr>
  </w:style>
  <w:style w:type="character" w:styleId="966" w:customStyle="1">
    <w:name w:val="标题 3 Char"/>
    <w:link w:val="965"/>
    <w:uiPriority w:val="0"/>
    <w:qFormat/>
    <w:rPr>
      <w:rFonts w:ascii="Times New Roman" w:hAnsi="Times New Roman" w:eastAsia="宋体" w:cs="Times New Roman"/>
      <w:b/>
      <w:bCs/>
      <w:sz w:val="32"/>
      <w:szCs w:val="32"/>
    </w:rPr>
  </w:style>
  <w:style w:type="paragraph" w:styleId="967" w:customStyle="1">
    <w:name w:val="标题 41"/>
    <w:basedOn w:val="705"/>
    <w:next w:val="747"/>
    <w:link w:val="968"/>
    <w:uiPriority w:val="0"/>
    <w:qFormat/>
    <w:pPr>
      <w:keepLines/>
      <w:keepNext/>
      <w:spacing w:before="280" w:after="290" w:line="376" w:lineRule="auto"/>
      <w:outlineLvl w:val="3"/>
    </w:pPr>
    <w:rPr>
      <w:rFonts w:ascii="Arial" w:hAnsi="Arial" w:eastAsia="黑体"/>
      <w:b/>
      <w:bCs/>
      <w:sz w:val="28"/>
      <w:szCs w:val="28"/>
    </w:rPr>
  </w:style>
  <w:style w:type="character" w:styleId="968" w:customStyle="1">
    <w:name w:val="标题 4 Char"/>
    <w:link w:val="967"/>
    <w:uiPriority w:val="0"/>
    <w:qFormat/>
    <w:rPr>
      <w:rFonts w:ascii="Arial" w:hAnsi="Arial" w:eastAsia="黑体" w:cs="Arial"/>
      <w:b/>
      <w:bCs/>
      <w:sz w:val="28"/>
      <w:szCs w:val="28"/>
    </w:rPr>
  </w:style>
  <w:style w:type="paragraph" w:styleId="969" w:customStyle="1">
    <w:name w:val="标题 51"/>
    <w:basedOn w:val="705"/>
    <w:next w:val="747"/>
    <w:link w:val="970"/>
    <w:uiPriority w:val="0"/>
    <w:qFormat/>
    <w:pPr>
      <w:keepNext/>
      <w:outlineLvl w:val="4"/>
    </w:pPr>
    <w:rPr>
      <w:rFonts w:ascii="宋体"/>
      <w:color w:val="000000"/>
      <w:sz w:val="28"/>
      <w:szCs w:val="28"/>
    </w:rPr>
  </w:style>
  <w:style w:type="character" w:styleId="970" w:customStyle="1">
    <w:name w:val="标题 5 Char"/>
    <w:link w:val="969"/>
    <w:uiPriority w:val="0"/>
    <w:qFormat/>
    <w:rPr>
      <w:rFonts w:ascii="宋体" w:hAnsi="Times New Roman" w:eastAsia="宋体" w:cs="Times New Roman"/>
      <w:color w:val="000000"/>
      <w:sz w:val="28"/>
      <w:szCs w:val="28"/>
    </w:rPr>
  </w:style>
  <w:style w:type="paragraph" w:styleId="971" w:customStyle="1">
    <w:name w:val="标题 61"/>
    <w:basedOn w:val="705"/>
    <w:next w:val="705"/>
    <w:link w:val="97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72" w:customStyle="1">
    <w:name w:val="标题 6 Char"/>
    <w:link w:val="971"/>
    <w:uiPriority w:val="0"/>
    <w:qFormat/>
    <w:rPr>
      <w:rFonts w:ascii="Arial" w:hAnsi="Arial" w:eastAsia="黑体" w:cs="Times New Roman"/>
      <w:b/>
      <w:bCs/>
      <w:sz w:val="24"/>
      <w:szCs w:val="24"/>
    </w:rPr>
  </w:style>
  <w:style w:type="paragraph" w:styleId="973" w:customStyle="1">
    <w:name w:val="标题 71"/>
    <w:basedOn w:val="705"/>
    <w:next w:val="705"/>
    <w:link w:val="974"/>
    <w:uiPriority w:val="0"/>
    <w:qFormat/>
    <w:pPr>
      <w:numPr>
        <w:ilvl w:val="6"/>
        <w:numId w:val="1"/>
      </w:numPr>
      <w:keepLines/>
      <w:keepNext/>
      <w:spacing w:before="240" w:after="64" w:line="320" w:lineRule="auto"/>
      <w:outlineLvl w:val="6"/>
    </w:pPr>
    <w:rPr>
      <w:b/>
      <w:bCs/>
      <w:sz w:val="24"/>
      <w:szCs w:val="24"/>
    </w:rPr>
  </w:style>
  <w:style w:type="character" w:styleId="974" w:customStyle="1">
    <w:name w:val="标题 7 Char"/>
    <w:link w:val="973"/>
    <w:uiPriority w:val="0"/>
    <w:qFormat/>
    <w:rPr>
      <w:rFonts w:ascii="Times New Roman" w:hAnsi="Times New Roman" w:eastAsia="宋体" w:cs="Times New Roman"/>
      <w:b/>
      <w:bCs/>
      <w:sz w:val="24"/>
      <w:szCs w:val="24"/>
    </w:rPr>
  </w:style>
  <w:style w:type="paragraph" w:styleId="975" w:customStyle="1">
    <w:name w:val="标题 81"/>
    <w:basedOn w:val="705"/>
    <w:next w:val="705"/>
    <w:link w:val="97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76" w:customStyle="1">
    <w:name w:val="标题 8 Char"/>
    <w:link w:val="975"/>
    <w:uiPriority w:val="0"/>
    <w:qFormat/>
    <w:rPr>
      <w:rFonts w:ascii="Arial" w:hAnsi="Arial" w:eastAsia="黑体" w:cs="Times New Roman"/>
      <w:sz w:val="24"/>
      <w:szCs w:val="24"/>
    </w:rPr>
  </w:style>
  <w:style w:type="paragraph" w:styleId="977" w:customStyle="1">
    <w:name w:val="标题 91"/>
    <w:basedOn w:val="705"/>
    <w:next w:val="705"/>
    <w:link w:val="978"/>
    <w:uiPriority w:val="0"/>
    <w:qFormat/>
    <w:pPr>
      <w:numPr>
        <w:ilvl w:val="8"/>
        <w:numId w:val="1"/>
      </w:numPr>
      <w:keepLines/>
      <w:keepNext/>
      <w:spacing w:before="240" w:after="64" w:line="320" w:lineRule="auto"/>
      <w:outlineLvl w:val="8"/>
    </w:pPr>
    <w:rPr>
      <w:rFonts w:ascii="Arial" w:hAnsi="Arial" w:eastAsia="黑体"/>
      <w:sz w:val="20"/>
    </w:rPr>
  </w:style>
  <w:style w:type="character" w:styleId="978" w:customStyle="1">
    <w:name w:val="标题 9 Char"/>
    <w:link w:val="977"/>
    <w:uiPriority w:val="0"/>
    <w:qFormat/>
    <w:rPr>
      <w:rFonts w:ascii="Arial" w:hAnsi="Arial" w:eastAsia="黑体" w:cs="Times New Roman"/>
      <w:szCs w:val="21"/>
    </w:rPr>
  </w:style>
  <w:style w:type="character" w:styleId="979" w:customStyle="1">
    <w:name w:val="默认段落字体1"/>
    <w:link w:val="705"/>
    <w:uiPriority w:val="1"/>
    <w:unhideWhenUsed/>
    <w:qFormat/>
  </w:style>
  <w:style w:type="table" w:styleId="980" w:customStyle="1">
    <w:name w:val="普通表格11"/>
    <w:uiPriority w:val="99"/>
    <w:unhideWhenUsed/>
    <w:qFormat/>
    <w:rPr>
      <w:lang w:val="en-US" w:eastAsia="zh-CN" w:bidi="ar-SA"/>
    </w:rPr>
    <w:tblPr/>
  </w:style>
  <w:style w:type="paragraph" w:styleId="981" w:customStyle="1">
    <w:name w:val="列表 31"/>
    <w:basedOn w:val="705"/>
    <w:uiPriority w:val="0"/>
    <w:qFormat/>
    <w:pPr>
      <w:ind w:left="100" w:hanging="200"/>
    </w:pPr>
  </w:style>
  <w:style w:type="paragraph" w:styleId="982" w:customStyle="1">
    <w:name w:val="目录 71"/>
    <w:basedOn w:val="705"/>
    <w:next w:val="705"/>
    <w:uiPriority w:val="0"/>
    <w:semiHidden/>
    <w:qFormat/>
    <w:pPr>
      <w:ind w:left="1260"/>
      <w:jc w:val="left"/>
    </w:pPr>
  </w:style>
  <w:style w:type="paragraph" w:styleId="983" w:customStyle="1">
    <w:name w:val="文档结构图1"/>
    <w:basedOn w:val="705"/>
    <w:link w:val="984"/>
    <w:uiPriority w:val="0"/>
    <w:semiHidden/>
    <w:qFormat/>
    <w:pPr>
      <w:shd w:val="clear" w:color="auto" w:fill="000080"/>
    </w:pPr>
    <w:rPr>
      <w:sz w:val="20"/>
    </w:rPr>
  </w:style>
  <w:style w:type="character" w:styleId="984" w:customStyle="1">
    <w:name w:val="文档结构图 Char"/>
    <w:link w:val="983"/>
    <w:uiPriority w:val="0"/>
    <w:semiHidden/>
    <w:qFormat/>
    <w:rPr>
      <w:rFonts w:ascii="Times New Roman" w:hAnsi="Times New Roman" w:eastAsia="宋体" w:cs="Times New Roman"/>
      <w:szCs w:val="21"/>
      <w:shd w:val="clear" w:color="auto" w:fill="000080"/>
    </w:rPr>
  </w:style>
  <w:style w:type="paragraph" w:styleId="985" w:customStyle="1">
    <w:name w:val="批注文字1"/>
    <w:basedOn w:val="705"/>
    <w:link w:val="986"/>
    <w:uiPriority w:val="0"/>
    <w:semiHidden/>
    <w:qFormat/>
    <w:pPr>
      <w:jc w:val="left"/>
    </w:pPr>
    <w:rPr>
      <w:sz w:val="20"/>
    </w:rPr>
  </w:style>
  <w:style w:type="character" w:styleId="986" w:customStyle="1">
    <w:name w:val="批注文字 Char"/>
    <w:link w:val="985"/>
    <w:uiPriority w:val="0"/>
    <w:semiHidden/>
    <w:qFormat/>
    <w:rPr>
      <w:rFonts w:ascii="Times New Roman" w:hAnsi="Times New Roman" w:eastAsia="宋体" w:cs="Times New Roman"/>
      <w:szCs w:val="21"/>
    </w:rPr>
  </w:style>
  <w:style w:type="paragraph" w:styleId="987" w:customStyle="1">
    <w:name w:val="正文文本 31"/>
    <w:basedOn w:val="705"/>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1"/>
    <w:basedOn w:val="705"/>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
    <w:basedOn w:val="705"/>
    <w:link w:val="992"/>
    <w:uiPriority w:val="0"/>
    <w:qFormat/>
    <w:pPr>
      <w:ind w:firstLine="645"/>
    </w:pPr>
    <w:rPr>
      <w:rFonts w:ascii="楷体_GB2312" w:eastAsia="楷体_GB2312"/>
      <w:sz w:val="32"/>
      <w:szCs w:val="32"/>
    </w:rPr>
  </w:style>
  <w:style w:type="character" w:styleId="992" w:customStyle="1">
    <w:name w:val="正文文本缩进 Char"/>
    <w:link w:val="991"/>
    <w:uiPriority w:val="0"/>
    <w:qFormat/>
    <w:rPr>
      <w:rFonts w:ascii="楷体_GB2312" w:hAnsi="Times New Roman" w:eastAsia="楷体_GB2312" w:cs="Times New Roman"/>
      <w:sz w:val="32"/>
      <w:szCs w:val="32"/>
    </w:rPr>
  </w:style>
  <w:style w:type="paragraph" w:styleId="993" w:customStyle="1">
    <w:name w:val="列表 21"/>
    <w:basedOn w:val="705"/>
    <w:uiPriority w:val="0"/>
    <w:qFormat/>
    <w:pPr>
      <w:ind w:left="100" w:hanging="200"/>
    </w:pPr>
  </w:style>
  <w:style w:type="paragraph" w:styleId="994" w:customStyle="1">
    <w:name w:val="目录 51"/>
    <w:basedOn w:val="705"/>
    <w:next w:val="705"/>
    <w:uiPriority w:val="0"/>
    <w:semiHidden/>
    <w:qFormat/>
    <w:pPr>
      <w:ind w:left="840"/>
      <w:jc w:val="left"/>
    </w:pPr>
  </w:style>
  <w:style w:type="paragraph" w:styleId="995" w:customStyle="1">
    <w:name w:val="目录 31"/>
    <w:basedOn w:val="705"/>
    <w:next w:val="705"/>
    <w:uiPriority w:val="0"/>
    <w:semiHidden/>
    <w:qFormat/>
    <w:pPr>
      <w:ind w:left="420"/>
      <w:jc w:val="left"/>
    </w:pPr>
    <w:rPr>
      <w:i/>
      <w:iCs/>
      <w:szCs w:val="24"/>
    </w:rPr>
  </w:style>
  <w:style w:type="paragraph" w:styleId="996" w:customStyle="1">
    <w:name w:val="纯文本1"/>
    <w:basedOn w:val="705"/>
    <w:link w:val="997"/>
    <w:uiPriority w:val="0"/>
    <w:qFormat/>
    <w:rPr>
      <w:rFonts w:ascii="宋体" w:hAnsi="Courier New"/>
      <w:sz w:val="20"/>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05"/>
    <w:next w:val="705"/>
    <w:uiPriority w:val="0"/>
    <w:semiHidden/>
    <w:qFormat/>
    <w:pPr>
      <w:ind w:left="1470"/>
      <w:jc w:val="left"/>
    </w:pPr>
  </w:style>
  <w:style w:type="paragraph" w:styleId="999" w:customStyle="1">
    <w:name w:val="日期1"/>
    <w:basedOn w:val="705"/>
    <w:next w:val="705"/>
    <w:link w:val="1000"/>
    <w:uiPriority w:val="0"/>
    <w:qFormat/>
    <w:rPr>
      <w:sz w:val="24"/>
      <w:szCs w:val="24"/>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05"/>
    <w:link w:val="1002"/>
    <w:uiPriority w:val="0"/>
    <w:qFormat/>
    <w:pPr>
      <w:ind w:left="630" w:firstLine="645"/>
    </w:pPr>
    <w:rPr>
      <w:rFonts w:ascii="Arial" w:hAnsi="Arial" w:eastAsia="仿宋_GB2312"/>
      <w:sz w:val="32"/>
      <w:szCs w:val="32"/>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05"/>
    <w:link w:val="1004"/>
    <w:uiPriority w:val="0"/>
    <w:semiHidden/>
    <w:qFormat/>
    <w:rPr>
      <w:sz w:val="18"/>
      <w:szCs w:val="18"/>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05"/>
    <w:link w:val="1006"/>
    <w:uiPriority w:val="0"/>
    <w:qFormat/>
    <w:pPr>
      <w:jc w:val="left"/>
      <w:tabs>
        <w:tab w:val="center" w:pos="4153" w:leader="none"/>
        <w:tab w:val="right" w:pos="8306" w:leader="none"/>
      </w:tabs>
    </w:pPr>
    <w:rPr>
      <w:sz w:val="18"/>
      <w:szCs w:val="18"/>
    </w:rPr>
  </w:style>
  <w:style w:type="character" w:styleId="1006" w:customStyle="1">
    <w:name w:val="页脚 Char"/>
    <w:link w:val="1005"/>
    <w:uiPriority w:val="0"/>
    <w:qFormat/>
    <w:rPr>
      <w:rFonts w:ascii="Times New Roman" w:hAnsi="Times New Roman" w:eastAsia="宋体" w:cs="Times New Roman"/>
      <w:sz w:val="18"/>
      <w:szCs w:val="18"/>
    </w:rPr>
  </w:style>
  <w:style w:type="paragraph" w:styleId="1007" w:customStyle="1">
    <w:name w:val="页眉1"/>
    <w:basedOn w:val="705"/>
    <w:link w:val="1008"/>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rFonts w:ascii="Times New Roman" w:hAnsi="Times New Roman" w:eastAsia="宋体" w:cs="Times New Roman"/>
      <w:sz w:val="18"/>
      <w:szCs w:val="18"/>
    </w:rPr>
  </w:style>
  <w:style w:type="paragraph" w:styleId="1009" w:customStyle="1">
    <w:name w:val="目录 11"/>
    <w:basedOn w:val="705"/>
    <w:next w:val="705"/>
    <w:uiPriority w:val="0"/>
    <w:semiHidden/>
    <w:qFormat/>
    <w:pPr>
      <w:jc w:val="left"/>
      <w:spacing w:before="120" w:after="120" w:line="400" w:lineRule="exact"/>
      <w:tabs>
        <w:tab w:val="right" w:pos="8720" w:leader="dot"/>
      </w:tabs>
    </w:pPr>
    <w:rPr>
      <w:rFonts w:ascii="宋体" w:hAnsi="宋体"/>
      <w:caps/>
      <w:sz w:val="24"/>
      <w:szCs w:val="24"/>
    </w:rPr>
  </w:style>
  <w:style w:type="paragraph" w:styleId="1010" w:customStyle="1">
    <w:name w:val="目录 41"/>
    <w:basedOn w:val="705"/>
    <w:next w:val="705"/>
    <w:uiPriority w:val="0"/>
    <w:semiHidden/>
    <w:qFormat/>
    <w:pPr>
      <w:ind w:left="630"/>
      <w:jc w:val="left"/>
    </w:pPr>
  </w:style>
  <w:style w:type="paragraph" w:styleId="1011" w:customStyle="1">
    <w:name w:val="列表1"/>
    <w:basedOn w:val="705"/>
    <w:uiPriority w:val="0"/>
    <w:qFormat/>
    <w:pPr>
      <w:ind w:left="200" w:hanging="200"/>
    </w:pPr>
  </w:style>
  <w:style w:type="paragraph" w:styleId="1012" w:customStyle="1">
    <w:name w:val="目录 61"/>
    <w:basedOn w:val="705"/>
    <w:next w:val="705"/>
    <w:uiPriority w:val="0"/>
    <w:semiHidden/>
    <w:qFormat/>
    <w:pPr>
      <w:ind w:left="1050"/>
      <w:jc w:val="left"/>
    </w:pPr>
  </w:style>
  <w:style w:type="paragraph" w:styleId="1013" w:customStyle="1">
    <w:name w:val="正文文本缩进 31"/>
    <w:basedOn w:val="705"/>
    <w:link w:val="1014"/>
    <w:uiPriority w:val="0"/>
    <w:qFormat/>
    <w:pPr>
      <w:ind w:left="645" w:firstLine="645"/>
    </w:pPr>
    <w:rPr>
      <w:rFonts w:ascii="Arial" w:hAnsi="Arial" w:eastAsia="仿宋_GB2312"/>
      <w:color w:val="ffff00"/>
      <w:sz w:val="32"/>
      <w:szCs w:val="32"/>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05"/>
    <w:next w:val="705"/>
    <w:uiPriority w:val="0"/>
    <w:semiHidden/>
    <w:qFormat/>
    <w:pPr>
      <w:ind w:left="840" w:hanging="420"/>
    </w:pPr>
  </w:style>
  <w:style w:type="paragraph" w:styleId="1016" w:customStyle="1">
    <w:name w:val="目录 21"/>
    <w:basedOn w:val="705"/>
    <w:next w:val="705"/>
    <w:uiPriority w:val="0"/>
    <w:semiHidden/>
    <w:qFormat/>
    <w:pPr>
      <w:ind w:left="210"/>
      <w:jc w:val="left"/>
    </w:pPr>
    <w:rPr>
      <w:smallCaps/>
      <w:szCs w:val="24"/>
    </w:rPr>
  </w:style>
  <w:style w:type="paragraph" w:styleId="1017" w:customStyle="1">
    <w:name w:val="目录 91"/>
    <w:basedOn w:val="705"/>
    <w:next w:val="705"/>
    <w:uiPriority w:val="0"/>
    <w:semiHidden/>
    <w:qFormat/>
    <w:pPr>
      <w:ind w:left="1680"/>
      <w:jc w:val="left"/>
    </w:pPr>
  </w:style>
  <w:style w:type="paragraph" w:styleId="1018" w:customStyle="1">
    <w:name w:val="正文文本 21"/>
    <w:basedOn w:val="705"/>
    <w:link w:val="1019"/>
    <w:uiPriority w:val="0"/>
    <w:qFormat/>
    <w:pPr>
      <w:jc w:val="center"/>
      <w:widowControl/>
    </w:pPr>
    <w:rPr>
      <w:rFonts w:ascii="楷体_GB2312" w:eastAsia="楷体_GB2312"/>
      <w:sz w:val="28"/>
      <w:szCs w:val="28"/>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05"/>
    <w:next w:val="705"/>
    <w:uiPriority w:val="0"/>
    <w:semiHidden/>
    <w:qFormat/>
    <w:pPr>
      <w:spacing w:line="240" w:lineRule="atLeast"/>
    </w:pPr>
    <w:rPr>
      <w:b/>
      <w:bCs/>
    </w:rPr>
  </w:style>
  <w:style w:type="paragraph" w:styleId="1022" w:customStyle="1">
    <w:name w:val="批注主题1"/>
    <w:basedOn w:val="985"/>
    <w:next w:val="985"/>
    <w:link w:val="1023"/>
    <w:uiPriority w:val="0"/>
    <w:semiHidden/>
    <w:qFormat/>
    <w:rPr>
      <w:b/>
      <w:bCs/>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
    <w:basedOn w:val="705"/>
    <w:link w:val="1025"/>
    <w:uiPriority w:val="0"/>
    <w:qFormat/>
    <w:pPr>
      <w:ind w:firstLine="200"/>
      <w:spacing w:line="360" w:lineRule="auto"/>
    </w:pPr>
    <w:rPr>
      <w:rFonts w:ascii="仿宋_GB2312" w:eastAsia="仿宋_GB2312"/>
      <w:sz w:val="30"/>
      <w:szCs w:val="30"/>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1"/>
    <w:link w:val="1027"/>
    <w:uiPriority w:val="0"/>
    <w:qFormat/>
    <w:pPr>
      <w:ind w:firstLine="420"/>
      <w:spacing w:line="360" w:lineRule="auto"/>
    </w:pPr>
    <w:rPr>
      <w:rFonts w:ascii="宋体" w:hAnsi="宋体" w:eastAsia="宋体"/>
      <w:szCs w:val="20"/>
    </w:rPr>
  </w:style>
  <w:style w:type="character" w:styleId="1027" w:customStyle="1">
    <w:name w:val="正文首行缩进 2 Char"/>
    <w:link w:val="1026"/>
    <w:uiPriority w:val="0"/>
    <w:qFormat/>
    <w:rPr>
      <w:rFonts w:ascii="宋体" w:hAnsi="宋体" w:eastAsia="宋体" w:cs="Times New Roman"/>
      <w:sz w:val="32"/>
      <w:szCs w:val="20"/>
    </w:rPr>
  </w:style>
  <w:style w:type="table" w:styleId="1028" w:customStyle="1">
    <w:name w:val="网格型11"/>
    <w:basedOn w:val="980"/>
    <w:uiPriority w:val="0"/>
    <w:qFormat/>
    <w:pPr>
      <w:jc w:val="both"/>
      <w:widowControl w:val="off"/>
    </w:pPr>
    <w:rPr>
      <w:rFonts w:ascii="Times New Roman" w:hAnsi="Times New Roman" w:eastAsia="宋体" w:cs="Times New Roman"/>
      <w:sz w:val="20"/>
      <w:szCs w:val="20"/>
    </w:rPr>
    <w:tblPr/>
  </w:style>
  <w:style w:type="character" w:styleId="1029" w:customStyle="1">
    <w:name w:val="要点1"/>
    <w:link w:val="705"/>
    <w:uiPriority w:val="0"/>
    <w:qFormat/>
    <w:rPr>
      <w:b/>
      <w:bCs/>
    </w:rPr>
  </w:style>
  <w:style w:type="character" w:styleId="1030" w:customStyle="1">
    <w:name w:val="页码1"/>
    <w:link w:val="705"/>
    <w:uiPriority w:val="0"/>
    <w:qFormat/>
  </w:style>
  <w:style w:type="character" w:styleId="1031" w:customStyle="1">
    <w:name w:val="已访问的超链接1"/>
    <w:link w:val="705"/>
    <w:uiPriority w:val="0"/>
    <w:qFormat/>
    <w:rPr>
      <w:color w:val="800080"/>
      <w:u w:val="single"/>
    </w:rPr>
  </w:style>
  <w:style w:type="character" w:styleId="1032" w:customStyle="1">
    <w:name w:val="超链接1"/>
    <w:link w:val="705"/>
    <w:uiPriority w:val="0"/>
    <w:qFormat/>
    <w:rPr>
      <w:color w:val="0000ff"/>
      <w:u w:val="single"/>
    </w:rPr>
  </w:style>
  <w:style w:type="character" w:styleId="1033" w:customStyle="1">
    <w:name w:val="批注引用1"/>
    <w:link w:val="705"/>
    <w:uiPriority w:val="0"/>
    <w:semiHidden/>
    <w:qFormat/>
    <w:rPr>
      <w:sz w:val="21"/>
      <w:szCs w:val="21"/>
    </w:rPr>
  </w:style>
  <w:style w:type="paragraph" w:styleId="1034" w:customStyle="1">
    <w:name w:val="正文文本1"/>
    <w:basedOn w:val="705"/>
    <w:uiPriority w:val="0"/>
    <w:semiHidden/>
    <w:qFormat/>
    <w:rPr>
      <w:rFonts w:ascii="Arial" w:hAnsi="Arial" w:eastAsia="Arial" w:cs="Arial"/>
      <w:sz w:val="21"/>
      <w:szCs w:val="21"/>
      <w:lang w:val="en-US" w:eastAsia="en-US" w:bidi="ar-SA"/>
    </w:rPr>
  </w:style>
  <w:style w:type="paragraph" w:styleId="1035" w:customStyle="1">
    <w:name w:val="正文文本12"/>
    <w:basedOn w:val="705"/>
    <w:uiPriority w:val="1"/>
    <w:qFormat/>
    <w:pPr>
      <w:ind w:left="120"/>
    </w:pPr>
    <w:rPr>
      <w:rFonts w:ascii="宋体" w:hAnsi="宋体" w:eastAsia="宋体" w:cs="宋体"/>
      <w:sz w:val="21"/>
      <w:szCs w:val="21"/>
      <w:lang w:val="zh-CN" w:eastAsia="zh-CN" w:bidi="zh-CN"/>
    </w:rPr>
  </w:style>
  <w:style w:type="character" w:styleId="1036" w:customStyle="1">
    <w:name w:val="font5 Char"/>
    <w:link w:val="705"/>
    <w:uiPriority w:val="0"/>
    <w:qFormat/>
    <w:rPr>
      <w:rFonts w:ascii="宋体" w:hAnsi="宋体" w:eastAsia="宋体"/>
      <w:sz w:val="28"/>
      <w:szCs w:val="28"/>
      <w:lang w:val="en-US" w:eastAsia="zh-CN" w:bidi="ar-SA"/>
    </w:rPr>
  </w:style>
  <w:style w:type="character" w:styleId="1037" w:customStyle="1">
    <w:name w:val="二级目录 Char"/>
    <w:link w:val="1038"/>
    <w:uiPriority w:val="0"/>
    <w:qFormat/>
    <w:rPr>
      <w:b/>
      <w:sz w:val="30"/>
      <w:szCs w:val="28"/>
      <w:lang w:val="en-US" w:eastAsia="zh-CN" w:bidi="ar-SA"/>
    </w:rPr>
  </w:style>
  <w:style w:type="paragraph" w:styleId="1038" w:customStyle="1">
    <w:name w:val="二级目录"/>
    <w:next w:val="705"/>
    <w:link w:val="103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705"/>
    <w:link w:val="1039"/>
    <w:uiPriority w:val="0"/>
    <w:qFormat/>
    <w:pPr>
      <w:contextualSpacing/>
      <w:ind w:left="720"/>
      <w:jc w:val="left"/>
      <w:widowControl/>
    </w:pPr>
    <w:rPr>
      <w:rFonts w:ascii="Calibri" w:hAnsi="Calibri"/>
      <w:sz w:val="24"/>
      <w:szCs w:val="24"/>
      <w:lang w:eastAsia="en-US" w:bidi="en-US"/>
    </w:rPr>
  </w:style>
  <w:style w:type="paragraph" w:styleId="1041" w:customStyle="1">
    <w:name w:val="Body Text(ch)"/>
    <w:basedOn w:val="705"/>
    <w:next w:val="989"/>
    <w:uiPriority w:val="0"/>
    <w:qFormat/>
    <w:pPr>
      <w:spacing w:after="120"/>
    </w:pPr>
    <w:rPr>
      <w:rFonts w:ascii="宋体" w:hAnsi="Arial"/>
      <w:bCs/>
      <w:iCs/>
      <w:szCs w:val="24"/>
    </w:rPr>
  </w:style>
  <w:style w:type="paragraph" w:styleId="1042" w:customStyle="1">
    <w:name w:val="xl2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customStyle="1">
    <w:name w:val="Char"/>
    <w:basedOn w:val="705"/>
    <w:uiPriority w:val="0"/>
    <w:qFormat/>
    <w:pPr>
      <w:ind w:firstLine="200"/>
      <w:tabs>
        <w:tab w:val="left" w:pos="360" w:leader="none"/>
      </w:tabs>
    </w:pPr>
    <w:rPr>
      <w:sz w:val="28"/>
      <w:szCs w:val="30"/>
    </w:rPr>
  </w:style>
  <w:style w:type="paragraph" w:styleId="1045" w:customStyle="1">
    <w:name w:val=" Char"/>
    <w:basedOn w:val="983"/>
    <w:uiPriority w:val="0"/>
    <w:qFormat/>
    <w:rPr>
      <w:rFonts w:ascii="Tahoma" w:hAnsi="Tahoma"/>
      <w:sz w:val="24"/>
      <w:szCs w:val="24"/>
    </w:rPr>
  </w:style>
  <w:style w:type="paragraph" w:styleId="1046"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1047" w:customStyle="1">
    <w:name w:val="table_lines"/>
    <w:basedOn w:val="705"/>
    <w:uiPriority w:val="0"/>
    <w:qFormat/>
    <w:pPr>
      <w:jc w:val="left"/>
      <w:widowControl/>
    </w:pPr>
    <w:rPr>
      <w:sz w:val="20"/>
      <w:szCs w:val="20"/>
      <w:lang w:val="de-DE" w:eastAsia="de-DE"/>
    </w:rPr>
  </w:style>
  <w:style w:type="paragraph" w:styleId="10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9"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1050" w:customStyle="1">
    <w:name w:val=" Char Char Char Char"/>
    <w:basedOn w:val="983"/>
    <w:uiPriority w:val="0"/>
    <w:qFormat/>
    <w:pPr>
      <w:spacing w:line="360" w:lineRule="auto"/>
    </w:pPr>
    <w:rPr>
      <w:rFonts w:ascii="Tahoma" w:hAnsi="Tahoma"/>
      <w:sz w:val="24"/>
      <w:szCs w:val="24"/>
    </w:rPr>
  </w:style>
  <w:style w:type="paragraph" w:styleId="1051" w:customStyle="1">
    <w:name w:val="列出段落2"/>
    <w:basedOn w:val="705"/>
    <w:uiPriority w:val="0"/>
    <w:qFormat/>
    <w:pPr>
      <w:contextualSpacing/>
      <w:ind w:left="720"/>
      <w:jc w:val="left"/>
      <w:widowControl/>
    </w:pPr>
    <w:rPr>
      <w:rFonts w:ascii="Calibri" w:hAnsi="Calibri"/>
      <w:sz w:val="24"/>
      <w:szCs w:val="24"/>
      <w:lang w:eastAsia="en-US" w:bidi="en-US"/>
    </w:rPr>
  </w:style>
  <w:style w:type="paragraph" w:styleId="1052" w:customStyle="1">
    <w:name w:val="4"/>
    <w:basedOn w:val="705"/>
    <w:next w:val="1013"/>
    <w:uiPriority w:val="0"/>
    <w:qFormat/>
    <w:pPr>
      <w:ind w:firstLine="420"/>
      <w:spacing w:line="360" w:lineRule="auto"/>
    </w:pPr>
    <w:rPr>
      <w:color w:val="ff0000"/>
      <w:sz w:val="24"/>
      <w:szCs w:val="24"/>
    </w:rPr>
  </w:style>
  <w:style w:type="paragraph" w:styleId="1053"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1054" w:customStyle="1">
    <w:name w:val=" Char Char Char Char Char Char Char Char Char Char"/>
    <w:basedOn w:val="705"/>
    <w:uiPriority w:val="0"/>
    <w:qFormat/>
    <w:pPr>
      <w:spacing w:line="360" w:lineRule="auto"/>
    </w:pPr>
    <w:rPr>
      <w:sz w:val="24"/>
      <w:szCs w:val="20"/>
    </w:rPr>
  </w:style>
  <w:style w:type="paragraph" w:styleId="1055" w:customStyle="1">
    <w:name w:val="样式1"/>
    <w:basedOn w:val="705"/>
    <w:uiPriority w:val="0"/>
    <w:qFormat/>
    <w:pPr>
      <w:numPr>
        <w:ilvl w:val="0"/>
        <w:numId w:val="3"/>
      </w:numPr>
    </w:pPr>
    <w:rPr>
      <w:rFonts w:ascii="宋体" w:hAnsi="宋体"/>
    </w:rPr>
  </w:style>
  <w:style w:type="paragraph" w:styleId="1056"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1057"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1060" w:customStyle="1">
    <w:name w:val="xl24"/>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9"/>
    <w:basedOn w:val="7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1063"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customStyle="1">
    <w:name w:val=" 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1065"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1066" w:customStyle="1">
    <w:name w:val="Char Char Char Char"/>
    <w:basedOn w:val="983"/>
    <w:uiPriority w:val="0"/>
    <w:qFormat/>
    <w:pPr>
      <w:spacing w:line="360" w:lineRule="auto"/>
    </w:pPr>
    <w:rPr>
      <w:rFonts w:ascii="Tahoma" w:hAnsi="Tahoma"/>
      <w:sz w:val="24"/>
      <w:szCs w:val="24"/>
    </w:rPr>
  </w:style>
  <w:style w:type="paragraph" w:styleId="1067" w:customStyle="1">
    <w:name w:val="table_1stline"/>
    <w:basedOn w:val="705"/>
    <w:uiPriority w:val="0"/>
    <w:qFormat/>
    <w:pPr>
      <w:jc w:val="left"/>
      <w:spacing w:before="120"/>
      <w:widowControl/>
    </w:pPr>
    <w:rPr>
      <w:bCs/>
      <w:sz w:val="20"/>
      <w:szCs w:val="20"/>
      <w:lang w:val="de-DE" w:eastAsia="de-DE"/>
    </w:rPr>
  </w:style>
  <w:style w:type="paragraph" w:styleId="1068"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1069"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正文文本 211"/>
    <w:basedOn w:val="705"/>
    <w:uiPriority w:val="99"/>
    <w:qFormat/>
    <w:pPr>
      <w:jc w:val="center"/>
    </w:pPr>
    <w:rPr>
      <w:b/>
      <w:bCs/>
      <w:sz w:val="20"/>
      <w:szCs w:val="20"/>
    </w:rPr>
  </w:style>
  <w:style w:type="table" w:styleId="1073" w:customStyle="1">
    <w:name w:val="Table Normal_0"/>
    <w:uiPriority w:val="0"/>
    <w:qFormat/>
    <w:rPr>
      <w:lang w:val="en-US" w:eastAsia="zh-CN" w:bidi="ar-SA"/>
    </w:rPr>
    <w:tblPr/>
  </w:style>
  <w:style w:type="character" w:styleId="1074" w:customStyle="1">
    <w:name w:val="font71"/>
    <w:basedOn w:val="979"/>
    <w:link w:val="705"/>
    <w:uiPriority w:val="0"/>
    <w:qFormat/>
    <w:rPr>
      <w:rFonts w:hint="eastAsia" w:ascii="仿宋" w:hAnsi="仿宋" w:eastAsia="仿宋" w:cs="仿宋"/>
      <w:color w:val="000000"/>
      <w:sz w:val="24"/>
      <w:szCs w:val="24"/>
      <w:u w:val="single"/>
    </w:rPr>
  </w:style>
  <w:style w:type="character" w:styleId="1075" w:customStyle="1">
    <w:name w:val="font41"/>
    <w:basedOn w:val="979"/>
    <w:link w:val="705"/>
    <w:uiPriority w:val="0"/>
    <w:qFormat/>
    <w:rPr>
      <w:rFonts w:hint="eastAsia" w:ascii="仿宋" w:hAnsi="仿宋" w:eastAsia="仿宋" w:cs="仿宋"/>
      <w:color w:val="000000"/>
      <w:sz w:val="24"/>
      <w:szCs w:val="24"/>
      <w:u w:val="none"/>
    </w:rPr>
  </w:style>
  <w:style w:type="character" w:styleId="1076" w:customStyle="1">
    <w:name w:val="font81"/>
    <w:basedOn w:val="979"/>
    <w:link w:val="705"/>
    <w:uiPriority w:val="0"/>
    <w:qFormat/>
    <w:rPr>
      <w:rFonts w:hint="eastAsia" w:ascii="宋体" w:hAnsi="宋体" w:eastAsia="宋体" w:cs="宋体"/>
      <w:color w:val="000000"/>
      <w:sz w:val="24"/>
      <w:szCs w:val="24"/>
      <w:u w:val="single"/>
    </w:rPr>
  </w:style>
  <w:style w:type="paragraph" w:styleId="1077" w:customStyle="1">
    <w:name w:val="Table Paragraph"/>
    <w:basedOn w:val="705"/>
    <w:uiPriority w:val="1"/>
    <w:qFormat/>
    <w:pPr>
      <w:jc w:val="left"/>
    </w:pPr>
    <w:rPr>
      <w:rFonts w:ascii="宋体" w:hAnsi="宋体" w:eastAsia="宋体" w:cs="宋体"/>
      <w:sz w:val="22"/>
      <w:szCs w:val="22"/>
      <w:lang w:val="zh-CN" w:bidi="zh-CN"/>
    </w:rPr>
  </w:style>
  <w:style w:type="table" w:styleId="1078" w:customStyle="1">
    <w:name w:val="网格型1"/>
    <w:basedOn w:val="1079"/>
    <w:uiPriority w:val="0"/>
    <w:qFormat/>
    <w:pPr>
      <w:jc w:val="both"/>
      <w:widowControl w:val="off"/>
    </w:pPr>
    <w:tblPr/>
  </w:style>
  <w:style w:type="table" w:styleId="1079" w:customStyle="1">
    <w:name w:val="普通表格1"/>
    <w:uiPriority w:val="0"/>
    <w:semiHidden/>
    <w:qFormat/>
    <w:rPr>
      <w:lang w:val="en-US" w:eastAsia="zh-CN" w:bidi="ar-SA"/>
    </w:rPr>
    <w:tblPr/>
  </w:style>
  <w:style w:type="paragraph" w:styleId="1080" w:customStyle="1">
    <w:name w:val="标题 31"/>
    <w:basedOn w:val="705"/>
    <w:next w:val="705"/>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81" w:customStyle="1">
    <w:name w:val="正文缩进1"/>
    <w:basedOn w:val="705"/>
    <w:uiPriority w:val="0"/>
    <w:qFormat/>
    <w:pPr>
      <w:ind w:firstLine="420"/>
      <w:spacing w:line="360" w:lineRule="auto"/>
    </w:pPr>
    <w:rPr>
      <w:sz w:val="24"/>
    </w:rPr>
  </w:style>
  <w:style w:type="table" w:styleId="1082" w:customStyle="1">
    <w:name w:val="Table Normal"/>
    <w:uiPriority w:val="0"/>
    <w:qFormat/>
    <w:rPr>
      <w:lang w:val="en-US" w:eastAsia="zh-CN" w:bidi="ar-SA"/>
    </w:rPr>
    <w:tblPr/>
  </w:style>
  <w:style w:type="paragraph" w:styleId="1083" w:customStyle="1">
    <w:name w:val="Table Text"/>
    <w:basedOn w:val="705"/>
    <w:uiPriority w:val="0"/>
    <w:semiHidden/>
    <w:qFormat/>
    <w:rPr>
      <w:rFonts w:ascii="宋体" w:hAnsi="宋体" w:cs="宋体"/>
      <w:szCs w:val="21"/>
      <w:lang w:eastAsia="en-US"/>
    </w:rPr>
  </w:style>
  <w:style w:type="paragraph" w:styleId="1084" w:customStyle="1">
    <w:name w:val="WPSOffice手动目录 1"/>
    <w:uiPriority w:val="0"/>
    <w:qFormat/>
    <w:rPr>
      <w:rFonts w:ascii="Times New Roman" w:hAnsi="Times New Roman" w:eastAsia="宋体" w:cs="Times New Roman"/>
      <w:sz w:val="20"/>
      <w:szCs w:val="20"/>
    </w:rPr>
  </w:style>
  <w:style w:type="character" w:styleId="1085" w:customStyle="1">
    <w:name w:val="font51"/>
    <w:basedOn w:val="715"/>
    <w:uiPriority w:val="0"/>
    <w:qFormat/>
    <w:rPr>
      <w:rFonts w:hint="default" w:ascii="仿宋_GB2312" w:eastAsia="仿宋_GB2312" w:cs="仿宋_GB2312"/>
      <w:color w:val="000000"/>
      <w:sz w:val="20"/>
      <w:szCs w:val="20"/>
      <w:u w:val="none"/>
    </w:rPr>
  </w:style>
  <w:style w:type="character" w:styleId="1086" w:customStyle="1">
    <w:name w:val="font61"/>
    <w:basedOn w:val="715"/>
    <w:uiPriority w:val="0"/>
    <w:qFormat/>
    <w:rPr>
      <w:rFonts w:hint="eastAsia" w:ascii="宋体" w:hAnsi="宋体" w:eastAsia="宋体" w:cs="宋体"/>
      <w:color w:val="000000"/>
      <w:sz w:val="20"/>
      <w:szCs w:val="20"/>
      <w:u w:val="none"/>
    </w:rPr>
  </w:style>
  <w:style w:type="numbering" w:styleId="9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何仁杰</cp:lastModifiedBy>
  <cp:revision>2</cp:revision>
  <dcterms:created xsi:type="dcterms:W3CDTF">2024-07-11T10:24:00Z</dcterms:created>
  <dcterms:modified xsi:type="dcterms:W3CDTF">2026-06-26T08:00:51Z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EFF0A1B5AD15427CA6ED124CFA1F9313_13</vt:lpwstr>
  </property>
  <property fmtid="{D5CDD505-2E9C-101B-9397-08002B2CF9AE}" pid="4" name="KSOTemplateDocerSaveRecord">
    <vt:lpwstr>eyJoZGlkIjoiMjhhN2IyODM2MmExNTk1MWU2YWI5OTg1ZmY3YmFmMzAiLCJ1c2VySWQiOiIyMTQwMDE2MTMifQ==</vt:lpwstr>
  </property>
</Properties>
</file>