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rPr>
          <w:highlight w:val="none"/>
        </w:rPr>
      </w:r>
      <w:r/>
    </w:p>
    <w:p>
      <w:pPr>
        <w:jc w:val="cente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项目名称：2026年度采购项目第二批-设备：液相色谱-质谱-质谱联用仪</w:t>
      </w:r>
      <w:r>
        <w:rPr>
          <w:highlight w:val="none"/>
        </w:rPr>
      </w:r>
      <w:r/>
    </w:p>
    <w:p>
      <w:pPr>
        <w:spacing w:line="480" w:lineRule="auto"/>
        <w:rPr>
          <w:rFonts w:ascii="黑体" w:hAnsi="Arial"/>
          <w:b/>
          <w:color w:val="000000"/>
          <w:sz w:val="44"/>
          <w:szCs w:val="21"/>
          <w:highlight w:val="none"/>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项目编号：JSZC-320700-XHZX-G2026-0012</w:t>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rPr>
          <w:highlight w:val="none"/>
        </w:rPr>
      </w:r>
      <w:r/>
    </w:p>
    <w:p>
      <w:pPr>
        <w:pStyle w:val="742"/>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rPr>
          <w:highlight w:val="none"/>
        </w:rPr>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2026年7月</w:t>
      </w:r>
      <w:r>
        <w:rPr>
          <w:highlight w:val="none"/>
        </w:rPr>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rPr>
          <w:highlight w:val="none"/>
        </w:rPr>
      </w:r>
      <w:r/>
    </w:p>
    <w:p>
      <w:pPr>
        <w:pStyle w:val="955"/>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4</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21</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36</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50</w:t>
      </w:r>
      <w:r>
        <w:rPr>
          <w:sz w:val="36"/>
          <w:szCs w:val="36"/>
          <w:highlight w:val="none"/>
        </w:rPr>
        <w:fldChar w:fldCharType="end"/>
      </w:r>
      <w:r>
        <w:rPr>
          <w:highlight w:val="none"/>
        </w:rPr>
      </w:r>
      <w:r/>
    </w:p>
    <w:p>
      <w:pPr>
        <w:pStyle w:val="955"/>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55</w:t>
      </w:r>
      <w:r>
        <w:rPr>
          <w:sz w:val="36"/>
          <w:szCs w:val="36"/>
          <w:highlight w:val="none"/>
        </w:rPr>
        <w:fldChar w:fldCharType="end"/>
      </w:r>
      <w:r>
        <w:rPr>
          <w:highlight w:val="none"/>
        </w:rPr>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0" w:name="_Toc165205794"/>
      <w:r>
        <w:rPr>
          <w:rFonts w:hint="eastAsia" w:ascii="黑体" w:hAnsi="黑体" w:eastAsia="黑体"/>
          <w:b w:val="0"/>
          <w:highlight w:val="none"/>
        </w:rPr>
        <w:t xml:space="preserve">第一章  投标邀请</w:t>
      </w:r>
      <w:bookmarkEnd w:id="0"/>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受连云港市疾病预防控制中心的委托，江苏协鸿工程咨询有限公司就2026年度采购项目第二批-设备：液相色谱-质谱-质谱联用仪（JSZC-320700-XHZX-G2026-0012）进行公开招标采购，欢迎符合条件的供应商投标。</w:t>
      </w:r>
      <w:r>
        <w:rPr>
          <w:highlight w:val="none"/>
        </w:rPr>
      </w:r>
      <w:r/>
    </w:p>
    <w:tbl>
      <w:tblPr>
        <w:tblStyle w:val="732"/>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rPr>
                <w:highlight w:val="none"/>
              </w:rPr>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rPr>
              <w:t xml:space="preserve">2026年度采购项目第二批-设备：液相色谱-质谱-质谱联用仪</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自行免费下载招标文件，并于2026年7月31日9:00:00（北京时间）前递交（上传）投标文件。</w:t>
            </w:r>
            <w:r>
              <w:rPr>
                <w:highlight w:val="none"/>
              </w:rPr>
            </w:r>
            <w:r/>
          </w:p>
        </w:tc>
      </w:tr>
    </w:tbl>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项目编号：JSZC-320700-XHZX-G2026-0012</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项目名称：2026年度采购项目第二批-设备：液相色谱-质谱-质谱联用仪</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预算金额：350万元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最高限价：350万元，</w:t>
      </w:r>
      <w:r>
        <w:rPr>
          <w:rFonts w:hint="eastAsia" w:ascii="宋体" w:hAnsi="宋体"/>
          <w:color w:val="000000"/>
          <w:sz w:val="24"/>
          <w:highlight w:val="none"/>
        </w:rPr>
        <w:t xml:space="preserve">投标报价超过最高限价的投标无效。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采购需求：2026年度采购项目第二批-设备：液相色谱-质谱-质谱联用仪1台，具体详见第四章项目需求。</w:t>
      </w:r>
      <w:r>
        <w:rPr>
          <w:highlight w:val="none"/>
        </w:rPr>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highlight w:val="none"/>
        </w:rPr>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rPr>
          <w:highlight w:val="none"/>
        </w:rPr>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时间：自招标公告发布之日起至2026年7月2日</w:t>
      </w:r>
      <w:r>
        <w:rPr>
          <w:rFonts w:hint="eastAsia"/>
          <w:sz w:val="24"/>
          <w:szCs w:val="24"/>
          <w:highlight w:val="none"/>
        </w:rPr>
        <w:t xml:space="preserve">（北京时间）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提交投标文件截止时间：2026年7月31日9:00:00（北京时间）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rPr>
          <w:highlight w:val="none"/>
        </w:rPr>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rPr>
          <w:highlight w:val="none"/>
        </w:rPr>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 w:name="_Toc165205795"/>
      <w:r>
        <w:rPr>
          <w:rFonts w:hint="eastAsia" w:ascii="黑体" w:hAnsi="黑体" w:eastAsia="黑体"/>
          <w:b w:val="0"/>
          <w:highlight w:val="none"/>
        </w:rPr>
        <w:t xml:space="preserve">第二章  供应商须知</w:t>
      </w:r>
      <w:bookmarkEnd w:id="1"/>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rPr>
          <w:highlight w:val="none"/>
        </w:rPr>
      </w:r>
      <w:r/>
    </w:p>
    <w:p>
      <w:pPr>
        <w:pStyle w:val="930"/>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rPr>
          <w:highlight w:val="none"/>
        </w:rPr>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（1）评审过程中出现下列情形之一的，评标委员会应当启动异常低价投标（响应）审查程序：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rPr>
          <w:highlight w:val="none"/>
        </w:rPr>
      </w: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highlight w:val="none"/>
        </w:rPr>
      </w: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r/>
    </w:p>
    <w:p>
      <w:pPr>
        <w:pStyle w:val="930"/>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rPr>
          <w:highlight w:val="none"/>
        </w:rPr>
      </w:r>
      <w:r/>
    </w:p>
    <w:p>
      <w:pPr>
        <w:pStyle w:val="929"/>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rPr>
          <w:highlight w:val="none"/>
        </w:rPr>
      </w:r>
      <w:r/>
    </w:p>
    <w:p>
      <w:pPr>
        <w:pStyle w:val="930"/>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rPr>
          <w:highlight w:val="none"/>
        </w:rPr>
      </w:r>
      <w:r/>
    </w:p>
    <w:p>
      <w:pPr>
        <w:pStyle w:val="930"/>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2" w:name="_Toc165205796"/>
      <w:r>
        <w:rPr>
          <w:rFonts w:hint="eastAsia" w:ascii="黑体" w:hAnsi="黑体" w:eastAsia="黑体"/>
          <w:b w:val="0"/>
          <w:highlight w:val="none"/>
        </w:rPr>
        <w:t xml:space="preserve">第三章  合同文本</w:t>
      </w:r>
      <w:bookmarkEnd w:id="2"/>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highlight w:val="none"/>
        </w:rPr>
      </w:r>
      <w:bookmarkStart w:id="3" w:name="_Toc3995"/>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rPr>
          <w:highlight w:val="none"/>
        </w:rPr>
      </w:r>
      <w:r/>
    </w:p>
    <w:p>
      <w:pPr>
        <w:pStyle w:val="941"/>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rPr>
          <w:highlight w:val="none"/>
        </w:rPr>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rPr>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rPr>
          <w:highlight w:val="none"/>
        </w:rPr>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rPr>
          <w:highlight w:val="none"/>
        </w:rPr>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Pr>
          <w:highlight w:val="none"/>
        </w:rPr>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highlight w:val="none"/>
        </w:rPr>
      </w:r>
      <w:bookmarkStart w:id="4" w:name="_Toc22209"/>
      <w:r>
        <w:rPr>
          <w:rFonts w:ascii="黑体" w:hAnsi="黑体" w:eastAsia="黑体"/>
          <w:b/>
          <w:bCs/>
          <w:sz w:val="28"/>
          <w:szCs w:val="28"/>
          <w:highlight w:val="none"/>
        </w:rPr>
        <w:br w:type="page" w:clear="all"/>
      </w:r>
      <w:r>
        <w:rPr>
          <w:highlight w:val="none"/>
        </w:rPr>
      </w:r>
      <w:r/>
    </w:p>
    <w:p>
      <w:pPr>
        <w:pStyle w:val="929"/>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rPr>
          <w:highlight w:val="none"/>
        </w:rPr>
      </w:r>
      <w:r/>
    </w:p>
    <w:p>
      <w:pPr>
        <w:pStyle w:val="73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rPr>
          <w:highlight w:val="none"/>
        </w:rPr>
      </w:r>
      <w:r/>
    </w:p>
    <w:p>
      <w:pPr>
        <w:pStyle w:val="738"/>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rPr>
          <w:highlight w:val="none"/>
        </w:rPr>
      </w:r>
      <w:r/>
    </w:p>
    <w:p>
      <w:pPr>
        <w:pStyle w:val="738"/>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rPr>
          <w:highlight w:val="none"/>
        </w:rPr>
      </w:r>
      <w:r/>
    </w:p>
    <w:p>
      <w:pPr>
        <w:pStyle w:val="738"/>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highlight w:val="none"/>
        </w:rPr>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rPr>
          <w:highlight w:val="none"/>
        </w:rPr>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highlight w:val="none"/>
        </w:rPr>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r/>
    </w:p>
    <w:p>
      <w:pPr>
        <w:pStyle w:val="960"/>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960"/>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rPr>
          <w:highlight w:val="none"/>
        </w:rPr>
      </w:r>
      <w:r/>
    </w:p>
    <w:p>
      <w:pPr>
        <w:pStyle w:val="960"/>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rPr>
          <w:highlight w:val="none"/>
        </w:rPr>
      </w:r>
      <w:r/>
    </w:p>
    <w:p>
      <w:pPr>
        <w:pStyle w:val="960"/>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rPr>
          <w:highlight w:val="none"/>
        </w:rPr>
      </w:r>
      <w:r/>
    </w:p>
    <w:p>
      <w:pPr>
        <w:pStyle w:val="960"/>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960"/>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960"/>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rPr>
          <w:highlight w:val="none"/>
        </w:rPr>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rPr>
          <w:highlight w:val="none"/>
        </w:rPr>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highlight w:val="none"/>
        </w:rPr>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highlight w:val="none"/>
        </w:rPr>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highlight w:val="none"/>
        </w:rPr>
      </w:r>
      <w:r/>
    </w:p>
    <w:p>
      <w:pPr>
        <w:pStyle w:val="960"/>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highlight w:val="none"/>
        </w:rPr>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highlight w:val="none"/>
        </w:rPr>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highlight w:val="none"/>
        </w:rPr>
      </w:r>
      <w:r/>
    </w:p>
    <w:p>
      <w:pPr>
        <w:pStyle w:val="960"/>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r/>
    </w:p>
    <w:p>
      <w:pPr>
        <w:pStyle w:val="960"/>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highlight w:val="none"/>
        </w:rPr>
      </w:r>
      <w:r/>
    </w:p>
    <w:p>
      <w:pPr>
        <w:pStyle w:val="960"/>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rPr>
          <w:highlight w:val="none"/>
        </w:rPr>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rPr>
          <w:highlight w:val="none"/>
        </w:rPr>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highlight w:val="none"/>
        </w:rPr>
      </w:r>
      <w:r/>
    </w:p>
    <w:p>
      <w:pPr>
        <w:pStyle w:val="961"/>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highlight w:val="none"/>
        </w:rPr>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highlight w:val="none"/>
        </w:rPr>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highlight w:val="none"/>
        </w:rPr>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highlight w:val="none"/>
        </w:rPr>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highlight w:val="none"/>
        </w:rPr>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rPr>
          <w:highlight w:val="none"/>
        </w:rPr>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highlight w:val="none"/>
        </w:rPr>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highlight w:val="none"/>
        </w:rPr>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highlight w:val="none"/>
        </w:rPr>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rPr>
          <w:highlight w:val="none"/>
        </w:rPr>
      </w:r>
      <w:r/>
    </w:p>
    <w:p>
      <w:pPr>
        <w:pStyle w:val="96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highlight w:val="none"/>
        </w:rPr>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highlight w:val="none"/>
        </w:rPr>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highlight w:val="none"/>
        </w:rPr>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rPr>
          <w:highlight w:val="none"/>
        </w:rPr>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rPr>
          <w:highlight w:val="none"/>
        </w:rPr>
      </w:r>
      <w:r/>
    </w:p>
    <w:p>
      <w:pPr>
        <w:pStyle w:val="961"/>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tbl>
      <w:tblPr>
        <w:tblStyle w:val="73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rPr>
                <w:highlight w:val="none"/>
              </w:rPr>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rPr>
                <w:highlight w:val="none"/>
              </w:rPr>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highlight w:val="none"/>
              </w:rPr>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rPr>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rPr>
                <w:highlight w:val="none"/>
              </w:rPr>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rPr>
                <w:highlight w:val="none"/>
              </w:rPr>
            </w:r>
            <w:r/>
          </w:p>
        </w:tc>
      </w:tr>
      <w:tr>
        <w:trPr>
          <w:jc w:val="center"/>
          <w:trHeight w:val="586"/>
        </w:trPr>
        <w:tc>
          <w:tcPr>
            <w:gridSpan w:val="4"/>
            <w:tcW w:w="8398" w:type="dxa"/>
            <w:vAlign w:val="center"/>
            <w:textDirection w:val="lrTb"/>
            <w:noWrap w:val="false"/>
          </w:tcPr>
          <w:p>
            <w:pPr>
              <w:pStyle w:val="943"/>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rPr>
                <w:highlight w:val="none"/>
              </w:rPr>
            </w:r>
            <w:r/>
          </w:p>
        </w:tc>
      </w:tr>
    </w:tbl>
    <w:p>
      <w:pPr>
        <w:pStyle w:val="929"/>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Pr>
          <w:highlight w:val="none"/>
        </w:rPr>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highlight w:val="none"/>
        </w:rPr>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rPr>
          <w:highlight w:val="none"/>
        </w:rPr>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rPr>
          <w:highlight w:val="none"/>
        </w:rPr>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rPr>
          <w:highlight w:val="none"/>
        </w:rPr>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highlight w:val="none"/>
        </w:rPr>
      </w:r>
      <w:r/>
    </w:p>
    <w:p>
      <w:pPr>
        <w:pStyle w:val="941"/>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rPr>
          <w:highlight w:val="none"/>
        </w:rPr>
      </w:r>
      <w:r/>
    </w:p>
    <w:p>
      <w:pPr>
        <w:pStyle w:val="941"/>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highlight w:val="none"/>
        </w:rPr>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highlight w:val="none"/>
        </w:rPr>
      </w:r>
      <w:r/>
    </w:p>
    <w:p>
      <w:pPr>
        <w:pStyle w:val="960"/>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highlight w:val="none"/>
        </w:rPr>
      </w:r>
      <w:r/>
    </w:p>
    <w:p>
      <w:pPr>
        <w:pStyle w:val="945"/>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945"/>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rPr>
          <w:highlight w:val="none"/>
        </w:rPr>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rPr>
          <w:highlight w:val="none"/>
        </w:rPr>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pStyle w:val="941"/>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960"/>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highlight w:val="none"/>
        </w:rPr>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960"/>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rPr>
          <w:highlight w:val="none"/>
        </w:rPr>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highlight w:val="none"/>
        </w:rPr>
      </w:r>
      <w:r/>
    </w:p>
    <w:p>
      <w:pPr>
        <w:pStyle w:val="960"/>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r/>
    </w:p>
    <w:p>
      <w:pPr>
        <w:pStyle w:val="960"/>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highlight w:val="none"/>
        </w:rPr>
      </w:r>
      <w:r/>
    </w:p>
    <w:p>
      <w:pPr>
        <w:pStyle w:val="941"/>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960"/>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rPr>
          <w:highlight w:val="none"/>
        </w:rPr>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rPr>
          <w:highlight w:val="none"/>
        </w:rPr>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rPr>
          <w:highlight w:val="none"/>
        </w:rPr>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highlight w:val="none"/>
        </w:rPr>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Pr>
          <w:highlight w:val="none"/>
        </w:rPr>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rPr>
          <w:highlight w:val="none"/>
        </w:rPr>
      </w:r>
      <w:r/>
    </w:p>
    <w:p>
      <w:pPr>
        <w:pStyle w:val="929"/>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Pr>
          <w:highlight w:val="none"/>
        </w:rPr>
      </w:r>
      <w:r/>
    </w:p>
    <w:tbl>
      <w:tblPr>
        <w:tblStyle w:val="73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rPr>
                <w:highlight w:val="none"/>
              </w:rPr>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rPr>
                <w:highlight w:val="none"/>
              </w:rPr>
            </w:r>
            <w:r/>
          </w:p>
        </w:tc>
        <w:tc>
          <w:tcPr>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rPr>
                <w:highlight w:val="none"/>
              </w:rPr>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rPr>
                <w:highlight w:val="none"/>
              </w:rPr>
            </w:r>
            <w:r/>
          </w:p>
          <w:p>
            <w:pPr>
              <w:pStyle w:val="960"/>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rPr>
                <w:highlight w:val="none"/>
              </w:rPr>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履约保证金不予退还的情形</w:t>
            </w:r>
            <w:r>
              <w:rPr>
                <w:highlight w:val="none"/>
              </w:rPr>
            </w:r>
            <w:r/>
          </w:p>
        </w:tc>
        <w:tc>
          <w:tcPr>
            <w:tcW w:w="5170" w:type="dxa"/>
            <w:vAlign w:val="center"/>
            <w:textDirection w:val="lrTb"/>
            <w:noWrap w:val="false"/>
          </w:tcPr>
          <w:p>
            <w:pPr>
              <w:numPr>
                <w:ilvl w:val="0"/>
                <w:numId w:val="9"/>
              </w:num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所供货物不符合合同约定的质量标准、品牌、规格或等级的。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未按合同约定的时间供货的。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乙方无正当理由拒绝签订合同，或在签订时提出附加条件的。</w:t>
            </w:r>
            <w:r>
              <w:rPr>
                <w:highlight w:val="none"/>
              </w:rPr>
            </w:r>
            <w:r/>
          </w:p>
          <w:p>
            <w:pPr>
              <w:numPr>
                <w:ilvl w:val="0"/>
                <w:numId w:val="9"/>
              </w:numPr>
              <w:jc w:val="left"/>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乙方将政府采购合同转包或违法分包的</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履约保证金退还时间及逾期退还的违约金</w:t>
            </w:r>
            <w:r>
              <w:rPr>
                <w:highlight w:val="none"/>
              </w:rPr>
            </w:r>
            <w:r/>
          </w:p>
        </w:tc>
        <w:tc>
          <w:tcPr>
            <w:tcW w:w="5170" w:type="dxa"/>
            <w:vAlign w:val="center"/>
            <w:textDirection w:val="lrTb"/>
            <w:noWrap w:val="false"/>
          </w:tcPr>
          <w:p>
            <w:pPr>
              <w:rPr>
                <w:rFonts w:ascii="Times New Roman" w:hAnsi="Times New Roman"/>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1、乙方违约的，甲方将根据违约责任条款扣除其全部或部分履约保证金。如乙方违约给甲方造成的损失超过履约保证金的，应当依法赔偿超过部分的损失。</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szCs w:val="21"/>
                <w:highlight w:val="none"/>
              </w:rPr>
              <w:t xml:space="preserve">2、逾期退还履约保证金的甲方承担违约责任，按照中国人民银行同期贷款基准利率支付超期资金占用费。</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rPr>
                <w:highlight w:val="none"/>
              </w:rPr>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rPr>
                <w:highlight w:val="none"/>
              </w:rPr>
            </w:r>
            <w:r/>
          </w:p>
        </w:tc>
        <w:tc>
          <w:tcPr>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rPr>
                <w:highlight w:val="none"/>
              </w:rPr>
            </w:r>
            <w:r/>
          </w:p>
        </w:tc>
        <w:tc>
          <w:tcPr>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rPr>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rPr>
                <w:highlight w:val="none"/>
              </w:rPr>
            </w: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rPr>
                <w:highlight w:val="none"/>
              </w:rPr>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其他违约责任</w:t>
            </w:r>
            <w:r>
              <w:rPr>
                <w:highlight w:val="none"/>
              </w:rPr>
            </w:r>
            <w:r/>
          </w:p>
        </w:tc>
        <w:tc>
          <w:tcPr>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如乙方无法提供制造商质保承诺或协议的，甲方有权单方面解除合同、扣除履约保证金、将乙方清退出场，同时报政府采购监督管理部门</w:t>
            </w:r>
            <w:r>
              <w:rPr>
                <w:highlight w:val="none"/>
              </w:rPr>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rPr>
                <w:highlight w:val="none"/>
              </w:rPr>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rPr>
                <w:highlight w:val="none"/>
              </w:rPr>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rPr>
                <w:highlight w:val="none"/>
              </w:rPr>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rPr>
                <w:highlight w:val="none"/>
              </w:rPr>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rPr>
                <w:highlight w:val="none"/>
              </w:rPr>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rPr>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rPr>
                <w:highlight w:val="none"/>
              </w:rPr>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rPr>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8" w:name="_Toc165205797"/>
      <w:r>
        <w:rPr>
          <w:rFonts w:hint="eastAsia" w:ascii="黑体" w:hAnsi="黑体" w:eastAsia="黑体"/>
          <w:b w:val="0"/>
          <w:highlight w:val="none"/>
        </w:rPr>
        <w:t xml:space="preserve">第四章  采购需求</w:t>
      </w:r>
      <w:bookmarkEnd w:id="8"/>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rPr>
          <w:highlight w:val="none"/>
        </w:rPr>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rPr>
          <w:highlight w:val="none"/>
        </w:rPr>
      </w:r>
      <w:r/>
    </w:p>
    <w:tbl>
      <w:tblPr>
        <w:tblStyle w:val="75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rPr>
                <w:highlight w:val="none"/>
              </w:rPr>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rPr>
                <w:highlight w:val="none"/>
              </w:rPr>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rPr>
                <w:highlight w:val="none"/>
              </w:rPr>
            </w:r>
            <w:r/>
          </w:p>
        </w:tc>
      </w:tr>
      <w:tr>
        <w:trPr>
          <w:jc w:val="center"/>
        </w:trPr>
        <w:tc>
          <w:tcPr>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rPr>
                <w:highlight w:val="none"/>
              </w:rPr>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highlight w:val="none"/>
              </w:rPr>
            </w: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MRM灵敏度：ESI+：实际柱上进样1pg利血平，流速0.8mL/min，m/z </w:t>
            </w:r>
            <w:r>
              <w:rPr>
                <w:rFonts w:ascii="宋体" w:hAnsi="宋体" w:cs="宋体"/>
                <w:b/>
                <w:bCs/>
                <w:i/>
                <w:iCs/>
                <w:color w:val="auto"/>
                <w:sz w:val="24"/>
                <w:szCs w:val="24"/>
                <w:highlight w:val="none"/>
                <w:u w:val="single"/>
              </w:rPr>
              <w:t xml:space="preserve">609.3&gt;195.1</w:t>
            </w:r>
            <w:r>
              <w:rPr>
                <w:rFonts w:hint="eastAsia" w:ascii="宋体" w:hAnsi="宋体" w:cs="宋体"/>
                <w:b/>
                <w:bCs/>
                <w:i/>
                <w:iCs/>
                <w:color w:val="auto"/>
                <w:sz w:val="24"/>
                <w:szCs w:val="24"/>
                <w:highlight w:val="none"/>
                <w:u w:val="single"/>
              </w:rPr>
              <w:t xml:space="preserve">，数据无平滑，信噪比≥3,500,000:1，基线噪声采集区间不低于0.3min。重现性实验：1pg利血平分别连续进样10次，峰面积CV小于3%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w:t>
            </w:r>
            <w:r>
              <w:rPr>
                <w:highlight w:val="none"/>
              </w:rPr>
            </w:r>
            <w:r/>
          </w:p>
        </w:tc>
        <w:tc>
          <w:tcPr>
            <w:tcW w:w="7689" w:type="dxa"/>
            <w:textDirection w:val="lrTb"/>
            <w:noWrap w:val="false"/>
          </w:tcPr>
          <w:p>
            <w:pPr>
              <w:jc w:val="left"/>
              <w:spacing w:line="360" w:lineRule="auto"/>
              <w:rPr>
                <w:rFonts w:ascii="宋体" w:hAnsi="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MRM灵敏度：ESI-: 实际柱上进样1pg氯霉素，流速0.8mL/min，m/z </w:t>
            </w:r>
            <w:r>
              <w:rPr>
                <w:rFonts w:ascii="宋体" w:hAnsi="宋体" w:cs="宋体"/>
                <w:b/>
                <w:bCs/>
                <w:i/>
                <w:iCs/>
                <w:color w:val="auto"/>
                <w:sz w:val="24"/>
                <w:szCs w:val="24"/>
                <w:highlight w:val="none"/>
                <w:u w:val="single"/>
              </w:rPr>
              <w:t xml:space="preserve">321.0</w:t>
            </w:r>
            <w:r>
              <w:rPr>
                <w:rFonts w:hint="eastAsia" w:ascii="宋体" w:hAnsi="宋体" w:cs="宋体"/>
                <w:b/>
                <w:bCs/>
                <w:i/>
                <w:iCs/>
                <w:color w:val="auto"/>
                <w:sz w:val="24"/>
                <w:szCs w:val="24"/>
                <w:highlight w:val="none"/>
                <w:u w:val="single"/>
              </w:rPr>
              <w:t xml:space="preserve">&gt;1</w:t>
            </w:r>
            <w:r>
              <w:rPr>
                <w:rFonts w:ascii="宋体" w:hAnsi="宋体" w:cs="宋体"/>
                <w:b/>
                <w:bCs/>
                <w:i/>
                <w:iCs/>
                <w:color w:val="auto"/>
                <w:sz w:val="24"/>
                <w:szCs w:val="24"/>
                <w:highlight w:val="none"/>
                <w:u w:val="single"/>
              </w:rPr>
              <w:t xml:space="preserve">52.0</w:t>
            </w:r>
            <w:r>
              <w:rPr>
                <w:rFonts w:hint="eastAsia" w:ascii="宋体" w:hAnsi="宋体" w:cs="宋体"/>
                <w:b/>
                <w:bCs/>
                <w:i/>
                <w:iCs/>
                <w:color w:val="auto"/>
                <w:sz w:val="24"/>
                <w:szCs w:val="24"/>
                <w:highlight w:val="none"/>
                <w:u w:val="single"/>
              </w:rPr>
              <w:t xml:space="preserve">，数据无平滑，信噪比≥3,500,000:1，基线噪声采集区间不低于0.3min。重现性实验：1pg氯霉素分别连续进样10次，峰面积CV小于3% （</w:t>
            </w:r>
            <w:r>
              <w:rPr>
                <w:rFonts w:ascii="宋体" w:hAnsi="宋体" w:cs="宋体"/>
                <w:b/>
                <w:bCs/>
                <w:i/>
                <w:iCs/>
                <w:color w:val="auto"/>
                <w:sz w:val="24"/>
                <w:szCs w:val="24"/>
                <w:highlight w:val="none"/>
                <w:u w:val="single"/>
              </w:rPr>
              <w:t xml:space="preserve">提供完整的实验谱图及实验结果等证明文件</w:t>
            </w:r>
            <w:r>
              <w:rPr>
                <w:rFonts w:hint="eastAsia" w:ascii="宋体" w:hAnsi="宋体" w:cs="宋体"/>
                <w:b/>
                <w:bCs/>
                <w:i/>
                <w:iCs/>
                <w:color w:val="auto"/>
                <w:sz w:val="24"/>
                <w:szCs w:val="24"/>
                <w:highlight w:val="none"/>
                <w:u w:val="singl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w:t>
            </w:r>
            <w:r>
              <w:rPr>
                <w:highlight w:val="none"/>
              </w:rPr>
            </w:r>
            <w:r/>
          </w:p>
        </w:tc>
        <w:tc>
          <w:tcPr>
            <w:tcW w:w="7689" w:type="dxa"/>
            <w:textDirection w:val="lrTb"/>
            <w:noWrap w:val="false"/>
          </w:tcPr>
          <w:p>
            <w:pPr>
              <w:jc w:val="left"/>
              <w:spacing w:line="360" w:lineRule="auto"/>
              <w:rPr>
                <w:rFonts w:ascii="宋体" w:hAnsi="宋体" w:cs="宋体"/>
                <w:b/>
                <w:bCs/>
                <w:i/>
                <w:iCs/>
                <w:color w:val="000000"/>
                <w:sz w:val="24"/>
                <w:szCs w:val="24"/>
                <w:highlight w:val="none"/>
                <w:u w:val="single"/>
              </w:rPr>
            </w:pP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w:t>
            </w:r>
            <w:r>
              <w:rPr>
                <w:highlight w:val="none"/>
              </w:rPr>
            </w:r>
            <w:r/>
          </w:p>
        </w:tc>
        <w:tc>
          <w:tcPr>
            <w:tcW w:w="7689" w:type="dxa"/>
            <w:textDirection w:val="lrTb"/>
            <w:noWrap w:val="false"/>
          </w:tcPr>
          <w:p>
            <w:pPr>
              <w:pStyle w:val="961"/>
              <w:ind w:firstLine="0"/>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正版操作平台，与工作站配套，内存16GB及以上，1T硬盘以上，正版办公软件 1套（提供节能产品认证证书扫描件加盖供应商公章）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液晶显示设备≥25寸（提供节能产品认证证书扫描件加盖供应商公章）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输出设备一台，支持彩色自动双面输出，支持有线&amp;无线网络输出，A4纸输出速度（黑白或彩色）不低于27页/分钟。（提供节能产品认证证书扫描件加盖供应商公章）</w:t>
            </w:r>
            <w:r>
              <w:rPr>
                <w:highlight w:val="none"/>
              </w:rPr>
            </w:r>
            <w:r/>
          </w:p>
        </w:tc>
      </w:tr>
      <w:tr>
        <w:trPr>
          <w:jc w:val="center"/>
        </w:trPr>
        <w:tc>
          <w:tcPr>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w:t>
            </w:r>
            <w:r>
              <w:rPr>
                <w:highlight w:val="none"/>
              </w:rPr>
            </w:r>
            <w:r/>
          </w:p>
        </w:tc>
        <w:tc>
          <w:tcPr>
            <w:tcW w:w="7689" w:type="dxa"/>
            <w:textDirection w:val="lrTb"/>
            <w:noWrap w:val="false"/>
          </w:tcPr>
          <w:p>
            <w:pPr>
              <w:jc w:val="left"/>
              <w:spacing w:line="360" w:lineRule="auto"/>
              <w:rPr>
                <w:rFonts w:ascii="宋体" w:hAnsi="宋体" w:cs="宋体"/>
                <w:b/>
                <w:bCs/>
                <w:i/>
                <w:iCs/>
                <w:sz w:val="24"/>
                <w:szCs w:val="24"/>
                <w:highlight w:val="none"/>
                <w:u w:val="single"/>
              </w:rPr>
            </w:pP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highlight w:val="none"/>
              </w:rPr>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液相色谱-质谱-质谱联用仪 </w:t>
      </w:r>
      <w:r>
        <w:rPr>
          <w:rFonts w:hint="eastAsia"/>
          <w:sz w:val="24"/>
          <w:szCs w:val="24"/>
          <w:highlight w:val="none"/>
        </w:rPr>
        <w:t xml:space="preserve">。</w:t>
      </w:r>
      <w:r>
        <w:rPr>
          <w:highlight w:val="none"/>
        </w:rPr>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rPr>
          <w:highlight w:val="none"/>
        </w:rPr>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color w:val="000000"/>
          <w:sz w:val="24"/>
          <w:szCs w:val="24"/>
          <w:highlight w:val="none"/>
          <w:lang w:bidi="ar"/>
        </w:rPr>
        <w:t xml:space="preserve">液相色谱-质谱-质谱联用仪1台。</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rPr>
          <w:highlight w:val="none"/>
        </w:rPr>
      </w:r>
      <w:r/>
    </w:p>
    <w:tbl>
      <w:tblPr>
        <w:tblStyle w:val="732"/>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highlight w:val="none"/>
              </w:rPr>
            </w:r>
            <w:bookmarkStart w:id="9" w:name="_Toc139967216"/>
            <w:r>
              <w:rPr>
                <w:highlight w:val="none"/>
              </w:rPr>
            </w:r>
            <w:bookmarkStart w:id="10" w:name="_Toc139966432"/>
            <w:r>
              <w:rPr>
                <w:rFonts w:hint="eastAsia" w:ascii="宋体" w:hAnsi="宋体" w:cs="Helvetica"/>
                <w:sz w:val="24"/>
                <w:szCs w:val="32"/>
                <w:highlight w:val="none"/>
              </w:rPr>
              <w:t xml:space="preserve">序号</w:t>
            </w:r>
            <w:r>
              <w:rPr>
                <w:highlight w:val="none"/>
              </w:rPr>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rPr>
                <w:highlight w:val="none"/>
              </w:rPr>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rPr>
                <w:highlight w:val="none"/>
              </w:rPr>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rPr>
                <w:highlight w:val="none"/>
              </w:rPr>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356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r/>
          </w:p>
        </w:tc>
        <w:tc>
          <w:tcPr>
            <w:tcW w:w="1250"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rPr>
                <w:highlight w:val="none"/>
              </w:rPr>
            </w:r>
            <w:r/>
          </w:p>
        </w:tc>
        <w:tc>
          <w:tcPr>
            <w:tcW w:w="1657"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rPr>
                <w:highlight w:val="none"/>
              </w:rPr>
            </w:r>
            <w:r/>
          </w:p>
        </w:tc>
        <w:tc>
          <w:tcPr>
            <w:tcW w:w="2478" w:type="dxa"/>
            <w:vAlign w:val="center"/>
            <w:textDirection w:val="lrTb"/>
            <w:noWrap w:val="false"/>
          </w:tcPr>
          <w:p>
            <w:pPr>
              <w:jc w:val="center"/>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rPr>
                <w:highlight w:val="none"/>
              </w:rPr>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rPr>
          <w:highlight w:val="none"/>
        </w:rPr>
      </w:r>
      <w:r/>
    </w:p>
    <w:tbl>
      <w:tblPr>
        <w:tblStyle w:val="7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rPr>
                <w:highlight w:val="none"/>
              </w:rPr>
            </w:r>
            <w:r/>
          </w:p>
        </w:tc>
        <w:tc>
          <w:tcPr>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rPr>
                <w:highlight w:val="none"/>
              </w:rPr>
            </w:r>
            <w:r/>
          </w:p>
        </w:tc>
        <w:tc>
          <w:tcPr>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rPr>
                <w:highlight w:val="none"/>
              </w:rPr>
            </w:r>
            <w:r/>
          </w:p>
        </w:tc>
      </w:tr>
      <w:tr>
        <w:trPr>
          <w:jc w:val="center"/>
        </w:trPr>
        <w:tc>
          <w:tcPr>
            <w:tcW w:w="355" w:type="pct"/>
            <w:vAlign w:val="center"/>
            <w:textDirection w:val="lrTb"/>
            <w:noWrap w:val="false"/>
          </w:tcPr>
          <w:p>
            <w:pPr>
              <w:jc w:val="center"/>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rPr>
                <w:highlight w:val="none"/>
              </w:rPr>
            </w:r>
            <w:r/>
          </w:p>
        </w:tc>
        <w:tc>
          <w:tcPr>
            <w:tcW w:w="1096" w:type="pct"/>
            <w:vAlign w:val="center"/>
            <w:textDirection w:val="lrTb"/>
            <w:noWrap w:val="false"/>
          </w:tcPr>
          <w:p>
            <w:pPr>
              <w:jc w:val="center"/>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液相色谱-质谱-质谱联用仪</w:t>
            </w:r>
            <w:r>
              <w:rPr>
                <w:highlight w:val="none"/>
              </w:rPr>
            </w:r>
            <w:r/>
          </w:p>
        </w:tc>
        <w:tc>
          <w:tcPr>
            <w:tcW w:w="3548" w:type="pct"/>
            <w:vAlign w:val="center"/>
            <w:textDirection w:val="lrTb"/>
            <w:noWrap w:val="false"/>
          </w:tcPr>
          <w:p>
            <w:pPr>
              <w:ind w:firstLine="480"/>
              <w:jc w:val="left"/>
              <w:spacing w:line="360" w:lineRule="auto"/>
              <w:rPr>
                <w:rFonts w:ascii="宋体" w:hAnsi="宋体" w:cs="宋体"/>
                <w:bCs/>
                <w:sz w:val="24"/>
                <w:szCs w:val="24"/>
                <w:highlight w:val="none"/>
              </w:rPr>
            </w:pPr>
            <w:r>
              <w:rPr>
                <w:rFonts w:hint="eastAsia" w:ascii="宋体" w:hAnsi="宋体" w:cs="宋体"/>
                <w:color w:val="000000"/>
                <w:sz w:val="24"/>
                <w:szCs w:val="24"/>
                <w:highlight w:val="none"/>
              </w:rPr>
              <w:t xml:space="preserve">该系统由超高效色谱仪、串联四极杆质谱仪、真空系统、供气系统、仪器控制和数据管理系统五部分构成。</w:t>
            </w:r>
            <w:r>
              <w:rPr>
                <w:highlight w:val="none"/>
              </w:rPr>
            </w:r>
            <w:r/>
          </w:p>
          <w:p>
            <w:pPr>
              <w:ind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1、超高效液相色谱仪</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1.1色谱泵：一体式独立柱塞，数控直线驱动色谱泵技术，双压力传感器反馈回路，无需阻尼器；</w:t>
            </w:r>
            <w:r>
              <w:rPr>
                <w:highlight w:val="none"/>
              </w:rPr>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1.2 </w:t>
            </w:r>
            <w:r>
              <w:rPr>
                <w:rFonts w:hint="eastAsia" w:ascii="宋体" w:hAnsi="宋体" w:cs="宋体"/>
                <w:b/>
                <w:bCs/>
                <w:i/>
                <w:iCs/>
                <w:color w:val="000000"/>
                <w:sz w:val="24"/>
                <w:szCs w:val="24"/>
                <w:highlight w:val="none"/>
                <w:u w:val="single"/>
              </w:rPr>
              <w:t xml:space="preserve">二元梯度溶剂混合，具有高性能表面技术，完全惰性材料（</w:t>
            </w:r>
            <w:r>
              <w:rPr>
                <w:rFonts w:hint="eastAsia" w:ascii="宋体" w:hAnsi="宋体" w:cs="宋体"/>
                <w:b/>
                <w:bCs/>
                <w:i/>
                <w:iCs/>
                <w:color w:val="000000"/>
                <w:sz w:val="24"/>
                <w:szCs w:val="24"/>
                <w:highlight w:val="none"/>
                <w:u w:val="single"/>
                <w:lang w:eastAsia="zh-Hans"/>
              </w:rPr>
              <w:t xml:space="preserve">提供公开发行的证明材料，如官方彩页或官方规格参数文件等</w:t>
            </w:r>
            <w:r>
              <w:rPr>
                <w:rFonts w:hint="eastAsia" w:ascii="宋体" w:hAnsi="宋体" w:cs="宋体"/>
                <w:b/>
                <w:bCs/>
                <w:i/>
                <w:iCs/>
                <w:color w:val="000000"/>
                <w:sz w:val="24"/>
                <w:szCs w:val="24"/>
                <w:highlight w:val="none"/>
                <w:u w:val="single"/>
              </w:rPr>
              <w:t xml:space="preserve">）</w:t>
            </w:r>
            <w:r>
              <w:rPr>
                <w:rFonts w:hint="eastAsia" w:ascii="宋体" w:hAnsi="宋体" w:cs="宋体"/>
                <w:b/>
                <w:bCs/>
                <w:color w:val="000000"/>
                <w:sz w:val="24"/>
                <w:szCs w:val="24"/>
                <w:highlight w:val="none"/>
              </w:rPr>
              <w:t xml:space="preserve">；</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 集成式漏液管理：漏液传感器与安全漏液处理；</w:t>
            </w:r>
            <w:r>
              <w:rPr>
                <w:highlight w:val="none"/>
              </w:rPr>
            </w:r>
            <w:r/>
          </w:p>
          <w:p>
            <w:pPr>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1.4 pH范围：1-12.5；</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1.5流量：0.010-2.000mL/min，以0.001mL/min为增量；</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 流速准确度：≤±0.5%；</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 最大操作压力：≥15,000psi；</w:t>
            </w:r>
            <w:r>
              <w:rPr>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 梯度延迟体积：≤100μL，不随反压变化；</w:t>
            </w:r>
            <w:r>
              <w:rPr>
                <w:highlight w:val="none"/>
              </w:rPr>
            </w:r>
            <w:r/>
          </w:p>
          <w:p>
            <w:pPr>
              <w:ind w:firstLine="480"/>
              <w:spacing w:line="360" w:lineRule="auto"/>
              <w:rPr>
                <w:rStyle w:val="759"/>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1.9 梯度模式：预编≥11种梯度曲线</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Hans"/>
              </w:rPr>
              <w:t xml:space="preserve">提供公开发行的证明材料，如官方彩页或官方规格参数文件等</w:t>
            </w:r>
            <w:r>
              <w:rPr>
                <w:rFonts w:hint="eastAsia" w:ascii="宋体" w:hAnsi="宋体" w:cs="宋体"/>
                <w:b/>
                <w:bCs/>
                <w:color w:val="000000"/>
                <w:sz w:val="24"/>
                <w:szCs w:val="24"/>
                <w:highlight w:val="none"/>
              </w:rPr>
              <w:t xml:space="preserve">）；</w:t>
            </w:r>
            <w:r>
              <w:rPr>
                <w:highlight w:val="none"/>
              </w:rPr>
            </w:r>
            <w:r/>
          </w:p>
          <w:p>
            <w:pPr>
              <w:ind w:firstLine="480"/>
              <w:spacing w:line="360" w:lineRule="auto"/>
              <w:rPr>
                <w:rFonts w:ascii="宋体" w:hAnsi="宋体" w:cs="宋体"/>
                <w:color w:val="000000"/>
                <w:sz w:val="24"/>
                <w:szCs w:val="24"/>
                <w:highlight w:val="none"/>
              </w:rPr>
            </w:pPr>
            <w:r>
              <w:rPr>
                <w:rStyle w:val="759"/>
                <w:rFonts w:hint="eastAsia" w:ascii="宋体" w:hAnsi="宋体" w:eastAsia="宋体" w:cs="宋体"/>
                <w:color w:val="000000"/>
                <w:sz w:val="24"/>
                <w:szCs w:val="24"/>
                <w:highlight w:val="none"/>
              </w:rPr>
              <w:t xml:space="preserve">1.10 </w:t>
            </w:r>
            <w:r>
              <w:rPr>
                <w:rFonts w:hint="eastAsia" w:ascii="宋体" w:hAnsi="宋体" w:cs="宋体"/>
                <w:color w:val="000000"/>
                <w:sz w:val="24"/>
                <w:szCs w:val="24"/>
                <w:highlight w:val="none"/>
              </w:rPr>
              <w:t xml:space="preserve">流速精密度：≤0.08%</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1.11样品管理系统</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1.11.1样品瓶数量：不少于95位2ml样品瓶</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1.11.2进样范围：0.1-10 µL，可以扩展</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1.11.3 进样次数：每个样品1—99次进样</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1.11.4 进样精度：≤0.5%RSD</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1.11.5 进样线性度：&gt;0.999</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1.11.6 样品控制温度：4-40℃</w:t>
            </w:r>
            <w:r>
              <w:rPr>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1.11.7 样品污染度：＜0.003%（咖啡因，UV测定）</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2.质谱仪技术参数</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 质量数范围: m/z 5～2000</w:t>
            </w:r>
            <w:r>
              <w:rPr>
                <w:highlight w:val="none"/>
              </w:rPr>
            </w:r>
            <w:r/>
          </w:p>
          <w:p>
            <w:pPr>
              <w:ind w:firstLine="420"/>
              <w:spacing w:line="360" w:lineRule="auto"/>
              <w:rPr>
                <w:rFonts w:ascii="宋体" w:hAnsi="宋体" w:cs="宋体"/>
                <w:b/>
                <w:bCs/>
                <w:color w:val="ff0000"/>
                <w:sz w:val="24"/>
                <w:szCs w:val="24"/>
                <w:highlight w:val="none"/>
              </w:rPr>
            </w:pPr>
            <w:r>
              <w:rPr>
                <w:rFonts w:hint="eastAsia" w:ascii="宋体" w:hAnsi="宋体" w:cs="宋体"/>
                <w:color w:val="000000"/>
                <w:sz w:val="24"/>
                <w:szCs w:val="24"/>
                <w:highlight w:val="none"/>
              </w:rPr>
              <w:t xml:space="preserve">▲2.2正负切换速度：≤5ms</w:t>
            </w:r>
            <w:r>
              <w:rPr>
                <w:rFonts w:hint="eastAsia" w:ascii="宋体" w:hAnsi="宋体" w:cs="宋体"/>
                <w:b/>
                <w:bCs/>
                <w:sz w:val="24"/>
                <w:szCs w:val="24"/>
                <w:highlight w:val="none"/>
              </w:rPr>
              <w:t xml:space="preserve">{提供所投产品官网上切换速度数据截图、</w:t>
            </w:r>
            <w:r>
              <w:rPr>
                <w:rFonts w:hint="eastAsia" w:ascii="宋体" w:hAnsi="宋体" w:cs="宋体"/>
                <w:b/>
                <w:bCs/>
                <w:color w:val="000000"/>
                <w:sz w:val="24"/>
                <w:szCs w:val="24"/>
                <w:highlight w:val="none"/>
                <w:lang w:eastAsia="zh-Hans"/>
              </w:rPr>
              <w:t xml:space="preserve">官方彩页或官方规格参数文件</w:t>
            </w:r>
            <w:r>
              <w:rPr>
                <w:rFonts w:hint="eastAsia" w:ascii="宋体" w:hAnsi="宋体" w:cs="宋体"/>
                <w:b/>
                <w:bCs/>
                <w:sz w:val="24"/>
                <w:szCs w:val="24"/>
                <w:highlight w:val="none"/>
              </w:rPr>
              <w:t xml:space="preserve">及所投产品软件视频（视频内容无剪辑，须展现出仪器，型号，软件上正负切换设置5ms且能运行等内容）作为证明材料，以上材料缺一不可}</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 MRM灵敏度:  </w:t>
            </w:r>
            <w:r>
              <w:rPr>
                <w:highlight w:val="none"/>
              </w:rPr>
            </w:r>
            <w:r/>
          </w:p>
          <w:p>
            <w:pPr>
              <w:ind w:firstLine="420"/>
              <w:spacing w:line="360" w:lineRule="auto"/>
              <w:rPr>
                <w:rFonts w:ascii="宋体" w:hAnsi="宋体" w:cs="宋体"/>
                <w:i/>
                <w:iCs/>
                <w:color w:val="000000"/>
                <w:sz w:val="24"/>
                <w:szCs w:val="24"/>
                <w:highlight w:val="none"/>
                <w:u w:val="single"/>
              </w:rPr>
            </w:pPr>
            <w:r>
              <w:rPr>
                <w:rFonts w:hint="eastAsia" w:ascii="宋体" w:hAnsi="宋体" w:cs="宋体"/>
                <w:b/>
                <w:bCs/>
                <w:i/>
                <w:iCs/>
                <w:color w:val="000000"/>
                <w:sz w:val="24"/>
                <w:szCs w:val="24"/>
                <w:highlight w:val="none"/>
                <w:u w:val="single"/>
              </w:rPr>
              <w:t xml:space="preserve">1）ESI+：实际柱上进样1pg利血平，流速0.8mL/min，m/z 609.3&gt;195.1，数据无平滑，信噪比≥3,500,000:1，基线噪声采集区间不低于0.3min。重现性实验：1pg利血平分别连续进样10次，峰面积CV小于3%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r/>
          </w:p>
          <w:p>
            <w:pPr>
              <w:ind w:firstLine="420"/>
              <w:spacing w:line="360" w:lineRule="auto"/>
              <w:rPr>
                <w:rFonts w:ascii="宋体" w:hAnsi="宋体" w:cs="宋体"/>
                <w:b/>
                <w:bCs/>
                <w:i/>
                <w:iCs/>
                <w:color w:val="000000"/>
                <w:sz w:val="24"/>
                <w:szCs w:val="24"/>
                <w:highlight w:val="none"/>
                <w:u w:val="single"/>
              </w:rPr>
            </w:pPr>
            <w:r>
              <w:rPr>
                <w:highlight w:val="none"/>
              </w:rPr>
            </w:r>
            <w:bookmarkStart w:id="30" w:name="_GoBack"/>
            <w:r>
              <w:rPr>
                <w:rFonts w:hint="eastAsia" w:ascii="宋体" w:hAnsi="宋体" w:cs="宋体"/>
                <w:b/>
                <w:bCs/>
                <w:i/>
                <w:iCs/>
                <w:color w:val="000000"/>
                <w:sz w:val="24"/>
                <w:szCs w:val="24"/>
                <w:highlight w:val="none"/>
                <w:u w:val="single"/>
              </w:rPr>
              <w:t xml:space="preserve">2）ESI-: 实际柱上进样1pg氯霉素，流速0.8mL/min，m/z</w:t>
            </w:r>
            <w:r>
              <w:rPr>
                <w:rFonts w:ascii="宋体" w:hAnsi="宋体" w:cs="宋体"/>
                <w:b/>
                <w:bCs/>
                <w:i/>
                <w:iCs/>
                <w:color w:val="000000"/>
                <w:sz w:val="24"/>
                <w:szCs w:val="24"/>
                <w:highlight w:val="none"/>
                <w:u w:val="single"/>
              </w:rPr>
              <w:t xml:space="preserve">321.0&gt;152.0</w:t>
            </w:r>
            <w:r>
              <w:rPr>
                <w:rFonts w:hint="eastAsia" w:ascii="宋体" w:hAnsi="宋体" w:cs="宋体"/>
                <w:b/>
                <w:bCs/>
                <w:i/>
                <w:iCs/>
                <w:color w:val="000000"/>
                <w:sz w:val="24"/>
                <w:szCs w:val="24"/>
                <w:highlight w:val="none"/>
                <w:u w:val="single"/>
              </w:rPr>
              <w:t xml:space="preserve">，数据无平滑，信噪比≥3,500,000:1，基线噪声采集区间不低于0.</w:t>
            </w:r>
            <w:bookmarkEnd w:id="30"/>
            <w:r>
              <w:rPr>
                <w:rFonts w:hint="eastAsia" w:ascii="宋体" w:hAnsi="宋体" w:cs="宋体"/>
                <w:b/>
                <w:bCs/>
                <w:i/>
                <w:iCs/>
                <w:color w:val="000000"/>
                <w:sz w:val="24"/>
                <w:szCs w:val="24"/>
                <w:highlight w:val="none"/>
                <w:u w:val="single"/>
              </w:rPr>
              <w:t xml:space="preserve">3min。重现性实验：1pg氯霉素分别连续进样10次，峰面积CV小于3% （</w:t>
            </w:r>
            <w:r>
              <w:rPr>
                <w:rFonts w:ascii="宋体" w:hAnsi="宋体" w:cs="宋体"/>
                <w:b/>
                <w:bCs/>
                <w:i/>
                <w:iCs/>
                <w:sz w:val="24"/>
                <w:szCs w:val="24"/>
                <w:highlight w:val="none"/>
                <w:u w:val="single"/>
              </w:rPr>
              <w:t xml:space="preserve">提供完整的实验谱图及实验结果等证明文件</w:t>
            </w:r>
            <w:r>
              <w:rPr>
                <w:rFonts w:hint="eastAsia" w:ascii="宋体" w:hAnsi="宋体" w:cs="宋体"/>
                <w:b/>
                <w:bCs/>
                <w:i/>
                <w:iCs/>
                <w:color w:val="000000"/>
                <w:sz w:val="24"/>
                <w:szCs w:val="24"/>
                <w:highlight w:val="none"/>
                <w:u w:val="single"/>
              </w:rPr>
              <w:t xml:space="preserve">）</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2.4真实样品灵敏度：</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▲1）所投产品可实现样品简单稀释后直接一针进样，15分钟之内可同时测定饮用水中56种全氟及多氟化合物并准确定量，定量下限均可达到50ppt；数据重现性：用自来水配置50 ng/L的基质标样，连续进样6针，56种PFASs 峰面积的RSD在5%以内；标准曲线：各化合物在各自的浓度范围内均线性良好，R＞0.995</w:t>
            </w:r>
            <w:r>
              <w:rPr>
                <w:rFonts w:hint="eastAsia" w:ascii="宋体" w:hAnsi="宋体" w:cs="宋体"/>
                <w:b/>
                <w:bCs/>
                <w:color w:val="000000"/>
                <w:sz w:val="24"/>
                <w:szCs w:val="24"/>
                <w:highlight w:val="none"/>
              </w:rPr>
              <w:t xml:space="preserve">（要求提供相关离子色谱图、重现性图谱及完整解决方案作为证明材料）</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2）所投产品可实现无需固相萃取，无需富集，直接进样法且一针进样同时完成生活饮用水中至少57种抗生素的检测，57种抗生素的定量限均可达到ng/L水平；基质样品重现性考察：生活饮用水基质加标（0.05 µg/L），6针连续进样，57种抗生素峰面积的RSD值均不超过2%</w:t>
            </w:r>
            <w:r>
              <w:rPr>
                <w:rFonts w:hint="eastAsia" w:ascii="宋体" w:hAnsi="宋体" w:cs="宋体"/>
                <w:b/>
                <w:bCs/>
                <w:color w:val="000000"/>
                <w:sz w:val="24"/>
                <w:szCs w:val="24"/>
                <w:highlight w:val="none"/>
              </w:rPr>
              <w:t xml:space="preserve">（要求提供相关离子色谱图、峰面积统计图及官方彩页或官方规格参数文件作为证明材料）</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▲3）全氟-3,6,9-三氧杂癸酸多重反应监测 (m/z 411→85）定量灵敏度：ESI-模式下，定量限不大于20ng/L；线性范围：ESI-模式下，定量曲线在(50～10000) ng/L范围内线性良好，线性相关系数γ＞0.99；ESI-模式下，浓度为20 ng/L，连续6次进样，RSD＜5%</w:t>
            </w:r>
            <w:r>
              <w:rPr>
                <w:rFonts w:hint="eastAsia" w:ascii="宋体" w:hAnsi="宋体" w:cs="宋体"/>
                <w:b/>
                <w:bCs/>
                <w:color w:val="000000"/>
                <w:sz w:val="24"/>
                <w:szCs w:val="24"/>
                <w:highlight w:val="none"/>
              </w:rPr>
              <w:t xml:space="preserve">（提供投标人或制造商盖章的实际测试样品谱图证明，及具备CNAS或其他第三方认证机构出具的投标型号质谱的检测报告）</w:t>
            </w:r>
            <w:r>
              <w:rPr>
                <w:highlight w:val="none"/>
              </w:rPr>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▲2.5 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w:t>
            </w:r>
            <w:r>
              <w:rPr>
                <w:rFonts w:hint="eastAsia" w:ascii="宋体" w:hAnsi="宋体" w:cs="宋体"/>
                <w:b/>
                <w:color w:val="000000"/>
                <w:sz w:val="24"/>
                <w:szCs w:val="24"/>
                <w:highlight w:val="none"/>
              </w:rPr>
              <w:t xml:space="preserve">（提供软件界面全屏的截图，要求界面上显示多重反应监测离子对及峰高信息；提供具备</w:t>
            </w:r>
            <w:r>
              <w:rPr>
                <w:rFonts w:hint="eastAsia" w:ascii="宋体" w:hAnsi="宋体" w:cs="宋体"/>
                <w:b/>
                <w:bCs/>
                <w:color w:val="000000"/>
                <w:sz w:val="24"/>
                <w:szCs w:val="24"/>
                <w:highlight w:val="none"/>
              </w:rPr>
              <w:t xml:space="preserve">CNAS或其他第三方认证机构出具的投标型号质谱的检测报告</w:t>
            </w:r>
            <w:r>
              <w:rPr>
                <w:rFonts w:hint="eastAsia" w:ascii="宋体" w:hAnsi="宋体" w:cs="宋体"/>
                <w:b/>
                <w:color w:val="000000"/>
                <w:sz w:val="24"/>
                <w:szCs w:val="24"/>
                <w:highlight w:val="none"/>
              </w:rPr>
              <w:t xml:space="preserve">证明，以上证明材料需加盖投标人或制造商公章）</w:t>
            </w:r>
            <w:r>
              <w:rPr>
                <w:highlight w:val="none"/>
              </w:rPr>
            </w:r>
            <w:r/>
          </w:p>
          <w:p>
            <w:pPr>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▲2.6 仪器检测通量：无需液液萃取、固相萃取等前处理富集，大体积直接一针进样，正负离子同时检测水中至少230种PPCPs及农药残留，有80%以上的化合物的定量限≤0.01 μg/L以下，30%以上化合物的定量限≤0.001 μg/L，且RSD均小于10%。</w:t>
            </w:r>
            <w:r>
              <w:rPr>
                <w:rFonts w:hint="eastAsia" w:ascii="宋体" w:hAnsi="宋体" w:cs="宋体"/>
                <w:b/>
                <w:color w:val="000000"/>
                <w:sz w:val="24"/>
                <w:szCs w:val="24"/>
                <w:highlight w:val="none"/>
              </w:rPr>
              <w:t xml:space="preserve">（要求提供相关离子色谱图、结果统计图及完整解决方案）</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2.7质量稳定性＜0.1amu/24小时，质量准确度: &lt;0.01% amu(全质量数范围)</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2.8 离子源基质效应低，奶粉基质中分析氯霉素残留，前处理采用液液萃取LLE和不同的固相萃取柱如HLB、MCX、MIP，基质效应偏差小于2%</w:t>
            </w:r>
            <w:r>
              <w:rPr>
                <w:rFonts w:hint="eastAsia" w:ascii="宋体" w:hAnsi="宋体" w:cs="宋体"/>
                <w:b/>
                <w:bCs/>
                <w:color w:val="000000"/>
                <w:sz w:val="24"/>
                <w:szCs w:val="24"/>
                <w:highlight w:val="none"/>
              </w:rPr>
              <w:t xml:space="preserve">（提供同品牌离子源实验数据作为证明材料并加盖投标人或制造商公章）</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sz w:val="24"/>
                <w:szCs w:val="24"/>
                <w:highlight w:val="none"/>
              </w:rPr>
              <w:t xml:space="preserve">碰撞池：</w:t>
            </w:r>
            <w:r>
              <w:rPr>
                <w:rFonts w:hint="eastAsia" w:ascii="宋体" w:hAnsi="宋体" w:cs="宋体"/>
                <w:b/>
                <w:bCs/>
                <w:sz w:val="24"/>
                <w:szCs w:val="24"/>
                <w:highlight w:val="none"/>
              </w:rPr>
              <w:t xml:space="preserve">碰撞池弯曲度不小于90度，Dwell time低至2ms时，灵敏度不损失，同时提供3次清洗服务（此费用包含在投标费用中，采购人不另行付费）。（提供所投产品官网上碰撞室弯曲度数据截图或官网上下载彩页碰撞室结构截图及所投产品拆机视频（视频内容无剪辑至少展现出仪器型号、碰撞室结构等内容），同时提供农药多菌灵在2ms和10ms的驻留时间时，灵敏度不损失的谱图及数据证明，以上材料缺一不可，加盖投标人公章，成交后提供由制造商加盖公章的清洗承诺或协议）。</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2.10出色的定量分析功能:数据采集动态线性范围: &gt;1×10</w:t>
            </w:r>
            <w:r>
              <w:rPr>
                <w:rFonts w:hint="eastAsia" w:ascii="宋体" w:hAnsi="宋体" w:cs="宋体"/>
                <w:color w:val="000000"/>
                <w:sz w:val="24"/>
                <w:szCs w:val="24"/>
                <w:highlight w:val="none"/>
                <w:vertAlign w:val="superscript"/>
              </w:rPr>
              <w:t xml:space="preserve">8</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2.11定量分析重现性1ppb和10ppb胆固醇氧化物和甘油分别进样，不少于5次，RSD&lt;1%。</w:t>
            </w:r>
            <w:r>
              <w:rPr>
                <w:rFonts w:hint="eastAsia" w:ascii="宋体" w:hAnsi="宋体" w:cs="宋体"/>
                <w:b/>
                <w:bCs/>
                <w:color w:val="000000"/>
                <w:sz w:val="24"/>
                <w:szCs w:val="24"/>
                <w:highlight w:val="none"/>
              </w:rPr>
              <w:t xml:space="preserve">（提供谱图及数据作为证明材料并加盖投标人或制造商公章）</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2.12扫描功能: 具有母离子扫描；中性丢失扫描;选择离子扫描;选择反应监测扫描;多反应同时监测扫描等功能。</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2.13离子源和进样方式: </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2.13.1</w:t>
            </w:r>
            <w:r>
              <w:rPr>
                <w:rFonts w:hint="eastAsia" w:ascii="宋体" w:hAnsi="宋体" w:cs="宋体"/>
                <w:b/>
                <w:bCs/>
                <w:i/>
                <w:iCs/>
                <w:sz w:val="24"/>
                <w:szCs w:val="24"/>
                <w:highlight w:val="none"/>
                <w:u w:val="single"/>
              </w:rPr>
              <w:t xml:space="preserve">离子源类型：离子源接口采用锥孔真空设计（无实体管路）或毛细管引流等有实体管路的离子通道设计；若为锥孔真空设计，需额外多配1个锥孔；若为毛细管引流等有实体管路的离子通道设计，由于损耗较大，需额外多配30根毛细管等耗材（提供离子源硬件结构图并加盖投标人或制造商公章，投标人提供锥孔或30根毛细管等耗材的承诺函）</w:t>
            </w:r>
            <w:r>
              <w:rPr>
                <w:rFonts w:hint="eastAsia" w:ascii="宋体" w:hAnsi="宋体" w:cs="宋体"/>
                <w:b/>
                <w:bCs/>
                <w:color w:val="000000"/>
                <w:sz w:val="24"/>
                <w:szCs w:val="24"/>
                <w:highlight w:val="none"/>
              </w:rPr>
              <w:t xml:space="preserve">。</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▲2.13.2 </w:t>
            </w:r>
            <w:r>
              <w:rPr>
                <w:rFonts w:hint="eastAsia" w:ascii="宋体" w:hAnsi="宋体" w:cs="宋体"/>
                <w:b/>
                <w:bCs/>
                <w:sz w:val="24"/>
                <w:szCs w:val="24"/>
                <w:highlight w:val="none"/>
              </w:rPr>
              <w:t xml:space="preserve">离子源内标配两路加热雾化气，辅助加热气温度≥720℃（提供所投产品官方数据截图及采集软件视频（视频内容无剪辑，至少展现出仪器型号、采集软件温度设置≥720℃并成功运行等内容）作为证明材料，以上材料缺一不可）</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▲2.13.3 ESI流速范围：在确保灵敏度不损失的前提下，实现高流速，它无需分流，流速</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2.8 mL/min。提供</w:t>
            </w:r>
            <w:bookmarkStart w:id="11" w:name="_Hlk209168437"/>
            <w:r>
              <w:rPr>
                <w:rFonts w:hint="eastAsia" w:ascii="宋体" w:hAnsi="宋体" w:cs="宋体"/>
                <w:color w:val="000000"/>
                <w:sz w:val="24"/>
                <w:szCs w:val="24"/>
                <w:highlight w:val="none"/>
              </w:rPr>
              <w:t xml:space="preserve">农药多菌灵(carbendazim)在不同流速：0.4，0.8，1，2mL/min下，灵敏度不损失的谱图数据</w:t>
            </w:r>
            <w:bookmarkEnd w:id="11"/>
            <w:r>
              <w:rPr>
                <w:rFonts w:hint="eastAsia" w:ascii="宋体" w:hAnsi="宋体" w:cs="宋体"/>
                <w:color w:val="000000"/>
                <w:sz w:val="24"/>
                <w:szCs w:val="24"/>
                <w:highlight w:val="none"/>
              </w:rPr>
              <w:t xml:space="preserve">。</w:t>
            </w:r>
            <w:r>
              <w:rPr>
                <w:rFonts w:hint="eastAsia" w:ascii="宋体" w:hAnsi="宋体" w:cs="宋体"/>
                <w:b/>
                <w:bCs/>
                <w:sz w:val="24"/>
                <w:szCs w:val="24"/>
                <w:highlight w:val="none"/>
              </w:rPr>
              <w:t xml:space="preserve">（提供所投产品离子源的流速范围</w:t>
            </w:r>
            <w:r>
              <w:rPr>
                <w:rFonts w:ascii="宋体" w:hAnsi="宋体" w:cs="宋体"/>
                <w:b/>
                <w:bCs/>
                <w:sz w:val="24"/>
                <w:szCs w:val="24"/>
                <w:highlight w:val="none"/>
              </w:rPr>
              <w:t xml:space="preserve">官网截图或官网下载资料截图</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及设置流速在2.8mL/min时离子源端液体完全雾化无液体出现的视频</w:t>
            </w:r>
            <w:r>
              <w:rPr>
                <w:rFonts w:hint="eastAsia" w:ascii="宋体" w:hAnsi="宋体" w:cs="宋体"/>
                <w:b/>
                <w:bCs/>
                <w:sz w:val="24"/>
                <w:szCs w:val="24"/>
                <w:highlight w:val="none"/>
              </w:rPr>
              <w:t xml:space="preserve">及农药多菌灵(carbendazim)在不同流速：0.4，0.8，1，2mL/min下，灵敏度不损失的谱图数据作为证明材料，</w:t>
            </w:r>
            <w:bookmarkStart w:id="12" w:name="_Hlk210029511"/>
            <w:r>
              <w:rPr>
                <w:rFonts w:hint="eastAsia" w:ascii="宋体" w:hAnsi="宋体" w:cs="宋体"/>
                <w:b/>
                <w:bCs/>
                <w:sz w:val="24"/>
                <w:szCs w:val="24"/>
                <w:highlight w:val="none"/>
              </w:rPr>
              <w:t xml:space="preserve">以上材料缺一不可</w:t>
            </w:r>
            <w:bookmarkEnd w:id="12"/>
            <w:r>
              <w:rPr>
                <w:rFonts w:hint="eastAsia" w:ascii="宋体" w:hAnsi="宋体" w:cs="宋体"/>
                <w:b/>
                <w:bCs/>
                <w:sz w:val="24"/>
                <w:szCs w:val="24"/>
                <w:highlight w:val="none"/>
              </w:rPr>
              <w:t xml:space="preserve">）</w:t>
            </w:r>
            <w:r>
              <w:rPr>
                <w:highlight w:val="none"/>
              </w:rPr>
            </w:r>
            <w:r/>
          </w:p>
          <w:p>
            <w:pPr>
              <w:ind w:firstLine="42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2.13.4正/负APCI接口: 流速 2.8ml/min以上不分流</w:t>
            </w:r>
            <w:r>
              <w:rPr>
                <w:rFonts w:hint="eastAsia" w:ascii="宋体" w:hAnsi="宋体" w:cs="宋体"/>
                <w:b/>
                <w:bCs/>
                <w:sz w:val="24"/>
                <w:szCs w:val="24"/>
                <w:highlight w:val="none"/>
              </w:rPr>
              <w:t xml:space="preserve">（提供所投产品离子源流速范围官方彩页或官方规格参数文件及实验数据作为证明材料，以上材料缺一不可）</w:t>
            </w:r>
            <w:r>
              <w:rPr>
                <w:rFonts w:hint="eastAsia" w:ascii="宋体" w:hAnsi="宋体" w:cs="宋体"/>
                <w:sz w:val="24"/>
                <w:szCs w:val="24"/>
                <w:highlight w:val="none"/>
              </w:rPr>
              <w:t xml:space="preserve">；</w:t>
            </w:r>
            <w:r>
              <w:rPr>
                <w:highlight w:val="none"/>
              </w:rPr>
            </w:r>
            <w:r/>
          </w:p>
          <w:p>
            <w:pPr>
              <w:ind w:firstLine="42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2.13.5离子源内必须配有专门的负压排气设计，同时连接有专门的排气通道，废气不进入机械泵。该设计必须为出厂设计，而非改造。防止气体在密闭的离子源腔体中的回流，降低离子源的记忆效应和污染，降低机械泵的负荷延长机械泵泵油使用时间，维护试验环境，保障工作人员健康。</w:t>
            </w:r>
            <w:r>
              <w:rPr>
                <w:rFonts w:hint="eastAsia" w:ascii="宋体" w:hAnsi="宋体" w:cs="宋体"/>
                <w:b/>
                <w:bCs/>
                <w:color w:val="000000"/>
                <w:sz w:val="24"/>
                <w:szCs w:val="24"/>
                <w:highlight w:val="none"/>
              </w:rPr>
              <w:t xml:space="preserve">（提供离子源负压装置结构图并加盖投标人或制造商公章）</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2.14可兼容无鞘液方式的毛细管电泳质谱连接接口，可拓展大分子蛋白多肽分析。</w:t>
            </w:r>
            <w:r>
              <w:rPr>
                <w:rFonts w:hint="eastAsia" w:ascii="宋体" w:hAnsi="宋体" w:cs="宋体"/>
                <w:b/>
                <w:bCs/>
                <w:sz w:val="24"/>
                <w:szCs w:val="24"/>
                <w:highlight w:val="none"/>
              </w:rPr>
              <w:t xml:space="preserve">（须提供实际完整案例作为证明材料，并扫描上传）</w:t>
            </w:r>
            <w:r>
              <w:rPr>
                <w:highlight w:val="none"/>
              </w:rPr>
            </w:r>
            <w:r/>
          </w:p>
          <w:p>
            <w:pPr>
              <w:pStyle w:val="808"/>
              <w:ind w:left="433" w:firstLine="69"/>
              <w:rPr>
                <w:rFonts w:ascii="宋体" w:hAnsi="宋体" w:cs="宋体"/>
                <w:b/>
                <w:bCs/>
                <w:i/>
                <w:iCs/>
                <w:sz w:val="24"/>
                <w:szCs w:val="24"/>
                <w:highlight w:val="none"/>
                <w:u w:val="single"/>
              </w:rPr>
            </w:pPr>
            <w:r>
              <w:rPr>
                <w:rFonts w:hint="eastAsia" w:ascii="宋体" w:hAnsi="宋体" w:cs="宋体"/>
                <w:color w:val="000000"/>
                <w:sz w:val="24"/>
                <w:szCs w:val="24"/>
                <w:highlight w:val="none"/>
              </w:rPr>
              <w:t xml:space="preserve">2.15 </w:t>
            </w:r>
            <w:r>
              <w:rPr>
                <w:rFonts w:hint="eastAsia" w:ascii="宋体" w:hAnsi="宋体" w:cs="宋体"/>
                <w:b/>
                <w:bCs/>
                <w:i/>
                <w:iCs/>
                <w:sz w:val="24"/>
                <w:szCs w:val="24"/>
                <w:highlight w:val="none"/>
                <w:u w:val="single"/>
              </w:rPr>
              <w:t xml:space="preserve">检测器: 为满足长期大量脏样品定量分析的数据可靠性和重复性，可为光电倍增管或电子倍增管，检测器质保10年。（提供供应商承诺函）</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sz w:val="24"/>
                <w:szCs w:val="24"/>
                <w:highlight w:val="none"/>
              </w:rPr>
              <w:t xml:space="preserve"> 真空系统</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包含前级大抽速机械泵及长寿命涡轮分子泵组合差分抽气高真空系统, 无需额外水冷却系统，自动断电保护功能。</w:t>
            </w:r>
            <w:r>
              <w:rPr>
                <w:highlight w:val="none"/>
              </w:rPr>
            </w:r>
            <w:r/>
          </w:p>
          <w:p>
            <w:pPr>
              <w:ind w:firstLine="42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2.17 数据系统:</w:t>
            </w:r>
            <w:r>
              <w:rPr>
                <w:highlight w:val="none"/>
              </w:rPr>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2.17.1 正版操作环境, 质谱系统软件能对整套系统进行控制, 进行数据采集、数据处理、定性分析和定量分析、建立数据库功能，谱库检索功能，GLP认证、自动校正和全自动分析功能。全自动定量软件等。</w:t>
            </w:r>
            <w:r>
              <w:rPr>
                <w:highlight w:val="none"/>
              </w:rPr>
            </w:r>
            <w:r/>
          </w:p>
          <w:p>
            <w:pPr>
              <w:ind w:firstLine="420"/>
              <w:spacing w:line="360" w:lineRule="auto"/>
              <w:rPr>
                <w:rFonts w:ascii="宋体" w:hAnsi="宋体" w:cs="宋体"/>
                <w:b/>
                <w:bCs/>
                <w:sz w:val="24"/>
                <w:szCs w:val="24"/>
                <w:highlight w:val="none"/>
              </w:rPr>
            </w:pPr>
            <w:r>
              <w:rPr>
                <w:rFonts w:hint="eastAsia" w:ascii="宋体" w:hAnsi="宋体" w:cs="宋体"/>
                <w:color w:val="000000"/>
                <w:sz w:val="24"/>
                <w:szCs w:val="24"/>
                <w:highlight w:val="none"/>
              </w:rPr>
              <w:t xml:space="preserve">▲</w:t>
            </w:r>
            <w:bookmarkStart w:id="13" w:name="OLE_LINK6"/>
            <w:r>
              <w:rPr>
                <w:rFonts w:hint="eastAsia" w:ascii="宋体" w:hAnsi="宋体" w:cs="宋体"/>
                <w:color w:val="000000"/>
                <w:sz w:val="24"/>
                <w:szCs w:val="24"/>
                <w:highlight w:val="none"/>
              </w:rPr>
              <w:t xml:space="preserve">2.17.</w:t>
            </w:r>
            <w:bookmarkEnd w:id="13"/>
            <w:r>
              <w:rPr>
                <w:rFonts w:hint="eastAsia" w:ascii="宋体" w:hAnsi="宋体" w:cs="宋体"/>
                <w:color w:val="000000"/>
                <w:sz w:val="24"/>
                <w:szCs w:val="24"/>
                <w:highlight w:val="none"/>
              </w:rPr>
              <w:t xml:space="preserve">2在数据采集过程中具有</w:t>
            </w:r>
            <w:bookmarkStart w:id="14" w:name="_Hlk209512025"/>
            <w:r>
              <w:rPr>
                <w:rFonts w:hint="eastAsia" w:ascii="宋体" w:hAnsi="宋体" w:cs="宋体"/>
                <w:color w:val="000000"/>
                <w:sz w:val="24"/>
                <w:szCs w:val="24"/>
                <w:highlight w:val="none"/>
              </w:rPr>
              <w:t xml:space="preserve">动态背景扣除功能</w:t>
            </w:r>
            <w:bookmarkEnd w:id="14"/>
            <w:r>
              <w:rPr>
                <w:rFonts w:hint="eastAsia" w:ascii="宋体" w:hAnsi="宋体" w:cs="宋体"/>
                <w:color w:val="000000"/>
                <w:sz w:val="24"/>
                <w:szCs w:val="24"/>
                <w:highlight w:val="none"/>
              </w:rPr>
              <w:t xml:space="preserve">，保证低含量化合物也能采集到有效的二级谱图</w:t>
            </w:r>
            <w:r>
              <w:rPr>
                <w:rFonts w:hint="eastAsia" w:ascii="宋体" w:hAnsi="宋体" w:cs="宋体"/>
                <w:b/>
                <w:bCs/>
                <w:sz w:val="24"/>
                <w:szCs w:val="24"/>
                <w:highlight w:val="none"/>
              </w:rPr>
              <w:t xml:space="preserve">{须提供软件截图及视频（视频无剪辑须体现动态背景扣除功能、二级谱图及实际实验结果等信息）等证明材料，以上材料缺一不可}</w:t>
            </w:r>
            <w:r>
              <w:rPr>
                <w:highlight w:val="none"/>
              </w:rPr>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2.17.3</w:t>
            </w:r>
            <w:r>
              <w:rPr>
                <w:rFonts w:hint="eastAsia" w:ascii="宋体" w:hAnsi="宋体" w:cs="宋体"/>
                <w:sz w:val="24"/>
                <w:szCs w:val="24"/>
                <w:highlight w:val="none"/>
              </w:rPr>
              <w:t xml:space="preserve"> 软件控制自动进行仪器校正；</w:t>
            </w:r>
            <w:r>
              <w:rPr>
                <w:highlight w:val="none"/>
              </w:rPr>
            </w:r>
            <w:r/>
          </w:p>
          <w:p>
            <w:pPr>
              <w:ind w:firstLine="36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2.17.4</w:t>
            </w:r>
            <w:r>
              <w:rPr>
                <w:rFonts w:hint="eastAsia" w:ascii="宋体" w:hAnsi="宋体" w:cs="宋体"/>
                <w:sz w:val="24"/>
                <w:szCs w:val="24"/>
                <w:highlight w:val="none"/>
              </w:rPr>
              <w:t xml:space="preserve">软件具有质谱分析方法自动开发功能，一次性全自动生成包括离子对信息、碰撞能、离子导入电压等参数在内的SIR/MRM方法。可建立基于化合物名称的质谱分析方法数据库，软件输入化合物名称自动调用储存方法进行分析。</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2.17.5</w:t>
            </w:r>
            <w:r>
              <w:rPr>
                <w:rFonts w:hint="eastAsia" w:ascii="宋体" w:hAnsi="宋体" w:cs="宋体"/>
                <w:sz w:val="24"/>
                <w:szCs w:val="24"/>
                <w:highlight w:val="none"/>
              </w:rPr>
              <w:t xml:space="preserve"> 谱图库：有国内外检测农药、兽药以及添加剂等有机污染物的液相方法、三重四级杆质谱方法以及二级图谱数据库，含5000种化合物以上。</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2.17.6</w:t>
            </w:r>
            <w:r>
              <w:rPr>
                <w:rFonts w:hint="eastAsia" w:ascii="宋体" w:hAnsi="宋体" w:cs="宋体"/>
                <w:sz w:val="24"/>
                <w:szCs w:val="24"/>
                <w:highlight w:val="none"/>
              </w:rPr>
              <w:t xml:space="preserve"> 软件具有数据自动计算及结果变化趋势绘图功能，内置定性、定量数据管理插件，自动给出定性定量报告。</w:t>
            </w:r>
            <w:r>
              <w:rPr>
                <w:highlight w:val="none"/>
              </w:rPr>
            </w:r>
            <w:r/>
          </w:p>
          <w:p>
            <w:pPr>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2.17.7</w:t>
            </w:r>
            <w:r>
              <w:rPr>
                <w:rFonts w:hint="eastAsia" w:ascii="宋体" w:hAnsi="宋体" w:cs="宋体"/>
                <w:sz w:val="24"/>
                <w:szCs w:val="24"/>
                <w:highlight w:val="none"/>
              </w:rPr>
              <w:t xml:space="preserve"> 软件配备方法库和图谱库，输入国标号、样品名称或CAS号可以直接调用色谱和质谱方法，含色谱柱推荐等。</w:t>
            </w:r>
            <w:r>
              <w:rPr>
                <w:highlight w:val="none"/>
              </w:rPr>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3.台式冷冻型离心机</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3.1最高转速： ≥15200rpm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3.2最大离心力：≥25830xg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3.3最大容量:≥ 4×400mL</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3.4温度设定范围：-10℃至+40℃</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3.5加减速控制：9级加速, 10级减速</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3.6转头锁定系统：转头自锁，具有转头自动锁定装置，可以在3秒内实现转头的安全锁定&amp;转头更换</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3.7生物安全性保证：提供所有转子的防生物污染密封盖，每个转头盖子提供经第三方认证的证书。可以单手操作，无需旋盖及搭扣，并可以确保密封</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3.8驱动系统：无碳刷大力矩电机直接驱动</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3.9程序：6个快捷程序可一键调用，并具有1个快捷预冷程序</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3.10运行时间控制: 0-9小时59分钟；并具有瞬时离心及连续离心方式</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3.11控制系统：微电脑控制, 数字液晶显示；可以同时显示设定和实际温度、速度、时间；可简单快捷设定运行条件和运行参数；</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3.12 自动性能：可选择在离心结束之后自动开盖；可选择在离心结束时声音提醒功能</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3.13可选配转子数量: ≥15个，并且有非金属转头可供选配。</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3.14配置： 主机1台、碳纤角转头1个、50m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尖底管适配器1个、1.5/2m</w:t>
            </w:r>
            <w:r>
              <w:rPr>
                <w:rFonts w:ascii="宋体" w:hAnsi="宋体" w:cs="宋体"/>
                <w:color w:val="000000"/>
                <w:sz w:val="24"/>
                <w:szCs w:val="24"/>
                <w:highlight w:val="none"/>
              </w:rPr>
              <w:t xml:space="preserve">L</w:t>
            </w:r>
            <w:r>
              <w:rPr>
                <w:rFonts w:hint="eastAsia" w:ascii="宋体" w:hAnsi="宋体" w:cs="宋体"/>
                <w:color w:val="000000"/>
                <w:sz w:val="24"/>
                <w:szCs w:val="24"/>
                <w:highlight w:val="none"/>
              </w:rPr>
              <w:t xml:space="preserve">微量离心管适配器1个</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4.氮气发生器参数要求：</w:t>
            </w:r>
            <w:r>
              <w:rPr>
                <w:rFonts w:hint="eastAsia" w:ascii="宋体" w:hAnsi="宋体" w:cs="宋体"/>
                <w:color w:val="000000"/>
                <w:sz w:val="24"/>
                <w:szCs w:val="24"/>
                <w:highlight w:val="none"/>
              </w:rPr>
              <w:br/>
            </w:r>
            <w:r>
              <w:rPr>
                <w:rFonts w:hint="eastAsia" w:ascii="宋体" w:hAnsi="宋体" w:cs="宋体"/>
                <w:color w:val="000000"/>
                <w:sz w:val="24"/>
                <w:szCs w:val="24"/>
                <w:highlight w:val="none"/>
              </w:rPr>
              <w:t xml:space="preserve">4.1采用分离技术，环保、无噪音，可用一台气体发生器同时提供雾化气、干燥气和碰撞气。</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4.2气体流速、纯度：氮气流速：45L/min （纯度高达 99.9%）</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4.3内置由两台空气压缩机集成的超空压系统，间歇式给氮气发生器提供压缩气源。</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4.4内置消音器及一体式真空隔音机箱,系统（包括主机和压缩机）噪音水平：≤54dB@1m</w:t>
            </w:r>
            <w:r>
              <w:rPr>
                <w:highlight w:val="none"/>
              </w:rPr>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5.仪器配置清单</w:t>
            </w:r>
            <w:r>
              <w:rPr>
                <w:highlight w:val="none"/>
              </w:rPr>
            </w:r>
            <w:r/>
          </w:p>
          <w:p>
            <w:pPr>
              <w:pStyle w:val="961"/>
              <w:ind w:left="479" w:firstLine="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5.1三重四级杆质谱仪1套</w:t>
            </w:r>
            <w:r>
              <w:rPr>
                <w:highlight w:val="none"/>
              </w:rPr>
            </w:r>
            <w:r/>
          </w:p>
          <w:p>
            <w:pPr>
              <w:pStyle w:val="961"/>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5.2 超高效液相色谱仪1套（高压二元泵、在线脱气机、自动进样器和柱温箱）</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5.3 数据处理系统1套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5.4不间断稳压电源（10KV/2H）1台 </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5.5 液质专用氮气发生器1套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5.6色谱柱:C18色谱柱  1.7µm*2.1mm*100mm 2根（含预柱一套）；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 1.8µm*2.1mm*100mm 1根（含预柱两套）；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色谱柱</w:t>
            </w:r>
            <w:r>
              <w:rPr>
                <w:rFonts w:hint="eastAsia"/>
                <w:sz w:val="24"/>
                <w:szCs w:val="24"/>
                <w:highlight w:val="none"/>
              </w:rPr>
              <w:t xml:space="preserve"> </w:t>
            </w:r>
            <w:r>
              <w:rPr>
                <w:rFonts w:hint="eastAsia" w:ascii="宋体" w:hAnsi="宋体" w:cs="宋体"/>
                <w:color w:val="000000"/>
                <w:sz w:val="24"/>
                <w:szCs w:val="24"/>
                <w:highlight w:val="none"/>
              </w:rPr>
              <w:t xml:space="preserve">1.7µm*2.1mm*100mm 1根（含预柱一套）</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PFAS（全氟化合物）标准品及方法包，包含色谱柱等；</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5.7</w:t>
            </w:r>
            <w:r>
              <w:rPr>
                <w:rFonts w:hint="eastAsia" w:ascii="宋体" w:hAnsi="宋体" w:cs="宋体"/>
                <w:b/>
                <w:bCs/>
                <w:i/>
                <w:iCs/>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5.8 </w:t>
            </w:r>
            <w:r>
              <w:rPr>
                <w:rFonts w:hint="eastAsia" w:ascii="宋体" w:hAnsi="宋体" w:cs="宋体"/>
                <w:b/>
                <w:bCs/>
                <w:i/>
                <w:iCs/>
                <w:sz w:val="24"/>
                <w:szCs w:val="24"/>
                <w:highlight w:val="none"/>
                <w:u w:val="single"/>
              </w:rPr>
              <w:t xml:space="preserve">液晶显示设备≥25寸</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b/>
                <w:bCs/>
                <w:i/>
                <w:iCs/>
                <w:sz w:val="24"/>
                <w:szCs w:val="24"/>
                <w:highlight w:val="none"/>
                <w:u w:val="single"/>
              </w:rPr>
              <w:t xml:space="preserve">输出设备一台，支持彩色自动双面输出，支持有线&amp;无线网络输出，A4纸输出速度（黑白或彩色）不低于27页/分钟。</w:t>
            </w:r>
            <w:r>
              <w:rPr>
                <w:rFonts w:hint="eastAsia" w:ascii="宋体" w:hAnsi="宋体" w:cs="宋体"/>
                <w:b/>
                <w:bCs/>
                <w:i/>
                <w:iCs/>
                <w:color w:val="000000"/>
                <w:sz w:val="24"/>
                <w:szCs w:val="24"/>
                <w:highlight w:val="none"/>
                <w:u w:val="single"/>
              </w:rPr>
              <w:t xml:space="preserve">（提供节能产品认证证书扫描件加盖供应商公章）</w:t>
            </w:r>
            <w:r>
              <w:rPr>
                <w:highlight w:val="none"/>
              </w:rPr>
            </w:r>
            <w:r/>
          </w:p>
          <w:p>
            <w:pPr>
              <w:pStyle w:val="961"/>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5.10台式冷冻型离心机 1台</w:t>
            </w:r>
            <w:r>
              <w:rPr>
                <w:highlight w:val="none"/>
              </w:rPr>
            </w:r>
            <w:r/>
          </w:p>
          <w:p>
            <w:pPr>
              <w:pStyle w:val="961"/>
              <w:ind w:firstLine="480"/>
              <w:jc w:val="left"/>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5.11 大功率除湿机，1台，除湿量：≥60L/D（35℃ RH90%）；名义除湿量：≥1.2kg/h（27℃ RH60%），噪音≤45dB(A)平均值，排水方式为软管连续排水或水箱（≥6.2L）。</w:t>
            </w:r>
            <w:r>
              <w:rPr>
                <w:highlight w:val="none"/>
              </w:rPr>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rPr>
          <w:highlight w:val="none"/>
        </w:rPr>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1、交货期：合同签订后60天内完成安装调试，达到预期效果。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整套设备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highlight w:val="none"/>
        </w:rPr>
        <w:t xml:space="preserve">。</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2、接到维修通知后保证2小时内响应，专职的技术服务人员2天内到场维修，国内零配件供应时间不超过2天到达采购人现场、国外不超过2周到达采购人现场；</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3、零配件应保证设备寿命周期内均能供应（不少于10年），更换维修时提供主要零配件的优惠价。</w:t>
      </w:r>
      <w:r>
        <w:rPr>
          <w:highlight w:val="none"/>
        </w:rPr>
      </w:r>
      <w:r/>
    </w:p>
    <w:p>
      <w:pPr>
        <w:ind w:firstLine="480"/>
        <w:jc w:val="left"/>
        <w:spacing w:line="360" w:lineRule="auto"/>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5、质保期内每年提供一次原厂技术维护（供应商投标时提供承诺书加盖公章，成交后提供由制造商加盖公章的维护承诺或协议）。</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6、仪器出现故障后，一般问题维修响应时间不超过24小时，重大问题不超过48小时。</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7、提供中文操作、培训教材、保养、维修手册。</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8、质保期间，中标人承担维修、保养、安检、调换等，相关费用包含在预算内，采购方不再支付任何费用；对于采购方人为原因造成的故障，中标人只收取维保成本费用。</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9、质保期内，应确保设备的正常使用。在接到采购人服务要求后应立即做出回应，并在承诺的服务时间内实施服务。</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10、承担质保期内的全部技术责任。</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11、质保期内，定期对所供产品进行巡检，对巡检中发现的潜在隐患提出改正建议，及时通知采购人。</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12、质保期内，发现由于材料、设备或工艺不良造成设备故障时，应研究其故障原因，并迅速修复或免费进行更换。</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13、维修后，如果设备配置与初始状态不一致时(如升级或改版)，应附上相应的配置说明。</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highlight w:val="none"/>
        </w:rPr>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highlight w:val="none"/>
        </w:rPr>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highlight w:val="none"/>
        </w:rPr>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3、投标报价须包含质保期内的质保费用，否则采购人有权自行委托设备制造商，所产生费用由成交供应商承担，在结算价款中扣除。</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rPr>
          <w:highlight w:val="none"/>
        </w:rPr>
      </w:r>
      <w:r/>
    </w:p>
    <w:p>
      <w:pPr>
        <w:ind w:left="479" w:firstLine="65"/>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设备安装调试经验收合格后，经审计票据齐全后一次性支付至审计金额的100%。</w:t>
      </w:r>
      <w:r>
        <w:rPr>
          <w:highlight w:val="none"/>
        </w:rPr>
      </w:r>
      <w:r/>
    </w:p>
    <w:p>
      <w:pPr>
        <w:ind w:left="479" w:firstLine="6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2、履约保证金</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本项目收取履约保证金，金额为合同金额的10%。</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（1）中标人应当以支票、汇票、本票或者金融机构、担保机构出具的保函等非现金形式在合同签订前提交。</w:t>
      </w:r>
      <w:r>
        <w:rPr>
          <w:highlight w:val="none"/>
        </w:rPr>
      </w:r>
      <w:r/>
    </w:p>
    <w:p>
      <w:pPr>
        <w:ind w:firstLine="482"/>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rPr>
          <w:highlight w:val="none"/>
        </w:rPr>
      </w:r>
      <w:bookmarkEnd w:id="10"/>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2、特别提醒供应商：应根据国家收费标准并结合市场实际进行报价，总价包干。</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5"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5"/>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rPr>
          <w:highlight w:val="none"/>
        </w:rPr>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rPr>
          <w:highlight w:val="none"/>
        </w:rPr>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rPr>
          <w:highlight w:val="none"/>
        </w:rPr>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（2）</w:t>
      </w:r>
      <w:r>
        <w:rPr>
          <w:rFonts w:hint="eastAsia"/>
          <w:sz w:val="24"/>
          <w:highlight w:val="none"/>
        </w:rPr>
        <w:t xml:space="preserve">技术</w:t>
      </w:r>
      <w:r>
        <w:rPr>
          <w:sz w:val="24"/>
          <w:highlight w:val="none"/>
        </w:rPr>
        <w:t xml:space="preserve">分（</w:t>
      </w:r>
      <w:r>
        <w:rPr>
          <w:rFonts w:hint="eastAsia"/>
          <w:sz w:val="24"/>
          <w:highlight w:val="none"/>
        </w:rPr>
        <w:t xml:space="preserve">22</w:t>
      </w:r>
      <w:r>
        <w:rPr>
          <w:sz w:val="24"/>
          <w:highlight w:val="none"/>
        </w:rPr>
        <w:t xml:space="preserve">分）</w:t>
      </w:r>
      <w:r>
        <w:rPr>
          <w:highlight w:val="none"/>
        </w:rPr>
      </w:r>
      <w:r/>
    </w:p>
    <w:tbl>
      <w:tblPr>
        <w:tblStyle w:val="73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rPr>
                <w:highlight w:val="none"/>
              </w:rPr>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cs="宋体"/>
                <w:sz w:val="24"/>
                <w:szCs w:val="24"/>
                <w:highlight w:val="none"/>
              </w:rPr>
              <w:t xml:space="preserve">产品质量、性能整体方案</w:t>
            </w:r>
            <w:r>
              <w:rPr>
                <w:rFonts w:hint="eastAsia" w:ascii="宋体" w:hAnsi="宋体" w:cs="宋体"/>
                <w:sz w:val="24"/>
                <w:szCs w:val="24"/>
                <w:highlight w:val="none"/>
              </w:rPr>
              <w:t xml:space="preserve">（</w:t>
            </w:r>
            <w:r>
              <w:rPr>
                <w:rFonts w:ascii="宋体" w:hAnsi="宋体" w:cs="宋体"/>
                <w:sz w:val="24"/>
                <w:szCs w:val="24"/>
                <w:highlight w:val="none"/>
              </w:rPr>
              <w:t xml:space="preserve">8分</w:t>
            </w:r>
            <w:r>
              <w:rPr>
                <w:rFonts w:hint="eastAsia" w:ascii="宋体" w:hAnsi="宋体" w:cs="宋体"/>
                <w:sz w:val="24"/>
                <w:szCs w:val="24"/>
                <w:highlight w:val="none"/>
              </w:rPr>
              <w:t xml:space="preserve">）</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highlight w:val="none"/>
              </w:rPr>
              <w:t xml:space="preserve">情况</w:t>
            </w:r>
            <w:r>
              <w:rPr>
                <w:rFonts w:ascii="宋体" w:hAnsi="宋体" w:cs="宋体"/>
                <w:color w:val="auto"/>
                <w:sz w:val="24"/>
                <w:highlight w:val="none"/>
              </w:rPr>
              <w:t xml:space="preserve">等）等产品质量性能参数。评委根据投标人所投产品的整体配置选型情况进行打分：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highlight w:val="none"/>
              </w:rPr>
              <w:t xml:space="preserve">案例</w:t>
            </w:r>
            <w:r>
              <w:rPr>
                <w:rFonts w:ascii="宋体" w:hAnsi="宋体" w:cs="宋体"/>
                <w:color w:val="auto"/>
                <w:sz w:val="24"/>
                <w:highlight w:val="none"/>
              </w:rPr>
              <w:t xml:space="preserve">，确保能够保持稳定的运行状态。产品性能成熟度方面，该产品在市场上稳定性，其产品在性能、质量、可靠性等方面均得到了认可和好评，得8分。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rPr>
              <w:t xml:space="preserve">7</w:t>
            </w:r>
            <w:r>
              <w:rPr>
                <w:rFonts w:ascii="宋体" w:hAnsi="宋体" w:cs="宋体"/>
                <w:color w:val="auto"/>
                <w:sz w:val="24"/>
                <w:highlight w:val="none"/>
              </w:rPr>
              <w:t xml:space="preserve">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rPr>
              <w:t xml:space="preserve">6</w:t>
            </w:r>
            <w:r>
              <w:rPr>
                <w:rFonts w:ascii="宋体" w:hAnsi="宋体" w:cs="宋体"/>
                <w:color w:val="auto"/>
                <w:sz w:val="24"/>
                <w:highlight w:val="none"/>
              </w:rPr>
              <w:t xml:space="preserve">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rPr>
              <w:t xml:space="preserve">5</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rPr>
              <w:t xml:space="preserve">4</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rPr>
              <w:t xml:space="preserve">3</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rPr>
              <w:t xml:space="preserve">2</w:t>
            </w:r>
            <w:r>
              <w:rPr>
                <w:rFonts w:ascii="宋体" w:hAnsi="宋体" w:cs="宋体"/>
                <w:color w:val="auto"/>
                <w:sz w:val="24"/>
                <w:highlight w:val="none"/>
              </w:rPr>
              <w:t xml:space="preserve">分</w:t>
            </w:r>
            <w:r>
              <w:rPr>
                <w:rFonts w:hint="eastAsia" w:ascii="宋体" w:hAnsi="宋体" w:cs="宋体"/>
                <w:color w:val="auto"/>
                <w:sz w:val="24"/>
                <w:highlight w:val="none"/>
              </w:rPr>
              <w:t xml:space="preserve">。</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rPr>
              <w:t xml:space="preserve">未提供不得分。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售后服务方案（7分）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3"/>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1、售后服务方案细致完整、针对性强、措施有力，方案的贯彻应能满足本项目各项服务要求，方案内容描述全面合理符合采购需求的得7分；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2、售后服务方案较细致完整，具有较强针对性，措施较为有力，方案的贯彻基本能满足本项目各项服务要求，方案内容描述较全面合理，基本符合采购需求的得6分；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3、售后服务方案基本完整，具有一定针对性，措施基本可行，方案的贯彻能基本满足主要服务要求，方案内容描述基本合理，但部分细节不够具体或略有欠缺的得5分；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4、售后服务方案完整性不足，针对性一般，措施不够得力，方案的贯彻不能完全满足各项服务要求，方案内容描述有较多疏漏，合理性较差的得4分；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5、售后服务方案较为粗略，缺乏针对性，措施乏力或流于形式，方案的贯彻难以有效满足服务要求，方案内容描述粗浅，多处关键内容缺失，不符合采购需求的得3分；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rPr>
              <w:t xml:space="preserve">6、售后服务方案严重缺失，内容空泛或与项目无关，无具体针对性，无实质措施，方案的贯彻无法满足基本服务要求，方案内容描述混乱或基本未响应的得2分。</w:t>
            </w:r>
            <w:r>
              <w:rPr>
                <w:highlight w:val="none"/>
              </w:rPr>
            </w:r>
            <w:r/>
          </w:p>
          <w:p>
            <w:pPr>
              <w:pStyle w:val="933"/>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培训方案（7分）</w:t>
            </w:r>
            <w:r>
              <w:rPr>
                <w:highlight w:val="none"/>
              </w:rPr>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1、</w:t>
            </w:r>
            <w:r>
              <w:rPr>
                <w:rFonts w:hint="eastAsia" w:ascii="宋体" w:hAnsi="宋体" w:cs="宋体"/>
                <w:sz w:val="24"/>
                <w:szCs w:val="24"/>
                <w:highlight w:val="none"/>
              </w:rPr>
              <w:t xml:space="preserve">培训方案完整，详细，针对性强、贯彻各项服务要求、</w:t>
            </w:r>
            <w:r>
              <w:rPr>
                <w:rFonts w:hint="eastAsia" w:ascii="宋体" w:hAnsi="宋体" w:cs="宋体"/>
                <w:sz w:val="24"/>
                <w:highlight w:val="none"/>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highlight w:val="none"/>
              </w:rPr>
              <w:t xml:space="preserve">的得7分；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3、培训方案基本完整，针对性一般，能基本满足服务要求，培训内容安排基本符合货物特点，师资力量及经验尚可，有基本的课程时间安排和效果评价框架的得5分；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4、培训方案完整性不足，针对性不强，对服务要求的贯彻不够全面，培训内容与货物特点关联不紧密，师资经验或配备不足，课程安排粗略，效果评价计划简单或可操作性较差的得4分；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5、培训方案较粗略，缺乏针对性，未能有效响应服务要求，培训内容未体现货物特点，师资力量薄弱或未明确，课程安排混乱或缺失，效果评价计划不具可行性的得3分；</w:t>
            </w:r>
            <w:r>
              <w:rPr>
                <w:highlight w:val="none"/>
              </w:rPr>
            </w:r>
            <w:r/>
          </w:p>
          <w:p>
            <w:pPr>
              <w:jc w:val="left"/>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6、培训方案严重缺失，几乎无针对性，未体现对服务要求的响应，培训内容与货物基本无关，无实质师资和人次说明，无明确课程安排，无效果评价计划的得2分。</w:t>
            </w:r>
            <w:r>
              <w:rPr>
                <w:highlight w:val="none"/>
              </w:rPr>
            </w:r>
            <w:r/>
          </w:p>
          <w:p>
            <w:pPr>
              <w:jc w:val="left"/>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highlight w:val="none"/>
              </w:rPr>
              <w:t xml:space="preserve">未提供不得分。</w:t>
            </w:r>
            <w:r>
              <w:rPr>
                <w:highlight w:val="none"/>
              </w:rPr>
            </w:r>
            <w:r/>
          </w:p>
        </w:tc>
      </w:tr>
    </w:tbl>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r>
      <w:r>
        <w:rPr>
          <w:highlight w:val="none"/>
        </w:rPr>
      </w:r>
      <w:r/>
    </w:p>
    <w:p>
      <w:pPr>
        <w:ind w:firstLine="480"/>
        <w:spacing w:line="500" w:lineRule="exact"/>
        <w:rPr>
          <w:sz w:val="24"/>
          <w:highlight w:val="none"/>
        </w:rPr>
        <w:pBdr>
          <w:top w:val="none" w:color="auto" w:sz="0" w:space="1"/>
          <w:left w:val="none" w:color="auto" w:sz="0" w:space="4"/>
          <w:bottom w:val="none" w:color="auto" w:sz="0" w:space="1"/>
          <w:right w:val="none" w:color="auto" w:sz="0" w:space="4"/>
        </w:pBdr>
      </w:pPr>
      <w:r>
        <w:rPr>
          <w:sz w:val="24"/>
          <w:highlight w:val="none"/>
        </w:rPr>
        <w:t xml:space="preserve">（3）</w:t>
      </w:r>
      <w:r>
        <w:rPr>
          <w:rFonts w:hint="eastAsia"/>
          <w:sz w:val="24"/>
          <w:highlight w:val="none"/>
        </w:rPr>
        <w:t xml:space="preserve">商务</w:t>
      </w:r>
      <w:r>
        <w:rPr>
          <w:sz w:val="24"/>
          <w:highlight w:val="none"/>
        </w:rPr>
        <w:t xml:space="preserve">分（48分）</w:t>
      </w:r>
      <w:r>
        <w:rPr>
          <w:highlight w:val="none"/>
        </w:rPr>
      </w:r>
      <w:r/>
    </w:p>
    <w:tbl>
      <w:tblPr>
        <w:tblStyle w:val="732"/>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评审细则</w:t>
            </w:r>
            <w:r>
              <w:rPr>
                <w:highlight w:val="none"/>
              </w:rPr>
            </w:r>
            <w:r/>
          </w:p>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及分值</w:t>
            </w:r>
            <w:r>
              <w:rPr>
                <w:highlight w:val="none"/>
              </w:rPr>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highlight w:val="none"/>
              </w:rPr>
              <w:pBdr>
                <w:top w:val="none" w:color="auto" w:sz="0" w:space="1"/>
                <w:left w:val="none" w:color="auto" w:sz="0" w:space="4"/>
                <w:bottom w:val="none" w:color="auto" w:sz="0" w:space="1"/>
                <w:right w:val="none" w:color="auto" w:sz="0" w:space="4"/>
              </w:pBdr>
            </w:pPr>
            <w:r>
              <w:rPr>
                <w:rFonts w:ascii="宋体" w:hAnsi="宋体" w:cs="宋体"/>
                <w:b/>
                <w:bCs/>
                <w:sz w:val="24"/>
                <w:highlight w:val="none"/>
              </w:rPr>
              <w:t xml:space="preserve">评审标准</w:t>
            </w:r>
            <w:r>
              <w:rPr>
                <w:highlight w:val="none"/>
              </w:rPr>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技术指标性能响应（4</w:t>
            </w:r>
            <w:r>
              <w:rPr>
                <w:rFonts w:hint="eastAsia" w:ascii="宋体" w:hAnsi="宋体" w:cs="宋体"/>
                <w:sz w:val="24"/>
                <w:highlight w:val="none"/>
              </w:rPr>
              <w:t xml:space="preserve">5</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完全满足采购文件技术参数要求的得45分；在此基础上，采购文件中标注“▲”的为重要参数，对这些重要参数负偏离的，每项扣5分；其他非重要参数负偏离的，每项扣0.</w:t>
            </w:r>
            <w:r>
              <w:rPr>
                <w:rFonts w:hint="eastAsia" w:ascii="宋体" w:hAnsi="宋体" w:cs="宋体"/>
                <w:sz w:val="24"/>
                <w:highlight w:val="none"/>
              </w:rPr>
              <w:t xml:space="preserve">1</w:t>
            </w:r>
            <w:r>
              <w:rPr>
                <w:rFonts w:ascii="宋体" w:hAnsi="宋体" w:cs="宋体"/>
                <w:sz w:val="24"/>
                <w:highlight w:val="none"/>
              </w:rPr>
              <w:t xml:space="preserve">分，扣完为止。缺项漏项视为负偏离。</w:t>
            </w:r>
            <w:r>
              <w:rPr>
                <w:highlight w:val="none"/>
              </w:rPr>
            </w:r>
            <w:r/>
          </w:p>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r>
            <w:r>
              <w:rPr>
                <w:rFonts w:ascii="SimSun" w:hAnsi="SimSun" w:eastAsia="SimSun" w:cs="SimSun"/>
                <w:b/>
                <w:color w:val="000000"/>
                <w:sz w:val="24"/>
              </w:rPr>
              <w:t xml:space="preserve">注：招标文件要求提供技术内容支撑资料的应完整，完善，无遗漏地提供，否则视为未响应。</w:t>
            </w:r>
            <w:r>
              <w:rPr>
                <w:rFonts w:ascii="宋体" w:hAnsi="宋体" w:cs="宋体"/>
                <w:sz w:val="24"/>
                <w:highlight w:val="none"/>
              </w:rPr>
            </w:r>
            <w:r>
              <w:rPr>
                <w:highlight w:val="none"/>
              </w:rPr>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类似项目业绩（</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highlight w:val="none"/>
              </w:rPr>
              <w:pBdr>
                <w:top w:val="none" w:color="auto" w:sz="0" w:space="1"/>
                <w:left w:val="none" w:color="auto" w:sz="0" w:space="4"/>
                <w:bottom w:val="none" w:color="auto" w:sz="0" w:space="1"/>
                <w:right w:val="none" w:color="auto" w:sz="0" w:space="4"/>
              </w:pBdr>
            </w:pPr>
            <w:r>
              <w:rPr>
                <w:rFonts w:ascii="宋体" w:hAnsi="宋体" w:cs="宋体"/>
                <w:sz w:val="24"/>
                <w:highlight w:val="none"/>
              </w:rPr>
              <w:t xml:space="preserve">所投同类型产品2023年1月1日以来的业绩，每提供一份业绩得1</w:t>
            </w:r>
            <w:r>
              <w:rPr>
                <w:rFonts w:hint="eastAsia" w:ascii="宋体" w:hAnsi="宋体" w:cs="宋体"/>
                <w:sz w:val="24"/>
                <w:highlight w:val="none"/>
              </w:rPr>
              <w:t xml:space="preserve">.5</w:t>
            </w:r>
            <w:r>
              <w:rPr>
                <w:rFonts w:ascii="宋体" w:hAnsi="宋体" w:cs="宋体"/>
                <w:sz w:val="24"/>
                <w:highlight w:val="none"/>
              </w:rPr>
              <w:t xml:space="preserve">分，最多得</w:t>
            </w:r>
            <w:r>
              <w:rPr>
                <w:rFonts w:hint="eastAsia" w:ascii="宋体" w:hAnsi="宋体" w:cs="宋体"/>
                <w:sz w:val="24"/>
                <w:highlight w:val="none"/>
              </w:rPr>
              <w:t xml:space="preserve">3</w:t>
            </w:r>
            <w:r>
              <w:rPr>
                <w:rFonts w:ascii="宋体" w:hAnsi="宋体" w:cs="宋体"/>
                <w:sz w:val="24"/>
                <w:highlight w:val="none"/>
              </w:rPr>
              <w:t xml:space="preserve">分</w:t>
            </w:r>
            <w:r>
              <w:rPr>
                <w:highlight w:val="none"/>
              </w:rPr>
            </w:r>
            <w:r/>
          </w:p>
          <w:p>
            <w:pPr>
              <w:spacing w:line="360" w:lineRule="auto"/>
              <w:rPr>
                <w:rFonts w:ascii="MS Mincho"/>
                <w:highlight w:val="none"/>
              </w:rPr>
              <w:pBdr>
                <w:top w:val="none" w:color="auto" w:sz="0" w:space="1"/>
                <w:left w:val="none" w:color="auto" w:sz="0" w:space="4"/>
                <w:bottom w:val="none" w:color="auto" w:sz="0" w:space="1"/>
                <w:right w:val="none" w:color="auto" w:sz="0" w:space="4"/>
              </w:pBdr>
            </w:pPr>
            <w:r>
              <w:rPr>
                <w:rFonts w:hint="eastAsia" w:ascii="宋体" w:hAnsi="宋体" w:cs="宋体"/>
                <w:sz w:val="24"/>
                <w:highlight w:val="none"/>
              </w:rPr>
              <w:t xml:space="preserve">注：</w:t>
            </w:r>
            <w:r>
              <w:rPr>
                <w:rFonts w:ascii="宋体" w:hAnsi="宋体" w:cs="宋体"/>
                <w:sz w:val="24"/>
                <w:highlight w:val="none"/>
              </w:rPr>
              <w:t xml:space="preserve">提供合同扫描件加盖供应商公章,时间以合同所示时间为准</w:t>
            </w:r>
            <w:r>
              <w:rPr>
                <w:rFonts w:hint="eastAsia" w:ascii="宋体" w:hAnsi="宋体" w:cs="宋体"/>
                <w:sz w:val="24"/>
                <w:highlight w:val="none"/>
              </w:rPr>
              <w:t xml:space="preserve">。</w:t>
            </w:r>
            <w:r>
              <w:rPr>
                <w:highlight w:val="none"/>
              </w:rPr>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pStyle w:val="928"/>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highlight w:val="none"/>
        </w:rPr>
      </w:r>
      <w:bookmarkStart w:id="16" w:name="_Toc165205799"/>
      <w:r>
        <w:rPr>
          <w:rFonts w:hint="eastAsia" w:ascii="黑体" w:hAnsi="黑体" w:eastAsia="黑体"/>
          <w:b w:val="0"/>
          <w:highlight w:val="none"/>
        </w:rPr>
        <w:t xml:space="preserve">第六章  投标文件格式</w:t>
      </w:r>
      <w:bookmarkEnd w:id="16"/>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rPr>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rPr>
          <w:highlight w:val="none"/>
        </w:rPr>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highlight w:val="none"/>
        </w:rPr>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rPr>
          <w:highlight w:val="none"/>
        </w:rPr>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rPr>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rPr>
          <w:highlight w:val="none"/>
        </w:rPr>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rPr>
          <w:highlight w:val="none"/>
        </w:rPr>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rPr>
          <w:highlight w:val="none"/>
        </w:rPr>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rPr>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rPr>
          <w:highlight w:val="none"/>
        </w:rPr>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rPr>
          <w:highlight w:val="none"/>
        </w:rPr>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rPr>
          <w:highlight w:val="none"/>
        </w:rPr>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rPr>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rPr>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rPr>
          <w:highlight w:val="none"/>
        </w:rPr>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rPr>
          <w:highlight w:val="none"/>
        </w:rPr>
      </w:r>
      <w:r/>
    </w:p>
    <w:tbl>
      <w:tblPr>
        <w:tblStyle w:val="7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rPr>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rPr>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rPr>
          <w:highlight w:val="none"/>
        </w:rPr>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rPr>
          <w:highlight w:val="none"/>
        </w:rPr>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rPr>
          <w:highlight w:val="none"/>
        </w:rPr>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rPr>
          <w:highlight w:val="none"/>
        </w:rPr>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rPr>
          <w:highlight w:val="none"/>
        </w:rPr>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rPr>
          <w:highlight w:val="none"/>
        </w:rPr>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rPr>
          <w:highlight w:val="none"/>
        </w:rPr>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rPr>
          <w:highlight w:val="none"/>
        </w:rPr>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rPr>
          <w:highlight w:val="none"/>
        </w:rPr>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rPr>
          <w:highlight w:val="none"/>
        </w:rPr>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rPr>
          <w:highlight w:val="none"/>
        </w:rPr>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rPr>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rPr>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rPr>
          <w:highlight w:val="none"/>
        </w:rPr>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rPr>
                <w:highlight w:val="none"/>
              </w:rPr>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rPr>
                <w:highlight w:val="none"/>
              </w:rPr>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rPr>
                <w:highlight w:val="none"/>
              </w:rPr>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rPr>
                <w:highlight w:val="none"/>
              </w:rPr>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rPr>
                <w:highlight w:val="none"/>
              </w:rPr>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rPr>
                <w:highlight w:val="none"/>
              </w:rPr>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rPr>
                <w:highlight w:val="none"/>
              </w:rPr>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rPr>
                <w:highlight w:val="none"/>
              </w:rPr>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rPr>
                <w:highlight w:val="none"/>
              </w:rPr>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rPr>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rPr>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rPr>
          <w:highlight w:val="none"/>
        </w:rPr>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rPr>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2、以上报价包含货物费用、运杂费、安装施工费、集成费、税金、制造商保修费用和其他费用。</w:t>
      </w:r>
      <w:r>
        <w:rPr>
          <w:highlight w:val="none"/>
        </w:rPr>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rPr>
          <w:highlight w:val="none"/>
        </w:rPr>
      </w:r>
      <w:r/>
    </w:p>
    <w:p>
      <w:pPr>
        <w:ind w:firstLine="420"/>
        <w:spacing w:line="360" w:lineRule="auto"/>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4、行数或事项不够，可自行增加</w:t>
      </w:r>
      <w:r>
        <w:rPr>
          <w:rFonts w:hint="eastAsia" w:ascii="Times New Roman" w:hAnsi="宋体"/>
          <w:color w:val="000000"/>
          <w:szCs w:val="24"/>
          <w:highlight w:val="none"/>
        </w:rPr>
        <w:t xml:space="preserve">。</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rPr>
          <w:highlight w:val="none"/>
        </w:rPr>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highlight w:val="none"/>
        </w:rPr>
      </w:r>
      <w:bookmarkStart w:id="17" w:name="_Hlt26955054"/>
      <w:r>
        <w:rPr>
          <w:highlight w:val="none"/>
        </w:rPr>
      </w:r>
      <w:bookmarkEnd w:id="17"/>
      <w:r>
        <w:rPr>
          <w:rFonts w:hint="eastAsia" w:ascii="Arial" w:hAnsi="Arial" w:cs="Arial"/>
          <w:i/>
          <w:iCs/>
          <w:sz w:val="36"/>
          <w:highlight w:val="none"/>
          <w:u w:val="single"/>
        </w:rPr>
        <w:t xml:space="preserve">十六、商务要求响应及偏离表（分包号：**）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highlight w:val="none"/>
              </w:rPr>
            </w:r>
            <w:bookmarkStart w:id="18" w:name="_Hlt26782999"/>
            <w:r>
              <w:rPr>
                <w:highlight w:val="none"/>
              </w:rPr>
            </w:r>
            <w:bookmarkEnd w:id="18"/>
            <w:r>
              <w:rPr>
                <w:highlight w:val="none"/>
              </w:rPr>
            </w:r>
            <w:bookmarkStart w:id="19" w:name="_Hlt26580838"/>
            <w:r>
              <w:rPr>
                <w:highlight w:val="none"/>
              </w:rPr>
            </w:r>
            <w:bookmarkEnd w:id="19"/>
            <w:r>
              <w:rPr>
                <w:highlight w:val="none"/>
              </w:rPr>
            </w:r>
            <w:bookmarkStart w:id="20" w:name="_Hlt26671372"/>
            <w:r>
              <w:rPr>
                <w:highlight w:val="none"/>
              </w:rPr>
            </w:r>
            <w:bookmarkEnd w:id="20"/>
            <w:r>
              <w:rPr>
                <w:highlight w:val="none"/>
              </w:rPr>
            </w:r>
            <w:bookmarkStart w:id="21" w:name="_Hlt24879081"/>
            <w:r>
              <w:rPr>
                <w:highlight w:val="none"/>
              </w:rPr>
            </w:r>
            <w:bookmarkEnd w:id="21"/>
            <w:r>
              <w:rPr>
                <w:highlight w:val="none"/>
              </w:rPr>
            </w:r>
            <w:bookmarkStart w:id="22" w:name="_Hlt26955064"/>
            <w:r>
              <w:rPr>
                <w:highlight w:val="none"/>
              </w:rPr>
            </w:r>
            <w:bookmarkEnd w:id="22"/>
            <w:r>
              <w:rPr>
                <w:highlight w:val="none"/>
              </w:rPr>
            </w:r>
            <w:bookmarkStart w:id="23" w:name="_Hlt26609391"/>
            <w:r>
              <w:rPr>
                <w:highlight w:val="none"/>
              </w:rPr>
            </w:r>
            <w:bookmarkEnd w:id="23"/>
            <w:r>
              <w:rPr>
                <w:highlight w:val="none"/>
              </w:rPr>
            </w:r>
            <w:bookmarkStart w:id="24" w:name="_Hlt26671343"/>
            <w:r>
              <w:rPr>
                <w:highlight w:val="none"/>
              </w:rPr>
            </w:r>
            <w:bookmarkEnd w:id="24"/>
            <w:r>
              <w:rPr>
                <w:highlight w:val="none"/>
              </w:rPr>
            </w:r>
            <w:bookmarkStart w:id="25" w:name="_Hlt26955056"/>
            <w:r>
              <w:rPr>
                <w:highlight w:val="none"/>
              </w:rPr>
            </w:r>
            <w:bookmarkEnd w:id="25"/>
            <w:r>
              <w:rPr>
                <w:rFonts w:hint="eastAsia" w:ascii="宋体" w:hAnsi="宋体"/>
                <w:color w:val="000000"/>
                <w:sz w:val="24"/>
                <w:szCs w:val="24"/>
                <w:highlight w:val="none"/>
              </w:rPr>
              <w:t xml:space="preserve">序号</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bookmarkStart w:id="26" w:name="_Hlt26671374"/>
      <w:r>
        <w:rPr>
          <w:highlight w:val="none"/>
        </w:rPr>
      </w:r>
      <w:bookmarkEnd w:id="26"/>
      <w:r>
        <w:rPr>
          <w:highlight w:val="none"/>
        </w:rPr>
      </w:r>
      <w:bookmarkStart w:id="27" w:name="_格式2__法定代表人授权书"/>
      <w:r>
        <w:rPr>
          <w:highlight w:val="none"/>
        </w:rPr>
      </w:r>
      <w:bookmarkEnd w:id="27"/>
      <w:r>
        <w:rPr>
          <w:highlight w:val="none"/>
        </w:rPr>
      </w:r>
      <w:bookmarkStart w:id="28" w:name="_Hlt26609389"/>
      <w:r>
        <w:rPr>
          <w:highlight w:val="none"/>
        </w:rPr>
      </w:r>
      <w:bookmarkEnd w:id="28"/>
      <w:r>
        <w:rPr>
          <w:highlight w:val="none"/>
        </w:rPr>
      </w:r>
      <w:bookmarkStart w:id="29" w:name="_Hlt26955066"/>
      <w:r>
        <w:rPr>
          <w:highlight w:val="none"/>
        </w:rPr>
      </w:r>
      <w:bookmarkEnd w:id="29"/>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rPr>
                <w:highlight w:val="none"/>
              </w:rPr>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rPr>
          <w:highlight w:val="none"/>
        </w:rPr>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rPr>
          <w:highlight w:val="none"/>
        </w:rPr>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rPr>
          <w:highlight w:val="none"/>
        </w:rPr>
      </w:r>
      <w:r/>
    </w:p>
    <w:tbl>
      <w:tblPr>
        <w:tblStyle w:val="73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rPr>
                <w:highlight w:val="none"/>
              </w:rPr>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highlight w:val="none"/>
        </w:rPr>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rPr>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rPr>
          <w:highlight w:val="none"/>
        </w:rPr>
      </w:r>
      <w:r/>
    </w:p>
    <w:tbl>
      <w:tblPr>
        <w:tblStyle w:val="73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rPr>
                <w:highlight w:val="none"/>
              </w:rPr>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rPr>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rPr>
          <w:highlight w:val="none"/>
        </w:rPr>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rPr>
          <w:highlight w:val="none"/>
        </w:rPr>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rPr>
          <w:highlight w:val="non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rPr>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rPr>
          <w:highlight w:val="none"/>
        </w:rPr>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rPr>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rPr>
          <w:highlight w:val="none"/>
        </w:rPr>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rPr>
          <w:highlight w:val="none"/>
        </w:rPr>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rPr>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rPr>
          <w:highlight w:val="none"/>
        </w:rPr>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rPr>
          <w:highlight w:val="none"/>
        </w:rPr>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rPr>
          <w:highlight w:val="none"/>
        </w:rPr>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2">
    <w:name w:val="Heading 1"/>
    <w:basedOn w:val="721"/>
    <w:next w:val="721"/>
    <w:link w:val="799"/>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800"/>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33"/>
    <w:link w:val="801"/>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802"/>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03"/>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804"/>
    <w:uiPriority w:val="9"/>
    <w:unhideWhenUsed/>
    <w:qFormat/>
    <w:pPr>
      <w:keepLines/>
      <w:keepNext/>
      <w:spacing w:before="320" w:after="200"/>
      <w:outlineLvl w:val="5"/>
    </w:pPr>
    <w:rPr>
      <w:rFonts w:ascii="Arial" w:hAnsi="Arial" w:eastAsia="Arial" w:cs="Arial"/>
      <w:b/>
      <w:bCs/>
      <w:sz w:val="22"/>
    </w:rPr>
  </w:style>
  <w:style w:type="paragraph" w:styleId="728">
    <w:name w:val="Heading 7"/>
    <w:basedOn w:val="721"/>
    <w:next w:val="721"/>
    <w:link w:val="805"/>
    <w:uiPriority w:val="9"/>
    <w:unhideWhenUsed/>
    <w:qFormat/>
    <w:pPr>
      <w:keepLines/>
      <w:keepNext/>
      <w:spacing w:before="320" w:after="200"/>
      <w:outlineLvl w:val="6"/>
    </w:pPr>
    <w:rPr>
      <w:rFonts w:ascii="Arial" w:hAnsi="Arial" w:eastAsia="Arial" w:cs="Arial"/>
      <w:b/>
      <w:bCs/>
      <w:i/>
      <w:iCs/>
      <w:sz w:val="22"/>
    </w:rPr>
  </w:style>
  <w:style w:type="paragraph" w:styleId="729">
    <w:name w:val="Heading 8"/>
    <w:basedOn w:val="721"/>
    <w:next w:val="721"/>
    <w:link w:val="806"/>
    <w:uiPriority w:val="9"/>
    <w:unhideWhenUsed/>
    <w:qFormat/>
    <w:pPr>
      <w:keepLines/>
      <w:keepNext/>
      <w:spacing w:before="320" w:after="200"/>
      <w:outlineLvl w:val="7"/>
    </w:pPr>
    <w:rPr>
      <w:rFonts w:ascii="Arial" w:hAnsi="Arial" w:eastAsia="Arial" w:cs="Arial"/>
      <w:i/>
      <w:iCs/>
      <w:sz w:val="22"/>
    </w:rPr>
  </w:style>
  <w:style w:type="paragraph" w:styleId="730">
    <w:name w:val="Heading 9"/>
    <w:basedOn w:val="721"/>
    <w:next w:val="721"/>
    <w:link w:val="807"/>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99"/>
    <w:unhideWhenUsed/>
    <w:qFormat/>
    <w:pPr>
      <w:ind w:firstLine="420"/>
    </w:pPr>
  </w:style>
  <w:style w:type="paragraph" w:styleId="734">
    <w:name w:val="toc 7"/>
    <w:basedOn w:val="721"/>
    <w:next w:val="721"/>
    <w:uiPriority w:val="39"/>
    <w:unhideWhenUsed/>
    <w:qFormat/>
    <w:pPr>
      <w:ind w:left="1701"/>
      <w:spacing w:after="57"/>
    </w:pPr>
  </w:style>
  <w:style w:type="paragraph" w:styleId="735">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1"/>
    <w:uiPriority w:val="99"/>
    <w:semiHidden/>
    <w:unhideWhenUsed/>
    <w:qFormat/>
    <w:pPr>
      <w:jc w:val="left"/>
    </w:pPr>
  </w:style>
  <w:style w:type="paragraph" w:styleId="737">
    <w:name w:val="Body Text"/>
    <w:basedOn w:val="721"/>
    <w:next w:val="721"/>
    <w:uiPriority w:val="0"/>
    <w:qFormat/>
    <w:rPr>
      <w:rFonts w:ascii="金山简黑体" w:hAnsi="Courier New" w:eastAsia="金山简黑体"/>
      <w:b/>
      <w:spacing w:val="-8"/>
      <w:sz w:val="44"/>
      <w:szCs w:val="20"/>
    </w:rPr>
  </w:style>
  <w:style w:type="paragraph" w:styleId="738">
    <w:name w:val="Body Text Indent"/>
    <w:basedOn w:val="721"/>
    <w:uiPriority w:val="0"/>
    <w:qFormat/>
    <w:pPr>
      <w:ind w:left="420"/>
      <w:spacing w:after="120"/>
    </w:pPr>
  </w:style>
  <w:style w:type="paragraph" w:styleId="739">
    <w:name w:val="toc 5"/>
    <w:basedOn w:val="721"/>
    <w:next w:val="721"/>
    <w:uiPriority w:val="39"/>
    <w:unhideWhenUsed/>
    <w:qFormat/>
    <w:pPr>
      <w:ind w:left="1134"/>
      <w:spacing w:after="57"/>
    </w:pPr>
  </w:style>
  <w:style w:type="paragraph" w:styleId="740">
    <w:name w:val="toc 3"/>
    <w:basedOn w:val="721"/>
    <w:next w:val="721"/>
    <w:uiPriority w:val="39"/>
    <w:unhideWhenUsed/>
    <w:qFormat/>
    <w:pPr>
      <w:ind w:left="567"/>
      <w:spacing w:after="57"/>
    </w:pPr>
  </w:style>
  <w:style w:type="paragraph" w:styleId="741">
    <w:name w:val="toc 8"/>
    <w:basedOn w:val="721"/>
    <w:next w:val="721"/>
    <w:uiPriority w:val="39"/>
    <w:unhideWhenUsed/>
    <w:qFormat/>
    <w:pPr>
      <w:ind w:left="1984"/>
      <w:spacing w:after="57"/>
    </w:pPr>
  </w:style>
  <w:style w:type="paragraph" w:styleId="742">
    <w:name w:val="Date"/>
    <w:basedOn w:val="721"/>
    <w:next w:val="721"/>
    <w:uiPriority w:val="0"/>
    <w:qFormat/>
    <w:rPr>
      <w:sz w:val="24"/>
      <w:szCs w:val="20"/>
    </w:rPr>
  </w:style>
  <w:style w:type="paragraph" w:styleId="743">
    <w:name w:val="endnote text"/>
    <w:basedOn w:val="721"/>
    <w:link w:val="926"/>
    <w:uiPriority w:val="99"/>
    <w:semiHidden/>
    <w:unhideWhenUsed/>
    <w:qFormat/>
    <w:rPr>
      <w:sz w:val="20"/>
    </w:rPr>
  </w:style>
  <w:style w:type="paragraph" w:styleId="744">
    <w:name w:val="Footer"/>
    <w:basedOn w:val="721"/>
    <w:link w:val="818"/>
    <w:uiPriority w:val="99"/>
    <w:unhideWhenUsed/>
    <w:qFormat/>
    <w:pPr>
      <w:tabs>
        <w:tab w:val="center" w:pos="7143" w:leader="none"/>
        <w:tab w:val="right" w:pos="14287" w:leader="none"/>
      </w:tabs>
    </w:pPr>
  </w:style>
  <w:style w:type="paragraph" w:styleId="745">
    <w:name w:val="Header"/>
    <w:basedOn w:val="721"/>
    <w:link w:val="816"/>
    <w:uiPriority w:val="99"/>
    <w:unhideWhenUsed/>
    <w:qFormat/>
    <w:pPr>
      <w:tabs>
        <w:tab w:val="center" w:pos="7143" w:leader="none"/>
        <w:tab w:val="right" w:pos="14287" w:leader="none"/>
      </w:tabs>
    </w:pPr>
  </w:style>
  <w:style w:type="paragraph" w:styleId="746">
    <w:name w:val="toc 1"/>
    <w:basedOn w:val="721"/>
    <w:next w:val="721"/>
    <w:uiPriority w:val="39"/>
    <w:unhideWhenUsed/>
    <w:qFormat/>
    <w:pPr>
      <w:spacing w:after="57"/>
    </w:pPr>
  </w:style>
  <w:style w:type="paragraph" w:styleId="747">
    <w:name w:val="toc 4"/>
    <w:basedOn w:val="721"/>
    <w:next w:val="721"/>
    <w:uiPriority w:val="39"/>
    <w:unhideWhenUsed/>
    <w:qFormat/>
    <w:pPr>
      <w:ind w:left="850"/>
      <w:spacing w:after="57"/>
    </w:pPr>
  </w:style>
  <w:style w:type="paragraph" w:styleId="748">
    <w:name w:val="Subtitle"/>
    <w:basedOn w:val="721"/>
    <w:next w:val="721"/>
    <w:link w:val="811"/>
    <w:uiPriority w:val="11"/>
    <w:qFormat/>
    <w:pPr>
      <w:spacing w:before="200" w:after="200"/>
    </w:pPr>
    <w:rPr>
      <w:sz w:val="24"/>
      <w:szCs w:val="24"/>
    </w:rPr>
  </w:style>
  <w:style w:type="paragraph" w:styleId="749">
    <w:name w:val="footnote text"/>
    <w:basedOn w:val="721"/>
    <w:link w:val="925"/>
    <w:uiPriority w:val="99"/>
    <w:semiHidden/>
    <w:unhideWhenUsed/>
    <w:qFormat/>
    <w:pPr>
      <w:spacing w:after="40"/>
    </w:pPr>
    <w:rPr>
      <w:sz w:val="18"/>
    </w:rPr>
  </w:style>
  <w:style w:type="paragraph" w:styleId="750">
    <w:name w:val="toc 6"/>
    <w:basedOn w:val="721"/>
    <w:next w:val="721"/>
    <w:uiPriority w:val="39"/>
    <w:unhideWhenUsed/>
    <w:qFormat/>
    <w:pPr>
      <w:ind w:left="1417"/>
      <w:spacing w:after="57"/>
    </w:pPr>
  </w:style>
  <w:style w:type="paragraph" w:styleId="751">
    <w:name w:val="table of figures"/>
    <w:basedOn w:val="721"/>
    <w:next w:val="721"/>
    <w:uiPriority w:val="99"/>
    <w:unhideWhenUsed/>
    <w:qFormat/>
  </w:style>
  <w:style w:type="paragraph" w:styleId="752">
    <w:name w:val="toc 2"/>
    <w:basedOn w:val="721"/>
    <w:next w:val="721"/>
    <w:uiPriority w:val="39"/>
    <w:unhideWhenUsed/>
    <w:qFormat/>
    <w:pPr>
      <w:ind w:left="283"/>
      <w:spacing w:after="57"/>
    </w:pPr>
  </w:style>
  <w:style w:type="paragraph" w:styleId="753">
    <w:name w:val="toc 9"/>
    <w:basedOn w:val="721"/>
    <w:next w:val="721"/>
    <w:uiPriority w:val="39"/>
    <w:unhideWhenUsed/>
    <w:qFormat/>
    <w:pPr>
      <w:ind w:left="2268"/>
      <w:spacing w:after="57"/>
    </w:pPr>
  </w:style>
  <w:style w:type="paragraph" w:styleId="754">
    <w:name w:val="Title"/>
    <w:basedOn w:val="721"/>
    <w:next w:val="721"/>
    <w:link w:val="810"/>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31"/>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uiPriority w:val="0"/>
    <w:qFormat/>
    <w:rPr>
      <w:rFonts w:ascii="Cambria Math" w:hAnsi="Cambria Math" w:eastAsia="等线 Light" w:cs="Cambria Math"/>
      <w:sz w:val="21"/>
      <w:szCs w:val="21"/>
    </w:rPr>
  </w:style>
  <w:style w:type="character" w:styleId="760">
    <w:name w:val="footnote reference"/>
    <w:uiPriority w:val="99"/>
    <w:unhideWhenUsed/>
    <w:qFormat/>
    <w:rPr>
      <w:vertAlign w:val="superscript"/>
    </w:rPr>
  </w:style>
  <w:style w:type="table" w:styleId="761"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3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3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73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73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0" w:customStyle="1">
    <w:name w:val="TOC 标题1"/>
    <w:uiPriority w:val="39"/>
    <w:unhideWhenUsed/>
    <w:qFormat/>
    <w:rPr>
      <w:rFonts w:ascii="Times New Roman" w:hAnsi="Times New Roman" w:eastAsia="宋体" w:cs="Times New Roman"/>
      <w:lang w:val="en-US" w:eastAsia="zh-CN" w:bidi="ar-SA"/>
    </w:rPr>
  </w:style>
  <w:style w:type="character" w:styleId="781" w:customStyle="1">
    <w:name w:val="Heading 1 Char"/>
    <w:basedOn w:val="731"/>
    <w:uiPriority w:val="9"/>
    <w:qFormat/>
    <w:rPr>
      <w:rFonts w:ascii="Arial" w:hAnsi="Arial" w:eastAsia="Arial" w:cs="Arial"/>
      <w:sz w:val="40"/>
      <w:szCs w:val="40"/>
    </w:rPr>
  </w:style>
  <w:style w:type="character" w:styleId="782" w:customStyle="1">
    <w:name w:val="Heading 2 Char"/>
    <w:basedOn w:val="731"/>
    <w:uiPriority w:val="9"/>
    <w:qFormat/>
    <w:rPr>
      <w:rFonts w:ascii="Arial" w:hAnsi="Arial" w:eastAsia="Arial" w:cs="Arial"/>
      <w:sz w:val="34"/>
    </w:rPr>
  </w:style>
  <w:style w:type="character" w:styleId="783" w:customStyle="1">
    <w:name w:val="Heading 3 Char"/>
    <w:basedOn w:val="731"/>
    <w:uiPriority w:val="9"/>
    <w:qFormat/>
    <w:rPr>
      <w:rFonts w:ascii="Arial" w:hAnsi="Arial" w:eastAsia="Arial" w:cs="Arial"/>
      <w:sz w:val="30"/>
      <w:szCs w:val="30"/>
    </w:rPr>
  </w:style>
  <w:style w:type="character" w:styleId="784" w:customStyle="1">
    <w:name w:val="Heading 4 Char"/>
    <w:basedOn w:val="731"/>
    <w:uiPriority w:val="9"/>
    <w:qFormat/>
    <w:rPr>
      <w:rFonts w:ascii="Arial" w:hAnsi="Arial" w:eastAsia="Arial" w:cs="Arial"/>
      <w:b/>
      <w:bCs/>
      <w:sz w:val="26"/>
      <w:szCs w:val="26"/>
    </w:rPr>
  </w:style>
  <w:style w:type="character" w:styleId="785" w:customStyle="1">
    <w:name w:val="Heading 5 Char"/>
    <w:basedOn w:val="731"/>
    <w:uiPriority w:val="9"/>
    <w:qFormat/>
    <w:rPr>
      <w:rFonts w:ascii="Arial" w:hAnsi="Arial" w:eastAsia="Arial" w:cs="Arial"/>
      <w:b/>
      <w:bCs/>
      <w:sz w:val="24"/>
      <w:szCs w:val="24"/>
    </w:rPr>
  </w:style>
  <w:style w:type="character" w:styleId="786" w:customStyle="1">
    <w:name w:val="Heading 6 Char"/>
    <w:basedOn w:val="731"/>
    <w:uiPriority w:val="9"/>
    <w:qFormat/>
    <w:rPr>
      <w:rFonts w:ascii="Arial" w:hAnsi="Arial" w:eastAsia="Arial" w:cs="Arial"/>
      <w:b/>
      <w:bCs/>
      <w:sz w:val="22"/>
      <w:szCs w:val="22"/>
    </w:rPr>
  </w:style>
  <w:style w:type="character" w:styleId="787" w:customStyle="1">
    <w:name w:val="Heading 7 Char"/>
    <w:basedOn w:val="731"/>
    <w:uiPriority w:val="9"/>
    <w:qFormat/>
    <w:rPr>
      <w:rFonts w:ascii="Arial" w:hAnsi="Arial" w:eastAsia="Arial" w:cs="Arial"/>
      <w:b/>
      <w:bCs/>
      <w:i/>
      <w:iCs/>
      <w:sz w:val="22"/>
      <w:szCs w:val="22"/>
    </w:rPr>
  </w:style>
  <w:style w:type="character" w:styleId="788" w:customStyle="1">
    <w:name w:val="Heading 8 Char"/>
    <w:basedOn w:val="731"/>
    <w:uiPriority w:val="9"/>
    <w:qFormat/>
    <w:rPr>
      <w:rFonts w:ascii="Arial" w:hAnsi="Arial" w:eastAsia="Arial" w:cs="Arial"/>
      <w:i/>
      <w:iCs/>
      <w:sz w:val="22"/>
      <w:szCs w:val="22"/>
    </w:rPr>
  </w:style>
  <w:style w:type="character" w:styleId="789" w:customStyle="1">
    <w:name w:val="Heading 9 Char"/>
    <w:basedOn w:val="731"/>
    <w:uiPriority w:val="9"/>
    <w:qFormat/>
    <w:rPr>
      <w:rFonts w:ascii="Arial" w:hAnsi="Arial" w:eastAsia="Arial" w:cs="Arial"/>
      <w:i/>
      <w:iCs/>
      <w:sz w:val="21"/>
      <w:szCs w:val="21"/>
    </w:rPr>
  </w:style>
  <w:style w:type="character" w:styleId="790" w:customStyle="1">
    <w:name w:val="Title Char"/>
    <w:basedOn w:val="731"/>
    <w:uiPriority w:val="10"/>
    <w:qFormat/>
    <w:rPr>
      <w:sz w:val="48"/>
      <w:szCs w:val="48"/>
    </w:rPr>
  </w:style>
  <w:style w:type="character" w:styleId="791" w:customStyle="1">
    <w:name w:val="Subtitle Char"/>
    <w:basedOn w:val="731"/>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31"/>
    <w:uiPriority w:val="99"/>
    <w:qFormat/>
  </w:style>
  <w:style w:type="character" w:styleId="795" w:customStyle="1">
    <w:name w:val="Caption Char"/>
    <w:uiPriority w:val="99"/>
    <w:qFormat/>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character" w:styleId="799" w:customStyle="1">
    <w:name w:val="标题 1 字符"/>
    <w:link w:val="722"/>
    <w:uiPriority w:val="9"/>
    <w:qFormat/>
    <w:rPr>
      <w:rFonts w:ascii="Arial" w:hAnsi="Arial" w:eastAsia="Arial" w:cs="Arial"/>
      <w:sz w:val="40"/>
      <w:szCs w:val="40"/>
    </w:rPr>
  </w:style>
  <w:style w:type="character" w:styleId="800" w:customStyle="1">
    <w:name w:val="标题 2 字符"/>
    <w:link w:val="723"/>
    <w:uiPriority w:val="9"/>
    <w:qFormat/>
    <w:rPr>
      <w:rFonts w:ascii="Arial" w:hAnsi="Arial" w:eastAsia="Arial" w:cs="Arial"/>
      <w:sz w:val="34"/>
    </w:rPr>
  </w:style>
  <w:style w:type="character" w:styleId="801" w:customStyle="1">
    <w:name w:val="标题 3 字符"/>
    <w:link w:val="724"/>
    <w:uiPriority w:val="9"/>
    <w:qFormat/>
    <w:rPr>
      <w:rFonts w:ascii="Arial" w:hAnsi="Arial" w:eastAsia="Arial" w:cs="Arial"/>
      <w:sz w:val="30"/>
      <w:szCs w:val="30"/>
    </w:rPr>
  </w:style>
  <w:style w:type="character" w:styleId="802" w:customStyle="1">
    <w:name w:val="标题 4 字符"/>
    <w:link w:val="725"/>
    <w:uiPriority w:val="9"/>
    <w:qFormat/>
    <w:rPr>
      <w:rFonts w:ascii="Arial" w:hAnsi="Arial" w:eastAsia="Arial" w:cs="Arial"/>
      <w:b/>
      <w:bCs/>
      <w:sz w:val="26"/>
      <w:szCs w:val="26"/>
    </w:rPr>
  </w:style>
  <w:style w:type="character" w:styleId="803" w:customStyle="1">
    <w:name w:val="标题 5 字符"/>
    <w:link w:val="726"/>
    <w:uiPriority w:val="9"/>
    <w:qFormat/>
    <w:rPr>
      <w:rFonts w:ascii="Arial" w:hAnsi="Arial" w:eastAsia="Arial" w:cs="Arial"/>
      <w:b/>
      <w:bCs/>
      <w:sz w:val="24"/>
      <w:szCs w:val="24"/>
    </w:rPr>
  </w:style>
  <w:style w:type="character" w:styleId="804" w:customStyle="1">
    <w:name w:val="标题 6 字符"/>
    <w:link w:val="727"/>
    <w:uiPriority w:val="9"/>
    <w:qFormat/>
    <w:rPr>
      <w:rFonts w:ascii="Arial" w:hAnsi="Arial" w:eastAsia="Arial" w:cs="Arial"/>
      <w:b/>
      <w:bCs/>
      <w:sz w:val="22"/>
      <w:szCs w:val="22"/>
    </w:rPr>
  </w:style>
  <w:style w:type="character" w:styleId="805" w:customStyle="1">
    <w:name w:val="标题 7 字符"/>
    <w:link w:val="728"/>
    <w:uiPriority w:val="9"/>
    <w:qFormat/>
    <w:rPr>
      <w:rFonts w:ascii="Arial" w:hAnsi="Arial" w:eastAsia="Arial" w:cs="Arial"/>
      <w:b/>
      <w:bCs/>
      <w:i/>
      <w:iCs/>
      <w:sz w:val="22"/>
      <w:szCs w:val="22"/>
    </w:rPr>
  </w:style>
  <w:style w:type="character" w:styleId="806" w:customStyle="1">
    <w:name w:val="标题 8 字符"/>
    <w:link w:val="729"/>
    <w:uiPriority w:val="9"/>
    <w:qFormat/>
    <w:rPr>
      <w:rFonts w:ascii="Arial" w:hAnsi="Arial" w:eastAsia="Arial" w:cs="Arial"/>
      <w:i/>
      <w:iCs/>
      <w:sz w:val="22"/>
      <w:szCs w:val="22"/>
    </w:rPr>
  </w:style>
  <w:style w:type="character" w:styleId="807" w:customStyle="1">
    <w:name w:val="标题 9 字符"/>
    <w:link w:val="730"/>
    <w:uiPriority w:val="9"/>
    <w:qFormat/>
    <w:rPr>
      <w:rFonts w:ascii="Arial" w:hAnsi="Arial" w:eastAsia="Arial" w:cs="Arial"/>
      <w:i/>
      <w:iCs/>
      <w:sz w:val="21"/>
      <w:szCs w:val="21"/>
    </w:rPr>
  </w:style>
  <w:style w:type="paragraph" w:styleId="808">
    <w:name w:val="List Paragraph"/>
    <w:basedOn w:val="721"/>
    <w:uiPriority w:val="34"/>
    <w:qFormat/>
    <w:pPr>
      <w:contextualSpacing/>
      <w:ind w:left="720"/>
    </w:p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字符"/>
    <w:link w:val="754"/>
    <w:uiPriority w:val="10"/>
    <w:qFormat/>
    <w:rPr>
      <w:sz w:val="48"/>
      <w:szCs w:val="48"/>
    </w:rPr>
  </w:style>
  <w:style w:type="character" w:styleId="811" w:customStyle="1">
    <w:name w:val="副标题 字符"/>
    <w:link w:val="748"/>
    <w:uiPriority w:val="11"/>
    <w:qFormat/>
    <w:rPr>
      <w:sz w:val="24"/>
      <w:szCs w:val="24"/>
    </w:rPr>
  </w:style>
  <w:style w:type="paragraph" w:styleId="812">
    <w:name w:val="Quote"/>
    <w:basedOn w:val="721"/>
    <w:next w:val="72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21"/>
    <w:next w:val="72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眉 字符"/>
    <w:link w:val="745"/>
    <w:uiPriority w:val="99"/>
    <w:qFormat/>
  </w:style>
  <w:style w:type="character" w:styleId="817" w:customStyle="1">
    <w:name w:val="Footer Char"/>
    <w:uiPriority w:val="99"/>
    <w:qFormat/>
  </w:style>
  <w:style w:type="character" w:styleId="818" w:customStyle="1">
    <w:name w:val="页脚 字符"/>
    <w:link w:val="74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49"/>
    <w:uiPriority w:val="99"/>
    <w:qFormat/>
    <w:rPr>
      <w:sz w:val="18"/>
    </w:rPr>
  </w:style>
  <w:style w:type="character" w:styleId="926" w:customStyle="1">
    <w:name w:val="尾注文本 字符"/>
    <w:link w:val="743"/>
    <w:uiPriority w:val="99"/>
    <w:qFormat/>
    <w:rPr>
      <w:sz w:val="20"/>
    </w:r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标题 11"/>
    <w:basedOn w:val="721"/>
    <w:next w:val="721"/>
    <w:link w:val="934"/>
    <w:uiPriority w:val="0"/>
    <w:qFormat/>
    <w:pPr>
      <w:keepLines/>
      <w:keepNext/>
      <w:spacing w:before="340" w:after="330" w:line="578" w:lineRule="auto"/>
      <w:outlineLvl w:val="0"/>
    </w:pPr>
    <w:rPr>
      <w:rFonts w:ascii="Times New Roman" w:hAnsi="Times New Roman"/>
      <w:b/>
      <w:bCs/>
      <w:sz w:val="44"/>
      <w:szCs w:val="44"/>
    </w:rPr>
  </w:style>
  <w:style w:type="paragraph" w:styleId="929" w:customStyle="1">
    <w:name w:val="标题 21"/>
    <w:basedOn w:val="721"/>
    <w:next w:val="721"/>
    <w:link w:val="935"/>
    <w:uiPriority w:val="0"/>
    <w:qFormat/>
    <w:pPr>
      <w:keepLines/>
      <w:keepNext/>
      <w:spacing w:before="260" w:after="260" w:line="416" w:lineRule="auto"/>
      <w:outlineLvl w:val="1"/>
    </w:pPr>
    <w:rPr>
      <w:rFonts w:ascii="Cambria" w:hAnsi="Cambria"/>
      <w:b/>
      <w:bCs/>
      <w:sz w:val="32"/>
      <w:szCs w:val="32"/>
    </w:rPr>
  </w:style>
  <w:style w:type="paragraph" w:styleId="930" w:customStyle="1">
    <w:name w:val="标题 31"/>
    <w:basedOn w:val="721"/>
    <w:next w:val="721"/>
    <w:link w:val="936"/>
    <w:uiPriority w:val="0"/>
    <w:qFormat/>
    <w:pPr>
      <w:keepLines/>
      <w:keepNext/>
      <w:spacing w:before="260" w:after="260" w:line="416" w:lineRule="auto"/>
      <w:outlineLvl w:val="2"/>
    </w:pPr>
    <w:rPr>
      <w:rFonts w:ascii="Times New Roman" w:hAnsi="Times New Roman"/>
      <w:b/>
      <w:bCs/>
      <w:sz w:val="32"/>
      <w:szCs w:val="32"/>
    </w:rPr>
  </w:style>
  <w:style w:type="character" w:styleId="931" w:customStyle="1">
    <w:name w:val="默认段落字体1"/>
    <w:uiPriority w:val="0"/>
    <w:qFormat/>
    <w:rPr>
      <w:rFonts w:ascii="Times New Roman" w:hAnsi="Times New Roman" w:eastAsia="宋体" w:cs="Times New Roman"/>
    </w:rPr>
  </w:style>
  <w:style w:type="table" w:styleId="932" w:customStyle="1">
    <w:name w:val="普通表格1"/>
    <w:uiPriority w:val="0"/>
    <w:qFormat/>
    <w:tblPr>
      <w:tblCellMar>
        <w:left w:w="0" w:type="dxa"/>
        <w:top w:w="0" w:type="dxa"/>
        <w:right w:w="0" w:type="dxa"/>
        <w:bottom w:w="0" w:type="dxa"/>
      </w:tblCellMar>
    </w:tblPr>
  </w:style>
  <w:style w:type="paragraph" w:styleId="933"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34" w:customStyle="1">
    <w:name w:val="标题 1 Char"/>
    <w:basedOn w:val="931"/>
    <w:link w:val="928"/>
    <w:uiPriority w:val="0"/>
    <w:qFormat/>
    <w:rPr>
      <w:rFonts w:ascii="Times New Roman" w:hAnsi="Times New Roman" w:eastAsia="宋体" w:cs="Times New Roman"/>
      <w:b/>
      <w:bCs/>
      <w:sz w:val="44"/>
      <w:szCs w:val="44"/>
    </w:rPr>
  </w:style>
  <w:style w:type="character" w:styleId="935" w:customStyle="1">
    <w:name w:val="标题 2 Char"/>
    <w:basedOn w:val="931"/>
    <w:link w:val="929"/>
    <w:uiPriority w:val="0"/>
    <w:qFormat/>
    <w:rPr>
      <w:rFonts w:ascii="Cambria" w:hAnsi="Cambria" w:eastAsia="宋体" w:cs="Times New Roman"/>
      <w:b/>
      <w:bCs/>
      <w:sz w:val="32"/>
      <w:szCs w:val="32"/>
    </w:rPr>
  </w:style>
  <w:style w:type="character" w:styleId="936" w:customStyle="1">
    <w:name w:val="标题 3 Char"/>
    <w:basedOn w:val="931"/>
    <w:link w:val="930"/>
    <w:uiPriority w:val="0"/>
    <w:qFormat/>
    <w:rPr>
      <w:rFonts w:ascii="Times New Roman" w:hAnsi="Times New Roman" w:eastAsia="宋体" w:cs="Times New Roman"/>
      <w:b/>
      <w:bCs/>
      <w:sz w:val="32"/>
      <w:szCs w:val="32"/>
    </w:rPr>
  </w:style>
  <w:style w:type="paragraph" w:styleId="937" w:customStyle="1">
    <w:name w:val="文档结构图1"/>
    <w:basedOn w:val="721"/>
    <w:link w:val="938"/>
    <w:uiPriority w:val="0"/>
    <w:qFormat/>
    <w:rPr>
      <w:rFonts w:ascii="宋体" w:hAnsi="Times New Roman"/>
      <w:sz w:val="18"/>
      <w:szCs w:val="18"/>
    </w:rPr>
  </w:style>
  <w:style w:type="character" w:styleId="938" w:customStyle="1">
    <w:name w:val="文档结构图 Char"/>
    <w:basedOn w:val="931"/>
    <w:link w:val="937"/>
    <w:uiPriority w:val="0"/>
    <w:qFormat/>
    <w:rPr>
      <w:rFonts w:ascii="宋体" w:hAnsi="Times New Roman" w:eastAsia="宋体" w:cs="Times New Roman"/>
      <w:sz w:val="18"/>
      <w:szCs w:val="18"/>
    </w:rPr>
  </w:style>
  <w:style w:type="paragraph" w:styleId="939" w:customStyle="1">
    <w:name w:val="批注文字1"/>
    <w:basedOn w:val="721"/>
    <w:link w:val="940"/>
    <w:uiPriority w:val="0"/>
    <w:qFormat/>
    <w:pPr>
      <w:ind w:firstLine="922"/>
      <w:jc w:val="left"/>
      <w:spacing w:line="360" w:lineRule="auto"/>
    </w:pPr>
    <w:rPr>
      <w:rFonts w:ascii="Times New Roman" w:hAnsi="Times New Roman"/>
      <w:szCs w:val="24"/>
    </w:rPr>
  </w:style>
  <w:style w:type="character" w:styleId="940" w:customStyle="1">
    <w:name w:val="批注文字 Char"/>
    <w:basedOn w:val="931"/>
    <w:link w:val="939"/>
    <w:uiPriority w:val="0"/>
    <w:qFormat/>
    <w:rPr>
      <w:rFonts w:ascii="Times New Roman" w:hAnsi="Times New Roman" w:eastAsia="宋体" w:cs="Times New Roman"/>
      <w:szCs w:val="24"/>
    </w:rPr>
  </w:style>
  <w:style w:type="paragraph" w:styleId="941" w:customStyle="1">
    <w:name w:val="正文文本1"/>
    <w:basedOn w:val="721"/>
    <w:next w:val="721"/>
    <w:link w:val="942"/>
    <w:uiPriority w:val="0"/>
    <w:qFormat/>
    <w:pPr>
      <w:spacing w:after="120"/>
    </w:pPr>
  </w:style>
  <w:style w:type="character" w:styleId="942" w:customStyle="1">
    <w:name w:val="正文文本 Char"/>
    <w:basedOn w:val="931"/>
    <w:link w:val="941"/>
    <w:uiPriority w:val="0"/>
    <w:qFormat/>
    <w:rPr>
      <w:rFonts w:ascii="Calibri" w:hAnsi="Calibri" w:eastAsia="宋体" w:cs="Times New Roman"/>
    </w:rPr>
  </w:style>
  <w:style w:type="paragraph" w:styleId="943" w:customStyle="1">
    <w:name w:val="正文文本缩进1"/>
    <w:basedOn w:val="721"/>
    <w:link w:val="944"/>
    <w:uiPriority w:val="0"/>
    <w:qFormat/>
    <w:pPr>
      <w:ind w:left="420"/>
      <w:spacing w:after="120"/>
    </w:pPr>
    <w:rPr>
      <w:rFonts w:ascii="Times New Roman" w:hAnsi="Times New Roman"/>
      <w:szCs w:val="24"/>
    </w:rPr>
  </w:style>
  <w:style w:type="character" w:styleId="944" w:customStyle="1">
    <w:name w:val="正文文本缩进 Char"/>
    <w:basedOn w:val="931"/>
    <w:link w:val="943"/>
    <w:uiPriority w:val="0"/>
    <w:qFormat/>
    <w:rPr>
      <w:rFonts w:ascii="Times New Roman" w:hAnsi="Times New Roman" w:eastAsia="宋体" w:cs="Times New Roman"/>
      <w:szCs w:val="24"/>
    </w:rPr>
  </w:style>
  <w:style w:type="paragraph" w:styleId="945" w:customStyle="1">
    <w:name w:val="纯文本1"/>
    <w:basedOn w:val="721"/>
    <w:link w:val="946"/>
    <w:uiPriority w:val="0"/>
    <w:qFormat/>
    <w:rPr>
      <w:rFonts w:ascii="宋体" w:hAnsi="Courier New" w:cs="Courier New"/>
      <w:szCs w:val="21"/>
    </w:rPr>
  </w:style>
  <w:style w:type="character" w:styleId="946" w:customStyle="1">
    <w:name w:val="纯文本 Char"/>
    <w:basedOn w:val="931"/>
    <w:link w:val="945"/>
    <w:uiPriority w:val="0"/>
    <w:qFormat/>
    <w:rPr>
      <w:rFonts w:ascii="宋体" w:hAnsi="Courier New" w:eastAsia="宋体" w:cs="Courier New"/>
      <w:szCs w:val="21"/>
    </w:rPr>
  </w:style>
  <w:style w:type="paragraph" w:styleId="947" w:customStyle="1">
    <w:name w:val="日期1"/>
    <w:basedOn w:val="721"/>
    <w:next w:val="721"/>
    <w:link w:val="948"/>
    <w:uiPriority w:val="0"/>
    <w:qFormat/>
    <w:pPr>
      <w:ind w:left="100"/>
    </w:pPr>
    <w:rPr>
      <w:rFonts w:ascii="Times New Roman" w:hAnsi="Times New Roman"/>
    </w:rPr>
  </w:style>
  <w:style w:type="character" w:styleId="948" w:customStyle="1">
    <w:name w:val="日期 Char"/>
    <w:basedOn w:val="931"/>
    <w:link w:val="947"/>
    <w:uiPriority w:val="0"/>
    <w:qFormat/>
    <w:rPr>
      <w:rFonts w:ascii="Times New Roman" w:hAnsi="Times New Roman" w:eastAsia="宋体" w:cs="Times New Roman"/>
    </w:rPr>
  </w:style>
  <w:style w:type="paragraph" w:styleId="949" w:customStyle="1">
    <w:name w:val="批注框文本1"/>
    <w:basedOn w:val="721"/>
    <w:link w:val="950"/>
    <w:uiPriority w:val="0"/>
    <w:qFormat/>
    <w:rPr>
      <w:rFonts w:ascii="Times New Roman" w:hAnsi="Times New Roman"/>
      <w:sz w:val="18"/>
      <w:szCs w:val="18"/>
    </w:rPr>
  </w:style>
  <w:style w:type="character" w:styleId="950" w:customStyle="1">
    <w:name w:val="批注框文本 Char"/>
    <w:basedOn w:val="931"/>
    <w:link w:val="949"/>
    <w:uiPriority w:val="0"/>
    <w:qFormat/>
    <w:rPr>
      <w:rFonts w:ascii="Times New Roman" w:hAnsi="Times New Roman" w:eastAsia="宋体" w:cs="Times New Roman"/>
      <w:sz w:val="18"/>
      <w:szCs w:val="18"/>
    </w:rPr>
  </w:style>
  <w:style w:type="paragraph" w:styleId="951" w:customStyle="1">
    <w:name w:val="页脚1"/>
    <w:basedOn w:val="721"/>
    <w:link w:val="952"/>
    <w:uiPriority w:val="0"/>
    <w:qFormat/>
    <w:pPr>
      <w:jc w:val="left"/>
      <w:tabs>
        <w:tab w:val="center" w:pos="4153" w:leader="none"/>
        <w:tab w:val="right" w:pos="8306" w:leader="none"/>
      </w:tabs>
    </w:pPr>
    <w:rPr>
      <w:rFonts w:ascii="Times New Roman" w:hAnsi="Times New Roman"/>
      <w:sz w:val="18"/>
      <w:szCs w:val="18"/>
    </w:rPr>
  </w:style>
  <w:style w:type="character" w:styleId="952" w:customStyle="1">
    <w:name w:val="页脚 Char"/>
    <w:basedOn w:val="931"/>
    <w:link w:val="951"/>
    <w:uiPriority w:val="0"/>
    <w:qFormat/>
    <w:rPr>
      <w:rFonts w:ascii="Times New Roman" w:hAnsi="Times New Roman" w:eastAsia="宋体" w:cs="Times New Roman"/>
      <w:sz w:val="18"/>
      <w:szCs w:val="18"/>
    </w:rPr>
  </w:style>
  <w:style w:type="paragraph" w:styleId="953" w:customStyle="1">
    <w:name w:val="页眉1"/>
    <w:basedOn w:val="721"/>
    <w:link w:val="95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4" w:customStyle="1">
    <w:name w:val="页眉 Char"/>
    <w:basedOn w:val="931"/>
    <w:link w:val="953"/>
    <w:uiPriority w:val="0"/>
    <w:qFormat/>
    <w:rPr>
      <w:rFonts w:ascii="Times New Roman" w:hAnsi="Times New Roman" w:eastAsia="宋体" w:cs="Times New Roman"/>
      <w:sz w:val="18"/>
      <w:szCs w:val="18"/>
    </w:rPr>
  </w:style>
  <w:style w:type="paragraph" w:styleId="955" w:customStyle="1">
    <w:name w:val="目录 11"/>
    <w:basedOn w:val="721"/>
    <w:next w:val="721"/>
    <w:uiPriority w:val="0"/>
    <w:qFormat/>
    <w:pPr>
      <w:jc w:val="center"/>
      <w:tabs>
        <w:tab w:val="right" w:pos="8296" w:leader="dot"/>
      </w:tabs>
    </w:pPr>
    <w:rPr>
      <w:rFonts w:ascii="黑体" w:hAnsi="黑体" w:eastAsia="黑体"/>
      <w:sz w:val="44"/>
      <w:szCs w:val="44"/>
    </w:rPr>
  </w:style>
  <w:style w:type="paragraph" w:styleId="956" w:customStyle="1">
    <w:name w:val="普通(网站)1"/>
    <w:basedOn w:val="721"/>
    <w:uiPriority w:val="0"/>
    <w:qFormat/>
    <w:rPr>
      <w:rFonts w:ascii="Times New Roman" w:hAnsi="Times New Roman"/>
      <w:sz w:val="24"/>
    </w:rPr>
  </w:style>
  <w:style w:type="table" w:styleId="957" w:customStyle="1">
    <w:name w:val="网格型1"/>
    <w:basedOn w:val="932"/>
    <w:uiPriority w:val="0"/>
    <w:qFormat/>
    <w:tblPr/>
  </w:style>
  <w:style w:type="character" w:styleId="958" w:customStyle="1">
    <w:name w:val="超链接1"/>
    <w:uiPriority w:val="0"/>
    <w:qFormat/>
    <w:rPr>
      <w:rFonts w:ascii="Times New Roman" w:hAnsi="Times New Roman" w:eastAsia="宋体" w:cs="Times New Roman"/>
      <w:color w:val="0000ff"/>
      <w:u w:val="none"/>
    </w:rPr>
  </w:style>
  <w:style w:type="character" w:styleId="959" w:customStyle="1">
    <w:name w:val="批注引用1"/>
    <w:uiPriority w:val="0"/>
    <w:qFormat/>
    <w:rPr>
      <w:rFonts w:ascii="Times New Roman" w:hAnsi="Times New Roman" w:eastAsia="宋体" w:cs="Times New Roman"/>
      <w:sz w:val="21"/>
      <w:szCs w:val="21"/>
    </w:r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1" w:customStyle="1">
    <w:name w:val="列出段落1"/>
    <w:basedOn w:val="721"/>
    <w:uiPriority w:val="0"/>
    <w:qFormat/>
    <w:pPr>
      <w:ind w:firstLine="420"/>
    </w:pPr>
    <w:rPr>
      <w:rFonts w:ascii="Times New Roman" w:hAnsi="Times New Roman"/>
      <w:szCs w:val="21"/>
    </w:rPr>
  </w:style>
  <w:style w:type="paragraph" w:styleId="962" w:customStyle="1">
    <w:name w:val="无间隔1"/>
    <w:basedOn w:val="721"/>
    <w:uiPriority w:val="0"/>
    <w:qFormat/>
    <w:rPr>
      <w:rFonts w:ascii="Times New Roman" w:hAnsi="Times New Roman"/>
    </w:rPr>
  </w:style>
  <w:style w:type="paragraph" w:styleId="963" w:customStyle="1">
    <w:name w:val="正文文本11"/>
    <w:basedOn w:val="721"/>
    <w:next w:val="721"/>
    <w:uiPriority w:val="0"/>
    <w:qFormat/>
    <w:rPr>
      <w:rFonts w:ascii="楷体_GB2312" w:hAnsi="Arial" w:eastAsia="楷体_GB2312"/>
      <w:sz w:val="28"/>
      <w:szCs w:val="28"/>
      <w:lang w:eastAsia="en-US"/>
    </w:rPr>
  </w:style>
  <w:style w:type="paragraph" w:styleId="964" w:customStyle="1">
    <w:name w:val="正文首行缩进11"/>
    <w:basedOn w:val="963"/>
    <w:uiPriority w:val="0"/>
    <w:qFormat/>
    <w:pPr>
      <w:ind w:firstLine="200"/>
      <w:spacing w:line="360" w:lineRule="auto"/>
    </w:pPr>
    <w:rPr>
      <w:rFonts w:ascii="仿宋_GB2312" w:hAnsi="Times New Roman" w:eastAsia="仿宋_GB2312"/>
      <w:sz w:val="30"/>
      <w:szCs w:val="30"/>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5</cp:revision>
  <dcterms:created xsi:type="dcterms:W3CDTF">2026-07-09T15:59:00Z</dcterms:created>
  <dcterms:modified xsi:type="dcterms:W3CDTF">2026-07-16T00:42:00Z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17D61BAB7DA948D2802B7AE5433947CB_13</vt:lpwstr>
  </property>
  <property fmtid="{D5CDD505-2E9C-101B-9397-08002B2CF9AE}" pid="5" name="MSIP_Label_73094ff5-79ca-456b-95f6-d578316a3809_Enabled">
    <vt:lpwstr>true</vt:lpwstr>
  </property>
  <property fmtid="{D5CDD505-2E9C-101B-9397-08002B2CF9AE}" pid="6" name="MSIP_Label_73094ff5-79ca-456b-95f6-d578316a3809_SetDate">
    <vt:lpwstr>2026-07-09T15:59:04Z</vt:lpwstr>
  </property>
  <property fmtid="{D5CDD505-2E9C-101B-9397-08002B2CF9AE}" pid="7" name="MSIP_Label_73094ff5-79ca-456b-95f6-d578316a3809_Method">
    <vt:lpwstr>Privileged</vt:lpwstr>
  </property>
  <property fmtid="{D5CDD505-2E9C-101B-9397-08002B2CF9AE}" pid="8" name="MSIP_Label_73094ff5-79ca-456b-95f6-d578316a3809_Name">
    <vt:lpwstr>Public</vt:lpwstr>
  </property>
  <property fmtid="{D5CDD505-2E9C-101B-9397-08002B2CF9AE}" pid="9" name="MSIP_Label_73094ff5-79ca-456b-95f6-d578316a3809_SiteId">
    <vt:lpwstr>771c9c47-7f24-44dc-958e-34f8713a8394</vt:lpwstr>
  </property>
  <property fmtid="{D5CDD505-2E9C-101B-9397-08002B2CF9AE}" pid="10" name="MSIP_Label_73094ff5-79ca-456b-95f6-d578316a3809_ActionId">
    <vt:lpwstr>6373c4d8-6bac-40c5-948d-141231328a4b</vt:lpwstr>
  </property>
  <property fmtid="{D5CDD505-2E9C-101B-9397-08002B2CF9AE}" pid="11" name="MSIP_Label_73094ff5-79ca-456b-95f6-d578316a3809_ContentBits">
    <vt:lpwstr>0</vt:lpwstr>
  </property>
  <property fmtid="{D5CDD505-2E9C-101B-9397-08002B2CF9AE}" pid="12" name="MSIP_Label_73094ff5-79ca-456b-95f6-d578316a3809_Tag">
    <vt:lpwstr>10, 0, 1, 1</vt:lpwstr>
  </property>
</Properties>
</file>