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spacing w:before="120" w:after="120" w:line="360" w:lineRule="auto"/>
        <w:pBdr>
          <w:top w:val="none" w:color="000000" w:sz="4" w:space="0"/>
          <w:left w:val="none" w:color="000000" w:sz="4" w:space="0"/>
          <w:bottom w:val="none" w:color="000000" w:sz="4" w:space="0"/>
          <w:right w:val="none" w:color="000000" w:sz="4" w:space="0"/>
        </w:pBdr>
      </w:pPr>
      <w:r>
        <w:t xml:space="preserve"> </w:t>
      </w:r>
      <w:r>
        <w:rPr>
          <w:rFonts w:ascii="Arial" w:hAnsi="Arial" w:eastAsia="Arial" w:cs="Arial"/>
          <w:b/>
          <w:color w:val="000000"/>
          <w:sz w:val="84"/>
        </w:rPr>
        <w:t xml:space="preserve"> </w:t>
      </w:r>
      <w:r/>
    </w:p>
    <w:p>
      <w:pPr>
        <w:ind w:left="0" w:right="0" w:firstLine="0"/>
        <w:spacing w:before="120" w:after="120" w:line="360" w:lineRule="auto"/>
        <w:pBdr>
          <w:top w:val="none" w:color="000000" w:sz="4" w:space="0"/>
          <w:left w:val="none" w:color="000000" w:sz="4" w:space="0"/>
          <w:bottom w:val="none" w:color="000000" w:sz="4" w:space="0"/>
          <w:right w:val="none" w:color="000000" w:sz="4" w:space="0"/>
        </w:pBdr>
      </w:pPr>
      <w:r>
        <w:rPr>
          <w:rFonts w:ascii="Arial" w:hAnsi="Arial" w:eastAsia="Arial" w:cs="Arial"/>
          <w:b/>
          <w:color w:val="000000"/>
          <w:sz w:val="84"/>
        </w:rPr>
        <w:t xml:space="preserve"> </w:t>
      </w:r>
      <w:r/>
    </w:p>
    <w:p>
      <w:pPr>
        <w:ind w:left="0" w:right="0" w:firstLine="0"/>
        <w:jc w:val="center"/>
        <w:spacing w:before="120" w:after="120" w:line="360" w:lineRule="auto"/>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84"/>
        </w:rPr>
        <w:t xml:space="preserve">招　标　文　件</w:t>
      </w:r>
      <w:r/>
    </w:p>
    <w:p>
      <w:pPr>
        <w:ind w:left="0" w:right="0" w:firstLine="0"/>
        <w:jc w:val="center"/>
        <w:spacing w:before="120" w:after="120" w:line="360" w:lineRule="auto"/>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0"/>
        <w:jc w:val="left"/>
        <w:spacing w:before="120" w:after="120" w:line="360" w:lineRule="auto"/>
        <w:rPr>
          <w:rFonts w:ascii="Arial" w:hAnsi="Arial" w:eastAsia="Arial" w:cs="Arial"/>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highlight w:val="none"/>
        </w:rPr>
      </w:r>
      <w:r>
        <w:rPr>
          <w:rFonts w:ascii="Arial" w:hAnsi="Arial" w:eastAsia="Arial" w:cs="Arial"/>
          <w:b/>
          <w:color w:val="000000"/>
          <w:sz w:val="32"/>
          <w:highlight w:val="none"/>
        </w:rPr>
      </w:r>
      <w:r/>
    </w:p>
    <w:p>
      <w:pPr>
        <w:ind w:left="0" w:right="0" w:firstLine="0"/>
        <w:jc w:val="left"/>
        <w:spacing w:before="120" w:after="120" w:line="360" w:lineRule="auto"/>
        <w:rPr>
          <w:rFonts w:ascii="Arial" w:hAnsi="Arial" w:eastAsia="Arial" w:cs="Arial"/>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1"/>
        </w:rPr>
      </w:r>
      <w:r>
        <w:rPr>
          <w:rFonts w:ascii="Arial" w:hAnsi="Arial" w:eastAsia="Arial" w:cs="Arial"/>
          <w:b/>
          <w:color w:val="000000"/>
          <w:sz w:val="32"/>
        </w:rPr>
        <w:t xml:space="preserve"> </w:t>
      </w:r>
      <w:r>
        <w:rPr>
          <w:rFonts w:ascii="Arial" w:hAnsi="Arial" w:eastAsia="Arial" w:cs="Arial"/>
          <w:b/>
          <w:bCs/>
          <w:color w:val="000000"/>
          <w:sz w:val="32"/>
          <w:szCs w:val="32"/>
        </w:rPr>
      </w:r>
      <w:r/>
    </w:p>
    <w:p>
      <w:pPr>
        <w:ind w:left="0" w:right="0" w:firstLine="0"/>
        <w:jc w:val="center"/>
        <w:spacing w:before="120" w:after="120" w:line="360" w:lineRule="auto"/>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rPr>
          <w:rFonts w:ascii="SimSun" w:hAnsi="SimSun" w:eastAsia="SimSun" w:cs="SimSun"/>
          <w:b/>
          <w:color w:val="000000"/>
          <w:sz w:val="32"/>
        </w:rPr>
        <w:t xml:space="preserve">项目名称：</w:t>
      </w:r>
      <w:r>
        <w:rPr>
          <w:rFonts w:ascii="Arial" w:hAnsi="Arial" w:eastAsia="Arial" w:cs="Arial"/>
          <w:b/>
          <w:bCs/>
          <w:color w:val="000000"/>
          <w:sz w:val="32"/>
          <w:szCs w:val="32"/>
          <w:u w:val="single"/>
        </w:rPr>
        <w:t xml:space="preserve">2026年泰州市海陵区公办中小学幼儿园校园保安服务</w:t>
      </w:r>
      <w:r>
        <w:rPr>
          <w:rFonts w:ascii="SimSun" w:hAnsi="SimSun" w:eastAsia="SimSun" w:cs="SimSun"/>
          <w:b/>
          <w:color w:val="000000"/>
          <w:sz w:val="32"/>
        </w:rPr>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项目编号：</w:t>
      </w:r>
      <w:r>
        <w:rPr>
          <w:rFonts w:ascii="Arial" w:hAnsi="Arial" w:eastAsia="Arial" w:cs="Arial"/>
          <w:b/>
          <w:bCs/>
          <w:color w:val="000000"/>
          <w:sz w:val="32"/>
          <w:szCs w:val="32"/>
          <w:u w:val="single"/>
        </w:rPr>
        <w:t xml:space="preserve">  </w:t>
      </w:r>
      <w:r>
        <w:rPr>
          <w:rFonts w:ascii="Arial" w:hAnsi="Arial" w:eastAsia="Arial" w:cs="Arial"/>
          <w:b/>
          <w:bCs/>
          <w:color w:val="000000"/>
          <w:sz w:val="32"/>
          <w:szCs w:val="32"/>
          <w:u w:val="single"/>
        </w:rPr>
        <w:t xml:space="preserve">JSZC-321202-JZCG-G2026-0005</w:t>
      </w:r>
      <w:r>
        <w:rPr>
          <w:rFonts w:ascii="Arial" w:hAnsi="Arial" w:eastAsia="Arial" w:cs="Arial"/>
          <w:b/>
          <w:bCs/>
          <w:color w:val="000000"/>
          <w:sz w:val="32"/>
          <w:szCs w:val="32"/>
          <w:u w:val="single"/>
        </w:rPr>
        <w:t xml:space="preserve">    </w:t>
      </w:r>
      <w:r/>
    </w:p>
    <w:p>
      <w:pPr>
        <w:ind w:left="2800" w:right="0" w:hanging="280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rPr>
          <w:rFonts w:ascii="Times New Roman" w:hAnsi="Times New Roman" w:eastAsia="Times New Roman" w:cs="Times New Roman"/>
          <w:b/>
          <w:color w:val="000000"/>
          <w:sz w:val="28"/>
        </w:rPr>
        <w:t xml:space="preserve"> </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360" w:lineRule="auto"/>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highlight w:val="none"/>
        </w:rPr>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r>
      <w:r>
        <w:rPr>
          <w:rFonts w:ascii="SimSun" w:hAnsi="SimSun" w:eastAsia="SimSun" w:cs="SimSun"/>
          <w:color w:val="000000"/>
          <w:sz w:val="24"/>
          <w:highlight w:val="none"/>
        </w:rPr>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泰州市海陵区政务服务中心</w:t>
      </w:r>
      <w:r/>
    </w:p>
    <w:p>
      <w:pPr>
        <w:ind w:left="0" w:right="0" w:firstLine="0"/>
        <w:jc w:val="center"/>
        <w:spacing w:before="120" w:after="120" w:line="360" w:lineRule="auto"/>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2026</w:t>
      </w:r>
      <w:r>
        <w:rPr>
          <w:rFonts w:ascii="SimSun" w:hAnsi="SimSun" w:eastAsia="SimSun" w:cs="SimSun"/>
          <w:b/>
          <w:color w:val="000000"/>
          <w:sz w:val="32"/>
        </w:rPr>
        <w:t xml:space="preserve">年7</w:t>
      </w:r>
      <w:r>
        <w:rPr>
          <w:rFonts w:ascii="SimSun" w:hAnsi="SimSun" w:eastAsia="SimSun" w:cs="SimSun"/>
          <w:b/>
          <w:color w:val="000000"/>
          <w:sz w:val="32"/>
        </w:rPr>
        <w:t xml:space="preserve">月8</w:t>
      </w:r>
      <w:r>
        <w:rPr>
          <w:rFonts w:ascii="SimSun" w:hAnsi="SimSun" w:eastAsia="SimSun" w:cs="SimSun"/>
          <w:b/>
          <w:color w:val="000000"/>
          <w:sz w:val="32"/>
        </w:rPr>
        <w:t xml:space="preserve">日</w:t>
      </w:r>
      <w:r>
        <w:rPr>
          <w:rFonts w:ascii="SimHei" w:hAnsi="SimHei" w:eastAsia="SimHei" w:cs="SimHei"/>
          <w:b/>
          <w:color w:val="000000"/>
          <w:sz w:val="44"/>
          <w:highlight w:val="none"/>
        </w:rPr>
        <w:br w:type="page" w:clear="all"/>
      </w:r>
      <w:r/>
    </w:p>
    <w:p>
      <w:pPr>
        <w:ind w:left="0" w:right="0" w:firstLine="0"/>
        <w:jc w:val="center"/>
        <w:spacing w:before="0" w:after="0" w:line="360" w:lineRule="auto"/>
        <w:rPr>
          <w:rFonts w:ascii="SimHei" w:hAnsi="SimHei" w:eastAsia="SimHei" w:cs="SimHei"/>
          <w:b/>
          <w:bCs/>
          <w:color w:val="000000"/>
          <w:sz w:val="44"/>
          <w:szCs w:val="44"/>
          <w:highlight w:val="none"/>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总  目  录</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numPr>
          <w:ilvl w:val="0"/>
          <w:numId w:val="1"/>
        </w:numPr>
        <w:jc w:val="both"/>
        <w:spacing w:before="0" w:after="0" w:line="360" w:lineRule="auto"/>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投标邀请……………………………………</w:t>
      </w:r>
      <w:r/>
    </w:p>
    <w:p>
      <w:pPr>
        <w:numPr>
          <w:ilvl w:val="0"/>
          <w:numId w:val="1"/>
        </w:numPr>
        <w:jc w:val="both"/>
        <w:spacing w:before="0" w:after="0" w:line="360" w:lineRule="auto"/>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投标人须知…………………………………  </w:t>
      </w:r>
      <w:r/>
    </w:p>
    <w:p>
      <w:pPr>
        <w:numPr>
          <w:ilvl w:val="0"/>
          <w:numId w:val="1"/>
        </w:numPr>
        <w:jc w:val="both"/>
        <w:spacing w:before="0" w:after="0" w:line="360" w:lineRule="auto"/>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合同文本……………………………………</w:t>
      </w:r>
      <w:r/>
    </w:p>
    <w:p>
      <w:pPr>
        <w:numPr>
          <w:ilvl w:val="0"/>
          <w:numId w:val="1"/>
        </w:numPr>
        <w:jc w:val="both"/>
        <w:spacing w:before="0" w:after="0" w:line="360" w:lineRule="auto"/>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采购需求……………………………………</w:t>
      </w:r>
      <w:r/>
    </w:p>
    <w:p>
      <w:pPr>
        <w:numPr>
          <w:ilvl w:val="0"/>
          <w:numId w:val="1"/>
        </w:numPr>
        <w:jc w:val="both"/>
        <w:spacing w:before="0" w:after="0" w:line="360" w:lineRule="auto"/>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评标方法与评标标准………………………</w:t>
      </w:r>
      <w:r/>
    </w:p>
    <w:p>
      <w:pPr>
        <w:numPr>
          <w:ilvl w:val="0"/>
          <w:numId w:val="1"/>
        </w:numPr>
        <w:jc w:val="both"/>
        <w:spacing w:before="0" w:after="0" w:line="360" w:lineRule="auto"/>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投标文件格式………………………………</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Hei" w:hAnsi="SimHei" w:eastAsia="SimHei" w:cs="SimHei"/>
          <w:color w:val="000000"/>
          <w:sz w:val="44"/>
          <w:highlight w:val="none"/>
        </w:rPr>
        <w:br w:type="page" w:clear="all"/>
      </w:r>
      <w:r>
        <w:rPr>
          <w:rFonts w:ascii="SimHei" w:hAnsi="SimHei" w:eastAsia="SimHei" w:cs="SimHei"/>
          <w:color w:val="000000"/>
          <w:sz w:val="44"/>
          <w:szCs w:val="44"/>
        </w:rPr>
      </w:r>
      <w:r/>
    </w:p>
    <w:p>
      <w:pPr>
        <w:ind w:left="1755" w:firstLine="0"/>
        <w:jc w:val="left"/>
        <w:spacing w:before="0" w:after="0" w:line="360" w:lineRule="auto"/>
        <w:rPr>
          <w:rFonts w:ascii="SimHei" w:hAnsi="SimHei" w:eastAsia="SimHei" w:cs="SimHei"/>
          <w:color w:val="000000"/>
          <w:sz w:val="44"/>
          <w:szCs w:val="44"/>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第一章  投标邀请</w:t>
      </w:r>
      <w:r/>
    </w:p>
    <w:p>
      <w:pPr>
        <w:ind w:left="0" w:right="0" w:firstLine="480"/>
        <w:jc w:val="both"/>
        <w:spacing w:before="0" w:after="0" w:line="360" w:lineRule="auto"/>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 </w:t>
      </w:r>
      <w:r>
        <w:rPr>
          <w:rFonts w:ascii="SimSun" w:hAnsi="SimSun" w:eastAsia="SimSun" w:cs="SimSun"/>
          <w:color w:val="000000"/>
          <w:sz w:val="24"/>
          <w:szCs w:val="24"/>
        </w:rPr>
      </w:r>
      <w:r/>
    </w:p>
    <w:p>
      <w:pPr>
        <w:ind w:left="0" w:right="0" w:firstLine="480"/>
        <w:jc w:val="both"/>
        <w:spacing w:before="0" w:after="0" w:line="360" w:lineRule="auto"/>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受[泰州市海陵区教育装备发展中心]的委托，泰州市海陵区政务服务中心就[</w:t>
      </w:r>
      <w:r>
        <w:rPr>
          <w:rFonts w:ascii="SimSun" w:hAnsi="SimSun" w:eastAsia="SimSun" w:cs="SimSun"/>
          <w:color w:val="000000"/>
          <w:sz w:val="24"/>
          <w:szCs w:val="24"/>
        </w:rPr>
        <w:t xml:space="preserve">2026年泰州市海陵区公办中小学幼儿园校园保安服务</w:t>
      </w:r>
      <w:r>
        <w:rPr>
          <w:rFonts w:ascii="SimSun" w:hAnsi="SimSun" w:eastAsia="SimSun" w:cs="SimSun"/>
          <w:color w:val="000000"/>
          <w:sz w:val="24"/>
          <w:szCs w:val="24"/>
        </w:rPr>
        <w:t xml:space="preserve">]([</w:t>
      </w:r>
      <w:r>
        <w:rPr>
          <w:rFonts w:ascii="SimSun" w:hAnsi="SimSun" w:eastAsia="SimSun" w:cs="SimSun"/>
          <w:color w:val="000000"/>
          <w:sz w:val="24"/>
          <w:szCs w:val="24"/>
        </w:rPr>
        <w:t xml:space="preserve">JSZC-321202-JZCG-G2026-0005</w:t>
      </w:r>
      <w:r>
        <w:rPr>
          <w:rFonts w:ascii="SimSun" w:hAnsi="SimSun" w:eastAsia="SimSun" w:cs="SimSun"/>
          <w:color w:val="000000"/>
          <w:sz w:val="24"/>
          <w:szCs w:val="24"/>
        </w:rPr>
        <w:t xml:space="preserve">])项目进行公开招标采购，欢迎符合条件的供应商投标。</w:t>
      </w:r>
      <w:r>
        <w:rPr>
          <w:rFonts w:ascii="SimSun" w:hAnsi="SimSun" w:eastAsia="SimSun" w:cs="SimSun"/>
          <w:color w:val="000000"/>
          <w:sz w:val="24"/>
          <w:szCs w:val="24"/>
        </w:rPr>
      </w:r>
      <w:r/>
    </w:p>
    <w:p>
      <w:pPr>
        <w:ind w:left="0" w:right="0" w:firstLine="480"/>
        <w:jc w:val="both"/>
        <w:spacing w:before="0" w:after="0" w:line="360" w:lineRule="auto"/>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jc w:val="both"/>
        <w:spacing w:before="0" w:after="0" w:line="360" w:lineRule="auto"/>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single"/>
        </w:rPr>
        <w:t xml:space="preserve"> (泰州市海陵区公办中小学幼儿园校园保安服务)</w:t>
      </w:r>
      <w:r>
        <w:rPr>
          <w:rFonts w:ascii="SimSun" w:hAnsi="SimSun" w:eastAsia="SimSun" w:cs="SimSun"/>
          <w:color w:val="000000"/>
          <w:sz w:val="24"/>
        </w:rPr>
        <w:t xml:space="preserve">招标项目的潜在投标人可在</w:t>
      </w:r>
      <w:r>
        <w:rPr>
          <w:rFonts w:ascii="SimSun" w:hAnsi="SimSun" w:eastAsia="SimSun" w:cs="SimSun"/>
          <w:color w:val="000000"/>
          <w:sz w:val="24"/>
          <w:u w:val="single"/>
        </w:rPr>
        <w:t xml:space="preserve">“江苏政府采购网”自行免费下载</w:t>
      </w:r>
      <w:r>
        <w:rPr>
          <w:rFonts w:ascii="SimSun" w:hAnsi="SimSun" w:eastAsia="SimSun" w:cs="SimSun"/>
          <w:color w:val="000000"/>
          <w:sz w:val="24"/>
        </w:rPr>
        <w:t xml:space="preserve">招标文件，并于</w:t>
      </w:r>
      <w:r>
        <w:rPr>
          <w:rFonts w:ascii="SimSun" w:hAnsi="SimSun" w:eastAsia="SimSun" w:cs="SimSun"/>
          <w:color w:val="000000"/>
          <w:sz w:val="24"/>
          <w:u w:val="single"/>
        </w:rPr>
        <w:t xml:space="preserve">2026年7月30日9点00分（</w:t>
      </w:r>
      <w:r>
        <w:rPr>
          <w:rFonts w:ascii="SimSun" w:hAnsi="SimSun" w:eastAsia="SimSun" w:cs="SimSun"/>
          <w:color w:val="000000"/>
          <w:sz w:val="24"/>
        </w:rPr>
        <w:t xml:space="preserve">北京时间）前递交投标文件。</w:t>
      </w:r>
      <w:r/>
    </w:p>
    <w:p>
      <w:pPr>
        <w:ind w:left="0" w:right="0" w:firstLine="498"/>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一、项目基本情况</w:t>
      </w:r>
      <w:r/>
    </w:p>
    <w:p>
      <w:pPr>
        <w:ind w:left="0" w:right="0" w:firstLine="480"/>
        <w:jc w:val="both"/>
        <w:spacing w:before="0" w:after="0" w:line="360" w:lineRule="auto"/>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1.项目编号：</w:t>
      </w:r>
      <w:r>
        <w:rPr>
          <w:rFonts w:ascii="SimSun" w:hAnsi="SimSun" w:eastAsia="SimSun" w:cs="SimSun"/>
          <w:color w:val="000000"/>
          <w:sz w:val="24"/>
          <w:szCs w:val="24"/>
        </w:rPr>
        <w:t xml:space="preserve">JSZC-321202-JZCG-G2026-0005</w:t>
      </w:r>
      <w:r>
        <w:rPr>
          <w:rFonts w:ascii="SimSun" w:hAnsi="SimSun" w:eastAsia="SimSun" w:cs="SimSun"/>
          <w:color w:val="000000"/>
          <w:sz w:val="24"/>
          <w:szCs w:val="24"/>
        </w:rPr>
        <w:t xml:space="preserve"> </w:t>
      </w:r>
      <w:r>
        <w:rPr>
          <w:rFonts w:ascii="SimSun" w:hAnsi="SimSun" w:eastAsia="SimSun" w:cs="SimSun"/>
          <w:color w:val="000000"/>
          <w:sz w:val="24"/>
          <w:szCs w:val="24"/>
        </w:rPr>
      </w:r>
      <w:r/>
    </w:p>
    <w:p>
      <w:pPr>
        <w:ind w:left="0" w:right="0" w:firstLine="480"/>
        <w:jc w:val="both"/>
        <w:spacing w:before="0" w:after="0" w:line="360" w:lineRule="auto"/>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2.项目名称：</w:t>
      </w:r>
      <w:r>
        <w:rPr>
          <w:rFonts w:ascii="SimSun" w:hAnsi="SimSun" w:eastAsia="SimSun" w:cs="SimSun"/>
          <w:color w:val="000000"/>
          <w:sz w:val="24"/>
          <w:szCs w:val="24"/>
        </w:rPr>
        <w:t xml:space="preserve">2026年泰州市海陵区公办中小学幼儿园校园保安服务</w:t>
      </w:r>
      <w:r>
        <w:rPr>
          <w:rFonts w:ascii="SimSun" w:hAnsi="SimSun" w:eastAsia="SimSun" w:cs="SimSun"/>
          <w:color w:val="000000"/>
          <w:sz w:val="24"/>
          <w:szCs w:val="24"/>
        </w:rPr>
      </w:r>
      <w:r/>
    </w:p>
    <w:p>
      <w:pPr>
        <w:ind w:left="0" w:right="0" w:firstLine="480"/>
        <w:jc w:val="both"/>
        <w:spacing w:before="0" w:after="0" w:line="360" w:lineRule="auto"/>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3.预算金额：1300万元。</w:t>
      </w:r>
      <w:r>
        <w:rPr>
          <w:rFonts w:ascii="SimSun" w:hAnsi="SimSun" w:eastAsia="SimSun" w:cs="SimSun"/>
          <w:color w:val="000000"/>
          <w:sz w:val="24"/>
          <w:szCs w:val="24"/>
        </w:rPr>
      </w:r>
      <w:r/>
    </w:p>
    <w:p>
      <w:pPr>
        <w:ind w:left="0" w:right="0" w:firstLine="480"/>
        <w:jc w:val="both"/>
        <w:spacing w:before="0" w:after="0" w:line="360" w:lineRule="auto"/>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4.最高限价：1250万元。</w:t>
      </w:r>
      <w:r>
        <w:rPr>
          <w:rFonts w:ascii="SimSun" w:hAnsi="SimSun" w:eastAsia="SimSun" w:cs="SimSun"/>
          <w:color w:val="000000"/>
          <w:sz w:val="24"/>
          <w:szCs w:val="24"/>
        </w:rPr>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5.采购需求(简介)：海陵区区属公办中小学、幼儿园提供保安24小时值守和不定时巡查，保安总人数164人，所有保安人员必须持证上岗，身体健康，工作责任心强，工作态度热情。（详细内容见本招标文件第四章）</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6.合同履行期限：2026年8月21日到2027年8月20日。</w:t>
      </w:r>
      <w:r/>
    </w:p>
    <w:p>
      <w:pPr>
        <w:ind w:left="0" w:right="0" w:firstLine="498"/>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二、申请人的资格要求</w:t>
      </w:r>
      <w:r/>
    </w:p>
    <w:p>
      <w:pPr>
        <w:ind w:left="0" w:right="0" w:firstLine="56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（一）通用资格要求</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1.满足《中华人民共和国政府采购法》第二十二条规定，并提供下列材料：</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1.1法人或者其他组织的营业执照等证明文件，自然人的身份证明；</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1.2上一年度的财务状况报告（成立不满一年无需提供）；</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1.4具备履行合同所必需的设备和专业技术能力的书面声明；</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1.5参加政府采购活动前3年内在经营活动中没有重大违法记录的书面声明。</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落实政府采购政策需满足的资格要求：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4.联合体投标：本项目不接受联合体投标。</w:t>
      </w:r>
      <w:r/>
    </w:p>
    <w:p>
      <w:pPr>
        <w:ind w:left="0" w:right="0" w:firstLine="56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（二）本项目的特定资格要求</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rPr>
        <w:t xml:space="preserve"> </w:t>
      </w:r>
      <w:r>
        <w:rPr>
          <w:rFonts w:ascii="SimSun" w:hAnsi="SimSun" w:eastAsia="SimSun" w:cs="SimSun"/>
          <w:b/>
          <w:i/>
          <w:color w:val="000000"/>
          <w:sz w:val="24"/>
          <w:u w:val="single"/>
        </w:rPr>
        <w:t xml:space="preserve">供应商须具有公安部门核发的《保安服务许可证》(须提供证件扫描件加盖公章);泰州市以外的保安服务企业须在泰州市保安主管部门备案，或者提供备案承诺书(格式自拟)，承诺成交后进场前在泰州市保安主管部门备案完成(提供保安服务许可证、备案证明材料)。</w:t>
      </w:r>
      <w:r/>
    </w:p>
    <w:p>
      <w:pPr>
        <w:ind w:left="0" w:right="0" w:firstLine="498"/>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三、获取招标文件</w:t>
      </w:r>
      <w:r/>
    </w:p>
    <w:p>
      <w:pPr>
        <w:ind w:left="0" w:right="0" w:firstLine="54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1.时间：自招标文件公告发布之日起5个工作日。</w:t>
      </w:r>
      <w:r/>
    </w:p>
    <w:p>
      <w:pPr>
        <w:ind w:left="0" w:right="0" w:firstLine="54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2.方式：在“江苏政府采购网”自行免费下载招标文件。</w:t>
      </w:r>
      <w:r/>
    </w:p>
    <w:p>
      <w:pPr>
        <w:ind w:left="0" w:right="0" w:firstLine="498"/>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四、提交投标文件截止时间、开标时间和地点</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 2026 </w:t>
      </w:r>
      <w:r>
        <w:rPr>
          <w:rFonts w:ascii="SimSun" w:hAnsi="SimSun" w:eastAsia="SimSun" w:cs="SimSun"/>
          <w:color w:val="000000"/>
          <w:sz w:val="24"/>
        </w:rPr>
        <w:t xml:space="preserve">年</w:t>
      </w:r>
      <w:r>
        <w:rPr>
          <w:rFonts w:ascii="SimSun" w:hAnsi="SimSun" w:eastAsia="SimSun" w:cs="SimSun"/>
          <w:color w:val="000000"/>
          <w:sz w:val="24"/>
          <w:u w:val="single"/>
        </w:rPr>
        <w:t xml:space="preserve"> 7 </w:t>
      </w:r>
      <w:r>
        <w:rPr>
          <w:rFonts w:ascii="SimSun" w:hAnsi="SimSun" w:eastAsia="SimSun" w:cs="SimSun"/>
          <w:color w:val="000000"/>
          <w:sz w:val="24"/>
        </w:rPr>
        <w:t xml:space="preserve">月</w:t>
      </w:r>
      <w:r>
        <w:rPr>
          <w:rFonts w:ascii="SimSun" w:hAnsi="SimSun" w:eastAsia="SimSun" w:cs="SimSun"/>
          <w:color w:val="000000"/>
          <w:sz w:val="24"/>
          <w:u w:val="single"/>
        </w:rPr>
        <w:t xml:space="preserve"> 30 </w:t>
      </w:r>
      <w:r>
        <w:rPr>
          <w:rFonts w:ascii="SimSun" w:hAnsi="SimSun" w:eastAsia="SimSun" w:cs="SimSun"/>
          <w:color w:val="000000"/>
          <w:sz w:val="24"/>
        </w:rPr>
        <w:t xml:space="preserve">日</w:t>
      </w:r>
      <w:r>
        <w:rPr>
          <w:rFonts w:ascii="SimSun" w:hAnsi="SimSun" w:eastAsia="SimSun" w:cs="SimSun"/>
          <w:color w:val="000000"/>
          <w:sz w:val="24"/>
          <w:u w:val="single"/>
        </w:rPr>
        <w:t xml:space="preserve"> 9 </w:t>
      </w:r>
      <w:r>
        <w:rPr>
          <w:rFonts w:ascii="SimSun" w:hAnsi="SimSun" w:eastAsia="SimSun" w:cs="SimSun"/>
          <w:color w:val="000000"/>
          <w:sz w:val="24"/>
        </w:rPr>
        <w:t xml:space="preserve">点</w:t>
      </w:r>
      <w:r>
        <w:rPr>
          <w:rFonts w:ascii="SimSun" w:hAnsi="SimSun" w:eastAsia="SimSun" w:cs="SimSun"/>
          <w:color w:val="000000"/>
          <w:sz w:val="24"/>
          <w:u w:val="single"/>
        </w:rPr>
        <w:t xml:space="preserve"> 00 </w:t>
      </w:r>
      <w:r>
        <w:rPr>
          <w:rFonts w:ascii="SimSun" w:hAnsi="SimSun" w:eastAsia="SimSun" w:cs="SimSun"/>
          <w:color w:val="000000"/>
          <w:sz w:val="24"/>
        </w:rPr>
        <w:t xml:space="preserve">分（北京时间）。</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2.地点：“苏采云”政府采购交易系统网上开标大厅。</w:t>
      </w:r>
      <w:r/>
    </w:p>
    <w:p>
      <w:pPr>
        <w:ind w:left="0" w:right="0" w:firstLine="498"/>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五、公告期限</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招标公告及招标文件公告期限为自本公告发布之日起5个工作日。</w:t>
      </w:r>
      <w:r/>
    </w:p>
    <w:p>
      <w:pPr>
        <w:ind w:left="0" w:right="0" w:firstLine="498"/>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六、其他补充事宜</w:t>
      </w:r>
      <w:r/>
    </w:p>
    <w:p>
      <w:pPr>
        <w:ind w:left="0" w:right="0" w:firstLine="48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技术支持电话：0523-87633965、0523-86897512</w:t>
      </w:r>
      <w:r/>
    </w:p>
    <w:p>
      <w:pPr>
        <w:ind w:left="0" w:right="0" w:firstLine="48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客服QQ：709339244、1195486789 </w:t>
      </w:r>
      <w:r/>
    </w:p>
    <w:p>
      <w:pPr>
        <w:ind w:left="0" w:right="0" w:firstLine="498"/>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七、本次招标联系方式</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1.采购人信息</w:t>
      </w:r>
      <w:r/>
    </w:p>
    <w:p>
      <w:pPr>
        <w:ind w:left="0" w:right="0" w:firstLine="7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w:t>
      </w:r>
      <w:r>
        <w:rPr>
          <w:rFonts w:ascii="SimSun" w:hAnsi="SimSun" w:eastAsia="SimSun" w:cs="SimSun"/>
          <w:color w:val="000000"/>
          <w:sz w:val="24"/>
          <w:u w:val="single"/>
        </w:rPr>
        <w:t xml:space="preserve">　　泰州市海陵区教育装备发展中心</w:t>
      </w:r>
      <w:r/>
    </w:p>
    <w:p>
      <w:pPr>
        <w:ind w:left="0" w:right="0" w:firstLine="7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w:t>
      </w:r>
      <w:r>
        <w:rPr>
          <w:rFonts w:ascii="SimSun" w:hAnsi="SimSun" w:eastAsia="SimSun" w:cs="SimSun"/>
          <w:color w:val="000000"/>
          <w:sz w:val="24"/>
          <w:u w:val="single"/>
        </w:rPr>
        <w:t xml:space="preserve">  　　人民东路26</w:t>
      </w:r>
      <w:r>
        <w:rPr>
          <w:rFonts w:ascii="SimSun" w:hAnsi="SimSun" w:eastAsia="SimSun" w:cs="SimSun"/>
          <w:color w:val="000000"/>
          <w:sz w:val="22"/>
          <w:u w:val="single"/>
        </w:rPr>
        <w:t xml:space="preserve">号</w:t>
      </w:r>
      <w:r>
        <w:rPr>
          <w:rFonts w:ascii="SimSun" w:hAnsi="SimSun" w:eastAsia="SimSun" w:cs="SimSun"/>
          <w:color w:val="000000"/>
          <w:sz w:val="24"/>
          <w:u w:val="single"/>
        </w:rPr>
        <w:t xml:space="preserve">     </w:t>
      </w:r>
      <w:r/>
    </w:p>
    <w:p>
      <w:pPr>
        <w:ind w:left="0" w:right="0" w:firstLine="7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陈先生                </w:t>
      </w:r>
      <w:r/>
    </w:p>
    <w:p>
      <w:pPr>
        <w:ind w:left="0" w:right="0" w:firstLine="7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SimSun" w:hAnsi="SimSun" w:eastAsia="SimSun" w:cs="SimSun"/>
          <w:color w:val="000000"/>
          <w:sz w:val="24"/>
          <w:u w:val="single"/>
        </w:rPr>
        <w:t xml:space="preserve">    </w:t>
      </w:r>
      <w:r>
        <w:rPr>
          <w:rFonts w:ascii="SimSun" w:hAnsi="SimSun" w:eastAsia="SimSun" w:cs="SimSun"/>
          <w:color w:val="000000"/>
          <w:sz w:val="24"/>
          <w:u w:val="single"/>
        </w:rPr>
        <w:t xml:space="preserve">0523-86998271</w:t>
      </w:r>
      <w:r>
        <w:rPr>
          <w:rFonts w:ascii="SimSun" w:hAnsi="SimSun" w:eastAsia="SimSun" w:cs="SimSun"/>
          <w:color w:val="000000"/>
          <w:sz w:val="24"/>
          <w:u w:val="single"/>
        </w:rPr>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2.泰州市海陵区政务服务中心信息</w:t>
      </w:r>
      <w:r/>
    </w:p>
    <w:p>
      <w:pPr>
        <w:ind w:left="0" w:right="0" w:firstLine="7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w:t>
      </w:r>
      <w:r>
        <w:rPr>
          <w:rFonts w:ascii="SimSun" w:hAnsi="SimSun" w:eastAsia="SimSun" w:cs="SimSun"/>
          <w:color w:val="000000"/>
          <w:sz w:val="24"/>
          <w:u w:val="single"/>
        </w:rPr>
        <w:t xml:space="preserve">   　海陵区沈毅中学（海陵区政务服务中心临时办事点）</w:t>
      </w:r>
      <w:r/>
    </w:p>
    <w:p>
      <w:pPr>
        <w:ind w:left="0" w:right="0" w:firstLine="7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阚女士              </w:t>
      </w:r>
      <w:r/>
    </w:p>
    <w:p>
      <w:pPr>
        <w:ind w:left="0" w:right="0" w:firstLine="7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SimSun" w:hAnsi="SimSun" w:eastAsia="SimSun" w:cs="SimSun"/>
          <w:color w:val="000000"/>
          <w:sz w:val="24"/>
          <w:u w:val="single"/>
        </w:rPr>
        <w:t xml:space="preserve">    0523-86242503      </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八、其他</w:t>
      </w:r>
      <w:r/>
    </w:p>
    <w:p>
      <w:pPr>
        <w:ind w:left="0" w:right="0" w:firstLine="480"/>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w:t>
      </w:r>
      <w:r>
        <w:rPr>
          <w:rFonts w:ascii="SimSun" w:hAnsi="SimSun" w:eastAsia="SimSun" w:cs="SimSun"/>
          <w:color w:val="000000"/>
          <w:sz w:val="24"/>
        </w:rPr>
        <w:t xml:space="preserve">33ce9.html。</w:t>
      </w:r>
      <w:r/>
    </w:p>
    <w:p>
      <w:pPr>
        <w:ind w:left="0" w:right="0" w:firstLine="480"/>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领取CA和办理电子签章（请至泰州市高港区泰州大道388号（原中国医药城会展服务中心W3馆西南角）公共资源服务中心一楼大厅6号窗口办理，具体联系方式见《苏采云系统供应商操作手册》（以下简称《操作手册》））、进行注册并按《操作手册》要求制作、上传电子响应文件。</w:t>
      </w:r>
      <w:r/>
    </w:p>
    <w:p>
      <w:pPr>
        <w:ind w:left="0" w:right="0" w:firstLine="480"/>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2.有关本次招标的事项若存在变动或修改，敬请及时关注泰州市海陵区政务服务中心在“江苏政府采购网”发布的更正公告。</w:t>
      </w:r>
      <w:r/>
    </w:p>
    <w:p>
      <w:pPr>
        <w:ind w:left="0" w:right="0" w:firstLine="480"/>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3.本次招标不收取投标保证金。</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br w:type="page" w:clear="all"/>
      </w:r>
      <w:r>
        <w:rPr>
          <w:rFonts w:ascii="SimSun" w:hAnsi="SimSun" w:eastAsia="SimSun" w:cs="SimSun"/>
          <w:sz w:val="24"/>
        </w:rPr>
      </w:r>
      <w:r/>
    </w:p>
    <w:p>
      <w:pPr>
        <w:ind w:left="0" w:right="0" w:firstLine="240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Hei" w:hAnsi="SimHei" w:eastAsia="SimHei" w:cs="SimHei"/>
          <w:b/>
          <w:color w:val="000000"/>
          <w:sz w:val="44"/>
        </w:rPr>
        <w:t xml:space="preserve">第二章  投标人须知</w:t>
      </w:r>
      <w:r/>
    </w:p>
    <w:p>
      <w:pPr>
        <w:ind w:left="0" w:right="0" w:firstLine="498"/>
        <w:jc w:val="both"/>
        <w:spacing w:before="145" w:after="145"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498"/>
        <w:jc w:val="both"/>
        <w:spacing w:before="145" w:after="145"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一、总则</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w:t>
      </w:r>
      <w:r>
        <w:rPr>
          <w:rFonts w:ascii="SimHei" w:hAnsi="SimHei" w:eastAsia="SimHei" w:cs="SimHei"/>
          <w:color w:val="000000"/>
          <w:sz w:val="28"/>
        </w:rPr>
        <w:t xml:space="preserve">、招标方式</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1.1本次招标采取公开招标方式，本招标文件仅适用于招标公告中所述项目。</w:t>
      </w:r>
      <w:r/>
    </w:p>
    <w:p>
      <w:pPr>
        <w:ind w:left="0" w:right="0" w:firstLine="420"/>
        <w:jc w:val="both"/>
        <w:spacing w:before="145"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w:t>
      </w:r>
      <w:r>
        <w:rPr>
          <w:rFonts w:ascii="SimHei" w:hAnsi="SimHei" w:eastAsia="SimHei" w:cs="SimHei"/>
          <w:color w:val="000000"/>
          <w:sz w:val="28"/>
        </w:rPr>
        <w:t xml:space="preserve">、合格的投标人</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2.1满足招标公告中供应商的资格要求的规定。</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满足本文件实质性要求的规定。</w:t>
      </w:r>
      <w:r/>
    </w:p>
    <w:p>
      <w:pPr>
        <w:ind w:left="0" w:right="0" w:firstLine="420"/>
        <w:jc w:val="both"/>
        <w:spacing w:before="145"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3</w:t>
      </w:r>
      <w:r>
        <w:rPr>
          <w:rFonts w:ascii="SimHei" w:hAnsi="SimHei" w:eastAsia="SimHei" w:cs="SimHei"/>
          <w:color w:val="000000"/>
          <w:sz w:val="28"/>
        </w:rPr>
        <w:t xml:space="preserve">、适用法律</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3.1本次招标及由此产生的合同受中华人民共和国有关的法律法规制约和保护。</w:t>
      </w:r>
      <w:r/>
    </w:p>
    <w:p>
      <w:pPr>
        <w:ind w:left="0" w:right="0" w:firstLine="420"/>
        <w:jc w:val="both"/>
        <w:spacing w:before="145"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4</w:t>
      </w:r>
      <w:r>
        <w:rPr>
          <w:rFonts w:ascii="SimHei" w:hAnsi="SimHei" w:eastAsia="SimHei" w:cs="SimHei"/>
          <w:color w:val="000000"/>
          <w:sz w:val="28"/>
        </w:rPr>
        <w:t xml:space="preserve">、投标费用</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4.1投标人应自行承担所有与参加投标有关的费用，无论投标过程中的做法和结果如何，泰州市海陵区政务服务中心（以下简称服务中心）在任何情况下均无义务和责任承担这些费用。</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4.2本次招标服务中心和采购人不收取标书工本费与中标服务费。</w:t>
      </w:r>
      <w:r/>
    </w:p>
    <w:p>
      <w:pPr>
        <w:ind w:left="0" w:right="0" w:firstLine="452"/>
        <w:jc w:val="both"/>
        <w:spacing w:before="145"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5</w:t>
      </w:r>
      <w:r>
        <w:rPr>
          <w:rFonts w:ascii="SimHei" w:hAnsi="SimHei" w:eastAsia="SimHei" w:cs="SimHei"/>
          <w:b/>
          <w:color w:val="000000"/>
          <w:sz w:val="30"/>
        </w:rPr>
        <w:t xml:space="preserve">、</w:t>
      </w:r>
      <w:r>
        <w:rPr>
          <w:rFonts w:ascii="SimHei" w:hAnsi="SimHei" w:eastAsia="SimHei" w:cs="SimHei"/>
          <w:color w:val="000000"/>
          <w:sz w:val="28"/>
        </w:rPr>
        <w:t xml:space="preserve">招标文件的约束力</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投标人一旦参加本项目采购活动，即被认为接受了本招标文件的规定和约束。</w:t>
      </w:r>
      <w:r/>
    </w:p>
    <w:p>
      <w:pPr>
        <w:ind w:left="0" w:right="0" w:firstLine="321"/>
        <w:jc w:val="both"/>
        <w:spacing w:before="145" w:after="145"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二、招标文件</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6</w:t>
      </w:r>
      <w:r>
        <w:rPr>
          <w:rFonts w:ascii="SimHei" w:hAnsi="SimHei" w:eastAsia="SimHei" w:cs="SimHei"/>
          <w:color w:val="000000"/>
          <w:sz w:val="28"/>
        </w:rPr>
        <w:t xml:space="preserve">、招标文件构成</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招标文件由以下部分组成：</w:t>
      </w:r>
      <w:r/>
    </w:p>
    <w:p>
      <w:pPr>
        <w:ind w:left="0" w:right="0" w:firstLine="36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（1）投标邀请</w:t>
      </w:r>
      <w:r/>
    </w:p>
    <w:p>
      <w:pPr>
        <w:ind w:left="0" w:right="0" w:firstLine="36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（2）投标人须知</w:t>
      </w:r>
      <w:r/>
    </w:p>
    <w:p>
      <w:pPr>
        <w:ind w:left="0" w:right="0" w:firstLine="36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0" w:right="0" w:firstLine="36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36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（5）评标方法与评标标准</w:t>
      </w:r>
      <w:r/>
    </w:p>
    <w:p>
      <w:pPr>
        <w:ind w:left="0" w:right="0" w:firstLine="36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（6）投标文件格式</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请仔细检查招标文件是否齐全，如有缺漏请立即与服务中心联系解决。</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560"/>
        <w:jc w:val="both"/>
        <w:spacing w:before="0"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7</w:t>
      </w:r>
      <w:r>
        <w:rPr>
          <w:rFonts w:ascii="SimHei" w:hAnsi="SimHei" w:eastAsia="SimHei" w:cs="SimHei"/>
          <w:color w:val="000000"/>
          <w:sz w:val="28"/>
        </w:rPr>
        <w:t xml:space="preserve">、招标文件的澄清</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7.1任何要求对招标文件进行澄清的投标人，应在投标截止期</w:t>
      </w:r>
      <w:r>
        <w:rPr>
          <w:rFonts w:ascii="SimSun" w:hAnsi="SimSun" w:eastAsia="SimSun" w:cs="SimSun"/>
          <w:b/>
          <w:color w:val="000000"/>
          <w:sz w:val="24"/>
        </w:rPr>
        <w:t xml:space="preserve">十日</w:t>
      </w:r>
      <w:r>
        <w:rPr>
          <w:rFonts w:ascii="SimSun" w:hAnsi="SimSun" w:eastAsia="SimSun" w:cs="SimSun"/>
          <w:color w:val="000000"/>
          <w:sz w:val="24"/>
        </w:rPr>
        <w:t xml:space="preserve">前按招标公告中的通讯地址，以书面形式通知服务中心。</w:t>
      </w:r>
      <w:r/>
    </w:p>
    <w:p>
      <w:pPr>
        <w:ind w:left="0" w:right="0" w:firstLine="560"/>
        <w:jc w:val="both"/>
        <w:spacing w:before="145"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8</w:t>
      </w:r>
      <w:r>
        <w:rPr>
          <w:rFonts w:ascii="SimHei" w:hAnsi="SimHei" w:eastAsia="SimHei" w:cs="SimHei"/>
          <w:color w:val="000000"/>
          <w:sz w:val="28"/>
        </w:rPr>
        <w:t xml:space="preserve">、招标文件的修改</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在投标截止时间前，服务中心可以对招标文件进行修改。</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服务中心有权按照法定的要求推迟投标截止日期和开标日期。</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8.3招标文件的修改将在江苏政府采购网公布，补充文件将作为招标文件的组成部分，并对投标人具有约束力。</w:t>
      </w:r>
      <w:r/>
    </w:p>
    <w:p>
      <w:pPr>
        <w:ind w:left="0" w:right="0" w:firstLine="482"/>
        <w:jc w:val="both"/>
        <w:spacing w:before="145" w:after="145"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三、投标文件的编制</w:t>
      </w:r>
      <w:r/>
    </w:p>
    <w:p>
      <w:pPr>
        <w:ind w:left="0" w:right="0" w:firstLine="560"/>
        <w:jc w:val="both"/>
        <w:spacing w:before="0"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9</w:t>
      </w:r>
      <w:r>
        <w:rPr>
          <w:rFonts w:ascii="SimHei" w:hAnsi="SimHei" w:eastAsia="SimHei" w:cs="SimHei"/>
          <w:color w:val="000000"/>
          <w:sz w:val="28"/>
        </w:rPr>
        <w:t xml:space="preserve">、投标文件的语言及度量衡单位</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9.1投标人提交的投标文件以及投标人与服务中心就有关投标的所有来往通知、函件和文件均应使用</w:t>
      </w:r>
      <w:r>
        <w:rPr>
          <w:rFonts w:ascii="SimSun" w:hAnsi="SimSun" w:eastAsia="SimSun" w:cs="SimSun"/>
          <w:b/>
          <w:color w:val="000000"/>
          <w:sz w:val="24"/>
        </w:rPr>
        <w:t xml:space="preserve">简体中文</w:t>
      </w:r>
      <w:r>
        <w:rPr>
          <w:rFonts w:ascii="SimSun" w:hAnsi="SimSun" w:eastAsia="SimSun" w:cs="SimSun"/>
          <w:color w:val="000000"/>
          <w:sz w:val="24"/>
        </w:rPr>
        <w:t xml:space="preserve">。</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9.2除技术性能另有规定外，投标文件所使用的度量衡单位，均须采用国家法定计量单位。</w:t>
      </w:r>
      <w:r/>
    </w:p>
    <w:p>
      <w:pPr>
        <w:ind w:left="0" w:right="0" w:firstLine="420"/>
        <w:jc w:val="both"/>
        <w:spacing w:before="145"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10</w:t>
      </w:r>
      <w:r>
        <w:rPr>
          <w:rFonts w:ascii="SimHei" w:hAnsi="SimHei" w:eastAsia="SimHei" w:cs="SimHei"/>
          <w:color w:val="000000"/>
          <w:sz w:val="28"/>
        </w:rPr>
        <w:t xml:space="preserve">、投标文件构成</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10.1投标人编写的投标文件应包括资格证明文件、实质性要求响应及偏离表、投标分项报价表、技术要求响应及偏离表、商务要求响应及偏离表、其他证明文件、投标函、开标一览表等部分。</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10.2如标书制作工具中格式和内容与“江苏政府采购网”发布的招标文件不一致，请以“江苏政府采购网”发布的招标文件为准。</w:t>
      </w:r>
      <w:r/>
    </w:p>
    <w:p>
      <w:pPr>
        <w:ind w:left="0" w:right="0" w:firstLine="420"/>
        <w:jc w:val="both"/>
        <w:spacing w:before="145"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11</w:t>
      </w:r>
      <w:r>
        <w:rPr>
          <w:rFonts w:ascii="SimHei" w:hAnsi="SimHei" w:eastAsia="SimHei" w:cs="SimHei"/>
          <w:color w:val="000000"/>
          <w:sz w:val="28"/>
        </w:rPr>
        <w:t xml:space="preserve">、证明投标人及投标标的符合招标文件规定的文件</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11.1投标人应按照招标文件要求提交证明文件，证明其及投标标的符合招标文件规定。</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11.2招标文件对证明文件无明确形式要求的，证明文件可以以文字资料、图纸和数据等形式提交。</w:t>
      </w:r>
      <w:r/>
    </w:p>
    <w:p>
      <w:pPr>
        <w:ind w:left="0" w:right="0" w:firstLine="420"/>
        <w:jc w:val="both"/>
        <w:spacing w:before="145"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12</w:t>
      </w:r>
      <w:r>
        <w:rPr>
          <w:rFonts w:ascii="SimHei" w:hAnsi="SimHei" w:eastAsia="SimHei" w:cs="SimHei"/>
          <w:color w:val="000000"/>
          <w:sz w:val="28"/>
        </w:rPr>
        <w:t xml:space="preserve">、投标分项报价表</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投标人按照招标文件规定格式填报投标分项报价表。</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12.2投标货币。投标文件中的单价和总价无特殊规定的采用人民币报价，以元为单位标注。招标文件中另有规定的按规定执行。</w:t>
      </w:r>
      <w:r/>
    </w:p>
    <w:p>
      <w:pPr>
        <w:ind w:left="0" w:right="0" w:firstLine="420"/>
        <w:jc w:val="both"/>
        <w:spacing w:before="145"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13</w:t>
      </w:r>
      <w:r>
        <w:rPr>
          <w:rFonts w:ascii="SimHei" w:hAnsi="SimHei" w:eastAsia="SimHei" w:cs="SimHei"/>
          <w:color w:val="000000"/>
          <w:sz w:val="28"/>
        </w:rPr>
        <w:t xml:space="preserve">、技术要求响应及偏离表、商务要求响应及偏离表</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投标人需对招标文件中的技术要求与商务要求逐项作出响应或偏离，并说明原因。</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13.2投标人需按照招标文件要求，在投标文件中提供与技术要求和商务要求相关的证明材料。</w:t>
      </w:r>
      <w:r/>
    </w:p>
    <w:p>
      <w:pPr>
        <w:ind w:left="0" w:right="0" w:firstLine="420"/>
        <w:jc w:val="both"/>
        <w:spacing w:before="145"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14</w:t>
      </w:r>
      <w:r>
        <w:rPr>
          <w:rFonts w:ascii="SimHei" w:hAnsi="SimHei" w:eastAsia="SimHei" w:cs="SimHei"/>
          <w:color w:val="000000"/>
          <w:sz w:val="28"/>
        </w:rPr>
        <w:t xml:space="preserve">、服务承诺、培训计划、人员安排及其他</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14.1投标人需根据招标文件要求提供有关售后服务的管理制度，售后服务机构的分布情况，售后服务人员的数量、素质、技术水平及售后服务的反应能力等。</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14.2投标人需根据招标文件要求提供培训计划。</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14.3投标人需根据招标文件要求提供所投标的的主要组成部分、功能设计、实现思路及关键技术等。</w:t>
      </w:r>
      <w:r/>
    </w:p>
    <w:p>
      <w:pPr>
        <w:ind w:left="0" w:right="0" w:firstLine="420"/>
        <w:jc w:val="both"/>
        <w:spacing w:before="145"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15</w:t>
      </w:r>
      <w:r>
        <w:rPr>
          <w:rFonts w:ascii="SimHei" w:hAnsi="SimHei" w:eastAsia="SimHei" w:cs="SimHei"/>
          <w:color w:val="000000"/>
          <w:sz w:val="28"/>
        </w:rPr>
        <w:t xml:space="preserve">、投标函和开标一览表</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投标人应按照招标文件中提供的格式完整、正确填写投标函、开标一览表。</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15.2对于采用货币报价的项目，开标一览表中的投标总报价应与投标分项报价表中的投标总报价一致，如不一致，不作为无效投标处理，但评标时按开标一览表中价格为准。</w:t>
      </w:r>
      <w:r/>
    </w:p>
    <w:p>
      <w:pPr>
        <w:ind w:left="0" w:right="0" w:firstLine="420"/>
        <w:jc w:val="both"/>
        <w:spacing w:before="145"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16</w:t>
      </w:r>
      <w:r>
        <w:rPr>
          <w:rFonts w:ascii="SimHei" w:hAnsi="SimHei" w:eastAsia="SimHei" w:cs="SimHei"/>
          <w:color w:val="000000"/>
          <w:sz w:val="28"/>
        </w:rPr>
        <w:t xml:space="preserve">、投标有效期</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16.1投标有效期为服务中心规定的开标之日后</w:t>
      </w:r>
      <w:r>
        <w:rPr>
          <w:rFonts w:ascii="SimSun" w:hAnsi="SimSun" w:eastAsia="SimSun" w:cs="SimSun"/>
          <w:b/>
          <w:color w:val="000000"/>
          <w:sz w:val="24"/>
          <w:u w:val="single"/>
        </w:rPr>
        <w:t xml:space="preserve">六十（</w:t>
      </w:r>
      <w:r>
        <w:rPr>
          <w:rFonts w:ascii="FangSong" w:hAnsi="FangSong" w:eastAsia="FangSong" w:cs="FangSong"/>
          <w:b/>
          <w:color w:val="000000"/>
          <w:sz w:val="24"/>
          <w:u w:val="single"/>
        </w:rPr>
        <w:t xml:space="preserve">60</w:t>
      </w:r>
      <w:r>
        <w:rPr>
          <w:rFonts w:ascii="SimSun" w:hAnsi="SimSun" w:eastAsia="SimSun" w:cs="SimSun"/>
          <w:b/>
          <w:color w:val="000000"/>
          <w:sz w:val="24"/>
          <w:u w:val="single"/>
        </w:rPr>
        <w:t xml:space="preserve">）天</w:t>
      </w:r>
      <w:r>
        <w:rPr>
          <w:rFonts w:ascii="SimSun" w:hAnsi="SimSun" w:eastAsia="SimSun" w:cs="SimSun"/>
          <w:color w:val="000000"/>
          <w:sz w:val="24"/>
        </w:rPr>
        <w:t xml:space="preserve">。投标有效期比规定短的将被视为未实质性响应招标文件而予以拒绝。</w:t>
      </w:r>
      <w:r/>
    </w:p>
    <w:p>
      <w:pPr>
        <w:ind w:left="0" w:right="0" w:firstLine="420"/>
        <w:jc w:val="both"/>
        <w:spacing w:before="145"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17</w:t>
      </w:r>
      <w:r>
        <w:rPr>
          <w:rFonts w:ascii="SimHei" w:hAnsi="SimHei" w:eastAsia="SimHei" w:cs="SimHei"/>
          <w:color w:val="000000"/>
          <w:sz w:val="28"/>
        </w:rPr>
        <w:t xml:space="preserve">、投标有效期的延长</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在特殊情况下，服务中心于原投标有效期满之前，可向投标人提出延长投标有效期的要求。这种要求与答复均应采用书面形式。投标人可以拒绝服务中心的这一要求而放弃投标，同意延长投标有效期的投标人既不能要求也不允许修改其投标文件。受投标有效期约束的所有权利与义务均延长至新的有效期。</w:t>
      </w:r>
      <w:r/>
    </w:p>
    <w:p>
      <w:pPr>
        <w:ind w:left="0" w:right="0" w:firstLine="0"/>
        <w:jc w:val="both"/>
        <w:spacing w:before="145" w:after="145"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四、投标文件的递交</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18</w:t>
      </w:r>
      <w:r>
        <w:rPr>
          <w:rFonts w:ascii="SimHei" w:hAnsi="SimHei" w:eastAsia="SimHei" w:cs="SimHei"/>
          <w:color w:val="000000"/>
          <w:sz w:val="28"/>
        </w:rPr>
        <w:t xml:space="preserve">、电子投标文件的递交</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18.1投标人应当按照《操作手册》规定，在投标截止时间前制作并上传电子投标</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文件。</w:t>
      </w:r>
      <w:r/>
    </w:p>
    <w:p>
      <w:pPr>
        <w:ind w:left="0" w:right="0" w:firstLine="420"/>
        <w:jc w:val="both"/>
        <w:spacing w:before="145"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19</w:t>
      </w:r>
      <w:r>
        <w:rPr>
          <w:rFonts w:ascii="SimHei" w:hAnsi="SimHei" w:eastAsia="SimHei" w:cs="SimHei"/>
          <w:color w:val="000000"/>
          <w:sz w:val="28"/>
        </w:rPr>
        <w:t xml:space="preserve">、投标截止日期</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 投标人上传电子投标文件的时间不得迟于招标公告中规定的投标截止时间。</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投标人应充分考虑到网络环境、网络带宽等风险因素，如因投标人自身原因造成的电子投标文件上传不成功的按照本招标文件第二章第27.1.2条规定做无效投标处理。</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 服务中心可以按照规定，通过修改招标文件酌情延长投标截止日期，在此情况下，投标人的所有权利和义务以及投标人受制的截止日期均应以延长后新的截止日期为准。</w:t>
      </w:r>
      <w:r/>
    </w:p>
    <w:p>
      <w:pPr>
        <w:ind w:left="0" w:right="0" w:firstLine="420"/>
        <w:jc w:val="both"/>
        <w:spacing w:before="145"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20</w:t>
      </w:r>
      <w:r>
        <w:rPr>
          <w:rFonts w:ascii="SimHei" w:hAnsi="SimHei" w:eastAsia="SimHei" w:cs="SimHei"/>
          <w:color w:val="000000"/>
          <w:sz w:val="28"/>
        </w:rPr>
        <w:t xml:space="preserve">、投标文件的拒收</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服务中心拒绝接收在其规定的投标截止时间后上传的任何投标文件。</w:t>
      </w:r>
      <w:r/>
    </w:p>
    <w:p>
      <w:pPr>
        <w:ind w:left="0" w:right="0" w:firstLine="420"/>
        <w:jc w:val="both"/>
        <w:spacing w:before="145"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21</w:t>
      </w:r>
      <w:r>
        <w:rPr>
          <w:rFonts w:ascii="SimHei" w:hAnsi="SimHei" w:eastAsia="SimHei" w:cs="SimHei"/>
          <w:color w:val="000000"/>
          <w:sz w:val="28"/>
        </w:rPr>
        <w:t xml:space="preserve">、投标文件的撤回和修改</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21.1投标文件的撤回</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21.1.1电子投标文件的撤回</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投标人可在投标截止时间前，撤回其电子投标文件，具体操作方法见《操作手册》。</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21.1.2 投标人撤回电子投标文件，则认为其不再参与本项目投标活动。</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 投标文件的修改</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21.2.1投标人可在投标截止时间前，对其电子投标文件进行修改，具体操作方法见《操作手册》。</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21.2.2 在投标截止时间之后，投标人不得对其电子投标文件作任何修改。</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21.3在投标截止时间至招标文件中规定的投标有效期满之间的这段时间内，投标人不得撤回其投标。</w:t>
      </w:r>
      <w:r/>
    </w:p>
    <w:p>
      <w:pPr>
        <w:ind w:left="0" w:right="0" w:firstLine="482"/>
        <w:jc w:val="both"/>
        <w:spacing w:before="145" w:after="145"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五、开标与评标</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22</w:t>
      </w:r>
      <w:r>
        <w:rPr>
          <w:rFonts w:ascii="SimHei" w:hAnsi="SimHei" w:eastAsia="SimHei" w:cs="SimHei"/>
          <w:color w:val="000000"/>
          <w:sz w:val="28"/>
        </w:rPr>
        <w:t xml:space="preserve">、开标</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22.1服务中心将在招标公告中规定的时间和地点组织公开开标。投标人应当按照《操作手册》规定，参加开标活动和在苏采云系统规定的时间内对投标文件进行解密。</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22.2开标仪式由服务中心组织。苏采云系统将自动对项目进行开标，并宣布各投标人名称和投标价格。</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22.3投标人在开标过程中涉及到的投标文件解密、开标结果确认等工作，应按照《操作手册》规定执行。</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22.4投标人如果对开标过程和开标记录有疑义，应当根据《操作手册》规定提出，如苏采云系统中《开标记录表》宣布后5分钟内未提出的，视同认可开标结果。</w:t>
      </w:r>
      <w:r/>
    </w:p>
    <w:p>
      <w:pPr>
        <w:ind w:left="0" w:right="0" w:firstLine="420"/>
        <w:jc w:val="both"/>
        <w:spacing w:before="145"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23</w:t>
      </w:r>
      <w:r>
        <w:rPr>
          <w:rFonts w:ascii="SimHei" w:hAnsi="SimHei" w:eastAsia="SimHei" w:cs="SimHei"/>
          <w:color w:val="000000"/>
          <w:sz w:val="28"/>
        </w:rPr>
        <w:t xml:space="preserve">、评标委员会</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23.1开标后，服务中心将立即组织评标委员会（以下简称评委会）进行评标。</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23.2评委会由采购人代表和有关技术、经济等方面的专家组成，且人员构成符合政府采购有关规定。</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23.3评委会独立工作，负责评审所有投标文件并确定中标侯选人。</w:t>
      </w:r>
      <w:r/>
    </w:p>
    <w:p>
      <w:pPr>
        <w:ind w:left="0" w:right="0" w:firstLine="420"/>
        <w:jc w:val="both"/>
        <w:spacing w:before="145" w:after="0" w:line="360" w:lineRule="auto"/>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24．评标过程的保密与公正</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24.1凡是与审查、澄清、评价和比较投标的有关资料以及授标建议等，采购人、评委、服务中心均不得向投标人或与评标无关的其他人员透露。</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24.2在评标过程中，投标人不得以任何行为影响评标过程，否则其投标文件将被作为无效投标文件。</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24.3服务中心和评标委员会不向未中标的投标人解释未中标原因，也不公布评标过程中的相关细节。</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24.4采用综合评分法的项目，未中标的投标人可于中标结果公告期限届满之日起通过苏采云系统查看自己的评审得分及排序情况。</w:t>
      </w:r>
      <w:r/>
    </w:p>
    <w:p>
      <w:pPr>
        <w:ind w:left="0" w:right="0" w:firstLine="420"/>
        <w:jc w:val="both"/>
        <w:spacing w:before="145"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25</w:t>
      </w:r>
      <w:r>
        <w:rPr>
          <w:rFonts w:ascii="SimHei" w:hAnsi="SimHei" w:eastAsia="SimHei" w:cs="SimHei"/>
          <w:color w:val="000000"/>
          <w:sz w:val="28"/>
        </w:rPr>
        <w:t xml:space="preserve">．投标文件的澄清</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25.1评标期间，评委会对投标文件中含义不明确、同类问题表述不一致或者有明显文字和计算错误的内容 ，有权要求投标人作出必要的澄清、说明或者补正。</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投标人的澄清、说明或者补正不得超出投标文件的范围或者改变投标文件的实质性内容。</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评标委员会并非对每个投标人都做澄清要求。</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25.3接到评委会澄清、说明和补正要求的投标人如未按规定做出澄清、说明和补正，其风险由投标人自行承担。</w:t>
      </w:r>
      <w:r/>
    </w:p>
    <w:p>
      <w:pPr>
        <w:ind w:left="0" w:right="0" w:firstLine="420"/>
        <w:jc w:val="both"/>
        <w:spacing w:before="145"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26</w:t>
      </w:r>
      <w:r>
        <w:rPr>
          <w:rFonts w:ascii="SimHei" w:hAnsi="SimHei" w:eastAsia="SimHei" w:cs="SimHei"/>
          <w:color w:val="000000"/>
          <w:sz w:val="28"/>
        </w:rPr>
        <w:t xml:space="preserve">、对投标文件的初审</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26.1投标文件初审分为资格审查和符合性审查。</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26.1.1资格审查：依据法律法规和招标文件的规定，由采购人对投标文件中的资格证明文件进行审查。资格审查的结论，采购人以书面形式向评委会进行反馈。</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采购人在进行资格性审查的同时，将在“信用中国”网站（www.creditchina.gov.cn）查询投标人的信用记录，以确定投标人是否具备投标资格,查询结果留存并归档。</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26.1.2符合性审查：依据招标文件的规定，由评委会从投标文件的有效性、完整性和对招标文件的响应程度进行审查，以确定是否对招标文件的实质性要求作出响应。</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26.1.3未通过资格审查或符合性审查的投标人，服务中心将在苏采云系统中告知未通过资格审查或符合性审查的原因，评审结束后，服务中心将不再告知未通过资格审查或符合性审查的原因。</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买方和服务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26.3如果投标文件实质上没有响应招标文件的要求，评委会将予以拒绝，投标人不得通过修改或撤销不合要求的偏离或保留而使其投标成为实质性响应的投标。</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26.4评委会将对确定为实质性响应的投标进行进一步审核，看其是否有计算上或累加上的算术错误，修正错误的原则如下：</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（1）投标文件中开标一览表内容与投标文件中相应内容不一致的，以开标一览表为准。</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非单一产品采购项目，招标文件中将载明其中的核心产品。多家投标人提供的核心产品品牌相同的，按前两款规定处理。</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26.7投标人在开、评标全过程中应保持通讯畅通，及时登录苏采云系统查阅、答复相关信息，并安排专人与服务中心及评标委员会联系。</w:t>
      </w:r>
      <w:r/>
    </w:p>
    <w:p>
      <w:pPr>
        <w:ind w:left="0" w:right="0" w:firstLine="420"/>
        <w:jc w:val="both"/>
        <w:spacing w:before="145"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27</w:t>
      </w:r>
      <w:r>
        <w:rPr>
          <w:rFonts w:ascii="SimHei" w:hAnsi="SimHei" w:eastAsia="SimHei" w:cs="SimHei"/>
          <w:color w:val="000000"/>
          <w:sz w:val="28"/>
        </w:rPr>
        <w:t xml:space="preserve">、无效投标条款和废标条款</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27.1</w:t>
      </w:r>
      <w:r>
        <w:rPr>
          <w:rFonts w:ascii="SimSun" w:hAnsi="SimSun" w:eastAsia="SimSun" w:cs="SimSun"/>
          <w:b/>
          <w:color w:val="000000"/>
          <w:sz w:val="24"/>
        </w:rPr>
        <w:t xml:space="preserve">无效投标条款</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 投标人在苏采云系统规定的时间内未成功解密电子投标文件的。</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27.1.2 投标人未按照招标文件要求上传电子投标文件的。</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27.1.3 投标人同一分包提交两个（含两个）以上不同的投标报价的。</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27.1.4投标人不具备招标文件中规定资格要求的。</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27.1.5投标人的报价超过了采购预算或最高限价的。</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27.1.6未通过符合性审查的。</w:t>
      </w:r>
      <w:r/>
    </w:p>
    <w:p>
      <w:pPr>
        <w:ind w:left="0" w:right="0" w:firstLine="36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27.1.7不符合招标文件中规定的实质性要求的（</w:t>
      </w:r>
      <w:r>
        <w:rPr>
          <w:rFonts w:ascii="SimSun" w:hAnsi="SimSun" w:eastAsia="SimSun" w:cs="SimSun"/>
          <w:b/>
          <w:i/>
          <w:color w:val="000000"/>
          <w:sz w:val="24"/>
          <w:u w:val="single"/>
        </w:rPr>
        <w:t xml:space="preserve">本招标文件中斜体且有下划线部分为实质性要求）。</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27.1.9  投标文件含有采购人不能接受的附加条件的。</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27.1.11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27.1.12 投标文件未按照招标文件要求加盖CA电子公章的。</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27.1.13其他法律、法规及本招标文件规定的属无效投标的情形。</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27.2</w:t>
      </w:r>
      <w:r>
        <w:rPr>
          <w:rFonts w:ascii="SimSun" w:hAnsi="SimSun" w:eastAsia="SimSun" w:cs="SimSun"/>
          <w:b/>
          <w:color w:val="000000"/>
          <w:sz w:val="24"/>
        </w:rPr>
        <w:t xml:space="preserve">废标条款</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27.2.1符合专业条件的供应商或者对招标文件作实质响应的供应商不足三家的。27.2.2出现影响采购公正的违法、违规行为的。</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27.2.3因重大变故，采购任务取消的。</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27.2.4评标委员会认定招标文件存在歧义、重大缺陷导致评审工作无法进行。</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27.2.5 因苏采云系统系统故障原因造成开标不成功的。</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27.3 投标截止时间结束后参加投标的供应商不足三家的处理：</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27.3.1如出现投标截止时间结束后参加投标的供应商或者在评标期间对招标文件做出实质响应的供应商不足三家情况，按政府采购相关规定执行。</w:t>
      </w:r>
      <w:r/>
    </w:p>
    <w:p>
      <w:pPr>
        <w:ind w:left="0" w:right="0" w:firstLine="482"/>
        <w:jc w:val="both"/>
        <w:spacing w:before="145" w:after="145"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六、定标</w:t>
      </w:r>
      <w:r/>
    </w:p>
    <w:p>
      <w:pPr>
        <w:ind w:left="0" w:right="0" w:firstLine="600"/>
        <w:jc w:val="both"/>
        <w:spacing w:before="0" w:after="0" w:line="360" w:lineRule="auto"/>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28、确定中标单位</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28.1中标候选人的选取原则和数量见招标文件第五章规定。 </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 采购人应根据评委会推荐的中标候选人确定中标人。</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28.3服务中心将在“江苏政府采购网”发布中标公告，公告期限为1个工作日。</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 若有充分证据证明，中标人出现下列情况之一的，一经查实，将被取消中标资格：</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28.4.1提供虚假材料谋取中标的。</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28.4.2向采购人、服务中心行贿或者提供其他不正当利益的。</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28.4.3属于本文件规定的无效条件，但在评标过程中又未被评委会发现的。</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28.4.4与采购人或者其他供应商恶意串通的。</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28.4.5采取不正当手段诋毁、排挤其他供应商的。</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28.5.有下列情形之一的，视为投标人串通投标，投标无效：</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28.5.1不同投标人的投标文件由同一单位或者个人编制。</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28.5.2不同投标人委托同一单位或者个人办理投标事宜。</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28.5.3 不同投标人的投标文件载明的项目管理成员或者联系人员为同一人。</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28.5.4不同投标人的投标文件异常一致或者投标报价呈规律性差异。</w:t>
      </w:r>
      <w:r/>
    </w:p>
    <w:p>
      <w:pPr>
        <w:ind w:left="0" w:right="0" w:firstLine="600"/>
        <w:jc w:val="both"/>
        <w:spacing w:before="145" w:after="0" w:line="360" w:lineRule="auto"/>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29、质疑处理</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29.1提出质疑的供应商应当是参与所质疑项目采购活动的供应商。潜在供应商依法获取其可质疑的采购文件的，可以对采购文件提出质疑。</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供应商认为采购文件、采购过程和采购结果使自己的权益受到损害的，可以在知道或应知其权益受到损害之日起七个工作日内，以书面形式根据下述29.4条款的规定向采购人或服务中心提出质疑。上述应知其权益受到损害之日，是指：</w:t>
      </w:r>
      <w:r/>
    </w:p>
    <w:p>
      <w:pPr>
        <w:ind w:left="0" w:right="0" w:firstLine="480"/>
        <w:jc w:val="left"/>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29.2.1对可以质疑的采购文件提出质疑的，为收到采购文件之日或者采购文件公告期限届满之日；</w:t>
        <w:br/>
        <w:t xml:space="preserve">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29.2.2对采购过程提出质疑的，为各采购程序环节结束之日；</w:t>
        <w:br/>
        <w:t xml:space="preserve">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29.2.3对中标或者成交结果提出质疑的，为中标或者成交结果公告期限届满之日。</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供应商应当在法定质疑期内一次性提出针对同一采购程序环节的质疑。供应商如在法定期限内对同一采购程序环节提出多次质疑的，采购人、服务中心将只对供应商第一次质疑作出答复。</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29.4供应商（含潜在供应商）对与本项目有关的所有询问、质疑均请向采购人提出，由采购人负责答复。</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采购人及服务中心只接收以纸质原件形式送达的质疑,建议供应商尽量通过邮寄方式提交质疑（采购人及服务中心不接受无快递运单号的快递）。</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采购人质疑接收人及联系方式见招标文件第一章。</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 以下情形的质疑不予受理</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29.5.1 内容不符合《政府采购质疑和投诉办法》第十二条规定的质疑。</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29.5.2 超出政府采购法定期限的质疑。</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29.5.3 以传真、电子邮件等方式递交的非原件形式的质疑。</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29.5.4 未参加投标活动的供应商或在投标活动中自身权益未受到损害的供应商所提出的质疑。</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29.5.5供应商组成联合体参加投标，联合体中任何一方或多方未按要求签字、盖章、加盖公章的质疑。</w:t>
      </w:r>
      <w:r/>
    </w:p>
    <w:p>
      <w:pPr>
        <w:ind w:left="0" w:right="0" w:firstLine="468"/>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29.6 供应商提出书面质疑必须有理、有据，不得捏造事实、提供虚假材料进行恶意质疑。否则，一经查实，服务中心有权依据政府采购的有关规定，报请政府采购监管部门对该供应商进行相应的行政处罚和记录该供应商的失信信息。</w:t>
      </w:r>
      <w:r/>
    </w:p>
    <w:p>
      <w:pPr>
        <w:ind w:left="0" w:right="0" w:firstLine="600"/>
        <w:jc w:val="both"/>
        <w:spacing w:before="145" w:after="0" w:line="360" w:lineRule="auto"/>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30、中标通知书</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l中标结果确定后，服务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30.2中标通知书将是合同的一个组成部分。对采购人和中标供应商均具有法律效力。中标通知书发出后，采购人改变中标结果的，或者中标供应商放弃中标项目的，应当依法承担法律责任。</w:t>
      </w:r>
      <w:r/>
    </w:p>
    <w:p>
      <w:pPr>
        <w:ind w:left="0" w:right="0" w:firstLine="643"/>
        <w:jc w:val="both"/>
        <w:spacing w:before="145" w:after="145"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七、授予合同</w:t>
      </w:r>
      <w:r/>
    </w:p>
    <w:p>
      <w:pPr>
        <w:ind w:left="0" w:right="0" w:firstLine="600"/>
        <w:jc w:val="both"/>
        <w:spacing w:before="0" w:after="0" w:line="360" w:lineRule="auto"/>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31. 签订合同</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31.l成交供应商应当在成交通知书发出之日起三十日内，按照招标文件确定的事项与采购人签订政府采购合同。</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31.2招标文件、成交供应商的响应文件及招标过程中有关澄清、承诺文件均应作为合同附件。</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left="0" w:right="0" w:firstLine="600"/>
        <w:jc w:val="both"/>
        <w:spacing w:before="0" w:after="0" w:line="360" w:lineRule="auto"/>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32、标的物的追加</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left="0" w:right="0" w:firstLine="600"/>
        <w:jc w:val="both"/>
        <w:spacing w:before="0" w:after="0" w:line="360" w:lineRule="auto"/>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33、政府采购政策功能落实</w:t>
      </w:r>
      <w:r/>
    </w:p>
    <w:p>
      <w:pPr>
        <w:ind w:left="0" w:right="0" w:firstLine="600"/>
        <w:jc w:val="both"/>
        <w:spacing w:before="0" w:after="0" w:line="360" w:lineRule="auto"/>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33.1政府采购线上合同信用融资政策</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w:t>
      </w:r>
      <w:r/>
    </w:p>
    <w:p>
      <w:pPr>
        <w:ind w:left="0" w:right="0" w:firstLine="600"/>
        <w:jc w:val="both"/>
        <w:spacing w:before="0" w:after="0" w:line="360" w:lineRule="auto"/>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33.2进口产品</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left="0" w:right="0" w:firstLine="600"/>
        <w:jc w:val="both"/>
        <w:spacing w:before="0" w:after="0" w:line="360" w:lineRule="auto"/>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33.3中小企业、监狱企业及残疾人福利性单位</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33.3.1中小企业定义：</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w:t>
      </w:r>
      <w:r>
        <w:rPr>
          <w:rFonts w:ascii="SimSun" w:hAnsi="SimSun" w:eastAsia="SimSun" w:cs="SimSun"/>
          <w:color w:val="000000"/>
          <w:sz w:val="24"/>
        </w:rPr>
        <w:t xml:space="preserve">号）。</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33.3.2供应商提供的货物、工程或者服务符合下列情形的，享受中小企业扶持政策：</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33.3.2.1在货物采购项目中，货物由中小企业制造，即货物由中小企业生产且使用该中小企业商号或者注册商标；</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33.3.2.2在工程采购项目中，工程由中小企业承建，即工程施工单位为中小企业；</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33.3.2.3在服务采购项目中，服务由中小企业承接，即提供服务的人员为中小企业依照《中华人民共和国劳动合同法》订立劳动合同的从业人员。</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33.3.3在货物采购项目中，供应商提供的货物既有中小企业制造货物，也有大型企业制造货物的，不享受中小企业扶持政策。</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33.3.4以联合体形式参加政府采购活动，联合体各方均为中小企业的，联合体视同中小企业。其中，联合体各方均为小微企业的，联合体视同小微企业。</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33.3.6残疾人福利单位定义：享受政府采购支持政策的残疾人福利性单位应当同时满足以下条件：</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33.3.6.1安置的残疾人占本单位在职职工人数的比例不低于25%（含25%），并且安置的残疾人人数不少于10人（含10人）；</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33.3.6.2依法与安置的每位残疾人签订了一年以上（含一年）的劳动合同或服务协议；</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33.3.6.3为安置的每位残疾人按月足额缴纳了基本养老保险、基本医疗保险、失业保险、工伤保险和生育保险等社会保险费；</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33.3.6.4通过银行等金融机构向安置的每位残疾人，按月支付了不低于单位所在区县适用的经省级人民政府批准的月最低工资标准的工资；</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33.3.6.5提供本单位制造的货物、承担的工程或者服务（以下简称产品），或者提供其他残疾人福利性单位制造的货物（不包括使用非残疾人福利性单位注册商标的货物）；</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ind w:left="0" w:right="0" w:firstLine="600"/>
        <w:jc w:val="both"/>
        <w:spacing w:before="0" w:after="0" w:line="360" w:lineRule="auto"/>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33.4政府采购节能产品、环境标志产品</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w:t>
      </w:r>
      <w:r>
        <w:rPr>
          <w:rFonts w:ascii="SimSun" w:hAnsi="SimSun" w:eastAsia="SimSun" w:cs="SimSun"/>
          <w:color w:val="000000"/>
          <w:sz w:val="24"/>
          <w:highlight w:val="white"/>
        </w:rPr>
        <w:t xml:space="preserve">节能产品、环境标志产</w:t>
      </w:r>
      <w:r>
        <w:rPr>
          <w:rFonts w:ascii="SimSun" w:hAnsi="SimSun" w:eastAsia="SimSun" w:cs="SimSun"/>
          <w:color w:val="000000"/>
          <w:sz w:val="24"/>
        </w:rPr>
        <w:t xml:space="preserve">品品目清单以递交响应文件截止时已正式公布的最近一期信息为准，</w:t>
      </w:r>
      <w:r>
        <w:rPr>
          <w:rFonts w:ascii="SimSun" w:hAnsi="SimSun" w:eastAsia="SimSun" w:cs="SimSun"/>
          <w:b/>
          <w:i/>
          <w:color w:val="000000"/>
          <w:sz w:val="24"/>
          <w:u w:val="single"/>
        </w:rPr>
        <w:t xml:space="preserve">如属政府强制采购产品未提供认证证书的或认证证书提供不全的将视为未实质性响应采购要求。</w:t>
      </w:r>
      <w:r>
        <w:rPr>
          <w:rFonts w:ascii="SimSun" w:hAnsi="SimSun" w:eastAsia="SimSun" w:cs="SimSun"/>
          <w:color w:val="000000"/>
          <w:sz w:val="24"/>
        </w:rPr>
        <w:t xml:space="preserve">其他条件相同情况下，应当优先采购节能产品、环境标志产品。</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left="0" w:right="0" w:firstLine="600"/>
        <w:jc w:val="both"/>
        <w:spacing w:before="0" w:after="0" w:line="360" w:lineRule="auto"/>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33.5绿色包装</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left="0" w:right="0" w:firstLine="600"/>
        <w:jc w:val="both"/>
        <w:spacing w:before="0" w:after="0" w:line="360" w:lineRule="auto"/>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33.6政府采购创新产品</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采购人优先采购各级政府部门公开发布的有效期内的创新产品、创新服务、首台套、首购首用等《目录》的创新产品。</w:t>
      </w:r>
      <w:r/>
    </w:p>
    <w:p>
      <w:pPr>
        <w:ind w:left="0" w:right="0" w:firstLine="600"/>
        <w:jc w:val="both"/>
        <w:spacing w:before="0" w:after="0" w:line="360" w:lineRule="auto"/>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33.7绿色数据中心政策</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w:t>
      </w:r>
      <w:r>
        <w:rPr>
          <w:rFonts w:ascii="SimSun" w:hAnsi="SimSun" w:eastAsia="SimSun" w:cs="SimSun"/>
          <w:color w:val="000000"/>
          <w:sz w:val="24"/>
        </w:rPr>
        <w:t xml:space="preserve">涉及生产过程或检测时间长等原因，不能在验收过程中开展检测、认证的，可要求供应商在验收阶段提供相关检测报告、认证报告。</w:t>
      </w:r>
      <w:r/>
    </w:p>
    <w:p>
      <w:pPr>
        <w:ind w:left="0" w:right="0" w:firstLine="600"/>
        <w:jc w:val="both"/>
        <w:spacing w:before="0" w:after="0" w:line="360" w:lineRule="auto"/>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33.8实施本国产品标准及相关政策</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1.本项目对采购本国产品给予政策支持。</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r/>
    </w:p>
    <w:p>
      <w:pPr>
        <w:ind w:left="0" w:right="0" w:firstLine="600"/>
        <w:jc w:val="both"/>
        <w:spacing w:before="0" w:after="0" w:line="360" w:lineRule="auto"/>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33.9履约保证金政策</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确需收取履约保证金的，履约保证金的缴纳形式：</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如以履约保函（保险）形式缴纳履约保证金，供应商可通过政府采购电子履约保函（保险）平台（www.jsdzbh.com）在线申请履约保函（保险）。</w:t>
      </w:r>
      <w:r/>
    </w:p>
    <w:p>
      <w:pPr>
        <w:ind w:left="0" w:right="840" w:firstLine="2400"/>
        <w:jc w:val="both"/>
        <w:spacing w:before="0" w:after="0" w:line="360" w:lineRule="auto"/>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300" w:right="0" w:firstLine="2218"/>
        <w:spacing w:before="0" w:after="0" w:line="360" w:lineRule="auto"/>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br w:type="page" w:clear="all"/>
      </w:r>
      <w:r>
        <w:rPr>
          <w:rFonts w:ascii="SimHei" w:hAnsi="SimHei" w:eastAsia="SimHei" w:cs="SimHei"/>
          <w:sz w:val="44"/>
        </w:rPr>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pStyle w:val="638"/>
        <w:ind w:left="0" w:right="0" w:firstLine="0"/>
        <w:jc w:val="center"/>
        <w:spacing w:before="0" w:after="240" w:line="360" w:lineRule="auto"/>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第三章  合同文本</w:t>
      </w:r>
      <w:r/>
    </w:p>
    <w:p>
      <w:pPr>
        <w:ind w:left="0" w:right="0" w:firstLine="566"/>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以下为中标后签定本项目合同的通用条款，中标人不得提出实质性的修改。</w:t>
      </w:r>
      <w:r/>
    </w:p>
    <w:p>
      <w:pPr>
        <w:ind w:left="0" w:right="0" w:firstLine="0"/>
        <w:jc w:val="center"/>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120" w:after="36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泰州市海陵区政府采购合同（服务）（合同编号）</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                   </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           </w:t>
      </w:r>
      <w:r>
        <w:rPr>
          <w:rFonts w:ascii="SimSun" w:hAnsi="SimSun" w:eastAsia="SimSun" w:cs="SimSun"/>
          <w:color w:val="ff0000"/>
          <w:sz w:val="24"/>
        </w:rPr>
        <w:t xml:space="preserve"> </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甲方：（买方）_________</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乙方：（卖方）_________</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甲、乙双方根据泰州市海陵区政务服务中心</w:t>
      </w:r>
      <w:r>
        <w:rPr>
          <w:rFonts w:ascii="SimSun" w:hAnsi="SimSun" w:eastAsia="SimSun" w:cs="SimSun"/>
          <w:color w:val="000000"/>
          <w:sz w:val="24"/>
          <w:u w:val="single"/>
        </w:rPr>
        <w:t xml:space="preserve">         </w:t>
      </w:r>
      <w:r>
        <w:rPr>
          <w:rFonts w:ascii="SimSun" w:hAnsi="SimSun" w:eastAsia="SimSun" w:cs="SimSun"/>
          <w:color w:val="000000"/>
          <w:sz w:val="24"/>
        </w:rPr>
        <w:t xml:space="preserve">项目公开招标的结果，签署本合同。</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一、合同内容</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标的名称：</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1.2标的质量：</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 标的数量（规模）：</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 履行时间（期限）：</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 履行地点：</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1.6履行方式：</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二、合同金额</w:t>
      </w:r>
      <w:r/>
    </w:p>
    <w:p>
      <w:pPr>
        <w:ind w:left="410" w:right="0" w:hanging="41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本合同金额为（大写）：________圆（________元）人民币或其他币种。</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三、技术资料</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3.1乙方应按招标文件规定的时间向甲方提供服务（包含与服务相关的货物）的有关技术资料。</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四、知识产权</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乙方应保证甲方在使用、接受本合同服务（包含与服务相关的货物）或其任何一部分时不受第三方提出侵犯其专利权、版权、商标权和工业设计权等知识产权的起诉。一旦出现侵权，由乙方负全部责任。</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五、产权担保</w:t>
      </w:r>
      <w:r/>
    </w:p>
    <w:p>
      <w:pPr>
        <w:ind w:left="408" w:right="0" w:hanging="408"/>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乙方保证所交付的服务（包含与服务相关的货物）的所有权完全属于乙方且无任何抵押、查封等产权瑕疵。</w:t>
      </w:r>
      <w:r/>
    </w:p>
    <w:p>
      <w:pPr>
        <w:ind w:left="410" w:right="0" w:hanging="41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六、履约保证金</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该项目签订合同时乙方须缴纳中标价10％为履约保证金，履约保证金的有效期为该项目服务结束时止，甲方应在服务结束后30日内原路退还履约保证金。如采购人无正当理由逾期退还履约保证金，每逾期一天采购人向供应商偿付欠款总额的千分之五(滞纳金)。如供应商未能履行合同规定的义务，采购人有权从履约保证金中取得补偿。履约保证金扣除采购人应得的补偿后的余额在有效期满后七个工作日内原路退还给乙方。</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七、合同转包或分包</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7.1乙方不得将合同标的转包给他人履行。</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7.2乙方不得将合同标的分包给他人履行。</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7.3乙方如有转包或未经甲方同意的分包行为，甲方有权解除合同。</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八、合同款项支付</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合同签订后，预付合同款10％，剩余保安服务费由采购人向中标人通报每月考核情况，核算支付金额后每季度支付一次。对于满足合同约定支付条件的，采购人自收到发票后10个工作日内将资金支付到合同约定的供应商账户。</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九、税费</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本合同执行中相关的一切税费均由乙方负担。</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十、项目验收</w:t>
      </w:r>
      <w:r/>
    </w:p>
    <w:p>
      <w:pPr>
        <w:ind w:left="480" w:right="0" w:hanging="48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甲方依法组织履约验收工作。</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80" w:right="0" w:hanging="48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 对于实际使用人和甲方分离的项目，甲方邀请实际使用人参与验收。</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10.4如有必要，甲方邀请参加本项目的其他供应商或第三方专业机构及专家参与验收，相关意见将作为验收书的参考资料。</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十一、违约责任</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11.1甲方无正当理由拒绝接受乙方提供服务的，甲方向乙方偿付拒绝接受服务合同价款总值</w:t>
      </w:r>
      <w:r>
        <w:rPr>
          <w:rFonts w:ascii="SimSun" w:hAnsi="SimSun" w:eastAsia="SimSun" w:cs="SimSun"/>
          <w:color w:val="000000"/>
          <w:sz w:val="24"/>
          <w:u w:val="single"/>
        </w:rPr>
        <w:t xml:space="preserve">    </w:t>
      </w:r>
      <w:r>
        <w:rPr>
          <w:rFonts w:ascii="SimSun" w:hAnsi="SimSun" w:eastAsia="SimSun" w:cs="SimSun"/>
          <w:color w:val="000000"/>
          <w:sz w:val="24"/>
        </w:rPr>
        <w:t xml:space="preserve">的违约金。</w:t>
      </w:r>
      <w:r/>
    </w:p>
    <w:p>
      <w:pPr>
        <w:ind w:left="0" w:right="0" w:firstLine="1"/>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甲方无故逾期验收和办理合同款项支付手续的,甲方应按逾期付款总额</w:t>
      </w:r>
      <w:r>
        <w:rPr>
          <w:rFonts w:ascii="SimSun" w:hAnsi="SimSun" w:eastAsia="SimSun" w:cs="SimSun"/>
          <w:color w:val="000000"/>
          <w:sz w:val="24"/>
          <w:u w:val="single"/>
        </w:rPr>
        <w:t xml:space="preserve">    </w:t>
      </w:r>
      <w:r>
        <w:rPr>
          <w:rFonts w:ascii="SimSun" w:hAnsi="SimSun" w:eastAsia="SimSun" w:cs="SimSun"/>
          <w:color w:val="000000"/>
          <w:sz w:val="24"/>
        </w:rPr>
        <w:t xml:space="preserve">每日向乙方支付违约金。</w:t>
      </w:r>
      <w:r/>
    </w:p>
    <w:p>
      <w:pPr>
        <w:ind w:left="1" w:right="0" w:hanging="1"/>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ascii="SimSun" w:hAnsi="SimSun" w:eastAsia="SimSun" w:cs="SimSun"/>
          <w:color w:val="000000"/>
          <w:sz w:val="24"/>
          <w:u w:val="single"/>
        </w:rPr>
        <w:t xml:space="preserve">     </w:t>
      </w:r>
      <w:r>
        <w:rPr>
          <w:rFonts w:ascii="SimSun" w:hAnsi="SimSun" w:eastAsia="SimSun" w:cs="SimSun"/>
          <w:color w:val="000000"/>
          <w:sz w:val="24"/>
        </w:rPr>
        <w:t xml:space="preserve">的违约金，如造成甲方损失超过违约金的，超出部分由乙方继续承担赔偿责任。 </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 乙方所提供服务的标准不符合合同规定及招标文件规定标准的，甲方有权拒绝接受服务，并可单方面解除合同。</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十二、不可抗力事件处理</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在合同有效期内，任何一方因不可抗力事件导致不能履行合同，则合同履行期可延长，其延长期与不可抗力影响 期相同。</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不可抗力事件发生后，应立即通知对方，并寄送有关权威机构出具的证明。</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 不可抗力事件延续120天以上，双方应通过友好协商，确定是否继续履行合同。</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十三、解决争议的方法</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双方在签订、履行合同中所发生的一切争议，应通过友好协商解决。如协商不成，由甲方住所地人民法院管辖。</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十四、合同生效及其它</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合同经双方法定代表人或授权委托代表人签字并加盖单位公章后生效。</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14.2本合同未尽事宜，遵照中华人民共和国现行法律法规有关条文执行。</w:t>
      </w:r>
      <w:r/>
    </w:p>
    <w:p>
      <w:pPr>
        <w:ind w:left="480" w:right="0" w:hanging="48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 本合同正本一式两份，具有同等法律效力，甲方、乙方各执一份。</w:t>
      </w:r>
      <w:r/>
    </w:p>
    <w:p>
      <w:pPr>
        <w:ind w:left="480" w:right="0" w:hanging="48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80" w:right="0" w:hanging="48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80" w:right="0" w:hanging="48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甲方：                             乙方： </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地址：                             地址： </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法定代表人或授权代表：             法定代表人或授权代表：</w:t>
      </w:r>
      <w:r/>
    </w:p>
    <w:p>
      <w:pPr>
        <w:ind w:left="0" w:right="0" w:firstLine="142"/>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                        联系电话：         </w:t>
      </w:r>
      <w:r/>
    </w:p>
    <w:p>
      <w:pPr>
        <w:ind w:left="0" w:right="0" w:firstLine="24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4"/>
        </w:rPr>
        <w:t xml:space="preserve">签订日期：</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日</w:t>
        <w:br w:type="page" w:clear="all"/>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第四章 采购需求</w:t>
      </w:r>
      <w:r/>
    </w:p>
    <w:p>
      <w:pPr>
        <w:ind w:left="0" w:right="0" w:firstLine="0"/>
        <w:jc w:val="both"/>
        <w:spacing w:before="0" w:after="145"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一、采购标的清单</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供应商需为海陵区区属公办中小学、幼儿园提供保安24小时值守和不定时巡查，保安总人数164人。</w:t>
      </w:r>
      <w:r>
        <w:rPr>
          <w:rFonts w:ascii="SimSun" w:hAnsi="SimSun" w:eastAsia="SimSun" w:cs="SimSun"/>
          <w:b/>
          <w:i/>
          <w:color w:val="000000"/>
          <w:sz w:val="24"/>
          <w:u w:val="single"/>
        </w:rPr>
        <w:t xml:space="preserve">所有保安人员必须符合持证上岗条件，全员取得公安部门核发的保安员证，没有违法犯罪或劳教等记录。（须提供下划线部分承诺书并加盖供应商公章）</w:t>
      </w:r>
      <w:r>
        <w:rPr>
          <w:rFonts w:ascii="Times New Roman" w:hAnsi="Times New Roman" w:eastAsia="Times New Roman" w:cs="Times New Roman"/>
          <w:sz w:val="21"/>
        </w:rPr>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二、技术要求</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1.项目基本情况</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73"/>
        <w:gridCol w:w="642"/>
        <w:gridCol w:w="2960"/>
        <w:gridCol w:w="507"/>
        <w:gridCol w:w="1341"/>
        <w:gridCol w:w="566"/>
        <w:gridCol w:w="460"/>
        <w:gridCol w:w="2506"/>
      </w:tblGrid>
      <w:tr>
        <w:trPr>
          <w:trHeight w:val="540"/>
        </w:trPr>
        <w:tc>
          <w:tcPr>
            <w:gridSpan w:val="8"/>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54"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40"/>
              </w:rPr>
              <w:t xml:space="preserve">2026年校园保安派驻情况明细表</w:t>
            </w:r>
            <w:r/>
          </w:p>
        </w:tc>
      </w:tr>
      <w:tr>
        <w:trPr>
          <w:trHeight w:val="375"/>
        </w:trPr>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18"/>
              </w:rPr>
              <w:t xml:space="preserve"> </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18"/>
              </w:rPr>
              <w:t xml:space="preserve"> </w:t>
            </w:r>
            <w:r/>
          </w:p>
        </w:tc>
        <w:tc>
          <w:tcPr>
            <w:gridSpan w:val="6"/>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40" w:type="dxa"/>
            <w:vAlign w:val="center"/>
            <w:textDirection w:val="lrTb"/>
            <w:noWrap w:val="false"/>
          </w:tcPr>
          <w:p>
            <w:pPr>
              <w:ind w:left="0" w:right="0" w:firstLine="0"/>
              <w:jc w:val="right"/>
              <w:spacing w:before="0" w:after="0" w:line="360" w:lineRule="auto"/>
              <w:pBdr>
                <w:top w:val="none" w:color="000000" w:sz="4" w:space="0"/>
                <w:left w:val="none" w:color="000000" w:sz="4" w:space="0"/>
                <w:bottom w:val="none" w:color="000000" w:sz="4" w:space="0"/>
                <w:right w:val="none" w:color="000000" w:sz="4" w:space="0"/>
              </w:pBdr>
            </w:pPr>
            <w:r>
              <w:rPr>
                <w:rFonts w:ascii="KaiTi" w:hAnsi="KaiTi" w:eastAsia="KaiTi" w:cs="KaiTi"/>
                <w:color w:val="000000"/>
                <w:sz w:val="18"/>
              </w:rPr>
              <w:t xml:space="preserve">2026年 月</w:t>
            </w:r>
            <w:r/>
          </w:p>
        </w:tc>
      </w:tr>
      <w:tr>
        <w:trPr>
          <w:trHeight w:val="550"/>
        </w:trPr>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5" w:type="dxa"/>
            <w:vAlign w:val="center"/>
            <w:vMerge w:val="restart"/>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Hei" w:hAnsi="SimHei" w:eastAsia="SimHei" w:cs="SimHei"/>
                <w:color w:val="000000"/>
                <w:sz w:val="18"/>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60" w:type="dxa"/>
            <w:vAlign w:val="center"/>
            <w:vMerge w:val="restart"/>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Hei" w:hAnsi="SimHei" w:eastAsia="SimHei" w:cs="SimHei"/>
                <w:color w:val="000000"/>
                <w:sz w:val="18"/>
              </w:rPr>
              <w:t xml:space="preserve">学 校 名 称</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Hei" w:hAnsi="SimHei" w:eastAsia="SimHei" w:cs="SimHei"/>
                <w:color w:val="000000"/>
                <w:sz w:val="18"/>
              </w:rPr>
              <w:t xml:space="preserve">学生在校期间派驻人数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6" w:type="dxa"/>
            <w:vAlign w:val="center"/>
            <w:vMerge w:val="restart"/>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Hei" w:hAnsi="SimHei" w:eastAsia="SimHei" w:cs="SimHei"/>
                <w:color w:val="000000"/>
                <w:sz w:val="18"/>
              </w:rPr>
              <w:t xml:space="preserve">节假日、双休日、寒暑假值日人数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0" w:type="dxa"/>
            <w:vAlign w:val="center"/>
            <w:vMerge w:val="restart"/>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Hei" w:hAnsi="SimHei" w:eastAsia="SimHei" w:cs="SimHei"/>
                <w:color w:val="000000"/>
                <w:sz w:val="18"/>
              </w:rPr>
              <w:t xml:space="preserve">全年 夜班</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Hei" w:hAnsi="SimHei" w:eastAsia="SimHei" w:cs="SimHei"/>
                <w:color w:val="000000"/>
                <w:sz w:val="18"/>
              </w:rPr>
              <w:t xml:space="preserve">人数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06" w:type="dxa"/>
            <w:vAlign w:val="center"/>
            <w:vMerge w:val="restart"/>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Hei" w:hAnsi="SimHei" w:eastAsia="SimHei" w:cs="SimHei"/>
                <w:color w:val="000000"/>
                <w:sz w:val="18"/>
              </w:rPr>
              <w:t xml:space="preserve">各校学生在校时间</w:t>
            </w:r>
            <w:r/>
          </w:p>
        </w:tc>
      </w:tr>
      <w:tr>
        <w:trPr>
          <w:trHeight w:val="90"/>
        </w:trPr>
        <w:tc>
          <w:tcPr>
            <w:gridSpan w:val="2"/>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50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Hei" w:hAnsi="SimHei" w:eastAsia="SimHei" w:cs="SimHei"/>
                <w:color w:val="000000"/>
                <w:sz w:val="18"/>
              </w:rPr>
              <w:t xml:space="preserve"> </w:t>
            </w:r>
            <w:r/>
          </w:p>
        </w:tc>
        <w:tc>
          <w:tcPr>
            <w:tcBorders>
              <w:top w:val="none" w:color="000000" w:sz="4" w:space="0"/>
              <w:left w:val="none" w:color="000000" w:sz="4" w:space="0"/>
              <w:bottom w:val="single" w:color="000000" w:sz="8" w:space="0"/>
              <w:right w:val="single" w:color="000000" w:sz="4" w:space="0"/>
            </w:tcBorders>
            <w:tcMar>
              <w:left w:w="108" w:type="dxa"/>
              <w:top w:w="0" w:type="dxa"/>
              <w:right w:w="108" w:type="dxa"/>
              <w:bottom w:w="0" w:type="dxa"/>
            </w:tcMar>
            <w:tcW w:w="134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Hei" w:hAnsi="SimHei" w:eastAsia="SimHei" w:cs="SimHei"/>
                <w:color w:val="000000"/>
                <w:sz w:val="18"/>
              </w:rPr>
              <w:t xml:space="preserve">其中具有消防设施操作员四级（中级）及以上职业资格证书的人数</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294"/>
        </w:trPr>
        <w:tc>
          <w:tcPr>
            <w:gridSpan w:val="3"/>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7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总  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164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4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20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52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52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0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p>
        </w:tc>
      </w:tr>
      <w:tr>
        <w:trPr>
          <w:trHeight w:val="340"/>
        </w:trPr>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幼儿园</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50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4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23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23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0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p>
        </w:tc>
      </w:tr>
      <w:tr>
        <w:trPr>
          <w:trHeight w:val="37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泰州市幼儿园</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4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0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8:00—17:15</w:t>
            </w:r>
            <w:r/>
          </w:p>
        </w:tc>
      </w:tr>
      <w:tr>
        <w:trPr>
          <w:trHeight w:val="33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泰州市幼儿园易居城分园</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4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0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8:00—17:15</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泰州市幼儿园美好上郡分园</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4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0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8:00—17:15</w:t>
            </w:r>
            <w:r/>
          </w:p>
        </w:tc>
      </w:tr>
      <w:tr>
        <w:trPr>
          <w:trHeight w:val="3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泰州市城东中心小学附属幼儿园</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4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0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7:40—17:30</w:t>
            </w:r>
            <w:r/>
          </w:p>
        </w:tc>
      </w:tr>
      <w:tr>
        <w:trPr>
          <w:trHeight w:val="3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泰州市城东中心小学附属幼儿园经东分园</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4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0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7:40—17:30</w:t>
            </w:r>
            <w:r/>
          </w:p>
        </w:tc>
      </w:tr>
      <w:tr>
        <w:trPr>
          <w:trHeight w:val="3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泰州市迎春幼儿园</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4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0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7:40—17:30</w:t>
            </w:r>
            <w:r/>
          </w:p>
        </w:tc>
      </w:tr>
      <w:tr>
        <w:trPr>
          <w:trHeight w:val="3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泰州市实验小学附属幼儿园</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4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0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7:20—17:20</w:t>
            </w:r>
            <w:r/>
          </w:p>
        </w:tc>
      </w:tr>
      <w:tr>
        <w:trPr>
          <w:trHeight w:val="3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海陵幼儿园</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4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0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7:40—17:20</w:t>
            </w:r>
            <w:r/>
          </w:p>
        </w:tc>
      </w:tr>
      <w:tr>
        <w:trPr>
          <w:trHeight w:val="3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梅兰幼儿园</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4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0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7:40—17:10</w:t>
            </w:r>
            <w:r/>
          </w:p>
        </w:tc>
      </w:tr>
      <w:tr>
        <w:trPr>
          <w:trHeight w:val="3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泰州市大浦中心小学附属幼儿园</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4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0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7:20—17:10</w:t>
            </w:r>
            <w:r/>
          </w:p>
        </w:tc>
      </w:tr>
      <w:tr>
        <w:trPr>
          <w:trHeight w:val="3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泰州市大浦中心小学附属幼儿园碧桂园分园</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4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0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7:30—17:10</w:t>
            </w:r>
            <w:r/>
          </w:p>
        </w:tc>
      </w:tr>
      <w:tr>
        <w:trPr>
          <w:trHeight w:val="3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稻河幼儿园</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4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0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7:20—17:10</w:t>
            </w:r>
            <w:r/>
          </w:p>
        </w:tc>
      </w:tr>
      <w:tr>
        <w:trPr>
          <w:trHeight w:val="3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润泰幼儿园</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4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0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7:20—17:10</w:t>
            </w:r>
            <w:r/>
          </w:p>
        </w:tc>
      </w:tr>
      <w:tr>
        <w:trPr>
          <w:trHeight w:val="3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南师大泰州实验幼儿园</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4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0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7:30—17:10</w:t>
            </w:r>
            <w:r/>
          </w:p>
        </w:tc>
      </w:tr>
      <w:tr>
        <w:trPr>
          <w:trHeight w:val="3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泰州市儿童教育中心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4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0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7:45—17:00</w:t>
            </w:r>
            <w:r/>
          </w:p>
        </w:tc>
      </w:tr>
      <w:tr>
        <w:trPr>
          <w:trHeight w:val="3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泰州市儿童教育中心安居分园</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4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0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7:45—17:00</w:t>
            </w:r>
            <w:r/>
          </w:p>
        </w:tc>
      </w:tr>
      <w:tr>
        <w:trPr>
          <w:trHeight w:val="3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泰州学院附属幼儿园</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4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0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7:45—17:30</w:t>
            </w:r>
            <w:r/>
          </w:p>
        </w:tc>
      </w:tr>
      <w:tr>
        <w:trPr>
          <w:trHeight w:val="3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泰州市朱庄中心小学附属幼儿园</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4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0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7:50—16:00</w:t>
            </w:r>
            <w:r/>
          </w:p>
        </w:tc>
      </w:tr>
      <w:tr>
        <w:trPr>
          <w:trHeight w:val="3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泰州市海陵区九龙中心幼儿园</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4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0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7:40—17:10</w:t>
            </w:r>
            <w:r/>
          </w:p>
        </w:tc>
      </w:tr>
      <w:tr>
        <w:trPr>
          <w:trHeight w:val="3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20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20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泰州市海陵区大冯中心幼儿园</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4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0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7:40—5:20</w:t>
            </w:r>
            <w:r/>
          </w:p>
        </w:tc>
      </w:tr>
      <w:tr>
        <w:trPr>
          <w:trHeight w:val="3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21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21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泰州市海陵区罡杨中心幼儿园</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4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0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7:40—5:10</w:t>
            </w:r>
            <w:r/>
          </w:p>
        </w:tc>
      </w:tr>
      <w:tr>
        <w:trPr>
          <w:trHeight w:val="3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22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22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泰州市海陵区里华中心幼儿园</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4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0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7:50—16:00</w:t>
            </w:r>
            <w:r/>
          </w:p>
        </w:tc>
      </w:tr>
      <w:tr>
        <w:trPr>
          <w:trHeight w:val="3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23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23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泰州市海陵区港口幼儿园</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4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0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8:00—16:00</w:t>
            </w:r>
            <w:r/>
          </w:p>
        </w:tc>
      </w:tr>
      <w:tr>
        <w:trPr>
          <w:trHeight w:val="3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24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24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泰州市海陵区苏陈幼儿园</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4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0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7:40—5:10</w:t>
            </w:r>
            <w:r/>
          </w:p>
        </w:tc>
      </w:tr>
      <w:tr>
        <w:trPr>
          <w:trHeight w:val="340"/>
        </w:trPr>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二</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小 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69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4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0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p>
        </w:tc>
      </w:tr>
      <w:tr>
        <w:trPr>
          <w:trHeight w:val="3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25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泰州市实验小学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4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0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7:40—17:40</w:t>
            </w:r>
            <w:r/>
          </w:p>
        </w:tc>
      </w:tr>
      <w:tr>
        <w:trPr>
          <w:trHeight w:val="3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26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泰州市实验小学育才路校区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4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0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7:40—17:40</w:t>
            </w:r>
            <w:r/>
          </w:p>
        </w:tc>
      </w:tr>
      <w:tr>
        <w:trPr>
          <w:trHeight w:val="3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27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泰州市城东中心小学鼓楼校区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4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0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7:40—17:40</w:t>
            </w:r>
            <w:r/>
          </w:p>
        </w:tc>
      </w:tr>
      <w:tr>
        <w:trPr>
          <w:trHeight w:val="3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28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泰州市城东中心小学迎春校区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4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0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7:40—17:40</w:t>
            </w:r>
            <w:r/>
          </w:p>
        </w:tc>
      </w:tr>
      <w:tr>
        <w:trPr>
          <w:trHeight w:val="3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29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泰州市城东中心小学经东校区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4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0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7:40—17:40</w:t>
            </w:r>
            <w:r/>
          </w:p>
        </w:tc>
      </w:tr>
      <w:tr>
        <w:trPr>
          <w:trHeight w:val="3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30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泰州市城东中心小学春晖校区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4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0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7:40—17:40</w:t>
            </w:r>
            <w:r/>
          </w:p>
        </w:tc>
      </w:tr>
      <w:tr>
        <w:trPr>
          <w:trHeight w:val="3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31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泰州市城东中心小学济川校区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4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0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7:40—17:40</w:t>
            </w:r>
            <w:r/>
          </w:p>
        </w:tc>
      </w:tr>
      <w:tr>
        <w:trPr>
          <w:trHeight w:val="3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32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泰州市大浦中心小学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4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0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7:40—17:40</w:t>
            </w:r>
            <w:r/>
          </w:p>
        </w:tc>
      </w:tr>
      <w:tr>
        <w:trPr>
          <w:trHeight w:val="3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33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泰州市大浦中心小学西校区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4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0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7:40—17:40</w:t>
            </w:r>
            <w:r/>
          </w:p>
        </w:tc>
      </w:tr>
      <w:tr>
        <w:trPr>
          <w:trHeight w:val="3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34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泰州市大浦中心小学碧桂园校区（含二附北）</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4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0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7:40—17:40</w:t>
            </w:r>
            <w:r/>
          </w:p>
        </w:tc>
      </w:tr>
      <w:tr>
        <w:trPr>
          <w:trHeight w:val="3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35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泰州市扬桥中心小学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4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0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7:40—17:40</w:t>
            </w:r>
            <w:r/>
          </w:p>
        </w:tc>
      </w:tr>
      <w:tr>
        <w:trPr>
          <w:trHeight w:val="3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36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泰州市海光中心小学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4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0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7:40—17:40</w:t>
            </w:r>
            <w:r/>
          </w:p>
        </w:tc>
      </w:tr>
      <w:tr>
        <w:trPr>
          <w:trHeight w:val="3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37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泰州市苏陈实验小学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4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0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7:40—17:40</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38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泰州市大冯中心小学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4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0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7:40—17:40</w:t>
            </w:r>
            <w:r/>
          </w:p>
        </w:tc>
      </w:tr>
      <w:tr>
        <w:trPr>
          <w:trHeight w:val="3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39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泰州市里华中心小学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4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0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7:40—17:40</w:t>
            </w:r>
            <w:r/>
          </w:p>
        </w:tc>
      </w:tr>
      <w:tr>
        <w:trPr>
          <w:trHeight w:val="3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40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泰州市罡杨学校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4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0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7:40—17:40</w:t>
            </w:r>
            <w:r/>
          </w:p>
        </w:tc>
      </w:tr>
      <w:tr>
        <w:trPr>
          <w:trHeight w:val="3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41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泰州市九龙实验学校（小学部）</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4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0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7:40—17:40</w:t>
            </w:r>
            <w:r/>
          </w:p>
        </w:tc>
      </w:tr>
      <w:tr>
        <w:trPr>
          <w:trHeight w:val="3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42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南师大泰州实验学校南校区（小学部）</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4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0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7:40—17:40</w:t>
            </w:r>
            <w:r/>
          </w:p>
        </w:tc>
      </w:tr>
      <w:tr>
        <w:trPr>
          <w:trHeight w:val="3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43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南师大泰州实验学校北校区（小学部）</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4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0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7:40—17:40</w:t>
            </w:r>
            <w:r/>
          </w:p>
        </w:tc>
      </w:tr>
      <w:tr>
        <w:trPr>
          <w:trHeight w:val="3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44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20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泰州市海陵学校（小学部）</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4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0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7:40—17:40</w:t>
            </w:r>
            <w:r/>
          </w:p>
        </w:tc>
      </w:tr>
      <w:tr>
        <w:trPr>
          <w:trHeight w:val="340"/>
        </w:trPr>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三</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中学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42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4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0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p>
        </w:tc>
      </w:tr>
      <w:tr>
        <w:trPr>
          <w:trHeight w:val="3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45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泰州市海陵学校（初中部）</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4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0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7:00—20:30</w:t>
            </w:r>
            <w:r/>
          </w:p>
        </w:tc>
      </w:tr>
      <w:tr>
        <w:trPr>
          <w:trHeight w:val="3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46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泰州市第二中学附属初中本部</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4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0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6:30—21:00</w:t>
            </w:r>
            <w:r/>
          </w:p>
        </w:tc>
      </w:tr>
      <w:tr>
        <w:trPr>
          <w:trHeight w:val="3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47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泰州市第二中学附属初中启航路校区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4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0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6:30—21:00</w:t>
            </w:r>
            <w:r/>
          </w:p>
        </w:tc>
      </w:tr>
      <w:tr>
        <w:trPr>
          <w:trHeight w:val="3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48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泰州市渔行实验学校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4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0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7:40—18:50</w:t>
            </w:r>
            <w:r/>
          </w:p>
        </w:tc>
      </w:tr>
      <w:tr>
        <w:trPr>
          <w:trHeight w:val="3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49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泰州市海军中学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4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0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7:30—20:10</w:t>
            </w:r>
            <w:r/>
          </w:p>
        </w:tc>
      </w:tr>
      <w:tr>
        <w:trPr>
          <w:trHeight w:val="3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50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南师大泰州实验学校南校区（初中部）</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4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0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7:30—18:30</w:t>
            </w:r>
            <w:r/>
          </w:p>
        </w:tc>
      </w:tr>
      <w:tr>
        <w:trPr>
          <w:trHeight w:val="3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51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南师大泰州实验学校北校区（初中部）</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4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0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7:30—20:10</w:t>
            </w:r>
            <w:r/>
          </w:p>
        </w:tc>
      </w:tr>
      <w:tr>
        <w:trPr>
          <w:trHeight w:val="3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52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泰州大冯初级中学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4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0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7:00—19:00</w:t>
            </w:r>
            <w:r/>
          </w:p>
        </w:tc>
      </w:tr>
      <w:tr>
        <w:trPr>
          <w:trHeight w:val="3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53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泰州市里华初级中学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4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0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7:50—18:50</w:t>
            </w:r>
            <w:r/>
          </w:p>
        </w:tc>
      </w:tr>
      <w:tr>
        <w:trPr>
          <w:trHeight w:val="3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54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泰州市港口学校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4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0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7:00—19:00</w:t>
            </w:r>
            <w:r/>
          </w:p>
        </w:tc>
      </w:tr>
      <w:tr>
        <w:trPr>
          <w:trHeight w:val="3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55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泰州市九龙实验学校（初中部）</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4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0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7:20—20:00</w:t>
            </w:r>
            <w:r/>
          </w:p>
        </w:tc>
      </w:tr>
      <w:tr>
        <w:trPr>
          <w:trHeight w:val="340"/>
        </w:trPr>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三</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其他</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4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0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p>
        </w:tc>
      </w:tr>
      <w:tr>
        <w:trPr>
          <w:trHeight w:val="3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56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市少年宫</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4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0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8:30—18:00</w:t>
            </w:r>
            <w:r/>
          </w:p>
        </w:tc>
      </w:tr>
      <w:tr>
        <w:trPr>
          <w:trHeight w:val="3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57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区教师发展中心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4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0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8:30—18:00</w:t>
            </w:r>
            <w:r/>
          </w:p>
        </w:tc>
      </w:tr>
      <w:tr>
        <w:trPr>
          <w:trHeight w:val="3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4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0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p>
        </w:tc>
      </w:tr>
    </w:tbl>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备注：1.节假日、双休日、寒暑假值日人员和夜班人员应从同一学校学生在校期间派驻人员中产生。</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2.在164名保安中明确20名项目管理人员。</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3.学生在校期间全年天数按200天，不足200天的，按海陵区加班工资标准在合同价中扣减。 </w:t>
      </w:r>
      <w:r>
        <w:rPr>
          <w:rFonts w:ascii="SimSun" w:hAnsi="SimSun" w:eastAsia="SimSun" w:cs="SimSun"/>
          <w:color w:val="000000"/>
          <w:sz w:val="24"/>
          <w:szCs w:val="24"/>
        </w:rPr>
        <w:t xml:space="preserve">（</w:t>
      </w:r>
      <w:r>
        <w:rPr>
          <w:rFonts w:ascii="SimSun" w:hAnsi="SimSun" w:eastAsia="SimSun" w:cs="SimSun"/>
          <w:color w:val="000000"/>
          <w:sz w:val="24"/>
          <w:szCs w:val="24"/>
        </w:rPr>
        <w:t xml:space="preserve">市少年宫和教师发展中心上班天数同机关事业</w:t>
      </w:r>
      <w:r>
        <w:rPr>
          <w:rFonts w:ascii="SimSun" w:hAnsi="SimSun" w:eastAsia="SimSun" w:cs="SimSun"/>
          <w:color w:val="000000"/>
          <w:sz w:val="24"/>
          <w:szCs w:val="24"/>
        </w:rPr>
        <w:t xml:space="preserve">）</w:t>
      </w:r>
      <w:r>
        <w:rPr>
          <w:rFonts w:ascii="SimSun" w:hAnsi="SimSun" w:eastAsia="SimSun" w:cs="SimSun"/>
          <w:color w:val="000000"/>
          <w:sz w:val="24"/>
          <w:szCs w:val="24"/>
        </w:rPr>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4.学生在校期间，保安工作时间为每天8小时，超过部分计算加班时长；各学校在确保安全的情况下，可统筹保安上下班时间，统筹节约出的加班费用从合同价中扣减。</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5.非节假日、双休日、寒暑假期间的夜班时间为非学生在校时间。</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6.节假日、双休日、寒暑假期间的白天和夜间，原则上只安排一人值班。</w:t>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二、服务内容</w:t>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负责学校治安巡逻与防范，保障学校师生人身安全和财产安全；</w:t>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2．对外来人员、车辆进行严格并详细登记备案；</w:t>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3．配合学校检查安全隐患，开展法制宣传和安全防范宣传；</w:t>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4．协助学校制定应对各类突发事件的预案；</w:t>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5．协助学校处置发生在校园的突发事情、应急事件，并及时控制校园的各类紧急情况；</w:t>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6．门前“三包”，参与交通、车辆、家长等待区等相关管理，健全校园安全保卫的相关台账资料。严格执行相关管理制度，服从学校管理要求，积极配合学校开展工作；</w:t>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7．学校委托的其他服务事项。</w:t>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 用工要求</w:t>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1．保安人员要求初中及以上文化；投标当月，男保安年龄不超过59周岁、女保安年龄不超过49周岁；男保安平均年龄不得超过55周岁，女保安平均年龄不得超过45周岁。（需提供承诺书并加盖供应商公章，格式自拟）</w:t>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2.五官端正，举止大方，身体健康，能吃苦耐劳、工作认真负责并服从工作安排；</w:t>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3.思想健康，遵纪守法，作风正派、忠诚老实、思想素质高，品行端正，无违法犯罪记录；</w:t>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4．业务能力强，执行严格的纪律和岗位责任制；</w:t>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能掌握相关急救相关知识，应对突发情况；</w:t>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 对治安、火灾等事故应急处置能力强。</w:t>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四、保安服务要求（各学校可以根据本校实际适当调整）</w:t>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保安服务单位应从本保安服务实际出发，根据合同约定的保安服务范围和标准，设立专门的项目管理机构，配备符合要求的保安人员，制定完整、有效的内部管理制度和日常服务运行管理制度等相关制度。</w:t>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作为学校的保安员，其主要岗位职责是保护学校财物，以及学校师生的安全。</w:t>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 门卫管理</w:t>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严格按学校规定时间开关校门。教职工上、下班，学生上学、放学等人员进出高峰期，必须提前打开校门，其他时间关闭大门；学校车辆进出校门时，及时开关大门；来访车辆须经学校管理领导同意后，方可放其进入校门；</w:t>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(2)按校方要求实行立岗制度。保安员在学生上学、放学时，必须站在大门两侧持械值班，加强保卫工作，保障学校正常秩序和师生人身安全；</w:t>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(3）对出入校门的物品（资）进行严格检查，禁止违禁物品带入校园；公物出门须持《出门证》，私人贵重物品出门须登记，经检查核实无误后放行；</w:t>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(4）学生入校后禁止外出，如有特殊原因需离校，必须凭班主任老师签字的出门证明才能放行，并做好记录；</w:t>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(5)禁止一切外来车辆随意进入校园。禁止学生家长进入校园接送学生，禁止招生人员、推销人员及其他非本校工作人员随意进校；</w:t>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(6）找校领导和老师办事的人员，必须在大门外等候，经与相关校领导和老师联系允许后，再登记入校；</w:t>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(7)遇有上级主管部门的领导或其他单位工作人员来校检查指导工作的，应积极配合学校接待工作，指引来访人员进校；</w:t>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(8）保安员应禁止快递人员进入校园，并协助完成各类报刊、信函、邮件、包裹的收、发工作；</w:t>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(9）外来人员入校携带的大型包裹、物件等一律放在传达室，不得直接进入校（园）区；</w:t>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(10)放学时，不能留守值班室，必须提前十分钟在校门口驱逐社会闲杂人员，发现有寻衅滋事迹象者，须及时报警；学生大量涌出时，须及时有效地疏散人群和车辆，保证师生的畅通无阻；</w:t>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(11）做好传达室及校门周围区域的环境卫生工作，确保校门区域整洁有序；</w:t>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(12)维护校门区域的交通秩序，确保行人、车辆出入畅通，制止流动摊贩在校园附近50米范围内叫卖；</w:t>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(13）工作时间不离岗、脱岗、睡岗，不电话聊天、不阅读书报、不干私活、不玩手机、不在岗吸烟。</w:t>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治安巡逻</w:t>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(1)保安员应对校内重点部位和区域进行每日不少于5次的巡查并进行记录，发现意外情况要及时向相关部门领导或值班领导报告，做好部分楼宇的封闭管理工作，做好部分公共区域的开灯、关灯工作；</w:t>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(2)保安员值班期间，要经常巡视校园内有否异常情况，发现问题及时处理并向有关领导报告。一旦遇突发事件时，要迅速做出正确判断和果断处理并及时向校领导报告情况，防止各种意外发生；</w:t>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(3）校园巡逻中发现学生的不文明行为，及时讯问、制止，并上报学校安全管理部门；</w:t>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(4）充分利用监控、周界报警技防设施，加强对学校围墙看护，防止学生或外来人员翻墙。加强对学生车棚的管理和巡查，防止车辆丢失；</w:t>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(5）保安员在值班期间，发现学生在校园内或校门口附近打架斗殴，必须及时制止，制止不了的要及时报警；</w:t>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(6）维护校区秩序，制止乱摆摊设点、乱张贴广告宣传品、乱悬挂横幅、乱停放车辆、办公及教学区域体育锻炼等现象；</w:t>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(7）校园内禁鸣喇叭；指挥各类车辆有序停放，禁止各类车辆停放非停车位上；</w:t>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(8）有权对安全、消防的突发事件进行应急处理（如盗窃、火灾等），并及时报告；</w:t>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(9）按学校保卫部门要求做好各类安全检查、登记等汇总工作；</w:t>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(10）主动、认真地完成学校领导布置的与安全、保卫工作有关的临时任务；</w:t>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(11）如实填写巡查值班记录。</w:t>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活动保障</w:t>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(1）在新生报到、学校举（承）办重大活动、各级各类社会考试等活动（包括上级主管单位的各类检查）时，与学校保卫部门进行沟通，制定完善的活动保障方案。</w:t>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(2）活动开始前对活动区域进行安全检查，活动期间做好车辆管控，活动期间及散场期间保安人员协助引导参与活动人员有序入场和撤场，防止发生突发事件。</w:t>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突发事件处理</w:t>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(1）成立突发事件处置应急领导小组，明确各成员工作职责，协助学校做好各类突发事件的处理，确保校园安全；</w:t>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(2)制定各类突发事件的应急预案，包括但不限于治安交通应急措施、消防应急措施、反恐防暴应急措施等；</w:t>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(3）定期进行演练，使每位保安人员知晓应急预案，所有保安人员参加各类应急演练一年不少于4次；</w:t>
      </w:r>
      <w:r/>
    </w:p>
    <w:p>
      <w:pPr>
        <w:ind w:left="0" w:right="0" w:firstLine="478"/>
        <w:jc w:val="both"/>
        <w:spacing w:before="0" w:after="0" w:line="360" w:lineRule="auto"/>
        <w:tabs>
          <w:tab w:val="left" w:pos="900" w:leader="none"/>
        </w:tabs>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(4）每学期至少开展一次“非教学时段防侵入及应急处突”专题培训与实战演练，重点模拟深夜、节假日等场景下的红、黄、蓝三级响应。</w:t>
      </w:r>
      <w:r>
        <w:rPr>
          <w:rFonts w:ascii="SimSun" w:hAnsi="SimSun" w:eastAsia="SimSun" w:cs="SimSun"/>
          <w:color w:val="000000"/>
          <w:sz w:val="24"/>
          <w:szCs w:val="24"/>
        </w:rPr>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(5)配备足额的通讯（对讲机）和执法记录仪等设备，有应急通讯录，保证指挥信息传达通畅；（需提供承诺书并加盖供应商公章，格式自拟）；</w:t>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(6)公司为学校突发事件处置提供应急人力支持；</w:t>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(7）为保障对突发事件的快速处置，供应商需配置自有机动车辆不少于3辆（需提供承诺书并加盖供应商公章，格式自拟）；</w:t>
      </w:r>
      <w:r/>
    </w:p>
    <w:p>
      <w:pPr>
        <w:ind w:left="0" w:right="0" w:firstLine="478"/>
        <w:jc w:val="both"/>
        <w:spacing w:before="0" w:after="0" w:line="360" w:lineRule="auto"/>
        <w:tabs>
          <w:tab w:val="left" w:pos="900" w:leader="none"/>
          <w:tab w:val="left" w:pos="2910" w:leader="none"/>
        </w:tabs>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(8）为加强对保安队伍的管理，保障对突发事件的应急处置有力，保安服务单位需为本项目配置项目负责人1名（不包含在上岗人员名单中），项目负责人必须具有国家人社部门核发的保安员三级及以上职业资格证书，专门服务于本项目（需提供证书证明以及该人员专门服务本项目的承诺书并加盖供应商公章，格式自拟）；</w:t>
      </w:r>
      <w:r/>
    </w:p>
    <w:p>
      <w:pPr>
        <w:ind w:left="0" w:right="0" w:firstLine="478"/>
        <w:jc w:val="both"/>
        <w:spacing w:before="0" w:after="0" w:line="360" w:lineRule="auto"/>
        <w:tabs>
          <w:tab w:val="left" w:pos="900" w:leader="none"/>
          <w:tab w:val="left" w:pos="2910" w:leader="none"/>
        </w:tabs>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（9）为强化日常管理，需在164名保安中明确20名项目管理人员，作为片区负责人，负责片区内的保安日常管理、培训、考核、工作安排、工作调度等。（格式见附件5）</w:t>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5．本项目的进场、退场交接配合方案</w:t>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(1）项目进场方案要求：</w:t>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a、供应商需有固定联系或办公地点，以便在项目实施过程中能够及时沟通并解决问题；</w:t>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b、在合同规定的进场时间内保安人员足额配置到位；</w:t>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c、对保安人员岗位操作知识培训到位；</w:t>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d、对保安人员使用的设备以及通讯设备（对讲机）使用培训到位；</w:t>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e、保安员要能熟练使用物防技防系统。</w:t>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(2）项目退场方案要求：</w:t>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a、有完整的退场资料、人员、物资交接方案；</w:t>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b、对现有人员去向的有合理的安排，人员处置不得影响学校正常工作秩序；</w:t>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c、与新接手的保安公司友好衔接不影响学校正常工作秩序；</w:t>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d、退场交接期间保证学校设备、器械、资产完好交接并与账目相符。</w:t>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6．主管负责制</w:t>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(1）主管（即项目负责人）负责与校方的联络，并对公司负责，向采购单位提交半年度和年度工作总结和计划报告；</w:t>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(2）主管负责对保安服务工作进行督查、组织业务学习、处理各类突发事件，负责制订、完善、执行、督查各环节服务标准，服务标准不低于校方的服务标准；</w:t>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(3）主管负责组织对保安人员进行定期培训，应重点加强对保安人员的法纪教育和业务培训，每月分批次集中理论学习和技能培训不少于4小时；</w:t>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(4）如遇重大活动或者突发事件，主管应及时赶赴现场处置，并及时向采购单位提交各类重大和突发事件处理的报告。</w:t>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 其他</w:t>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(1）中标人须注重自身形象，确保上岗人员上班统一着装、配饰，自觉维护学校良好声誉，为学校做好保密工作，未经许可不得向外界发布任何有关学校的言论；</w:t>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人应制定详细的内部管理制度、日常服务的运作管理制度等相关制度，包括但不限于：员工行为规范、管理人员岗位职责、保安工作职责、管理人员、操作人员考核细则、考核奖惩制度、安全保卫制度等；</w:t>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(3）工作纪律：保安员在工作期间要接受采购人的领导和监督，遵守采购人的有关规章制度；</w:t>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(4）采购人帮助：在遇到采购人的人员需要帮助时，应主动热情；</w:t>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(5）依据学校要求做好其他相关工作，完成采购人交办的临时工作任务；</w:t>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(6）中标人须为上岗保安配置由公安部门统一要求的保安制服和保安器械；</w:t>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(7）中标人须定期对每个保安服务人员进行全面系统的培训，内容包括新员工入职培训，仪表仪容培训，技防设施使用、物防设备使用培训，切实提升保安队伍的业务能力；</w:t>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(8）中标人不得随意更换在岗保安人员，如有保安服务人员辞职、离岗或休假等事宜，须经采购人同意和备案，并即时补充同等数量的符合要求的后备人员到采购人指定工作岗位；</w:t>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(9）采购人对岗位设置、人员录用与管理，一些重要的管理决策有直接参与权与审批权；</w:t>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(10)在处理特殊事件和紧急、突发事故时，采购人对保安服务人员有直接指挥权；</w:t>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(11）中标人要不定期的组织查岗，每月至少组织4次夜间查岗，查岗情况及时向采购人通报。同时按照保安公司制定的规章制度进行处罚或奖励；</w:t>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(12)中标人要定期组织军事训练和消防演练，切实提高安防工作水平，不折不扣完成采购人交给的各项任务；</w:t>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中标人拟投入的人员应当是按国家规定与其签订了劳动合同关系的正式人员，并按有关规定为其办理了社会保险。保安服务人员如有不称职行为，经教育批评多次不改的，或经发现有违法违规或失职行为的，中标人应予以处理；</w:t>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中标人要加强对保安服务人员的安全知识教育和培训，严格遵守安全操作规程，作业时做好防护措施，安全生产。在合同期内中标人承担派出工作人员的所有责任，中标单位员工在工作期间发生工伤等事故由中标单位承担责任，与采购单位无关；</w:t>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(15）对采购人提供的生活、工作用品，保安员应爱护使用，如应使用不当造成损坏的，当事人应承担赔偿责任。</w:t>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五、服务质量监管 </w:t>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1.学校安全管理部门代表学校对乙方保安服务质量进行监控，制订校园保安服务管理办法，定期对保安公司服务质量进行评价。</w:t>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2.乙方如果日常工作不到位、不达标或有违约现象，将依据合同约定作出相应的违约处理与处罚。</w:t>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3.学校安全管理部门派专人每日对保安公司服务情况进行监督、检查和记录，在此基础上每月对保安公司服务质量进行评分。</w:t>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4.其它</w:t>
      </w:r>
      <w:r/>
    </w:p>
    <w:p>
      <w:pPr>
        <w:ind w:left="0" w:right="0" w:firstLine="480"/>
        <w:jc w:val="both"/>
        <w:spacing w:before="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（1）中标单位除按相关规定与招标方签订保安服务管理合同，必须服从招标方的监管考核。采购人根据《保安服务质量考核细则》每月对中标单位进行考核，并根据考核结果按季度支付保安费用。</w:t>
      </w:r>
      <w:r/>
    </w:p>
    <w:p>
      <w:pPr>
        <w:ind w:left="0" w:right="0" w:firstLine="480"/>
        <w:jc w:val="both"/>
        <w:spacing w:before="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保安队员进场时，征得学校同意后可以进行替换，但所替换人员的资质条件（年龄、从业资质等）不得低于被替换人员，否则视作自动放弃中标资格。保安队员进场后，如遇特殊情况，征得学校同意后，也可以替换，但所替换人员的资质条件（年龄、从业资质等）不得低于被替换人员；如替换人员的的资质条件（年龄、从业资质等）低于替换人员，有一人则扣减该替换人员所在学校替换月合同价的20%。</w:t>
      </w:r>
      <w:r/>
    </w:p>
    <w:p>
      <w:pPr>
        <w:ind w:left="0" w:right="0" w:firstLine="480"/>
        <w:jc w:val="both"/>
        <w:spacing w:before="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（3）有消防控制室的学校配备的保安中，至少有1人具有消防设施操作员四级（中级）及以上职业资格证书，如配备不到位，按每校每月2500元的标准，从合同价中扣减。</w:t>
      </w:r>
      <w:r/>
    </w:p>
    <w:p>
      <w:pPr>
        <w:ind w:left="0" w:right="0" w:firstLine="480"/>
        <w:jc w:val="both"/>
        <w:spacing w:before="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中标单位应按照合同约定要求保质保量完成工作任务，采购人（一个签约学校为一个考评单位）根据《保安服务质量考评细则》对中标单位进行考核，得分低于90分为不合格；考核分低于90分的，每少1分，则扣减该学校当月合同价1%。全年考核期内，总合格率低于90%的，取消下一年投标资格。</w:t>
      </w:r>
      <w:r/>
    </w:p>
    <w:p>
      <w:pPr>
        <w:ind w:left="0" w:right="0" w:firstLine="480"/>
        <w:jc w:val="both"/>
        <w:spacing w:before="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若采购人认为供应商所提供的管理人员及保安人员的工作能力不符合招标要求，采购人有权要求中标人予以更换，中标人必须在接到通知后7天内更换到位，直到采购人认可；中标人必须与为本保安服务项目的所有保安人员按照《劳动合同法》的规定签订《全日制劳动合同书》，并注明工作地点。工资标准不得低于劳动合同履行地最低工资标准，超时加班费用以最低工资标准作为测算依据。</w:t>
      </w:r>
      <w:r/>
    </w:p>
    <w:p>
      <w:pPr>
        <w:ind w:left="0" w:right="0" w:firstLine="480"/>
        <w:jc w:val="both"/>
        <w:spacing w:before="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附：考核细则</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保安服务质量考核细则</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18"/>
        </w:rPr>
        <w:t xml:space="preserve"> </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03"/>
        <w:gridCol w:w="4594"/>
        <w:gridCol w:w="3015"/>
      </w:tblGrid>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03"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考核内容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94"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考核标准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15"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扣分标准</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03" w:type="dxa"/>
            <w:vAlign w:val="center"/>
            <w:vMerge w:val="restart"/>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工作纪律</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94"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1.保安队员入（离）职须与甲方确认。</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15" w:type="dxa"/>
            <w:vAlign w:val="top"/>
            <w:textDirection w:val="lrTb"/>
            <w:noWrap w:val="false"/>
          </w:tcPr>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每人每次扣0.5分</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94"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2.上、下班保安队员与排班表一致。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15" w:type="dxa"/>
            <w:vAlign w:val="top"/>
            <w:textDirection w:val="lrTb"/>
            <w:noWrap w:val="false"/>
          </w:tcPr>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每人每次扣0.5分</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94"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3.考勤签到记录真实、及时、准确。</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15" w:type="dxa"/>
            <w:vAlign w:val="top"/>
            <w:textDirection w:val="lrTb"/>
            <w:noWrap w:val="false"/>
          </w:tcPr>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每次扣0.5分</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94"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4.保安队员交接班、值班记录完整。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15" w:type="dxa"/>
            <w:vAlign w:val="top"/>
            <w:textDirection w:val="lrTb"/>
            <w:noWrap w:val="false"/>
          </w:tcPr>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每次扣0.5分</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94"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5.未按时交接班或迟到、早退的。</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15" w:type="dxa"/>
            <w:vAlign w:val="top"/>
            <w:textDirection w:val="lrTb"/>
            <w:noWrap w:val="false"/>
          </w:tcPr>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每人每次扣0.5分</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94"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6.保安人员应认真负责，忠于职守，在班期间一律使用文明用语。</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15" w:type="dxa"/>
            <w:vAlign w:val="center"/>
            <w:textDirection w:val="lrTb"/>
            <w:noWrap w:val="false"/>
          </w:tcPr>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每次扣0.5分</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94"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7. 脱岗、缺岗、串岗、睡岗。</w:t>
            </w:r>
            <w:r>
              <w:rPr>
                <w:rFonts w:ascii="SimSun" w:hAnsi="SimSun" w:eastAsia="SimSun" w:cs="SimSun"/>
                <w:color w:val="000000"/>
                <w:sz w:val="22"/>
              </w:rPr>
              <w:t xml:space="preserve">   </w:t>
            </w:r>
            <w:r>
              <w:rPr>
                <w:rFonts w:ascii="FangSong" w:hAnsi="FangSong" w:eastAsia="FangSong" w:cs="FangSong"/>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15" w:type="dxa"/>
            <w:vAlign w:val="top"/>
            <w:textDirection w:val="lrTb"/>
            <w:noWrap w:val="false"/>
          </w:tcPr>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每人每次扣1分</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94"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8.酒后上班或上班时间内饮酒。</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15" w:type="dxa"/>
            <w:vAlign w:val="top"/>
            <w:textDirection w:val="lrTb"/>
            <w:noWrap w:val="false"/>
          </w:tcPr>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每人每次扣2分</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94"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9.有事未履行请假手续，或未获批准离岗。</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15" w:type="dxa"/>
            <w:vAlign w:val="top"/>
            <w:textDirection w:val="lrTb"/>
            <w:noWrap w:val="false"/>
          </w:tcPr>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每人每次扣1分</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94"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10.保安队员工作中吃零食、聊天、嬉笑、打闹、说脏话、玩手机等与工作无关的行为。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15" w:type="dxa"/>
            <w:vAlign w:val="center"/>
            <w:textDirection w:val="lrTb"/>
            <w:noWrap w:val="false"/>
          </w:tcPr>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每人每次扣1分</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03" w:type="dxa"/>
            <w:vAlign w:val="top"/>
            <w:vMerge w:val="restart"/>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21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21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综合管理</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94"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1.人员安排不合理。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15" w:type="dxa"/>
            <w:vAlign w:val="top"/>
            <w:textDirection w:val="lrTb"/>
            <w:noWrap w:val="false"/>
          </w:tcPr>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每次扣0.5分</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94"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2.因管理不善，导致人员、队伍不稳定。</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15"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rPr>
                <w:rFonts w:ascii="FangSong" w:hAnsi="FangSong" w:eastAsia="FangSong" w:cs="FangSong"/>
                <w:color w:val="000000"/>
                <w:sz w:val="22"/>
              </w:rPr>
              <w:t xml:space="preserve"> 每发生一次扣1分</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94"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3.包括但不限于年度工作计划、节假日方案、活动方案、专项方案、预案等并按要求实施。</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15"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未按计划或方案实施的扣2分</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94"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4. 不服从甲方管理，未完成甲方安排的工作。</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15"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每次扣5分，3次以上终止合同</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94"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5、来访人员登记、巡逻等记录完整。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15" w:type="dxa"/>
            <w:vAlign w:val="top"/>
            <w:textDirection w:val="lrTb"/>
            <w:noWrap w:val="false"/>
          </w:tcPr>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每发现1次扣1分</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94"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6、定期组织保安工作人员开展军事训练和应急 (每月军事训练不少于1次、每年应急演练不少于2次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15"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未组织训练 1次扣1分，未组织演练每次扣3分。</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03" w:type="dxa"/>
            <w:vAlign w:val="center"/>
            <w:vMerge w:val="restart"/>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工作形象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94"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1.工作时间未统一着装或穿戴不规范。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15" w:type="dxa"/>
            <w:vAlign w:val="top"/>
            <w:textDirection w:val="lrTb"/>
            <w:noWrap w:val="false"/>
          </w:tcPr>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每人每次扣0.5分</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94"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2.执勤标志、证件佩戴不统一、规范。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15" w:type="dxa"/>
            <w:vAlign w:val="top"/>
            <w:textDirection w:val="lrTb"/>
            <w:noWrap w:val="false"/>
          </w:tcPr>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每人每次扣0.5分</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94"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3.着装不干净整洁、有污迹、褶皱、破烂。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15" w:type="dxa"/>
            <w:vAlign w:val="top"/>
            <w:textDirection w:val="lrTb"/>
            <w:noWrap w:val="false"/>
          </w:tcPr>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每人每次扣0.5分</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94"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4.形象不佳，三姿（坐姿、站姿、走姿）不端。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15" w:type="dxa"/>
            <w:vAlign w:val="top"/>
            <w:textDirection w:val="lrTb"/>
            <w:noWrap w:val="false"/>
          </w:tcPr>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每人每次扣0.5分</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03" w:type="dxa"/>
            <w:vAlign w:val="top"/>
            <w:vMerge w:val="restart"/>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应知应会</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94"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1.熟悉个人负责区域及学校的基本情况。</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15"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每次抽查3人，每出现1次不合格，扣0.5分(新入职7天内的员工扣分减半)</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94"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 熟练运用标准规范用语：您好、谢谢等</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15" w:type="dxa"/>
            <w:vAlign w:val="top"/>
            <w:textDirection w:val="lrTb"/>
            <w:noWrap w:val="false"/>
          </w:tcPr>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每人每次扣0.5分</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94"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3. 熟记部门常用电话号码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15"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每次抽查3人，每出现1次不合格，扣0.5分(新入职7天内的员工扣分减半)</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03" w:type="dxa"/>
            <w:vAlign w:val="top"/>
            <w:vMerge w:val="restart"/>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执勤要求</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94"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1.语言不文明，行为不规范未造成后果的。</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15" w:type="dxa"/>
            <w:vAlign w:val="top"/>
            <w:textDirection w:val="lrTb"/>
            <w:noWrap w:val="false"/>
          </w:tcPr>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每人每次扣0.5分</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94"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2.语言不文明，行为不规范造成后果的，自己承担一切后果。</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15" w:type="dxa"/>
            <w:vAlign w:val="center"/>
            <w:textDirection w:val="lrTb"/>
            <w:noWrap w:val="false"/>
          </w:tcPr>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被投诉1次扣1分</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94"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3.工作中不积极、工作怠慢、出工不出力的。</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15" w:type="dxa"/>
            <w:vAlign w:val="top"/>
            <w:textDirection w:val="lrTb"/>
            <w:noWrap w:val="false"/>
          </w:tcPr>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每人每次扣0.5分</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94"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4.文明值勤，严禁与来访人员发生言语及肢体冲突，耐心沟通以理服人。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15" w:type="dxa"/>
            <w:vAlign w:val="center"/>
            <w:textDirection w:val="lrTb"/>
            <w:noWrap w:val="false"/>
          </w:tcPr>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每人每次扣2分</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94"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5.对客户提出的合理问题或困难帮助请求，未给予合理答复，未尽力给予帮助,</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15" w:type="dxa"/>
            <w:vAlign w:val="center"/>
            <w:textDirection w:val="lrTb"/>
            <w:noWrap w:val="false"/>
          </w:tcPr>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每人每次扣1分</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94"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6.不得利用职务之便接受来访人员的礼品，严禁向来访人员吃、拿、卡、要。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15" w:type="dxa"/>
            <w:vAlign w:val="center"/>
            <w:textDirection w:val="lrTb"/>
            <w:noWrap w:val="false"/>
          </w:tcPr>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每次扣2分。</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94"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7.在岗期间无特殊情况接听电话超5分钟、利用单位电话拨打私人电话聊天、利用对讲机闲聊等不规范行为的。</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15"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每人每次扣0.5分</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94"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8.未按规定的时间、路线巡逻。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15" w:type="dxa"/>
            <w:vAlign w:val="top"/>
            <w:textDirection w:val="lrTb"/>
            <w:noWrap w:val="false"/>
          </w:tcPr>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每人每次扣0.5分</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94"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9.每日治安巡逻登记（统计)不规范的。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15" w:type="dxa"/>
            <w:vAlign w:val="top"/>
            <w:textDirection w:val="lrTb"/>
            <w:noWrap w:val="false"/>
          </w:tcPr>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每次扣0.5分</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94"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10.在巡逻中发现问题未及时处理或报告的。</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15"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未造成后果的每次扣0.5分，造成后果的每人次扣2分</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94"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11未经学校办公部门同意私自放人进入办公区域，造成不良影响的。</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15" w:type="dxa"/>
            <w:vAlign w:val="center"/>
            <w:textDirection w:val="lrTb"/>
            <w:noWrap w:val="false"/>
          </w:tcPr>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每次扣5分。</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94"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12.未经允许私放车辆进办公区域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15" w:type="dxa"/>
            <w:vAlign w:val="center"/>
            <w:textDirection w:val="lrTb"/>
            <w:noWrap w:val="false"/>
          </w:tcPr>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每次扣2分</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94"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13.保安失职造成服务区域财产被损坏的，除照价赔偿被损物资外。</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15"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1000元以下每次扣1分。5000元以下每次扣1.5分。1万元以下每次扣2分，1万元以上每次扣3分。</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94"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14保安失职造成服务区域内财产被盗，甲方需按被盗物资照价赔偿。</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15"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1000元以下每次扣1分，5000元以下每次扣2分，1万元以下每次扣3分，1万元及以上每次扣4分。</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94"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15.保安员伙同或协助外人，内外勾结、监守自盗，造成办公区域内物资被盗的，甲方除照价赔偿外，性质严重的，还将追究其法律责任。</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15"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发生一起扣8分。性质严重的，甲方有权追究乙方相关责任。</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0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安全管理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94"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保安管理范围内安全事故控制在3次以内，不得发生重大安全事故。</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15"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发生一般安全事故1次扣5分。</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03" w:type="dxa"/>
            <w:vAlign w:val="center"/>
            <w:vMerge w:val="restart"/>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应急处置</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94"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反应不够迅速，保障不够充分的。</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15" w:type="dxa"/>
            <w:vAlign w:val="top"/>
            <w:textDirection w:val="lrTb"/>
            <w:noWrap w:val="false"/>
          </w:tcPr>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每次扣2分</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94"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工作中不负责任，相互推诿的。</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15" w:type="dxa"/>
            <w:vAlign w:val="top"/>
            <w:textDirection w:val="lrTb"/>
            <w:noWrap w:val="false"/>
          </w:tcPr>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每次扣0.5分</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94"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工作中未经同意，私自做主，导致处置不当，造成严重后果的。</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15" w:type="dxa"/>
            <w:vAlign w:val="center"/>
            <w:textDirection w:val="lrTb"/>
            <w:noWrap w:val="false"/>
          </w:tcPr>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每人每次扣6分</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94"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工作中消极对待，主动作为不够积极的。</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15" w:type="dxa"/>
            <w:vAlign w:val="top"/>
            <w:textDirection w:val="lrTb"/>
            <w:noWrap w:val="false"/>
          </w:tcPr>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每次扣0.5分</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94"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不服从统一指挥、调配的。</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15" w:type="dxa"/>
            <w:vAlign w:val="top"/>
            <w:textDirection w:val="lrTb"/>
            <w:noWrap w:val="false"/>
          </w:tcPr>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每次扣2分</w:t>
            </w:r>
            <w:r/>
          </w:p>
        </w:tc>
      </w:tr>
      <w:tr>
        <w:trPr>
          <w:trHeight w:val="512"/>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94"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超出可控范围的应立即报告当值班长，报甲方单位负责人及乙方公司领导决定是否报警。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15"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发现1次不及时报告的，扣2分</w:t>
            </w:r>
            <w:r/>
          </w:p>
        </w:tc>
      </w:tr>
    </w:tbl>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考核总分为100分，扣除考核扣分后的数值即为考核得分值。</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三、商务要求</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1.合同履行期限：2026年8月21日到2027年8月20日。</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合同签订方式：中标方与海陵区教育局签订总合同后，再与各学校签订分合同。合同履行中，采购人需追加与合同标的相同的服务的，在不改变合同其他条款的前提下，可以与中标人协商签订补充合同，但所有补充合同的采购金额不超过本项目预算金额的10%，所有补充合同采购金额不计入本合同总价款中。</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3.付款方式： </w:t>
      </w:r>
      <w:r/>
    </w:p>
    <w:p>
      <w:pPr>
        <w:ind w:left="0" w:right="0" w:firstLine="48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该项目签订合同时供应商须缴纳中标价10％为履约保证金，履约保证金的有效期为该项目服务结束时止，采购人应在服务结束后30日内原路退还履约保证金。如采购人无正当理由逾期退还履约保证金，每逾期一天采购人向供应商偿付欠款总额的千分之五(滞纳金)。如供应商未能履行合同规定的义务，采购人有权从履约保证金中取得补偿。履约保证金扣除采购人应得的补偿后的余额在有效期满后七个工作日内原路退还给乙方。（本项目支持鼓励使用履约保函）</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合同签订后，预付合同款10％，剩余保安服务费由采购人向中标人通报每月考核情况，核算支付金额后每季度支付一次。对于满足合同约定支付条件的，采购人自收到发票后10个工作日内将资金支付到合同约定的供应商账户。</w:t>
      </w:r>
      <w:r/>
    </w:p>
    <w:p>
      <w:pPr>
        <w:ind w:left="0" w:right="0" w:firstLine="0"/>
        <w:jc w:val="both"/>
        <w:spacing w:before="0" w:after="0" w:line="360" w:lineRule="auto"/>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    4.现场管理要求：服从采购人现场的管理及工作安排。</w:t>
      </w:r>
      <w:r>
        <w:rPr>
          <w:rFonts w:ascii="SimSun" w:hAnsi="SimSun" w:eastAsia="SimSun" w:cs="SimSun"/>
          <w:color w:val="000000"/>
          <w:sz w:val="24"/>
          <w:szCs w:val="24"/>
        </w:rPr>
      </w:r>
    </w:p>
    <w:p>
      <w:pPr>
        <w:ind w:left="0" w:right="0" w:firstLine="0"/>
        <w:jc w:val="both"/>
        <w:spacing w:before="0" w:after="0" w:line="360" w:lineRule="auto"/>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    5.</w:t>
      </w:r>
      <w:r>
        <w:rPr>
          <w:rFonts w:ascii="SimSun" w:hAnsi="SimSun" w:eastAsia="SimSun" w:cs="SimSun"/>
          <w:color w:val="000000"/>
          <w:sz w:val="24"/>
          <w:szCs w:val="24"/>
        </w:rPr>
        <w:t xml:space="preserve">中小企业划分标准所属行业为：</w:t>
      </w:r>
      <w:r>
        <w:rPr>
          <w:rFonts w:ascii="SimSun" w:hAnsi="SimSun" w:eastAsia="SimSun" w:cs="SimSun"/>
          <w:color w:val="000000"/>
          <w:sz w:val="24"/>
          <w:szCs w:val="24"/>
          <w:u w:val="single"/>
        </w:rPr>
        <w:t xml:space="preserve">租赁和商务服务业</w:t>
      </w:r>
      <w:r>
        <w:rPr>
          <w:rFonts w:ascii="SimSun" w:hAnsi="SimSun" w:eastAsia="SimSun" w:cs="SimSun"/>
          <w:color w:val="000000"/>
          <w:sz w:val="24"/>
          <w:szCs w:val="24"/>
        </w:rPr>
        <w:t xml:space="preserve">。</w:t>
      </w:r>
      <w:r>
        <w:rPr>
          <w:rFonts w:ascii="SimSun" w:hAnsi="SimSun" w:eastAsia="SimSun" w:cs="SimSun"/>
          <w:color w:val="000000"/>
          <w:sz w:val="24"/>
          <w:szCs w:val="24"/>
        </w:rPr>
      </w:r>
      <w:r>
        <w:rPr>
          <w:rFonts w:ascii="SimSun" w:hAnsi="SimSun" w:eastAsia="SimSun" w:cs="SimSun"/>
          <w:color w:val="000000"/>
          <w:sz w:val="24"/>
          <w:szCs w:val="24"/>
        </w:rP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Times New Roman" w:hAnsi="Times New Roman" w:eastAsia="Times New Roman" w:cs="Times New Roman"/>
          <w:sz w:val="21"/>
        </w:rPr>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360" w:lineRule="auto"/>
        <w:rPr>
          <w:rFonts w:ascii="SimHei" w:hAnsi="SimHei" w:eastAsia="SimHei" w:cs="SimHei"/>
          <w:color w:val="000000"/>
          <w:sz w:val="44"/>
          <w:szCs w:val="44"/>
          <w14:ligatures w14: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szCs w:val="44"/>
        </w:rPr>
        <w:t xml:space="preserve">第五章  评标方法与评标标准</w:t>
      </w:r>
      <w:r>
        <w:rPr>
          <w:rFonts w:ascii="SimHei" w:hAnsi="SimHei" w:eastAsia="SimHei" w:cs="SimHei"/>
          <w:color w:val="000000"/>
          <w:sz w:val="44"/>
          <w:szCs w:val="44"/>
        </w:rPr>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81"/>
        <w:gridCol w:w="1655"/>
        <w:gridCol w:w="649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5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选取中标候选人数量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9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选取中标候选人的原则</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92" w:type="dxa"/>
            <w:vAlign w:val="center"/>
            <w:textDirection w:val="lrTb"/>
            <w:noWrap w:val="false"/>
          </w:tcPr>
          <w:p>
            <w:pPr>
              <w:ind w:left="0" w:right="0" w:firstLine="0"/>
              <w:spacing w:before="0" w:after="0" w:line="360" w:lineRule="auto"/>
              <w:rPr>
                <w:rFonts w:ascii="SimSun" w:hAnsi="SimSun" w:eastAsia="SimSun" w:cs="SimSun"/>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szCs w:val="21"/>
              </w:rPr>
              <w:t xml:space="preserve">满足招标文件全部实质性要求，且按照评审</w:t>
            </w:r>
            <w:r>
              <w:rPr>
                <w:rFonts w:ascii="SimSun" w:hAnsi="SimSun" w:eastAsia="SimSun" w:cs="SimSun"/>
                <w:color w:val="auto"/>
                <w:sz w:val="21"/>
                <w:szCs w:val="21"/>
              </w:rPr>
              <w:t xml:space="preserve">因素的量化指标评审得分最高的投标人为中标候选人；</w:t>
            </w:r>
            <w:r>
              <w:rPr>
                <w:rFonts w:ascii="SimSun" w:hAnsi="SimSun" w:eastAsia="SimSun" w:cs="SimSun"/>
                <w:color w:val="auto"/>
                <w:sz w:val="21"/>
                <w:szCs w:val="21"/>
              </w:rPr>
              <w:t xml:space="preserve">如出现评审总得分最高的投标人有两个或两个以上，以投标报价较低者优先作为中标候选人；</w:t>
            </w:r>
            <w:r>
              <w:rPr>
                <w:rFonts w:ascii="SimSun" w:hAnsi="SimSun" w:eastAsia="SimSun" w:cs="SimSun"/>
                <w:color w:val="auto"/>
                <w:sz w:val="21"/>
                <w:szCs w:val="21"/>
              </w:rPr>
              <w:t xml:space="preserve">若投标报价仍相同的，用随机抽取方式确定中标候选人。</w:t>
            </w:r>
            <w:r>
              <w:rPr>
                <w:rFonts w:ascii="SimSun" w:hAnsi="SimSun" w:eastAsia="SimSun" w:cs="SimSun"/>
                <w:color w:val="auto"/>
                <w:szCs w:val="21"/>
                <w14:ligatures w14:val="none"/>
              </w:rPr>
            </w:r>
            <w:r/>
          </w:p>
        </w:tc>
      </w:tr>
    </w:tbl>
    <w:p>
      <w:pPr>
        <w:ind w:left="0" w:right="0" w:firstLine="441"/>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政府采购政策功能落实</w:t>
      </w:r>
      <w:r>
        <w:rPr>
          <w:rFonts w:ascii="SimSun" w:hAnsi="SimSun" w:eastAsia="SimSun" w:cs="SimSun"/>
          <w:color w:val="000000"/>
          <w:sz w:val="24"/>
        </w:rPr>
        <w:t xml:space="preserve">（备注：如果该项目专门面向中小微型企业采购，则供应商不再享受任何价格扣除。）</w:t>
      </w:r>
      <w:r/>
    </w:p>
    <w:p>
      <w:pPr>
        <w:ind w:left="0" w:right="0" w:firstLine="48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1、小微型企业价格扣除</w:t>
      </w:r>
      <w:r/>
    </w:p>
    <w:p>
      <w:pPr>
        <w:ind w:left="0" w:right="0" w:firstLine="36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（1）本项目对小型和微型企业提供的服务给予</w:t>
      </w:r>
      <w:r>
        <w:rPr>
          <w:rFonts w:ascii="SimSun" w:hAnsi="SimSun" w:eastAsia="SimSun" w:cs="SimSun"/>
          <w:color w:val="000000"/>
          <w:sz w:val="24"/>
          <w:u w:val="single"/>
        </w:rPr>
        <w:t xml:space="preserve">20%</w:t>
      </w:r>
      <w:r>
        <w:rPr>
          <w:rFonts w:ascii="SimSun" w:hAnsi="SimSun" w:eastAsia="SimSun" w:cs="SimSun"/>
          <w:color w:val="000000"/>
          <w:sz w:val="24"/>
        </w:rPr>
        <w:t xml:space="preserve">的扣除价格，用扣除后的价格参与评审。</w:t>
      </w:r>
      <w:r/>
    </w:p>
    <w:p>
      <w:pPr>
        <w:ind w:left="0" w:right="0" w:firstLine="36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（2）供应商需按照采购文件的要求提供相应的《小微企业声明函》。</w:t>
      </w:r>
      <w:r/>
    </w:p>
    <w:p>
      <w:pPr>
        <w:ind w:left="0" w:right="0" w:firstLine="36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（3）企业标准请参照《关于印发中小企业划型标准规定的通知》（工信部联企业[2011]300号）文件规定自行填写。</w:t>
      </w:r>
      <w:r/>
    </w:p>
    <w:p>
      <w:pPr>
        <w:ind w:left="0" w:right="0" w:firstLine="48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2、残疾人福利单位价格扣除</w:t>
      </w:r>
      <w:r/>
    </w:p>
    <w:p>
      <w:pPr>
        <w:ind w:left="0" w:right="0" w:firstLine="36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（1）本项目对残疾人福利性单位视同小型、微型企业，给予</w:t>
      </w:r>
      <w:r>
        <w:rPr>
          <w:rFonts w:ascii="SimSun" w:hAnsi="SimSun" w:eastAsia="SimSun" w:cs="SimSun"/>
          <w:color w:val="000000"/>
          <w:sz w:val="24"/>
          <w:u w:val="single"/>
        </w:rPr>
        <w:t xml:space="preserve">20%</w:t>
      </w:r>
      <w:r>
        <w:rPr>
          <w:rFonts w:ascii="SimSun" w:hAnsi="SimSun" w:eastAsia="SimSun" w:cs="SimSun"/>
          <w:color w:val="000000"/>
          <w:sz w:val="24"/>
        </w:rPr>
        <w:t xml:space="preserve">的价格扣除，用扣除后的价格参与评审。</w:t>
      </w:r>
      <w:r/>
    </w:p>
    <w:p>
      <w:pPr>
        <w:ind w:left="0" w:right="0" w:firstLine="36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（2）残疾人福利单位需按照采购文件的要求提供《残疾人福利性单位声明函》。</w:t>
      </w:r>
      <w:r/>
    </w:p>
    <w:p>
      <w:pPr>
        <w:ind w:left="0" w:right="0" w:firstLine="36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（3）残疾人福利单位标准请参照《关于促进残疾人就业政府采购政策的通知》（财库〔2017〕141号）。</w:t>
      </w:r>
      <w:r/>
    </w:p>
    <w:p>
      <w:pPr>
        <w:ind w:left="0" w:right="0" w:firstLine="48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3、监狱和戒毒企业价格扣除</w:t>
      </w:r>
      <w:r/>
    </w:p>
    <w:p>
      <w:pPr>
        <w:ind w:left="0" w:right="0" w:firstLine="48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（1）本项目对监狱和戒毒企业（简称监狱企业）视同小型、微型企业，给予</w:t>
      </w:r>
      <w:r>
        <w:rPr>
          <w:rFonts w:ascii="SimSun" w:hAnsi="SimSun" w:eastAsia="SimSun" w:cs="SimSun"/>
          <w:color w:val="000000"/>
          <w:sz w:val="24"/>
          <w:u w:val="single"/>
        </w:rPr>
        <w:t xml:space="preserve">20%</w:t>
      </w:r>
      <w:r>
        <w:rPr>
          <w:rFonts w:ascii="SimSun" w:hAnsi="SimSun" w:eastAsia="SimSun" w:cs="SimSun"/>
          <w:color w:val="000000"/>
          <w:sz w:val="24"/>
        </w:rPr>
        <w:t xml:space="preserve">的价格扣除，用扣除后的价格参与评审。</w:t>
      </w:r>
      <w:r/>
    </w:p>
    <w:p>
      <w:pPr>
        <w:ind w:left="0" w:right="0" w:firstLine="48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8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（3）监狱企业标准请参照《关于政府采购支持监狱企业发展有关问题的通知》（财库[2014]68号）。</w:t>
      </w:r>
      <w:r/>
    </w:p>
    <w:p>
      <w:pPr>
        <w:ind w:left="0" w:right="0" w:firstLine="60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4、残疾人福利单位、监狱企业属于小型、微型企业的，不重复享受政策。</w:t>
      </w:r>
      <w:r/>
    </w:p>
    <w:p>
      <w:pPr>
        <w:ind w:left="0" w:right="0" w:firstLine="60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SimSun" w:hAnsi="SimSun" w:eastAsia="SimSun" w:cs="SimSun"/>
          <w:color w:val="000000"/>
          <w:sz w:val="24"/>
          <w:u w:val="single"/>
        </w:rPr>
        <w:t xml:space="preserve">6%</w:t>
      </w:r>
      <w:r>
        <w:rPr>
          <w:rFonts w:ascii="SimSun" w:hAnsi="SimSun" w:eastAsia="SimSun" w:cs="SimSun"/>
          <w:color w:val="000000"/>
          <w:sz w:val="24"/>
        </w:rPr>
        <w:t xml:space="preserve">的价格扣除，用扣除后的价格参与评审。</w:t>
      </w:r>
      <w:r/>
    </w:p>
    <w:p>
      <w:pPr>
        <w:ind w:left="0" w:right="0" w:firstLine="600"/>
        <w:jc w:val="both"/>
        <w:spacing w:before="120" w:after="24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6、联合体各方均为小型、微型企业（残疾人福利单位、监狱企业）的，联合体享受</w:t>
      </w:r>
      <w:r>
        <w:rPr>
          <w:rFonts w:ascii="SimSun" w:hAnsi="SimSun" w:eastAsia="SimSun" w:cs="SimSun"/>
          <w:color w:val="000000"/>
          <w:sz w:val="24"/>
          <w:u w:val="single"/>
        </w:rPr>
        <w:t xml:space="preserve">20%</w:t>
      </w:r>
      <w:r>
        <w:rPr>
          <w:rFonts w:ascii="SimSun" w:hAnsi="SimSun" w:eastAsia="SimSun" w:cs="SimSun"/>
          <w:color w:val="000000"/>
          <w:sz w:val="24"/>
        </w:rPr>
        <w:t xml:space="preserve">的价格扣除，用扣除后的价格参与评审。</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rPr>
          <w:rFonts w:ascii="SimHei" w:hAnsi="SimHei" w:eastAsia="SimHei" w:cs="SimHei"/>
          <w:color w:val="000000"/>
          <w:sz w:val="40"/>
          <w:szCs w:val="18"/>
        </w:rPr>
        <w:t xml:space="preserve">评审标准</w:t>
      </w:r>
      <w:r>
        <w:rPr>
          <w:rFonts w:ascii="SimSun" w:hAnsi="SimSun" w:eastAsia="SimSun" w:cs="SimSun"/>
          <w:sz w:val="21"/>
        </w:rPr>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bl>
      <w:tblPr>
        <w:tblStyle w:val="67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Look w:val="04A0" w:firstRow="1" w:lastRow="0" w:firstColumn="1" w:lastColumn="0" w:noHBand="0" w:noVBand="1"/>
      </w:tblPr>
      <w:tblGrid>
        <w:gridCol w:w="890"/>
        <w:gridCol w:w="7539"/>
        <w:gridCol w:w="685"/>
      </w:tblGrid>
      <w:tr>
        <w:trPr>
          <w:trHeight w:val="473"/>
        </w:trPr>
        <w:tc>
          <w:tcPr>
            <w:tcMar>
              <w:left w:w="108" w:type="dxa"/>
              <w:top w:w="0" w:type="dxa"/>
              <w:right w:w="108" w:type="dxa"/>
              <w:bottom w:w="0" w:type="dxa"/>
            </w:tcMar>
            <w:tcW w:w="89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评分点</w:t>
            </w:r>
            <w:r/>
          </w:p>
        </w:tc>
        <w:tc>
          <w:tcPr>
            <w:tcMar>
              <w:left w:w="108" w:type="dxa"/>
              <w:top w:w="0" w:type="dxa"/>
              <w:right w:w="108" w:type="dxa"/>
              <w:bottom w:w="0" w:type="dxa"/>
            </w:tcMar>
            <w:tcW w:w="7539" w:type="dxa"/>
            <w:vAlign w:val="center"/>
            <w:textDirection w:val="lrTb"/>
            <w:noWrap w:val="false"/>
          </w:tcPr>
          <w:p>
            <w:pPr>
              <w:ind w:left="0" w:right="0" w:firstLine="480"/>
              <w:jc w:val="center"/>
              <w:spacing w:before="0" w:after="0" w:line="360" w:lineRule="auto"/>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评审标准</w:t>
            </w:r>
            <w:r/>
          </w:p>
        </w:tc>
        <w:tc>
          <w:tcPr>
            <w:tcMar>
              <w:left w:w="108" w:type="dxa"/>
              <w:top w:w="0" w:type="dxa"/>
              <w:right w:w="108" w:type="dxa"/>
              <w:bottom w:w="0" w:type="dxa"/>
            </w:tcMar>
            <w:tcW w:w="68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分值</w:t>
            </w:r>
            <w:r/>
          </w:p>
        </w:tc>
      </w:tr>
      <w:tr>
        <w:trPr>
          <w:trHeight w:val="1257"/>
        </w:trPr>
        <w:tc>
          <w:tcPr>
            <w:tcMar>
              <w:left w:w="108" w:type="dxa"/>
              <w:top w:w="0" w:type="dxa"/>
              <w:right w:w="108" w:type="dxa"/>
              <w:bottom w:w="0" w:type="dxa"/>
            </w:tcMar>
            <w:tcW w:w="890"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价</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格</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分</w:t>
            </w:r>
            <w:r/>
          </w:p>
        </w:tc>
        <w:tc>
          <w:tcPr>
            <w:tcMar>
              <w:left w:w="108" w:type="dxa"/>
              <w:top w:w="0" w:type="dxa"/>
              <w:right w:w="108" w:type="dxa"/>
              <w:bottom w:w="0" w:type="dxa"/>
            </w:tcMar>
            <w:tcW w:w="7539" w:type="dxa"/>
            <w:vAlign w:val="center"/>
            <w:textDirection w:val="lrTb"/>
            <w:noWrap w:val="false"/>
          </w:tcPr>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价格分采用低价优先法计算，即满足招标文件要求且投标报价最低的为评标基准价，其价格分为满分。其他供应商的价格分统一按照下列公式计算（小数点保留两位）：报价得分=(评标基准价／报价)×30。</w:t>
            </w:r>
            <w:r/>
          </w:p>
        </w:tc>
        <w:tc>
          <w:tcPr>
            <w:tcMar>
              <w:left w:w="108" w:type="dxa"/>
              <w:top w:w="0" w:type="dxa"/>
              <w:right w:w="108" w:type="dxa"/>
              <w:bottom w:w="0" w:type="dxa"/>
            </w:tcMar>
            <w:tcW w:w="685"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30分</w:t>
            </w:r>
            <w:r/>
          </w:p>
        </w:tc>
      </w:tr>
      <w:tr>
        <w:trPr>
          <w:trHeight w:val="90"/>
        </w:trPr>
        <w:tc>
          <w:tcPr>
            <w:tcMar>
              <w:left w:w="108" w:type="dxa"/>
              <w:top w:w="0" w:type="dxa"/>
              <w:right w:w="108" w:type="dxa"/>
              <w:bottom w:w="0" w:type="dxa"/>
            </w:tcMar>
            <w:tcW w:w="89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项目</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业绩</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bottom w:val="single" w:color="000000" w:sz="4" w:space="0"/>
            </w:tcBorders>
            <w:tcMar>
              <w:left w:w="108" w:type="dxa"/>
              <w:top w:w="0" w:type="dxa"/>
              <w:right w:w="108" w:type="dxa"/>
              <w:bottom w:w="0" w:type="dxa"/>
            </w:tcMar>
            <w:tcW w:w="7539" w:type="dxa"/>
            <w:vAlign w:val="center"/>
            <w:textDirection w:val="lrTb"/>
            <w:noWrap w:val="false"/>
          </w:tcPr>
          <w:p>
            <w:pPr>
              <w:ind w:left="0" w:right="0" w:firstLine="480"/>
              <w:jc w:val="both"/>
              <w:spacing w:before="0" w:after="0" w:line="360" w:lineRule="auto"/>
              <w:rPr>
                <w:rFonts w:ascii="SimSun" w:hAnsi="SimSun" w:eastAsia="SimSun" w:cs="SimSun"/>
                <w:color w:val="000000"/>
                <w:sz w:val="22"/>
                <w:szCs w:val="22"/>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22"/>
              </w:rPr>
              <w:t xml:space="preserve">供应商2023年以来承接过</w:t>
            </w:r>
            <w:r>
              <w:rPr>
                <w:rFonts w:ascii="SimSun" w:hAnsi="SimSun" w:eastAsia="SimSun" w:cs="SimSun"/>
                <w:color w:val="000000"/>
                <w:sz w:val="22"/>
                <w:szCs w:val="22"/>
              </w:rPr>
              <w:t xml:space="preserve">人员密集、安全要求较高的公共场所（如学校、医院、大型场馆）</w:t>
            </w:r>
            <w:r>
              <w:rPr>
                <w:rFonts w:ascii="SimSun" w:hAnsi="SimSun" w:eastAsia="SimSun" w:cs="SimSun"/>
                <w:color w:val="000000"/>
                <w:sz w:val="22"/>
                <w:szCs w:val="22"/>
              </w:rPr>
              <w:t xml:space="preserve">的保安服务，并</w:t>
            </w:r>
            <w:r>
              <w:rPr>
                <w:rFonts w:ascii="SimSun" w:hAnsi="SimSun" w:eastAsia="SimSun" w:cs="SimSun"/>
                <w:color w:val="000000"/>
                <w:sz w:val="22"/>
                <w:szCs w:val="22"/>
              </w:rPr>
              <w:t xml:space="preserve">提供的业绩合同对应的业主评价</w:t>
            </w:r>
            <w:r>
              <w:rPr>
                <w:rFonts w:ascii="SimSun" w:hAnsi="SimSun" w:eastAsia="SimSun" w:cs="SimSun"/>
                <w:color w:val="000000"/>
                <w:sz w:val="22"/>
                <w:szCs w:val="22"/>
              </w:rPr>
              <w:t xml:space="preserve">为优或满意以上的</w:t>
            </w:r>
            <w:r>
              <w:rPr>
                <w:rFonts w:ascii="SimSun" w:hAnsi="SimSun" w:eastAsia="SimSun" w:cs="SimSun"/>
                <w:color w:val="000000"/>
                <w:sz w:val="22"/>
                <w:szCs w:val="22"/>
              </w:rPr>
              <w:t xml:space="preserve">，每提供一个得2分，同一服务单位不重复计分，本项最多得</w:t>
            </w:r>
            <w:r>
              <w:rPr>
                <w:rFonts w:ascii="SimSun" w:hAnsi="SimSun" w:eastAsia="SimSun" w:cs="SimSun"/>
                <w:color w:val="000000"/>
                <w:sz w:val="22"/>
                <w:szCs w:val="22"/>
              </w:rPr>
              <w:t xml:space="preserve">6分</w:t>
            </w:r>
            <w:r>
              <w:rPr>
                <w:rFonts w:ascii="SimSun" w:hAnsi="SimSun" w:eastAsia="SimSun" w:cs="SimSun"/>
                <w:color w:val="000000"/>
                <w:sz w:val="22"/>
                <w:szCs w:val="22"/>
              </w:rPr>
              <w:t xml:space="preserve">。</w:t>
            </w:r>
            <w:r>
              <w:rPr>
                <w:rFonts w:ascii="SimSun" w:hAnsi="SimSun" w:eastAsia="SimSun" w:cs="SimSun"/>
                <w:color w:val="000000"/>
                <w:sz w:val="22"/>
                <w:szCs w:val="22"/>
              </w:rPr>
            </w:r>
            <w:r/>
          </w:p>
          <w:p>
            <w:pPr>
              <w:ind w:left="0" w:right="0" w:firstLine="480"/>
              <w:jc w:val="both"/>
              <w:spacing w:before="0" w:after="0" w:line="360" w:lineRule="auto"/>
              <w:rPr>
                <w:rFonts w:ascii="SimSun" w:hAnsi="SimSun" w:eastAsia="SimSun" w:cs="SimSun"/>
                <w:color w:val="000000"/>
                <w:sz w:val="22"/>
                <w:szCs w:val="22"/>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22"/>
              </w:rPr>
              <w:t xml:space="preserve">注：需要提供合同</w:t>
            </w:r>
            <w:r>
              <w:rPr>
                <w:rFonts w:ascii="SimSun" w:hAnsi="SimSun" w:eastAsia="SimSun" w:cs="SimSun"/>
                <w:color w:val="000000"/>
                <w:sz w:val="22"/>
                <w:szCs w:val="22"/>
              </w:rPr>
              <w:t xml:space="preserve">（需加盖服务单位公章）</w:t>
            </w:r>
            <w:r>
              <w:rPr>
                <w:rFonts w:ascii="SimSun" w:hAnsi="SimSun" w:eastAsia="SimSun" w:cs="SimSun"/>
                <w:color w:val="000000"/>
                <w:sz w:val="22"/>
                <w:szCs w:val="22"/>
              </w:rPr>
              <w:t xml:space="preserve">和合同签订期间同业绩单位的往来账目流水(合同期间任意1个月)以及业主评价的相关证明材料。</w:t>
            </w:r>
            <w:r>
              <w:rPr>
                <w:rFonts w:ascii="SimSun" w:hAnsi="SimSun" w:eastAsia="SimSun" w:cs="SimSun"/>
                <w:color w:val="000000"/>
                <w:sz w:val="22"/>
                <w:szCs w:val="22"/>
              </w:rPr>
            </w:r>
            <w:r/>
          </w:p>
        </w:tc>
        <w:tc>
          <w:tcPr>
            <w:tcMar>
              <w:left w:w="108" w:type="dxa"/>
              <w:top w:w="0" w:type="dxa"/>
              <w:right w:w="108" w:type="dxa"/>
              <w:bottom w:w="0" w:type="dxa"/>
            </w:tcMar>
            <w:tcW w:w="685" w:type="dxa"/>
            <w:vAlign w:val="center"/>
            <w:textDirection w:val="lrTb"/>
            <w:noWrap w:val="false"/>
          </w:tcPr>
          <w:p>
            <w:pPr>
              <w:ind w:left="0" w:right="0" w:firstLine="0"/>
              <w:jc w:val="both"/>
              <w:spacing w:before="0" w:after="0" w:line="360" w:lineRule="auto"/>
              <w:rPr>
                <w:rFonts w:ascii="SimSun" w:hAnsi="SimSun" w:eastAsia="SimSun" w:cs="SimSun"/>
                <w:color w:val="000000"/>
                <w:sz w:val="22"/>
                <w:szCs w:val="22"/>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22"/>
              </w:rPr>
              <w:t xml:space="preserve">6分</w:t>
            </w:r>
            <w:r>
              <w:rPr>
                <w:rFonts w:ascii="SimSun" w:hAnsi="SimSun" w:eastAsia="SimSun" w:cs="SimSun"/>
                <w:color w:val="000000"/>
                <w:sz w:val="22"/>
                <w:szCs w:val="22"/>
              </w:rPr>
            </w:r>
            <w:r/>
          </w:p>
        </w:tc>
      </w:tr>
      <w:tr>
        <w:trPr>
          <w:trHeight w:val="566"/>
        </w:trPr>
        <w:tc>
          <w:tcPr>
            <w:tcBorders>
              <w:right w:val="single" w:color="000000" w:sz="4" w:space="0"/>
            </w:tcBorders>
            <w:tcMar>
              <w:left w:w="108" w:type="dxa"/>
              <w:top w:w="0" w:type="dxa"/>
              <w:right w:w="108" w:type="dxa"/>
              <w:bottom w:w="0" w:type="dxa"/>
            </w:tcMar>
            <w:tcW w:w="89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拟投入保安服务团队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39"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1、项目负责人：（4分）</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（1）拟派驻现场项目负责人，具备本科及以上学历证书（学信网可查询）的得2分，具备大专证书的得1分，其余不得分。</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（2）拟派项目负责人每提供一个项目管理证明材料得1分，最高得2分。单个项目管理证明材料须为学校管理项目，且必须经业主单位盖章证明；否则不得分。</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2、项目管理人员（20人）（</w:t>
            </w:r>
            <w:r>
              <w:rPr>
                <w:rFonts w:ascii="SimSun" w:hAnsi="SimSun" w:eastAsia="SimSun" w:cs="SimSun"/>
                <w:b/>
                <w:color w:val="000000"/>
                <w:sz w:val="22"/>
              </w:rPr>
              <w:t xml:space="preserve">不包含项目负责人，从164名保安人员中产生，需实际进场参加保安服务</w:t>
            </w:r>
            <w:r>
              <w:rPr>
                <w:rFonts w:ascii="SimSun" w:hAnsi="SimSun" w:eastAsia="SimSun" w:cs="SimSun"/>
                <w:color w:val="000000"/>
                <w:sz w:val="22"/>
              </w:rPr>
              <w:t xml:space="preserve">）（31分）</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（1）项目管理团队中具有国家人社部门核发的保安员三级职业资格证书或优于三级的，每有一人得1分，具有国家人社部门核发的保安员四级职业资格证书，每有一人得0.5分，累计最高10分</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（2）项目管理团队为退伍军人的，每提供1人得0.5分，最高得5分；</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（3）项目管理团队具有国家人社部门核发的消防设施操作员四级（中级）及以上职业资格证书，每有一人得0.5分，最高得10分；</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（4）项目管理团队，每具备3本红十字会颁发的救护证的得1分。最高得6分。</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同一人可多次得分，以上所有人员均须提供相应证书扫描件等证明材料，以及为该员工缴纳个税或社保证明（提供近三月内任意一个月以上人员缴纳的社保证明，应载明缴费单位名称、姓名、缴费时间，并盖有社保中心章或社保中心参保缴费证明电子专用章，未提供证明材料或证明材料不全的不得分。）</w:t>
            </w:r>
            <w:r/>
          </w:p>
        </w:tc>
        <w:tc>
          <w:tcPr>
            <w:tcBorders>
              <w:left w:val="single" w:color="000000" w:sz="4" w:space="0"/>
            </w:tcBorders>
            <w:tcMar>
              <w:left w:w="108" w:type="dxa"/>
              <w:top w:w="0" w:type="dxa"/>
              <w:right w:w="108" w:type="dxa"/>
              <w:bottom w:w="0" w:type="dxa"/>
            </w:tcMar>
            <w:tcW w:w="685"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35</w:t>
            </w:r>
            <w:r/>
          </w:p>
        </w:tc>
      </w:tr>
      <w:tr>
        <w:trPr>
          <w:trHeight w:val="709"/>
        </w:trPr>
        <w:tc>
          <w:tcPr>
            <w:tcMar>
              <w:left w:w="108" w:type="dxa"/>
              <w:top w:w="0" w:type="dxa"/>
              <w:right w:w="108" w:type="dxa"/>
              <w:bottom w:w="0" w:type="dxa"/>
            </w:tcMar>
            <w:tcW w:w="89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highlight w:val="white"/>
              </w:rPr>
              <w:t xml:space="preserve">保安服务管理方案</w:t>
            </w:r>
            <w:r/>
          </w:p>
        </w:tc>
        <w:tc>
          <w:tcPr>
            <w:tcBorders>
              <w:top w:val="single" w:color="000000" w:sz="4" w:space="0"/>
            </w:tcBorders>
            <w:tcMar>
              <w:left w:w="108" w:type="dxa"/>
              <w:top w:w="0" w:type="dxa"/>
              <w:right w:w="108" w:type="dxa"/>
              <w:bottom w:w="0" w:type="dxa"/>
            </w:tcMar>
            <w:tcW w:w="7539" w:type="dxa"/>
            <w:vAlign w:val="center"/>
            <w:textDirection w:val="lrTb"/>
            <w:noWrap w:val="false"/>
          </w:tcPr>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1、保安服务的整体方案和策划思路 （4分）</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整体服务方案和策划思路合理、清晰、贴合实际可行性强的，得4分；有整体方案和策划思路，略有缺陷，得2分；无整体方案，或无策划思路，或整体方案明显不合理的不得分。</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2、保安措施、服务标准  （4分）</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各类保安措施、服务标准完善合理且完全符合要求，得4分；有较为完善的保安措施但部分措施不够合理、服务标准且基本符合要求的，得2分；无保安措施或措施明显不完善、不合理、服务标准不符合要求的不得分。</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3、内部各项管理制度 （4分）</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人员管理制度、培训体系、考核方案、奖惩方案、合理，可行性强的，得4分；不够完备，略有欠缺的，得2分；管理制度不健全，离采购人要求差距大或者无管理制度以及制度明显不合理的不得分。</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4、进场准备工作及承接查验方案（4分） </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合理性强、可行性强、内容全面完整的得4分，方案基本合理、可行性一般、内容基本完整的得2分，不提供或未按要求提供不得分。</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5、合同到期交接方案（4分）</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合理性强、可行性强、内容全面完整的得4分，方案基本合理、可行性一般、内容基本完整的得2分，不提供或未按要求提供不得分。</w:t>
            </w:r>
            <w:r/>
          </w:p>
        </w:tc>
        <w:tc>
          <w:tcPr>
            <w:tcMar>
              <w:left w:w="108" w:type="dxa"/>
              <w:top w:w="0" w:type="dxa"/>
              <w:right w:w="108" w:type="dxa"/>
              <w:bottom w:w="0" w:type="dxa"/>
            </w:tcMar>
            <w:tcW w:w="685"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20分</w:t>
            </w:r>
            <w:r/>
          </w:p>
        </w:tc>
      </w:tr>
      <w:tr>
        <w:trPr>
          <w:trHeight w:val="1875"/>
        </w:trPr>
        <w:tc>
          <w:tcPr>
            <w:tcMar>
              <w:left w:w="108" w:type="dxa"/>
              <w:top w:w="0" w:type="dxa"/>
              <w:right w:w="108" w:type="dxa"/>
              <w:bottom w:w="0" w:type="dxa"/>
            </w:tcMar>
            <w:tcW w:w="89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售后</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服务</w:t>
            </w:r>
            <w:r/>
          </w:p>
        </w:tc>
        <w:tc>
          <w:tcPr>
            <w:tcMar>
              <w:left w:w="108" w:type="dxa"/>
              <w:top w:w="0" w:type="dxa"/>
              <w:right w:w="108" w:type="dxa"/>
              <w:bottom w:w="0" w:type="dxa"/>
            </w:tcMar>
            <w:tcW w:w="7539" w:type="dxa"/>
            <w:vAlign w:val="top"/>
            <w:textDirection w:val="lrTb"/>
            <w:noWrap w:val="false"/>
          </w:tcPr>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供应商承诺若中标后在泰州市（含区、县级市）设立办公点或分支机构的得3分，提供承诺书加盖公章。</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注：若为泰州市（含区、县级市）本地机构，提供本地营业执照证明材料即可。</w:t>
            </w:r>
            <w:r/>
          </w:p>
        </w:tc>
        <w:tc>
          <w:tcPr>
            <w:tcMar>
              <w:left w:w="108" w:type="dxa"/>
              <w:top w:w="0" w:type="dxa"/>
              <w:right w:w="108" w:type="dxa"/>
              <w:bottom w:w="0" w:type="dxa"/>
            </w:tcMar>
            <w:tcW w:w="685"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3分</w:t>
            </w:r>
            <w:r/>
          </w:p>
        </w:tc>
      </w:tr>
      <w:tr>
        <w:trPr>
          <w:trHeight w:val="924"/>
        </w:trPr>
        <w:tc>
          <w:tcPr>
            <w:tcMar>
              <w:left w:w="108" w:type="dxa"/>
              <w:top w:w="0" w:type="dxa"/>
              <w:right w:w="108" w:type="dxa"/>
              <w:bottom w:w="0" w:type="dxa"/>
            </w:tcMar>
            <w:tcW w:w="89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应急响应能力</w:t>
            </w:r>
            <w:r/>
          </w:p>
        </w:tc>
        <w:tc>
          <w:tcPr>
            <w:tcMar>
              <w:left w:w="108" w:type="dxa"/>
              <w:top w:w="0" w:type="dxa"/>
              <w:right w:w="108" w:type="dxa"/>
              <w:bottom w:w="0" w:type="dxa"/>
            </w:tcMar>
            <w:tcW w:w="7539" w:type="dxa"/>
            <w:vAlign w:val="top"/>
            <w:textDirection w:val="lrTb"/>
            <w:noWrap w:val="false"/>
          </w:tcPr>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根据各供应商针对本项目可能发生的突发事件制定的应急预案进行综合评审。</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r>
            <w:r>
              <w:rPr>
                <w:rFonts w:ascii="SimSun" w:hAnsi="SimSun" w:eastAsia="SimSun" w:cs="SimSun"/>
                <w:color w:val="000000"/>
                <w:sz w:val="22"/>
              </w:rPr>
              <w:t xml:space="preserve">应急预案内容全面完整，针对学校保安特点针对性强，处置流程科学合理，措施详细具体、可操作性强，响应时间明确、人员分工清晰，包含应急演练计划且计划切实可行得6分，应急预案内容较为全面，有一定针对性，处置措施较为合理，可操作性较强，基本涵盖学校主要保安风险得4分，应急预案内容一般，针对性不强，处置措施较为笼统，可操作性一般，部分场景覆盖不足得2分，应急预案内容不全面，处置措施模糊不清，可操作性差，与学校实际严重脱节；或未提供应急预案不得分。</w:t>
            </w:r>
            <w:r>
              <w:rPr>
                <w:rFonts w:ascii="SimSun" w:hAnsi="SimSun" w:eastAsia="SimSun" w:cs="SimSun"/>
                <w:color w:val="000000"/>
                <w:sz w:val="22"/>
              </w:rPr>
            </w:r>
            <w:r/>
          </w:p>
        </w:tc>
        <w:tc>
          <w:tcPr>
            <w:tcMar>
              <w:left w:w="108" w:type="dxa"/>
              <w:top w:w="0" w:type="dxa"/>
              <w:right w:w="108" w:type="dxa"/>
              <w:bottom w:w="0" w:type="dxa"/>
            </w:tcMar>
            <w:tcW w:w="685" w:type="dxa"/>
            <w:vAlign w:val="center"/>
            <w:textDirection w:val="lrTb"/>
            <w:noWrap w:val="false"/>
          </w:tcPr>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6分</w:t>
            </w:r>
            <w:r/>
          </w:p>
        </w:tc>
      </w:tr>
    </w:tbl>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0" w:after="0" w:line="360" w:lineRule="auto"/>
        <w:rPr>
          <w:rFonts w:ascii="SimHei" w:hAnsi="SimHei" w:eastAsia="SimHei" w:cs="SimHei"/>
          <w:color w:val="000000"/>
          <w:sz w:val="44"/>
          <w:szCs w:val="44"/>
          <w14:ligatures w14: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szCs w:val="44"/>
        </w:rPr>
        <w:t xml:space="preserve"> </w:t>
      </w:r>
      <w:r>
        <w:rPr>
          <w:rFonts w:ascii="SimHei" w:hAnsi="SimHei" w:eastAsia="SimHei" w:cs="SimHei"/>
          <w:color w:val="000000"/>
          <w:sz w:val="44"/>
          <w:szCs w:val="44"/>
        </w:rPr>
      </w:r>
      <w:r/>
    </w:p>
    <w:p>
      <w:pPr>
        <w:shd w:val="nil" w:color="auto"/>
        <w:rPr>
          <w:rFonts w:ascii="SimHei" w:hAnsi="SimHei" w:eastAsia="SimHei" w:cs="SimHei"/>
          <w:color w:val="000000"/>
          <w:sz w:val="44"/>
          <w:szCs w:val="44"/>
          <w14:ligatures w14:val="none"/>
        </w:rPr>
      </w:pPr>
      <w:r>
        <w:rPr>
          <w:rFonts w:ascii="SimHei" w:hAnsi="SimHei" w:eastAsia="SimHei" w:cs="SimHei"/>
          <w:color w:val="000000"/>
          <w:sz w:val="44"/>
          <w:szCs w:val="44"/>
          <w:highlight w:val="none"/>
        </w:rPr>
        <w:br w:type="page" w:clear="all"/>
      </w:r>
      <w:r>
        <w:rPr>
          <w:rFonts w:ascii="SimHei" w:hAnsi="SimHei" w:eastAsia="SimHei" w:cs="SimHei"/>
          <w:color w:val="000000"/>
          <w:sz w:val="44"/>
          <w:szCs w:val="44"/>
          <w:highlight w:val="none"/>
        </w:rPr>
      </w:r>
      <w:r/>
    </w:p>
    <w:p>
      <w:pPr>
        <w:ind w:left="0" w:right="0" w:firstLine="0"/>
        <w:jc w:val="center"/>
        <w:spacing w:before="0" w:after="0" w:line="360" w:lineRule="auto"/>
        <w:rPr>
          <w:rFonts w:ascii="SimHei" w:hAnsi="SimHei" w:eastAsia="SimHei" w:cs="SimHei"/>
          <w:color w:val="000000"/>
          <w:sz w:val="44"/>
          <w:szCs w:val="44"/>
          <w:highlight w:val="none"/>
          <w14:ligatures w14: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szCs w:val="44"/>
        </w:rPr>
        <w:t xml:space="preserve">第六章  投标文件格式 </w:t>
      </w:r>
      <w:r>
        <w:rPr>
          <w:rFonts w:ascii="SimHei" w:hAnsi="SimHei" w:eastAsia="SimHei" w:cs="SimHei"/>
          <w:color w:val="000000"/>
          <w:sz w:val="44"/>
          <w:szCs w:val="44"/>
        </w:rPr>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  标  文  件</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投标人名称 ：</w:t>
      </w:r>
      <w:r>
        <w:rPr>
          <w:rFonts w:ascii="SimSun" w:hAnsi="SimSun" w:eastAsia="SimSun" w:cs="SimSun"/>
          <w:b/>
          <w:color w:val="000000"/>
          <w:sz w:val="36"/>
          <w:u w:val="single"/>
        </w:rPr>
        <w:t xml:space="preserve">（加盖CA电子公章）</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      期 ：</w:t>
      </w:r>
      <w:r>
        <w:rPr>
          <w:rFonts w:ascii="SimSun" w:hAnsi="SimSun" w:eastAsia="SimSun" w:cs="SimSun"/>
          <w:b/>
          <w:color w:val="000000"/>
          <w:sz w:val="36"/>
          <w:u w:val="single"/>
        </w:rPr>
        <w:t xml:space="preserve">               </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891"/>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投标文件的组成</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一、基本目录</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1.开标一览表（格式见附件1）</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2.投标分项报价表（格式见附件2）</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3.技术要求响应及偏离表（格式见附件3）</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4.商务要求响应及偏离表（格式见附件4）</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5.拟派本项目管理人员一览表（格式见附件5）</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二、资格审查内容</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1.法人或者其他组织的营业执照等证明文件，自然人的身份证明</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2.上一年度的财务状况报告（投标人成立不满一年无需提供）</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3.依法缴纳税收和社会保障资金的相关材料（提供提交投标文件截止时间前一年</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内至少一个月依法缴纳税收及缴纳社会保障资金的证明材料。投标人依法享受缓缴、免缴税收、社会保障资金的提供证明材料。）</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4.具备履行合同所必需的设备和专业技术能力的书面声明（格式见附件6）</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5.参加政府采购活动前3年内在经营活动中没有重大违法记录的书面声明（格式见附件7）</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6.特定资格要求的证明文件（如果本项目对投标人做出特定资格要求的，必须提供）</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7.法人授权书（格式见附件8）</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8.投标函（格式见附件9）</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9.中小微企业声明函（如果本项目专门面向中小微型企业采购，则必须提供。格式见附件10）</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10.残疾人福利性单位声明函（如果本项目专门面向中小微型企业采购，供应商为残疾人福利性单位并由本单位提供服务。格式见附件11）</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总备注：上述“资格审查内容”中1-5条、7、8条投标人必须在投标文件中提供</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相关材料，否则作无效投标处理；6、9、10条如招标文件要求必须提供相关材料而未提供的，作无效投标处理。</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三、符合性审查内容</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投标人必须对技术要求和商务要求中加斜体下划线的实质性要求逐条做出响应，并按照招标文件要求提供证明材料，否则作无效投标处理。（格式见附件12）</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四、价格扣除证明文件</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1.中小微企业声明函（格式见附件10）</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2.残疾人福利性单位声明函（格式见附件11）</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3.关于符合本国产品标准的声明函（格式见附件13）</w:t>
      </w:r>
      <w:r>
        <w:rPr>
          <w:rFonts w:ascii="SimSun" w:hAnsi="SimSun" w:eastAsia="SimSun" w:cs="SimSun"/>
          <w:color w:val="ff0000"/>
          <w:sz w:val="24"/>
        </w:rPr>
        <w:t xml:space="preserve">本项目不涉及货物采购，可以不提供</w:t>
      </w:r>
      <w:r/>
    </w:p>
    <w:p>
      <w:pPr>
        <w:ind w:left="0" w:right="0" w:firstLine="480"/>
        <w:jc w:val="both"/>
        <w:spacing w:before="0" w:after="0" w:line="360" w:lineRule="auto"/>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 </w:t>
      </w:r>
      <w:r>
        <w:rPr>
          <w:rFonts w:ascii="SimSun" w:hAnsi="SimSun" w:eastAsia="SimSun" w:cs="SimSun"/>
          <w:color w:val="000000"/>
          <w:sz w:val="24"/>
          <w:szCs w:val="24"/>
        </w:rPr>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附件1</w:t>
      </w:r>
      <w:r/>
    </w:p>
    <w:p>
      <w:pPr>
        <w:ind w:left="0" w:right="0" w:firstLine="3614"/>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开标一览表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投标人全称（加盖CA电子签章）：</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              分包号：</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投标总报价</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                         （人民币：元）</w:t>
            </w:r>
            <w:r/>
          </w:p>
        </w:tc>
      </w:tr>
    </w:tbl>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 </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 </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br w:type="page" w:clear="all"/>
      </w:r>
      <w:r>
        <w:rPr>
          <w:rFonts w:ascii="Microsoft YaHei" w:hAnsi="Microsoft YaHei" w:eastAsia="Microsoft YaHei" w:cs="Microsoft YaHei"/>
          <w:sz w:val="24"/>
        </w:rPr>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b/>
          <w:color w:val="000000"/>
          <w:sz w:val="24"/>
        </w:rPr>
        <w:t xml:space="preserve">附件2          </w:t>
      </w:r>
      <w:r/>
    </w:p>
    <w:p>
      <w:pPr>
        <w:ind w:left="0" w:right="0" w:firstLine="2530"/>
        <w:jc w:val="both"/>
        <w:spacing w:before="0" w:after="24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投标分项报价表 </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1052"/>
        <w:gridCol w:w="1052"/>
        <w:gridCol w:w="1102"/>
        <w:gridCol w:w="1052"/>
        <w:gridCol w:w="1052"/>
        <w:gridCol w:w="1052"/>
        <w:gridCol w:w="1966"/>
      </w:tblGrid>
      <w:tr>
        <w:trPr>
          <w:trHeight w:val="54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52" w:type="dxa"/>
            <w:vAlign w:val="center"/>
            <w:vMerge w:val="restart"/>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5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5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5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5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r>
      <w:tr>
        <w:trPr>
          <w:trHeight w:val="29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105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分项服务名称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交付期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w:t>
            </w:r>
            <w:r/>
          </w:p>
        </w:tc>
      </w:tr>
      <w:tr>
        <w:trPr>
          <w:trHeight w:val="6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5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5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合同签订后</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5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5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5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2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5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5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5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5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5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87"/>
        </w:trPr>
        <w:tc>
          <w:tcPr>
            <w:gridSpan w:val="6"/>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62" w:type="dxa"/>
            <w:vAlign w:val="center"/>
            <w:textDirection w:val="lrTb"/>
            <w:noWrap w:val="false"/>
          </w:tcPr>
          <w:p>
            <w:pPr>
              <w:ind w:left="0" w:right="0" w:firstLine="142"/>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投标总报价（人民币：元）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6"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2.“投标分项报价表”中“投标总报价”数额应当与“开标一览表”中“投标总报价”数额一致。</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24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附件3 </w:t>
      </w:r>
      <w:r/>
    </w:p>
    <w:p>
      <w:pPr>
        <w:ind w:left="0" w:right="0" w:firstLine="2249"/>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技术要求响应及偏离表 </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4"/>
        <w:gridCol w:w="3060"/>
        <w:gridCol w:w="3187"/>
        <w:gridCol w:w="212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4" w:type="dxa"/>
            <w:vAlign w:val="center"/>
            <w:textDirection w:val="lrTb"/>
            <w:noWrap w:val="false"/>
          </w:tcPr>
          <w:p>
            <w:pPr>
              <w:ind w:left="60" w:right="0" w:hanging="6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8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4"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60"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87"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6"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4"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60"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87"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6"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附件3-1  证明材料1，证明材料2，……</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1.投标人需对招标文件技术要求中非实质性要求（</w:t>
      </w:r>
      <w:r>
        <w:rPr>
          <w:rFonts w:ascii="SimSun" w:hAnsi="SimSun" w:eastAsia="SimSun" w:cs="SimSun"/>
          <w:b/>
          <w:color w:val="000000"/>
          <w:sz w:val="24"/>
        </w:rPr>
        <w:t xml:space="preserve">未加</w:t>
      </w:r>
      <w:r>
        <w:rPr>
          <w:rFonts w:ascii="SimSun" w:hAnsi="SimSun" w:eastAsia="SimSun" w:cs="SimSun"/>
          <w:b/>
          <w:i/>
          <w:color w:val="000000"/>
          <w:sz w:val="24"/>
          <w:u w:val="single"/>
        </w:rPr>
        <w:t xml:space="preserve">斜体下划线</w:t>
      </w:r>
      <w:r>
        <w:rPr>
          <w:rFonts w:ascii="SimSun" w:hAnsi="SimSun" w:eastAsia="SimSun" w:cs="SimSun"/>
          <w:b/>
          <w:color w:val="000000"/>
          <w:sz w:val="24"/>
        </w:rPr>
        <w:t xml:space="preserve">部分</w:t>
      </w:r>
      <w:r>
        <w:rPr>
          <w:rFonts w:ascii="SimSun" w:hAnsi="SimSun" w:eastAsia="SimSun" w:cs="SimSun"/>
          <w:color w:val="000000"/>
          <w:sz w:val="24"/>
        </w:rPr>
        <w:t xml:space="preserve">）逐条做出明确响应。</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2.如果招标文件要求提供证明材料，投标人需将证明材料列于该表之下。</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附件4 </w:t>
      </w:r>
      <w:r/>
    </w:p>
    <w:p>
      <w:pPr>
        <w:ind w:left="0" w:right="0" w:firstLine="1968"/>
        <w:jc w:val="both"/>
        <w:spacing w:before="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商务要求响应及偏离表 </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74"/>
        <w:gridCol w:w="2930"/>
        <w:gridCol w:w="3187"/>
        <w:gridCol w:w="212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3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商务要求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8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30"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87"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6"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30"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87"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6"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附件4-1  证明材料1，证明材料2，……</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1.投标人需对招标文件商务要求中非实质性要求（</w:t>
      </w:r>
      <w:r>
        <w:rPr>
          <w:rFonts w:ascii="SimSun" w:hAnsi="SimSun" w:eastAsia="SimSun" w:cs="SimSun"/>
          <w:b/>
          <w:color w:val="000000"/>
          <w:sz w:val="24"/>
        </w:rPr>
        <w:t xml:space="preserve">未加</w:t>
      </w:r>
      <w:r>
        <w:rPr>
          <w:rFonts w:ascii="SimSun" w:hAnsi="SimSun" w:eastAsia="SimSun" w:cs="SimSun"/>
          <w:b/>
          <w:i/>
          <w:color w:val="000000"/>
          <w:sz w:val="24"/>
          <w:u w:val="single"/>
        </w:rPr>
        <w:t xml:space="preserve">斜体下划线</w:t>
      </w:r>
      <w:r>
        <w:rPr>
          <w:rFonts w:ascii="SimSun" w:hAnsi="SimSun" w:eastAsia="SimSun" w:cs="SimSun"/>
          <w:b/>
          <w:color w:val="000000"/>
          <w:sz w:val="24"/>
        </w:rPr>
        <w:t xml:space="preserve">部分</w:t>
      </w:r>
      <w:r>
        <w:rPr>
          <w:rFonts w:ascii="SimSun" w:hAnsi="SimSun" w:eastAsia="SimSun" w:cs="SimSun"/>
          <w:color w:val="000000"/>
          <w:sz w:val="24"/>
        </w:rPr>
        <w:t xml:space="preserve">）逐条做出明确响应。</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2.如果招标文件要求提供证明材料，投标人需将证明材料列于该表之下。</w:t>
      </w:r>
      <w:r>
        <w:rPr>
          <w:rFonts w:ascii="SimSun" w:hAnsi="SimSun" w:eastAsia="SimSun" w:cs="SimSun"/>
          <w:b/>
          <w:color w:val="000000"/>
          <w:sz w:val="24"/>
        </w:rPr>
        <w:t xml:space="preserve"> </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附件5 </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拟派本项目管理人员一览表</w:t>
      </w:r>
      <w:r/>
    </w:p>
    <w:p>
      <w:pPr>
        <w:ind w:left="0" w:right="0" w:firstLine="84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15"/>
        <w:gridCol w:w="847"/>
        <w:gridCol w:w="682"/>
        <w:gridCol w:w="2116"/>
        <w:gridCol w:w="1818"/>
        <w:gridCol w:w="2677"/>
      </w:tblGrid>
      <w:tr>
        <w:trPr>
          <w:trHeight w:val="68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姓  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7"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16"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身份证号码</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18"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职业资格、证书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77"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拟在本项目中担任的工作</w:t>
            </w:r>
            <w:r/>
          </w:p>
        </w:tc>
      </w:tr>
      <w:tr>
        <w:trPr>
          <w:trHeight w:val="7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7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7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77"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7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77"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7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77"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7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77"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7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77"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7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77"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7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77"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7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77"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bl>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（如未按照人员要求提供相关证明材料，将按照未实质性响应招标文件项目需求取消投标资格）</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注：提供以下证明材料：（1）人员清单；（2）提供近三月内任意一个月，以上人员缴纳的社保证明（应载明缴费单位名称、姓名、缴费时间，并盖有社保中心章或社保中心参保缴费证明电子专用章）</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投标人：（加盖公章）          </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     </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附件6 </w:t>
      </w:r>
      <w:r/>
    </w:p>
    <w:p>
      <w:pPr>
        <w:ind w:left="0" w:right="0" w:firstLine="1124"/>
        <w:jc w:val="both"/>
        <w:spacing w:before="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具备履行合同所必需的设备和专业技术能力的书面声明</w:t>
      </w:r>
      <w:r/>
    </w:p>
    <w:p>
      <w:pPr>
        <w:ind w:left="0" w:right="0" w:firstLine="49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9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附件7</w:t>
      </w:r>
      <w:r/>
    </w:p>
    <w:p>
      <w:pPr>
        <w:ind w:left="0" w:right="0" w:firstLine="723"/>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参加政府采购活动前 3 年内在经营活动中没有重大违法记录的书面声明</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声 明</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我单位郑重声明：参加本次政府采购活动前 3 年内，我单位在经营活动中没有因违法经营受到刑事处罚或者责令停产停业、吊销许可证或者执照、较大数额罚款等行政处罚。</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附件8                        </w:t>
      </w:r>
      <w:r/>
    </w:p>
    <w:p>
      <w:pPr>
        <w:ind w:left="0" w:right="0" w:firstLine="3654"/>
        <w:jc w:val="both"/>
        <w:spacing w:before="0" w:after="24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法人授权书</w:t>
      </w:r>
      <w:r/>
    </w:p>
    <w:p>
      <w:pPr>
        <w:ind w:left="0" w:right="0" w:firstLine="480"/>
        <w:jc w:val="both"/>
        <w:spacing w:before="0" w:after="0" w:line="360" w:lineRule="auto"/>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Times New Roman" w:hAnsi="Times New Roman" w:eastAsia="Times New Roman" w:cs="Times New Roman"/>
          <w:color w:val="000000"/>
          <w:sz w:val="24"/>
        </w:rPr>
        <w:t xml:space="preserve">____________</w:t>
      </w:r>
      <w:r>
        <w:rPr>
          <w:rFonts w:ascii="SimSun" w:hAnsi="SimSun" w:eastAsia="SimSun" w:cs="SimSun"/>
          <w:color w:val="000000"/>
          <w:sz w:val="24"/>
        </w:rPr>
        <w:t xml:space="preserve">（投标人名称）授权</w:t>
      </w:r>
      <w:r>
        <w:rPr>
          <w:rFonts w:ascii="Times New Roman" w:hAnsi="Times New Roman" w:eastAsia="Times New Roman" w:cs="Times New Roman"/>
          <w:color w:val="000000"/>
          <w:sz w:val="24"/>
        </w:rPr>
        <w:t xml:space="preserve">________________</w:t>
      </w:r>
      <w:r>
        <w:rPr>
          <w:rFonts w:ascii="SimSun" w:hAnsi="SimSun" w:eastAsia="SimSun" w:cs="SimSun"/>
          <w:color w:val="000000"/>
          <w:sz w:val="24"/>
        </w:rPr>
        <w:t xml:space="preserve">（被授权人的姓名）为我方就</w:t>
      </w:r>
      <w:r>
        <w:rPr>
          <w:rFonts w:ascii="Times New Roman" w:hAnsi="Times New Roman" w:eastAsia="Times New Roman" w:cs="Times New Roman"/>
          <w:color w:val="000000"/>
          <w:sz w:val="24"/>
        </w:rPr>
        <w:t xml:space="preserve">JSZC-32</w:t>
      </w:r>
      <w:r>
        <w:rPr>
          <w:rFonts w:ascii="SimSun" w:hAnsi="SimSun" w:eastAsia="SimSun" w:cs="SimSun"/>
          <w:color w:val="000000"/>
          <w:sz w:val="24"/>
          <w:u w:val="single"/>
        </w:rPr>
        <w:t xml:space="preserve">****</w:t>
      </w:r>
      <w:r>
        <w:rPr>
          <w:rFonts w:ascii="Times New Roman" w:hAnsi="Times New Roman" w:eastAsia="Times New Roman" w:cs="Times New Roman"/>
          <w:color w:val="000000"/>
          <w:sz w:val="24"/>
        </w:rPr>
        <w:t xml:space="preserve">-</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rPr>
        <w:t xml:space="preserve">号项目采购活动的合法代理人，以本单位名义全权处理一切与该项目采购有关的事务。</w:t>
      </w:r>
      <w:r/>
    </w:p>
    <w:p>
      <w:pPr>
        <w:ind w:left="0" w:right="0" w:firstLine="0"/>
        <w:jc w:val="both"/>
        <w:spacing w:before="0" w:after="0" w:line="360" w:lineRule="auto"/>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日起生效，特此声明。</w:t>
      </w:r>
      <w:r/>
    </w:p>
    <w:p>
      <w:pPr>
        <w:ind w:left="0" w:right="0" w:firstLine="0"/>
        <w:jc w:val="both"/>
        <w:spacing w:before="0" w:after="0" w:line="360" w:lineRule="auto"/>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被授权人身份证号码：</w:t>
      </w:r>
      <w:r>
        <w:rPr>
          <w:rFonts w:ascii="Times New Roman" w:hAnsi="Times New Roman" w:eastAsia="Times New Roman" w:cs="Times New Roman"/>
          <w:color w:val="000000"/>
          <w:sz w:val="24"/>
          <w:u w:val="single"/>
        </w:rPr>
        <w:t xml:space="preserve">                             </w:t>
      </w:r>
      <w:r/>
    </w:p>
    <w:p>
      <w:pPr>
        <w:ind w:left="0" w:right="0" w:firstLine="0"/>
        <w:jc w:val="both"/>
        <w:spacing w:before="0" w:after="0" w:line="360" w:lineRule="auto"/>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被授权人联系电话：（手机）</w:t>
      </w:r>
      <w:r>
        <w:rPr>
          <w:rFonts w:ascii="Times New Roman" w:hAnsi="Times New Roman" w:eastAsia="Times New Roman" w:cs="Times New Roman"/>
          <w:color w:val="000000"/>
          <w:sz w:val="24"/>
          <w:u w:val="single"/>
        </w:rPr>
        <w:t xml:space="preserve">                         </w:t>
      </w:r>
      <w:r/>
    </w:p>
    <w:p>
      <w:pPr>
        <w:ind w:left="0" w:right="0" w:firstLine="0"/>
        <w:jc w:val="both"/>
        <w:spacing w:before="0" w:after="0" w:line="360" w:lineRule="auto"/>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w:t>
      </w:r>
      <w:r>
        <w:rPr>
          <w:rFonts w:ascii="SimSun" w:hAnsi="SimSun" w:eastAsia="SimSun" w:cs="SimSun"/>
          <w:color w:val="000000"/>
          <w:sz w:val="24"/>
          <w:u w:val="single"/>
        </w:rPr>
        <w:t xml:space="preserve">（加盖</w:t>
      </w:r>
      <w:r>
        <w:rPr>
          <w:rFonts w:ascii="Times New Roman" w:hAnsi="Times New Roman" w:eastAsia="Times New Roman" w:cs="Times New Roman"/>
          <w:color w:val="000000"/>
          <w:sz w:val="24"/>
          <w:u w:val="single"/>
        </w:rPr>
        <w:t xml:space="preserve">CA</w:t>
      </w:r>
      <w:r>
        <w:rPr>
          <w:rFonts w:ascii="SimSun" w:hAnsi="SimSun" w:eastAsia="SimSun" w:cs="SimSun"/>
          <w:color w:val="000000"/>
          <w:sz w:val="24"/>
          <w:u w:val="single"/>
        </w:rPr>
        <w:t xml:space="preserve">电子公章）</w:t>
      </w:r>
      <w:r/>
    </w:p>
    <w:p>
      <w:pPr>
        <w:ind w:left="0" w:right="0" w:firstLine="0"/>
        <w:jc w:val="both"/>
        <w:spacing w:before="0" w:after="0" w:line="360" w:lineRule="auto"/>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rPr>
          <w:rFonts w:ascii="Times New Roman" w:hAnsi="Times New Roman" w:eastAsia="Times New Roman" w:cs="Times New Roman"/>
          <w:color w:val="000000"/>
          <w:sz w:val="24"/>
          <w:u w:val="single"/>
        </w:rPr>
        <w:t xml:space="preserve">                                        </w:t>
      </w:r>
      <w:r/>
    </w:p>
    <w:p>
      <w:pPr>
        <w:ind w:left="0" w:right="0" w:firstLine="0"/>
        <w:jc w:val="both"/>
        <w:spacing w:before="0" w:after="0" w:line="360" w:lineRule="auto"/>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u w:val="single"/>
        </w:rPr>
        <w:t xml:space="preserve">                                        </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36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260" w:after="26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附件9                           </w:t>
      </w:r>
      <w:r>
        <w:rPr>
          <w:rFonts w:ascii="SimSun" w:hAnsi="SimSun" w:eastAsia="SimSun" w:cs="SimSun"/>
          <w:b/>
          <w:color w:val="000000"/>
          <w:sz w:val="28"/>
        </w:rPr>
        <w:t xml:space="preserve"> </w:t>
      </w:r>
      <w:r/>
    </w:p>
    <w:p>
      <w:pPr>
        <w:ind w:left="0" w:right="0" w:firstLine="3693"/>
        <w:jc w:val="both"/>
        <w:spacing w:before="260" w:after="26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8"/>
        </w:rPr>
        <w:t xml:space="preserve">投标函</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致：泰州市海陵区政务服务中心</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根据贵方的JSZC-32</w:t>
      </w:r>
      <w:r>
        <w:rPr>
          <w:rFonts w:ascii="SimSun" w:hAnsi="SimSun" w:eastAsia="SimSun" w:cs="SimSun"/>
          <w:color w:val="000000"/>
          <w:sz w:val="24"/>
          <w:u w:val="single"/>
        </w:rPr>
        <w:t xml:space="preserve">****</w:t>
      </w:r>
      <w:r>
        <w:rPr>
          <w:rFonts w:ascii="SimSun" w:hAnsi="SimSun" w:eastAsia="SimSun" w:cs="SimSun"/>
          <w:color w:val="000000"/>
          <w:sz w:val="24"/>
        </w:rPr>
        <w:t xml:space="preserve">-***号招标文件，正式授权下述签字人______(姓名)代表我方______________（投标人的名称），全权处理本次项目投标的有关事宜。</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据此函，__________签字人兹宣布同意如下：</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1.按招标文件规定的各项要求，向买方提供所需服务（包含与服务相关的货物）。</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2.我们完全理解贵方不一定将合同授予最低报价的投标人。</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3.我们已详细审核全部招标文件及其有效补充文件，我们知道必须放弃提出含糊不清或误解问题的权利。</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4.我们同意从规定的开标日期起遵循本投标文件，并在规定的投标有效期期满之前均具有约束力。</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5.同意向贵方提供贵方可能另外要求的与投标有关的任何证据或资料，并保证我方已提供和将要提供的文件是真实的、准确的。</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6.一旦我方中标,我方将根据招标文件的规定，严格履行合同的责任和义务,并保证在招标文件规定的时间完成项目，交付买方验收、使用。</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7.与本投标有关的正式通讯地址为：</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         编：</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话：</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         真：</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投标人开户行：</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         号： </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期：________年____月____日</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附件10</w:t>
      </w:r>
      <w:r/>
    </w:p>
    <w:p>
      <w:pPr>
        <w:ind w:left="0" w:right="0" w:firstLine="2108"/>
        <w:jc w:val="both"/>
        <w:spacing w:before="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中小微企业声明函 </w:t>
      </w:r>
      <w:r/>
    </w:p>
    <w:p>
      <w:pPr>
        <w:ind w:left="0" w:right="0" w:firstLine="60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本公司（联合体）郑重声明，根据《政府采购促进中小企业发展管理办法》(财库[2020]46号)的规定，本公司（联合体）参加泰州市海陵区政务服务中心组织的</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采购编号为JSZC-32</w:t>
      </w:r>
      <w:r>
        <w:rPr>
          <w:rFonts w:ascii="SimSun" w:hAnsi="SimSun" w:eastAsia="SimSun" w:cs="SimSun"/>
          <w:color w:val="000000"/>
          <w:sz w:val="24"/>
          <w:u w:val="single"/>
        </w:rPr>
        <w:t xml:space="preserve">****</w:t>
      </w:r>
      <w:r>
        <w:rPr>
          <w:rFonts w:ascii="SimSun" w:hAnsi="SimSun" w:eastAsia="SimSun" w:cs="SimSun"/>
          <w:color w:val="000000"/>
          <w:sz w:val="24"/>
        </w:rPr>
        <w:t xml:space="preserve">-</w:t>
      </w:r>
      <w:r>
        <w:rPr>
          <w:rFonts w:ascii="SimSun" w:hAnsi="SimSun" w:eastAsia="SimSun" w:cs="SimSun"/>
          <w:color w:val="000000"/>
          <w:sz w:val="24"/>
          <w:u w:val="single"/>
        </w:rPr>
        <w:t xml:space="preserve">****</w:t>
      </w:r>
      <w:r>
        <w:rPr>
          <w:rFonts w:ascii="SimSun" w:hAnsi="SimSun" w:eastAsia="SimSun" w:cs="SimSun"/>
          <w:color w:val="000000"/>
          <w:sz w:val="24"/>
        </w:rPr>
        <w:t xml:space="preserve">，</w:t>
      </w:r>
      <w:r>
        <w:rPr>
          <w:rFonts w:ascii="SimSun" w:hAnsi="SimSun" w:eastAsia="SimSun" w:cs="SimSun"/>
          <w:color w:val="000000"/>
          <w:sz w:val="24"/>
          <w:u w:val="single"/>
        </w:rPr>
        <w:t xml:space="preserve">（项目名称）（分包号：**）</w:t>
      </w:r>
      <w:r>
        <w:rPr>
          <w:rFonts w:ascii="SimSun" w:hAnsi="SimSun" w:eastAsia="SimSun" w:cs="SimSun"/>
          <w:color w:val="000000"/>
          <w:sz w:val="24"/>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p>
    <w:p>
      <w:pPr>
        <w:ind w:left="0" w:right="0" w:firstLine="60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0"/>
          <w:vertAlign w:val="superscript"/>
        </w:rPr>
        <w:t xml:space="preserve">1</w:t>
      </w:r>
      <w:r>
        <w:rPr>
          <w:rFonts w:ascii="SimSun" w:hAnsi="SimSun" w:eastAsia="SimSun" w:cs="SimSun"/>
          <w:color w:val="000000"/>
          <w:sz w:val="24"/>
        </w:rPr>
        <w:t xml:space="preserve">，属于</w:t>
      </w:r>
      <w:r>
        <w:rPr>
          <w:rFonts w:ascii="SimSun" w:hAnsi="SimSun" w:eastAsia="SimSun" w:cs="SimSun"/>
          <w:color w:val="000000"/>
          <w:sz w:val="24"/>
          <w:u w:val="single"/>
        </w:rPr>
        <w:t xml:space="preserve">（□中型企业 □小型企业 □微型企业）；</w:t>
      </w:r>
      <w:r/>
    </w:p>
    <w:p>
      <w:pPr>
        <w:ind w:left="0" w:right="0" w:firstLine="60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0"/>
          <w:vertAlign w:val="superscript"/>
        </w:rPr>
        <w:t xml:space="preserve">1</w:t>
      </w:r>
      <w:r>
        <w:rPr>
          <w:rFonts w:ascii="SimSun" w:hAnsi="SimSun" w:eastAsia="SimSun" w:cs="SimSun"/>
          <w:color w:val="000000"/>
          <w:sz w:val="24"/>
        </w:rPr>
        <w:t xml:space="preserve">，属于</w:t>
      </w:r>
      <w:r>
        <w:rPr>
          <w:rFonts w:ascii="SimSun" w:hAnsi="SimSun" w:eastAsia="SimSun" w:cs="SimSun"/>
          <w:color w:val="000000"/>
          <w:sz w:val="24"/>
          <w:u w:val="single"/>
        </w:rPr>
        <w:t xml:space="preserve">（□中型企业 □小型企业 □微型企业）；</w:t>
      </w:r>
      <w:r/>
    </w:p>
    <w:p>
      <w:pPr>
        <w:ind w:left="0" w:right="0" w:firstLine="60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60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60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
        <w:jc w:val="right"/>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84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企业名称（加盖CA电子公章）：</w:t>
      </w:r>
      <w:r/>
    </w:p>
    <w:p>
      <w:pPr>
        <w:ind w:left="0" w:right="0" w:firstLine="624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1.从业人员、营业收入、资产总额填报上一年度数据，无上一年度数据的新成立企业可不填报。</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2.专门面向中小微型企业采购的项目，供应商如不提供此声明函，则不能通过资格审查；非专门面向中小微型企业采购的项目，供应商如不提供此声明函，价格将不做相应扣除。</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3.供应商自行勾选承接企业的企业规模类型。</w:t>
        <w:br w:type="page" w:clear="all"/>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rPr>
          <w:rFonts w:ascii="SimSun" w:hAnsi="SimSun" w:eastAsia="SimSun" w:cs="SimSun"/>
          <w:b/>
          <w:color w:val="000000"/>
          <w:sz w:val="24"/>
        </w:rPr>
        <w:t xml:space="preserve">附件11 </w:t>
      </w:r>
      <w:r/>
    </w:p>
    <w:p>
      <w:pPr>
        <w:ind w:left="0" w:right="0" w:firstLine="1687"/>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残疾人福利性单位声明函 </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141号）的规定，本单位为符合条件的残疾人福利性单位，且本单位参加______单位的采购文件编号为JSZC-32</w:t>
      </w:r>
      <w:r>
        <w:rPr>
          <w:rFonts w:ascii="SimSun" w:hAnsi="SimSun" w:eastAsia="SimSun" w:cs="SimSun"/>
          <w:color w:val="000000"/>
          <w:sz w:val="24"/>
          <w:u w:val="single"/>
        </w:rPr>
        <w:t xml:space="preserve">****</w:t>
      </w:r>
      <w:r>
        <w:rPr>
          <w:rFonts w:ascii="SimSun" w:hAnsi="SimSun" w:eastAsia="SimSun" w:cs="SimSun"/>
          <w:color w:val="000000"/>
          <w:sz w:val="24"/>
        </w:rPr>
        <w:t xml:space="preserve">-</w:t>
      </w:r>
      <w:r>
        <w:rPr>
          <w:rFonts w:ascii="SimSun" w:hAnsi="SimSun" w:eastAsia="SimSun" w:cs="SimSun"/>
          <w:color w:val="000000"/>
          <w:sz w:val="24"/>
          <w:u w:val="single"/>
        </w:rPr>
        <w:t xml:space="preserve">****</w:t>
      </w:r>
      <w:r>
        <w:rPr>
          <w:rFonts w:ascii="SimSun" w:hAnsi="SimSun" w:eastAsia="SimSun" w:cs="SimSun"/>
          <w:color w:val="000000"/>
          <w:sz w:val="24"/>
        </w:rPr>
        <w:t xml:space="preserve">的</w:t>
      </w:r>
      <w:r>
        <w:rPr>
          <w:rFonts w:ascii="SimSun" w:hAnsi="SimSun" w:eastAsia="SimSun" w:cs="SimSun"/>
          <w:color w:val="000000"/>
          <w:sz w:val="24"/>
          <w:u w:val="single"/>
        </w:rPr>
        <w:t xml:space="preserve">    </w:t>
      </w:r>
      <w:r>
        <w:rPr>
          <w:rFonts w:ascii="SimSun" w:hAnsi="SimSun" w:eastAsia="SimSun" w:cs="SimSun"/>
          <w:color w:val="000000"/>
          <w:sz w:val="24"/>
        </w:rPr>
        <w:t xml:space="preserve">项目采购活动由本单位提供服务。</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1.专门面向中小微型企业采购的项目，供应商为残疾人福利性单位并提供服务的必须提供此声明函，否则将不能通过资格审查。</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2.非专门面向中小微型企业采购的项目，供应商如不提供此声明函，价格将不做相应扣除。</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3.中标/成交供应商为残疾人福利性单位的，此声明函将随中标/成交结果同时公告，接受社会监督。</w:t>
      </w:r>
      <w:r/>
    </w:p>
    <w:p>
      <w:pPr>
        <w:ind w:left="0" w:right="0" w:firstLine="624"/>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0"/>
        </w:rPr>
        <w:t xml:space="preserve"> </w:t>
      </w:r>
      <w:r/>
    </w:p>
    <w:p>
      <w:pPr>
        <w:ind w:left="0" w:right="0" w:firstLine="624"/>
        <w:jc w:val="center"/>
        <w:spacing w:before="0" w:after="0" w:line="360" w:lineRule="auto"/>
        <w:tabs>
          <w:tab w:val="left" w:pos="48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0"/>
        </w:rPr>
        <w:t xml:space="preserve">            </w:t>
      </w:r>
      <w:r>
        <w:rPr>
          <w:rFonts w:ascii="SimSun" w:hAnsi="SimSun" w:eastAsia="SimSun" w:cs="SimSun"/>
          <w:color w:val="000000"/>
          <w:sz w:val="24"/>
        </w:rPr>
        <w:t xml:space="preserve">         </w:t>
      </w:r>
      <w:r/>
    </w:p>
    <w:p>
      <w:pPr>
        <w:ind w:left="0" w:right="0" w:firstLine="480"/>
        <w:jc w:val="center"/>
        <w:spacing w:before="0" w:after="0" w:line="360" w:lineRule="auto"/>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center"/>
        <w:spacing w:before="0" w:after="0" w:line="360" w:lineRule="auto"/>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供应商全称（加盖CA电子公章）：</w:t>
      </w:r>
      <w:r/>
    </w:p>
    <w:p>
      <w:pPr>
        <w:ind w:left="0" w:right="0" w:firstLine="480"/>
        <w:jc w:val="center"/>
        <w:spacing w:before="0" w:after="0" w:line="360" w:lineRule="auto"/>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  期：</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附件12 </w:t>
      </w:r>
      <w:r/>
    </w:p>
    <w:p>
      <w:pPr>
        <w:ind w:left="0" w:right="0" w:firstLine="1827"/>
        <w:jc w:val="both"/>
        <w:spacing w:before="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实质性要求响应及偏离表</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5"/>
        <w:gridCol w:w="3607"/>
        <w:gridCol w:w="3315"/>
        <w:gridCol w:w="152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07" w:type="dxa"/>
            <w:vAlign w:val="center"/>
            <w:textDirection w:val="lrTb"/>
            <w:noWrap w:val="false"/>
          </w:tcPr>
          <w:p>
            <w:pPr>
              <w:ind w:left="0" w:right="0" w:firstLine="0"/>
              <w:jc w:val="center"/>
              <w:spacing w:before="0" w:after="0" w:line="360" w:lineRule="auto"/>
              <w:rPr>
                <w:b/>
                <w:bCs/>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技术要求和商务要求中的实质性要求</w:t>
            </w:r>
            <w:r>
              <w:rPr>
                <w:rFonts w:ascii="SimSun" w:hAnsi="SimSun" w:eastAsia="SimSun" w:cs="SimSun"/>
                <w:b/>
                <w:bCs/>
                <w:i/>
                <w:color w:val="000000"/>
                <w:sz w:val="24"/>
                <w:u w:val="single"/>
              </w:rPr>
              <w:t xml:space="preserve">（加斜体下划线内容）</w:t>
            </w:r>
            <w:r>
              <w:rPr>
                <w:b/>
                <w:bCs/>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31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07"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5"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6"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07"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5"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6"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07"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5"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6"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附件12-1 证明材料1，证明材料2，……</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1.投标人必须对技术要求和商务要求中的实质性要求</w:t>
      </w:r>
      <w:r>
        <w:rPr>
          <w:rFonts w:ascii="SimSun" w:hAnsi="SimSun" w:eastAsia="SimSun" w:cs="SimSun"/>
          <w:b/>
          <w:bCs/>
          <w:i/>
          <w:color w:val="000000"/>
          <w:sz w:val="24"/>
          <w:u w:val="single"/>
        </w:rPr>
        <w:t xml:space="preserve">（加斜体下划线内容）</w:t>
      </w:r>
      <w:r>
        <w:rPr>
          <w:rFonts w:ascii="SimSun" w:hAnsi="SimSun" w:eastAsia="SimSun" w:cs="SimSun"/>
          <w:color w:val="000000"/>
          <w:sz w:val="24"/>
        </w:rPr>
        <w:t xml:space="preserve">逐条做出明确响应，否则作无效投标处理。</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2.如果招标文件要求提供证明材料，投标人必须将证明材料列于该表之下。</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3.投标人未对实质性要求逐条作出明确响应的，或未按招标文件要求提供证明材料的，该分包作无效投标处理。</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br w:type="page" w:clear="all"/>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附件13</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本项目不涉及货物采购，可以不提供</w:t>
      </w:r>
      <w:r/>
    </w:p>
    <w:p>
      <w:pPr>
        <w:ind w:left="0" w:right="0" w:firstLine="1807"/>
        <w:jc w:val="both"/>
        <w:spacing w:before="0" w:after="29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关于符合本国产品标准的声明函</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jc w:val="both"/>
        <w:spacing w:before="30" w:after="3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rPr>
          <w:rFonts w:ascii="SimSun" w:hAnsi="SimSun" w:eastAsia="SimSun" w:cs="SimSun"/>
          <w:i/>
          <w:color w:val="000000"/>
          <w:sz w:val="24"/>
          <w:highlight w:val="white"/>
          <w:u w:val="single"/>
        </w:rPr>
        <w:t xml:space="preserve">（产品名称1）</w:t>
      </w:r>
      <w:r>
        <w:rPr>
          <w:rFonts w:ascii="SimSun" w:hAnsi="SimSun" w:eastAsia="SimSun" w:cs="SimSun"/>
          <w:i/>
          <w:color w:val="000000"/>
          <w:sz w:val="20"/>
          <w:highlight w:val="white"/>
          <w:u w:val="single"/>
          <w:vertAlign w:val="superscript"/>
        </w:rPr>
        <w:t xml:space="preserve">1</w:t>
      </w:r>
      <w:r>
        <w:rPr>
          <w:rFonts w:ascii="SimSun" w:hAnsi="SimSun" w:eastAsia="SimSun" w:cs="SimSun"/>
          <w:color w:val="000000"/>
          <w:sz w:val="24"/>
          <w:highlight w:val="white"/>
        </w:rPr>
        <w:t xml:space="preserve">，生产厂为</w:t>
      </w:r>
      <w:r>
        <w:rPr>
          <w:rFonts w:ascii="SimSun" w:hAnsi="SimSun" w:eastAsia="SimSun" w:cs="SimSun"/>
          <w:i/>
          <w:color w:val="000000"/>
          <w:sz w:val="24"/>
          <w:highlight w:val="white"/>
          <w:u w:val="single"/>
        </w:rPr>
        <w:t xml:space="preserve">（厂名）</w:t>
      </w:r>
      <w:r>
        <w:rPr>
          <w:rFonts w:ascii="SimSun" w:hAnsi="SimSun" w:eastAsia="SimSun" w:cs="SimSun"/>
          <w:i/>
          <w:color w:val="000000"/>
          <w:sz w:val="20"/>
          <w:highlight w:val="white"/>
          <w:u w:val="single"/>
          <w:vertAlign w:val="superscript"/>
        </w:rPr>
        <w:t xml:space="preserve">2</w:t>
      </w:r>
      <w:r>
        <w:rPr>
          <w:rFonts w:ascii="SimSun" w:hAnsi="SimSun" w:eastAsia="SimSun" w:cs="SimSun"/>
          <w:color w:val="000000"/>
          <w:sz w:val="24"/>
          <w:highlight w:val="white"/>
        </w:rPr>
        <w:t xml:space="preserve">，厂址为</w:t>
      </w:r>
      <w:r>
        <w:rPr>
          <w:rFonts w:ascii="SimSun" w:hAnsi="SimSun" w:eastAsia="SimSun" w:cs="SimSun"/>
          <w:i/>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i/>
          <w:color w:val="000000"/>
          <w:sz w:val="24"/>
          <w:highlight w:val="white"/>
          <w:u w:val="single"/>
        </w:rPr>
        <w:t xml:space="preserve">（产品名称1）</w:t>
      </w:r>
      <w:r>
        <w:rPr>
          <w:rFonts w:ascii="SimSun" w:hAnsi="SimSun" w:eastAsia="SimSun" w:cs="SimSun"/>
          <w:color w:val="000000"/>
          <w:sz w:val="24"/>
          <w:highlight w:val="white"/>
        </w:rPr>
        <w:t xml:space="preserve">的中国境内生产的组件成本占比≥</w:t>
      </w:r>
      <w:r>
        <w:rPr>
          <w:rFonts w:ascii="SimSun" w:hAnsi="SimSun" w:eastAsia="SimSun" w:cs="SimSun"/>
          <w:i/>
          <w:color w:val="000000"/>
          <w:sz w:val="24"/>
          <w:highlight w:val="white"/>
        </w:rPr>
        <w:t xml:space="preserve">（规定比例）</w:t>
      </w:r>
      <w:r>
        <w:rPr>
          <w:rFonts w:ascii="SimSun" w:hAnsi="SimSun" w:eastAsia="SimSun" w:cs="SimSun"/>
          <w:i/>
          <w:color w:val="000000"/>
          <w:sz w:val="20"/>
          <w:highlight w:val="white"/>
          <w:vertAlign w:val="superscript"/>
        </w:rPr>
        <w:t xml:space="preserve">3</w:t>
      </w:r>
      <w:r>
        <w:rPr>
          <w:rFonts w:ascii="SimSun" w:hAnsi="SimSun" w:eastAsia="SimSun" w:cs="SimSun"/>
          <w:color w:val="000000"/>
          <w:sz w:val="24"/>
          <w:highlight w:val="white"/>
        </w:rPr>
        <w:t xml:space="preserve">。</w:t>
      </w:r>
      <w:r>
        <w:rPr>
          <w:rFonts w:ascii="SimSun" w:hAnsi="SimSun" w:eastAsia="SimSun" w:cs="SimSun"/>
          <w:i/>
          <w:color w:val="000000"/>
          <w:sz w:val="24"/>
          <w:highlight w:val="white"/>
        </w:rPr>
        <w:t xml:space="preserve">（产品名称1）</w:t>
      </w:r>
      <w:r>
        <w:rPr>
          <w:rFonts w:ascii="SimSun" w:hAnsi="SimSun" w:eastAsia="SimSun" w:cs="SimSun"/>
          <w:color w:val="000000"/>
          <w:sz w:val="24"/>
          <w:highlight w:val="white"/>
        </w:rPr>
        <w:t xml:space="preserve">的</w:t>
      </w:r>
      <w:r>
        <w:rPr>
          <w:rFonts w:ascii="SimSun" w:hAnsi="SimSun" w:eastAsia="SimSun" w:cs="SimSun"/>
          <w:i/>
          <w:color w:val="000000"/>
          <w:sz w:val="24"/>
          <w:highlight w:val="white"/>
        </w:rPr>
        <w:t xml:space="preserve">（关键组件）</w:t>
      </w:r>
      <w:r>
        <w:rPr>
          <w:rFonts w:ascii="SimSun" w:hAnsi="SimSun" w:eastAsia="SimSun" w:cs="SimSun"/>
          <w:i/>
          <w:color w:val="000000"/>
          <w:sz w:val="20"/>
          <w:highlight w:val="white"/>
          <w:vertAlign w:val="superscript"/>
        </w:rPr>
        <w:t xml:space="preserve">4</w:t>
      </w:r>
      <w:r>
        <w:rPr>
          <w:rFonts w:ascii="SimSun" w:hAnsi="SimSun" w:eastAsia="SimSun" w:cs="SimSun"/>
          <w:color w:val="000000"/>
          <w:sz w:val="24"/>
          <w:highlight w:val="white"/>
        </w:rPr>
        <w:t xml:space="preserve">在中国境内生产。</w:t>
      </w:r>
      <w:r>
        <w:rPr>
          <w:rFonts w:ascii="SimSun" w:hAnsi="SimSun" w:eastAsia="SimSun" w:cs="SimSun"/>
          <w:i/>
          <w:color w:val="000000"/>
          <w:sz w:val="24"/>
          <w:highlight w:val="white"/>
          <w:u w:val="single"/>
        </w:rPr>
        <w:t xml:space="preserve">（产品名称1）</w:t>
      </w:r>
      <w:r>
        <w:rPr>
          <w:rFonts w:ascii="SimSun" w:hAnsi="SimSun" w:eastAsia="SimSun" w:cs="SimSun"/>
          <w:color w:val="000000"/>
          <w:sz w:val="24"/>
          <w:highlight w:val="white"/>
        </w:rPr>
        <w:t xml:space="preserve">的</w:t>
      </w:r>
      <w:r>
        <w:rPr>
          <w:rFonts w:ascii="SimSun" w:hAnsi="SimSun" w:eastAsia="SimSun" w:cs="SimSun"/>
          <w:i/>
          <w:color w:val="000000"/>
          <w:sz w:val="24"/>
          <w:highlight w:val="white"/>
          <w:u w:val="single"/>
        </w:rPr>
        <w:t xml:space="preserve">（关键工序）</w:t>
      </w:r>
      <w:r>
        <w:rPr>
          <w:rFonts w:ascii="SimSun" w:hAnsi="SimSun" w:eastAsia="SimSun" w:cs="SimSun"/>
          <w:i/>
          <w:color w:val="000000"/>
          <w:sz w:val="20"/>
          <w:highlight w:val="white"/>
          <w:u w:val="single"/>
          <w:vertAlign w:val="superscript"/>
        </w:rPr>
        <w:t xml:space="preserve">5</w:t>
      </w:r>
      <w:r>
        <w:rPr>
          <w:rFonts w:ascii="SimSun" w:hAnsi="SimSun" w:eastAsia="SimSun" w:cs="SimSun"/>
          <w:color w:val="000000"/>
          <w:sz w:val="24"/>
          <w:highlight w:val="white"/>
        </w:rPr>
        <w:t xml:space="preserve">在中国境内完成。</w:t>
      </w:r>
      <w:r/>
    </w:p>
    <w:p>
      <w:pPr>
        <w:ind w:left="0" w:right="0" w:firstLine="420"/>
        <w:jc w:val="both"/>
        <w:spacing w:before="30" w:after="3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w:t>
      </w:r>
      <w:r>
        <w:rPr>
          <w:rFonts w:ascii="SimSun" w:hAnsi="SimSun" w:eastAsia="SimSun" w:cs="SimSun"/>
          <w:i/>
          <w:color w:val="000000"/>
          <w:sz w:val="24"/>
          <w:highlight w:val="white"/>
          <w:u w:val="single"/>
        </w:rPr>
        <w:t xml:space="preserve">（产品名称2）</w:t>
      </w:r>
      <w:r>
        <w:rPr>
          <w:rFonts w:ascii="SimSun" w:hAnsi="SimSun" w:eastAsia="SimSun" w:cs="SimSun"/>
          <w:color w:val="000000"/>
          <w:sz w:val="24"/>
          <w:highlight w:val="white"/>
        </w:rPr>
        <w:t xml:space="preserve">，生产厂为</w:t>
      </w:r>
      <w:r>
        <w:rPr>
          <w:rFonts w:ascii="SimSun" w:hAnsi="SimSun" w:eastAsia="SimSun" w:cs="SimSun"/>
          <w:i/>
          <w:color w:val="000000"/>
          <w:sz w:val="24"/>
          <w:highlight w:val="white"/>
          <w:u w:val="single"/>
        </w:rPr>
        <w:t xml:space="preserve">（厂名）</w:t>
      </w:r>
      <w:r>
        <w:rPr>
          <w:rFonts w:ascii="SimSun" w:hAnsi="SimSun" w:eastAsia="SimSun" w:cs="SimSun"/>
          <w:color w:val="000000"/>
          <w:sz w:val="24"/>
          <w:highlight w:val="white"/>
        </w:rPr>
        <w:t xml:space="preserve">，厂址为</w:t>
      </w:r>
      <w:r>
        <w:rPr>
          <w:rFonts w:ascii="SimSun" w:hAnsi="SimSun" w:eastAsia="SimSun" w:cs="SimSun"/>
          <w:i/>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i/>
          <w:color w:val="000000"/>
          <w:sz w:val="24"/>
          <w:highlight w:val="white"/>
          <w:u w:val="single"/>
        </w:rPr>
        <w:t xml:space="preserve">（产品名称2）</w:t>
      </w:r>
      <w:r>
        <w:rPr>
          <w:rFonts w:ascii="SimSun" w:hAnsi="SimSun" w:eastAsia="SimSun" w:cs="SimSun"/>
          <w:color w:val="000000"/>
          <w:sz w:val="24"/>
          <w:highlight w:val="white"/>
        </w:rPr>
        <w:t xml:space="preserve">的中国境内生产的组件成本占比≥</w:t>
      </w:r>
      <w:r>
        <w:rPr>
          <w:rFonts w:ascii="SimSun" w:hAnsi="SimSun" w:eastAsia="SimSun" w:cs="SimSun"/>
          <w:i/>
          <w:color w:val="000000"/>
          <w:sz w:val="24"/>
          <w:highlight w:val="white"/>
        </w:rPr>
        <w:t xml:space="preserve">（规定比例）</w:t>
      </w:r>
      <w:r>
        <w:rPr>
          <w:rFonts w:ascii="SimSun" w:hAnsi="SimSun" w:eastAsia="SimSun" w:cs="SimSun"/>
          <w:color w:val="000000"/>
          <w:sz w:val="24"/>
          <w:highlight w:val="white"/>
        </w:rPr>
        <w:t xml:space="preserve">。</w:t>
      </w:r>
      <w:r>
        <w:rPr>
          <w:rFonts w:ascii="SimSun" w:hAnsi="SimSun" w:eastAsia="SimSun" w:cs="SimSun"/>
          <w:i/>
          <w:color w:val="000000"/>
          <w:sz w:val="24"/>
          <w:highlight w:val="white"/>
          <w:u w:val="single"/>
        </w:rPr>
        <w:t xml:space="preserve">（产品名称2）</w:t>
      </w:r>
      <w:r>
        <w:rPr>
          <w:rFonts w:ascii="SimSun" w:hAnsi="SimSun" w:eastAsia="SimSun" w:cs="SimSun"/>
          <w:color w:val="000000"/>
          <w:sz w:val="24"/>
          <w:highlight w:val="white"/>
        </w:rPr>
        <w:t xml:space="preserve">的</w:t>
      </w:r>
      <w:r>
        <w:rPr>
          <w:rFonts w:ascii="SimSun" w:hAnsi="SimSun" w:eastAsia="SimSun" w:cs="SimSun"/>
          <w:i/>
          <w:color w:val="000000"/>
          <w:sz w:val="24"/>
          <w:highlight w:val="white"/>
          <w:u w:val="single"/>
        </w:rPr>
        <w:t xml:space="preserve">（关键组件）</w:t>
      </w:r>
      <w:r>
        <w:rPr>
          <w:rFonts w:ascii="SimSun" w:hAnsi="SimSun" w:eastAsia="SimSun" w:cs="SimSun"/>
          <w:color w:val="000000"/>
          <w:sz w:val="24"/>
          <w:highlight w:val="white"/>
        </w:rPr>
        <w:t xml:space="preserve">在中国境内生产。</w:t>
      </w:r>
      <w:r>
        <w:rPr>
          <w:rFonts w:ascii="SimSun" w:hAnsi="SimSun" w:eastAsia="SimSun" w:cs="SimSun"/>
          <w:i/>
          <w:color w:val="000000"/>
          <w:sz w:val="24"/>
          <w:highlight w:val="white"/>
          <w:u w:val="single"/>
        </w:rPr>
        <w:t xml:space="preserve">（产品名称1）</w:t>
      </w:r>
      <w:r>
        <w:rPr>
          <w:rFonts w:ascii="SimSun" w:hAnsi="SimSun" w:eastAsia="SimSun" w:cs="SimSun"/>
          <w:color w:val="000000"/>
          <w:sz w:val="24"/>
          <w:highlight w:val="white"/>
        </w:rPr>
        <w:t xml:space="preserve">的</w:t>
      </w:r>
      <w:r>
        <w:rPr>
          <w:rFonts w:ascii="SimSun" w:hAnsi="SimSun" w:eastAsia="SimSun" w:cs="SimSun"/>
          <w:i/>
          <w:color w:val="000000"/>
          <w:sz w:val="24"/>
          <w:highlight w:val="white"/>
          <w:u w:val="single"/>
        </w:rPr>
        <w:t xml:space="preserve">（关键工序）</w:t>
      </w:r>
      <w:r>
        <w:rPr>
          <w:rFonts w:ascii="SimSun" w:hAnsi="SimSun" w:eastAsia="SimSun" w:cs="SimSun"/>
          <w:color w:val="000000"/>
          <w:sz w:val="24"/>
          <w:highlight w:val="white"/>
        </w:rPr>
        <w:t xml:space="preserve">在中国境内完成。</w:t>
      </w:r>
      <w:r/>
    </w:p>
    <w:p>
      <w:pPr>
        <w:ind w:left="0" w:right="0" w:firstLine="420"/>
        <w:jc w:val="both"/>
        <w:spacing w:before="30" w:after="3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p>
    <w:p>
      <w:pPr>
        <w:ind w:left="0" w:right="0" w:firstLine="420"/>
        <w:jc w:val="both"/>
        <w:spacing w:before="30" w:after="3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本公司（单位）对上述声明内容的真实性负责。如有虚假，愿承担相应法律责任。</w:t>
      </w:r>
      <w:r/>
    </w:p>
    <w:p>
      <w:pPr>
        <w:ind w:left="0" w:right="0" w:firstLine="420"/>
        <w:jc w:val="both"/>
        <w:spacing w:before="30" w:after="3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255"/>
        <w:jc w:val="both"/>
        <w:spacing w:before="30" w:after="3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公司（单位）名称（盖章）： </w:t>
      </w:r>
      <w:r/>
    </w:p>
    <w:p>
      <w:pPr>
        <w:ind w:left="0" w:right="0" w:firstLine="420"/>
        <w:jc w:val="center"/>
        <w:spacing w:before="30" w:after="3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日期： 年 月 日</w:t>
      </w:r>
      <w:r/>
    </w:p>
    <w:p>
      <w:pPr>
        <w:ind w:left="0" w:right="0" w:firstLine="420"/>
        <w:jc w:val="both"/>
        <w:spacing w:before="30" w:after="3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__________________</w:t>
      </w:r>
      <w:r/>
    </w:p>
    <w:p>
      <w:pPr>
        <w:ind w:left="0" w:right="0" w:firstLine="420"/>
        <w:jc w:val="both"/>
        <w:spacing w:before="30" w:after="3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1.产品如有型号，请在“产品名称”栏一并填写。</w:t>
      </w:r>
      <w:r/>
    </w:p>
    <w:p>
      <w:pPr>
        <w:ind w:left="0" w:right="0" w:firstLine="420"/>
        <w:jc w:val="both"/>
        <w:spacing w:before="30" w:after="3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2.生产厂名与厂址应与生产厂营业执照载明的相关信息保持一致。</w:t>
      </w:r>
      <w:r/>
    </w:p>
    <w:p>
      <w:pPr>
        <w:ind w:left="0" w:right="0" w:firstLine="420"/>
        <w:jc w:val="both"/>
        <w:spacing w:before="30" w:after="3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3.该产品的中国境内生产的组件成本占比相关要求实施前，“规定比例”栏可不填，下同。</w:t>
      </w:r>
      <w:r/>
    </w:p>
    <w:p>
      <w:pPr>
        <w:ind w:left="0" w:right="0" w:firstLine="420"/>
        <w:jc w:val="both"/>
        <w:spacing w:before="30" w:after="3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4.该产品的关键组件要求实施前，“关键组件”栏可不填，下同。</w:t>
      </w:r>
      <w:r/>
    </w:p>
    <w:p>
      <w:pPr>
        <w:ind w:left="0" w:right="0" w:firstLine="420"/>
        <w:jc w:val="both"/>
        <w:spacing w:before="30" w:after="3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5.该产品的关键工序要求实施前，“关键工序”栏可不填，下同。</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质疑函范本</w:t>
      </w:r>
      <w:r/>
    </w:p>
    <w:p>
      <w:pPr>
        <w:ind w:left="0" w:right="0" w:firstLine="0"/>
        <w:jc w:val="both"/>
        <w:spacing w:before="24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一、质疑供应商基本信息</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包号：</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签字(签章)：                            公章：                     </w:t>
      </w:r>
      <w:r/>
    </w:p>
    <w:p>
      <w:pPr>
        <w:ind w:left="0" w:right="0" w:firstLine="37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1.供应商提出质疑时，应提交质疑函和必要的证明材料。</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3.质疑供应商若对项目的某一分包进行质疑，质疑函中应列明具体分包号。</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6.质疑供应商为自然人的，质疑函应由本人签字；质疑供应商为法人或者其他组织的，质疑函应由法定代表人、主要负责人，或者其授权代表签字或者盖章，并加盖公章。</w:t>
      </w:r>
      <w:r/>
    </w:p>
    <w:p>
      <w:pPr>
        <w:spacing w:line="360" w:lineRule="auto"/>
      </w:pPr>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KaiTi">
    <w:panose1 w:val="02010609060101010101"/>
  </w:font>
  <w:font w:name="Symbol">
    <w:panose1 w:val="05050102010706020507"/>
  </w:font>
  <w:font w:name="Wingdings">
    <w:panose1 w:val="05000000000000000000"/>
  </w:font>
  <w:font w:name="Courier New">
    <w:panose1 w:val="02070309020205020404"/>
  </w:font>
  <w:font w:name="FangSong">
    <w:panose1 w:val="02010609060101010101"/>
  </w:font>
  <w:font w:name="SimHei">
    <w:panose1 w:val="02010609060101010101"/>
  </w:font>
  <w:font w:name="楷体_GB2312">
    <w:panose1 w:val="02010609060101010101"/>
  </w:font>
  <w:font w:name="Microsoft YaHei">
    <w:panose1 w:val="020B0503020204020204"/>
  </w:font>
  <w:font w:name="Times New Roman">
    <w:panose1 w:val="02020603050405020304"/>
  </w:font>
  <w:font w:name="SimSun">
    <w:panose1 w:val="02010600030101010101"/>
  </w:font>
  <w:font w:name="宋体">
    <w:panose1 w:val="02010600030101010101"/>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章"/>
      <w:lvlJc w:val="left"/>
      <w:pPr>
        <w:ind w:left="1440" w:hanging="1440"/>
      </w:pPr>
      <w:rPr>
        <w:rFonts w:ascii="SimHei" w:hAnsi="SimHei" w:eastAsia="SimHei" w:cs="SimHei"/>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第%1章"/>
      <w:lvlJc w:val="left"/>
      <w:pPr>
        <w:ind w:left="1755" w:hanging="1755"/>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8">
    <w:name w:val="Heading 1"/>
    <w:link w:val="639"/>
    <w:uiPriority w:val="9"/>
    <w:qFormat/>
    <w:pPr>
      <w:keepLines/>
      <w:keepNext/>
      <w:spacing w:before="480" w:after="200"/>
      <w:outlineLvl w:val="0"/>
    </w:pPr>
    <w:rPr>
      <w:rFonts w:ascii="Arial" w:hAnsi="Arial" w:eastAsia="Arial" w:cs="Arial"/>
      <w:sz w:val="40"/>
      <w:szCs w:val="40"/>
    </w:rPr>
  </w:style>
  <w:style w:type="character" w:styleId="639">
    <w:name w:val="Heading 1 Char"/>
    <w:link w:val="638"/>
    <w:uiPriority w:val="9"/>
    <w:rPr>
      <w:rFonts w:ascii="Arial" w:hAnsi="Arial" w:eastAsia="Arial" w:cs="Arial"/>
      <w:sz w:val="40"/>
      <w:szCs w:val="40"/>
    </w:rPr>
  </w:style>
  <w:style w:type="paragraph" w:styleId="640">
    <w:name w:val="Heading 2"/>
    <w:link w:val="641"/>
    <w:uiPriority w:val="9"/>
    <w:unhideWhenUsed/>
    <w:qFormat/>
    <w:pPr>
      <w:keepLines/>
      <w:keepNext/>
      <w:spacing w:before="360" w:after="200"/>
      <w:outlineLvl w:val="1"/>
    </w:pPr>
    <w:rPr>
      <w:rFonts w:ascii="Arial" w:hAnsi="Arial" w:eastAsia="Arial" w:cs="Arial"/>
      <w:sz w:val="34"/>
    </w:rPr>
  </w:style>
  <w:style w:type="character" w:styleId="641">
    <w:name w:val="Heading 2 Char"/>
    <w:link w:val="640"/>
    <w:uiPriority w:val="9"/>
    <w:rPr>
      <w:rFonts w:ascii="Arial" w:hAnsi="Arial" w:eastAsia="Arial" w:cs="Arial"/>
      <w:sz w:val="34"/>
    </w:rPr>
  </w:style>
  <w:style w:type="paragraph" w:styleId="642">
    <w:name w:val="Heading 3"/>
    <w:link w:val="643"/>
    <w:uiPriority w:val="9"/>
    <w:unhideWhenUsed/>
    <w:qFormat/>
    <w:pPr>
      <w:keepLines/>
      <w:keepNext/>
      <w:spacing w:before="320" w:after="200"/>
      <w:outlineLvl w:val="2"/>
    </w:pPr>
    <w:rPr>
      <w:rFonts w:ascii="Arial" w:hAnsi="Arial" w:eastAsia="Arial" w:cs="Arial"/>
      <w:sz w:val="30"/>
      <w:szCs w:val="30"/>
    </w:rPr>
  </w:style>
  <w:style w:type="character" w:styleId="643">
    <w:name w:val="Heading 3 Char"/>
    <w:link w:val="642"/>
    <w:uiPriority w:val="9"/>
    <w:rPr>
      <w:rFonts w:ascii="Arial" w:hAnsi="Arial" w:eastAsia="Arial" w:cs="Arial"/>
      <w:sz w:val="30"/>
      <w:szCs w:val="30"/>
    </w:rPr>
  </w:style>
  <w:style w:type="paragraph" w:styleId="644">
    <w:name w:val="Heading 4"/>
    <w:link w:val="645"/>
    <w:uiPriority w:val="9"/>
    <w:unhideWhenUsed/>
    <w:qFormat/>
    <w:pPr>
      <w:keepLines/>
      <w:keepNext/>
      <w:spacing w:before="320" w:after="200"/>
      <w:outlineLvl w:val="3"/>
    </w:pPr>
    <w:rPr>
      <w:rFonts w:ascii="Arial" w:hAnsi="Arial" w:eastAsia="Arial" w:cs="Arial"/>
      <w:b/>
      <w:bCs/>
      <w:sz w:val="26"/>
      <w:szCs w:val="26"/>
    </w:rPr>
  </w:style>
  <w:style w:type="character" w:styleId="645">
    <w:name w:val="Heading 4 Char"/>
    <w:link w:val="644"/>
    <w:uiPriority w:val="9"/>
    <w:rPr>
      <w:rFonts w:ascii="Arial" w:hAnsi="Arial" w:eastAsia="Arial" w:cs="Arial"/>
      <w:b/>
      <w:bCs/>
      <w:sz w:val="26"/>
      <w:szCs w:val="26"/>
    </w:rPr>
  </w:style>
  <w:style w:type="paragraph" w:styleId="646">
    <w:name w:val="Heading 5"/>
    <w:link w:val="647"/>
    <w:uiPriority w:val="9"/>
    <w:unhideWhenUsed/>
    <w:qFormat/>
    <w:pPr>
      <w:keepLines/>
      <w:keepNext/>
      <w:spacing w:before="320" w:after="200"/>
      <w:outlineLvl w:val="4"/>
    </w:pPr>
    <w:rPr>
      <w:rFonts w:ascii="Arial" w:hAnsi="Arial" w:eastAsia="Arial" w:cs="Arial"/>
      <w:b/>
      <w:bCs/>
      <w:sz w:val="24"/>
      <w:szCs w:val="24"/>
    </w:rPr>
  </w:style>
  <w:style w:type="character" w:styleId="647">
    <w:name w:val="Heading 5 Char"/>
    <w:link w:val="646"/>
    <w:uiPriority w:val="9"/>
    <w:rPr>
      <w:rFonts w:ascii="Arial" w:hAnsi="Arial" w:eastAsia="Arial" w:cs="Arial"/>
      <w:b/>
      <w:bCs/>
      <w:sz w:val="24"/>
      <w:szCs w:val="24"/>
    </w:rPr>
  </w:style>
  <w:style w:type="paragraph" w:styleId="648">
    <w:name w:val="Heading 6"/>
    <w:link w:val="649"/>
    <w:uiPriority w:val="9"/>
    <w:unhideWhenUsed/>
    <w:qFormat/>
    <w:pPr>
      <w:keepLines/>
      <w:keepNext/>
      <w:spacing w:before="320" w:after="200"/>
      <w:outlineLvl w:val="5"/>
    </w:pPr>
    <w:rPr>
      <w:rFonts w:ascii="Arial" w:hAnsi="Arial" w:eastAsia="Arial" w:cs="Arial"/>
      <w:b/>
      <w:bCs/>
      <w:sz w:val="22"/>
      <w:szCs w:val="22"/>
    </w:rPr>
  </w:style>
  <w:style w:type="character" w:styleId="649">
    <w:name w:val="Heading 6 Char"/>
    <w:link w:val="648"/>
    <w:uiPriority w:val="9"/>
    <w:rPr>
      <w:rFonts w:ascii="Arial" w:hAnsi="Arial" w:eastAsia="Arial" w:cs="Arial"/>
      <w:b/>
      <w:bCs/>
      <w:sz w:val="22"/>
      <w:szCs w:val="22"/>
    </w:rPr>
  </w:style>
  <w:style w:type="paragraph" w:styleId="650">
    <w:name w:val="Heading 7"/>
    <w:link w:val="651"/>
    <w:uiPriority w:val="9"/>
    <w:unhideWhenUsed/>
    <w:qFormat/>
    <w:pPr>
      <w:keepLines/>
      <w:keepNext/>
      <w:spacing w:before="320" w:after="200"/>
      <w:outlineLvl w:val="6"/>
    </w:pPr>
    <w:rPr>
      <w:rFonts w:ascii="Arial" w:hAnsi="Arial" w:eastAsia="Arial" w:cs="Arial"/>
      <w:b/>
      <w:bCs/>
      <w:i/>
      <w:iCs/>
      <w:sz w:val="22"/>
      <w:szCs w:val="22"/>
    </w:rPr>
  </w:style>
  <w:style w:type="character" w:styleId="651">
    <w:name w:val="Heading 7 Char"/>
    <w:link w:val="650"/>
    <w:uiPriority w:val="9"/>
    <w:rPr>
      <w:rFonts w:ascii="Arial" w:hAnsi="Arial" w:eastAsia="Arial" w:cs="Arial"/>
      <w:b/>
      <w:bCs/>
      <w:i/>
      <w:iCs/>
      <w:sz w:val="22"/>
      <w:szCs w:val="22"/>
    </w:rPr>
  </w:style>
  <w:style w:type="paragraph" w:styleId="652">
    <w:name w:val="Heading 8"/>
    <w:link w:val="653"/>
    <w:uiPriority w:val="9"/>
    <w:unhideWhenUsed/>
    <w:qFormat/>
    <w:pPr>
      <w:keepLines/>
      <w:keepNext/>
      <w:spacing w:before="320" w:after="200"/>
      <w:outlineLvl w:val="7"/>
    </w:pPr>
    <w:rPr>
      <w:rFonts w:ascii="Arial" w:hAnsi="Arial" w:eastAsia="Arial" w:cs="Arial"/>
      <w:i/>
      <w:iCs/>
      <w:sz w:val="22"/>
      <w:szCs w:val="22"/>
    </w:rPr>
  </w:style>
  <w:style w:type="character" w:styleId="653">
    <w:name w:val="Heading 8 Char"/>
    <w:link w:val="652"/>
    <w:uiPriority w:val="9"/>
    <w:rPr>
      <w:rFonts w:ascii="Arial" w:hAnsi="Arial" w:eastAsia="Arial" w:cs="Arial"/>
      <w:i/>
      <w:iCs/>
      <w:sz w:val="22"/>
      <w:szCs w:val="22"/>
    </w:rPr>
  </w:style>
  <w:style w:type="paragraph" w:styleId="654">
    <w:name w:val="Heading 9"/>
    <w:link w:val="655"/>
    <w:uiPriority w:val="9"/>
    <w:unhideWhenUsed/>
    <w:qFormat/>
    <w:pPr>
      <w:keepLines/>
      <w:keepNext/>
      <w:spacing w:before="320" w:after="200"/>
      <w:outlineLvl w:val="8"/>
    </w:pPr>
    <w:rPr>
      <w:rFonts w:ascii="Arial" w:hAnsi="Arial" w:eastAsia="Arial" w:cs="Arial"/>
      <w:i/>
      <w:iCs/>
      <w:sz w:val="21"/>
      <w:szCs w:val="21"/>
    </w:rPr>
  </w:style>
  <w:style w:type="character" w:styleId="655">
    <w:name w:val="Heading 9 Char"/>
    <w:link w:val="654"/>
    <w:uiPriority w:val="9"/>
    <w:rPr>
      <w:rFonts w:ascii="Arial" w:hAnsi="Arial" w:eastAsia="Arial" w:cs="Arial"/>
      <w:i/>
      <w:iCs/>
      <w:sz w:val="21"/>
      <w:szCs w:val="21"/>
    </w:rPr>
  </w:style>
  <w:style w:type="paragraph" w:styleId="656">
    <w:name w:val="List Paragraph"/>
    <w:uiPriority w:val="34"/>
    <w:qFormat/>
    <w:pPr>
      <w:contextualSpacing/>
      <w:ind w:left="720"/>
    </w:pPr>
  </w:style>
  <w:style w:type="paragraph" w:styleId="657">
    <w:name w:val="No Spacing"/>
    <w:uiPriority w:val="1"/>
    <w:qFormat/>
    <w:pPr>
      <w:spacing w:before="0" w:after="0" w:line="240" w:lineRule="auto"/>
    </w:pPr>
  </w:style>
  <w:style w:type="paragraph" w:styleId="658">
    <w:name w:val="Title"/>
    <w:link w:val="659"/>
    <w:uiPriority w:val="10"/>
    <w:qFormat/>
    <w:pPr>
      <w:contextualSpacing/>
      <w:spacing w:before="300" w:after="200"/>
    </w:pPr>
    <w:rPr>
      <w:sz w:val="48"/>
      <w:szCs w:val="48"/>
    </w:rPr>
  </w:style>
  <w:style w:type="character" w:styleId="659">
    <w:name w:val="Title Char"/>
    <w:link w:val="658"/>
    <w:uiPriority w:val="10"/>
    <w:rPr>
      <w:sz w:val="48"/>
      <w:szCs w:val="48"/>
    </w:rPr>
  </w:style>
  <w:style w:type="paragraph" w:styleId="660">
    <w:name w:val="Subtitle"/>
    <w:link w:val="661"/>
    <w:uiPriority w:val="11"/>
    <w:qFormat/>
    <w:pPr>
      <w:spacing w:before="200" w:after="200"/>
    </w:pPr>
    <w:rPr>
      <w:sz w:val="24"/>
      <w:szCs w:val="24"/>
    </w:rPr>
  </w:style>
  <w:style w:type="character" w:styleId="661">
    <w:name w:val="Subtitle Char"/>
    <w:link w:val="660"/>
    <w:uiPriority w:val="11"/>
    <w:rPr>
      <w:sz w:val="24"/>
      <w:szCs w:val="24"/>
    </w:rPr>
  </w:style>
  <w:style w:type="paragraph" w:styleId="662">
    <w:name w:val="Quote"/>
    <w:link w:val="663"/>
    <w:uiPriority w:val="29"/>
    <w:qFormat/>
    <w:pPr>
      <w:ind w:left="720" w:right="720"/>
    </w:pPr>
    <w:rPr>
      <w:i/>
    </w:rPr>
  </w:style>
  <w:style w:type="character" w:styleId="663">
    <w:name w:val="Quote Char"/>
    <w:link w:val="662"/>
    <w:uiPriority w:val="29"/>
    <w:rPr>
      <w:i/>
    </w:rPr>
  </w:style>
  <w:style w:type="paragraph" w:styleId="664">
    <w:name w:val="Intense Quote"/>
    <w:link w:val="66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5">
    <w:name w:val="Intense Quote Char"/>
    <w:link w:val="664"/>
    <w:uiPriority w:val="30"/>
    <w:rPr>
      <w:i/>
    </w:rPr>
  </w:style>
  <w:style w:type="paragraph" w:styleId="666">
    <w:name w:val="Header"/>
    <w:link w:val="667"/>
    <w:uiPriority w:val="99"/>
    <w:unhideWhenUsed/>
    <w:pPr>
      <w:spacing w:after="0" w:line="240" w:lineRule="auto"/>
      <w:tabs>
        <w:tab w:val="center" w:pos="7143" w:leader="none"/>
        <w:tab w:val="right" w:pos="14287" w:leader="none"/>
      </w:tabs>
    </w:pPr>
  </w:style>
  <w:style w:type="character" w:styleId="667">
    <w:name w:val="Header Char"/>
    <w:link w:val="666"/>
    <w:uiPriority w:val="99"/>
  </w:style>
  <w:style w:type="paragraph" w:styleId="668">
    <w:name w:val="Footer"/>
    <w:link w:val="671"/>
    <w:uiPriority w:val="99"/>
    <w:unhideWhenUsed/>
    <w:pPr>
      <w:spacing w:after="0" w:line="240" w:lineRule="auto"/>
      <w:tabs>
        <w:tab w:val="center" w:pos="7143" w:leader="none"/>
        <w:tab w:val="right" w:pos="14287" w:leader="none"/>
      </w:tabs>
    </w:pPr>
  </w:style>
  <w:style w:type="character" w:styleId="669">
    <w:name w:val="Footer Char"/>
    <w:link w:val="668"/>
    <w:uiPriority w:val="99"/>
  </w:style>
  <w:style w:type="paragraph" w:styleId="670">
    <w:name w:val="Caption"/>
    <w:uiPriority w:val="35"/>
    <w:semiHidden/>
    <w:unhideWhenUsed/>
    <w:qFormat/>
    <w:pPr>
      <w:spacing w:line="276" w:lineRule="auto"/>
    </w:pPr>
    <w:rPr>
      <w:b/>
      <w:bCs/>
      <w:color w:val="4f81bd" w:themeColor="accent1"/>
      <w:sz w:val="18"/>
      <w:szCs w:val="18"/>
    </w:rPr>
  </w:style>
  <w:style w:type="character" w:styleId="671">
    <w:name w:val="Caption Char"/>
    <w:basedOn w:val="670"/>
    <w:link w:val="668"/>
    <w:uiPriority w:val="99"/>
  </w:style>
  <w:style w:type="table" w:styleId="67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8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8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0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1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1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1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1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1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1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1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1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1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2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3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3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4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4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4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4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5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5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5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5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6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6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6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6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7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7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7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7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7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7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7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798">
    <w:name w:val="Hyperlink"/>
    <w:uiPriority w:val="99"/>
    <w:unhideWhenUsed/>
    <w:rPr>
      <w:color w:val="0000ff" w:themeColor="hyperlink"/>
      <w:u w:val="single"/>
    </w:rPr>
  </w:style>
  <w:style w:type="paragraph" w:styleId="799">
    <w:name w:val="footnote text"/>
    <w:link w:val="800"/>
    <w:uiPriority w:val="99"/>
    <w:semiHidden/>
    <w:unhideWhenUsed/>
    <w:pPr>
      <w:spacing w:after="40" w:line="240" w:lineRule="auto"/>
    </w:pPr>
    <w:rPr>
      <w:sz w:val="18"/>
    </w:rPr>
  </w:style>
  <w:style w:type="character" w:styleId="800">
    <w:name w:val="Footnote Text Char"/>
    <w:link w:val="799"/>
    <w:uiPriority w:val="99"/>
    <w:rPr>
      <w:sz w:val="18"/>
    </w:rPr>
  </w:style>
  <w:style w:type="character" w:styleId="801">
    <w:name w:val="footnote reference"/>
    <w:uiPriority w:val="99"/>
    <w:unhideWhenUsed/>
    <w:rPr>
      <w:vertAlign w:val="superscript"/>
    </w:rPr>
  </w:style>
  <w:style w:type="paragraph" w:styleId="802">
    <w:name w:val="endnote text"/>
    <w:link w:val="803"/>
    <w:uiPriority w:val="99"/>
    <w:semiHidden/>
    <w:unhideWhenUsed/>
    <w:pPr>
      <w:spacing w:after="0" w:line="240" w:lineRule="auto"/>
    </w:pPr>
    <w:rPr>
      <w:sz w:val="20"/>
    </w:rPr>
  </w:style>
  <w:style w:type="character" w:styleId="803">
    <w:name w:val="Endnote Text Char"/>
    <w:link w:val="802"/>
    <w:uiPriority w:val="99"/>
    <w:rPr>
      <w:sz w:val="20"/>
    </w:rPr>
  </w:style>
  <w:style w:type="character" w:styleId="804">
    <w:name w:val="endnote reference"/>
    <w:uiPriority w:val="99"/>
    <w:semiHidden/>
    <w:unhideWhenUsed/>
    <w:rPr>
      <w:vertAlign w:val="superscript"/>
    </w:rPr>
  </w:style>
  <w:style w:type="paragraph" w:styleId="805">
    <w:name w:val="toc 1"/>
    <w:uiPriority w:val="39"/>
    <w:unhideWhenUsed/>
    <w:pPr>
      <w:ind w:left="0" w:right="0" w:firstLine="0"/>
      <w:spacing w:after="57"/>
    </w:pPr>
  </w:style>
  <w:style w:type="paragraph" w:styleId="806">
    <w:name w:val="toc 2"/>
    <w:uiPriority w:val="39"/>
    <w:unhideWhenUsed/>
    <w:pPr>
      <w:ind w:left="283" w:right="0" w:firstLine="0"/>
      <w:spacing w:after="57"/>
    </w:pPr>
  </w:style>
  <w:style w:type="paragraph" w:styleId="807">
    <w:name w:val="toc 3"/>
    <w:uiPriority w:val="39"/>
    <w:unhideWhenUsed/>
    <w:pPr>
      <w:ind w:left="567" w:right="0" w:firstLine="0"/>
      <w:spacing w:after="57"/>
    </w:pPr>
  </w:style>
  <w:style w:type="paragraph" w:styleId="808">
    <w:name w:val="toc 4"/>
    <w:uiPriority w:val="39"/>
    <w:unhideWhenUsed/>
    <w:pPr>
      <w:ind w:left="850" w:right="0" w:firstLine="0"/>
      <w:spacing w:after="57"/>
    </w:pPr>
  </w:style>
  <w:style w:type="paragraph" w:styleId="809">
    <w:name w:val="toc 5"/>
    <w:uiPriority w:val="39"/>
    <w:unhideWhenUsed/>
    <w:pPr>
      <w:ind w:left="1134" w:right="0" w:firstLine="0"/>
      <w:spacing w:after="57"/>
    </w:pPr>
  </w:style>
  <w:style w:type="paragraph" w:styleId="810">
    <w:name w:val="toc 6"/>
    <w:uiPriority w:val="39"/>
    <w:unhideWhenUsed/>
    <w:pPr>
      <w:ind w:left="1417" w:right="0" w:firstLine="0"/>
      <w:spacing w:after="57"/>
    </w:pPr>
  </w:style>
  <w:style w:type="paragraph" w:styleId="811">
    <w:name w:val="toc 7"/>
    <w:uiPriority w:val="39"/>
    <w:unhideWhenUsed/>
    <w:pPr>
      <w:ind w:left="1701" w:right="0" w:firstLine="0"/>
      <w:spacing w:after="57"/>
    </w:pPr>
  </w:style>
  <w:style w:type="paragraph" w:styleId="812">
    <w:name w:val="toc 8"/>
    <w:uiPriority w:val="39"/>
    <w:unhideWhenUsed/>
    <w:pPr>
      <w:ind w:left="1984" w:right="0" w:firstLine="0"/>
      <w:spacing w:after="57"/>
    </w:pPr>
  </w:style>
  <w:style w:type="paragraph" w:styleId="813">
    <w:name w:val="toc 9"/>
    <w:uiPriority w:val="39"/>
    <w:unhideWhenUsed/>
    <w:pPr>
      <w:ind w:left="2268" w:right="0" w:firstLine="0"/>
      <w:spacing w:after="57"/>
    </w:pPr>
  </w:style>
  <w:style w:type="paragraph" w:styleId="814">
    <w:name w:val="TOC Heading"/>
    <w:uiPriority w:val="39"/>
    <w:unhideWhenUsed/>
  </w:style>
  <w:style w:type="paragraph" w:styleId="815">
    <w:name w:val="table of figures"/>
    <w:uiPriority w:val="99"/>
    <w:unhideWhenUsed/>
    <w:pPr>
      <w:spacing w:after="0" w:afterAutospacing="0"/>
    </w:pPr>
  </w:style>
  <w:style w:type="character" w:styleId="816" w:default="1">
    <w:name w:val="Default Paragraph Font"/>
    <w:uiPriority w:val="1"/>
    <w:semiHidden/>
    <w:unhideWhenUsed/>
  </w:style>
  <w:style w:type="numbering" w:styleId="817" w:default="1">
    <w:name w:val="No List"/>
    <w:uiPriority w:val="99"/>
    <w:semiHidden/>
    <w:unhideWhenUsed/>
  </w:style>
  <w:style w:type="paragraph" w:styleId="818" w:default="1">
    <w:name w:val="Normal"/>
    <w:qFormat/>
  </w:style>
  <w:style w:type="table" w:styleId="819" w:default="1">
    <w:name w:val="Normal Table"/>
    <w:uiPriority w:val="99"/>
    <w:semiHidden/>
    <w:unhideWhenUsed/>
    <w:tblPr/>
  </w:style>
  <w:style w:type="paragraph" w:styleId="820" w:customStyle="1">
    <w:name w:val="普通(网站)11"/>
    <w:uiPriority w:val="99"/>
    <w:qFormat/>
    <w:pPr>
      <w:contextualSpacing w:val="0"/>
      <w:ind w:left="0" w:right="0" w:firstLine="0"/>
      <w:jc w:val="left"/>
      <w:keepLines w:val="0"/>
      <w:keepNext w:val="0"/>
      <w:pageBreakBefore w:val="0"/>
      <w:spacing w:before="100" w:beforeAutospacing="1" w:after="100" w:afterAutospacing="1" w:line="240" w:lineRule="auto"/>
      <w:shd w:val="nil" w:color="000000"/>
      <w:widowControl/>
      <w:pBdr>
        <w:top w:val="none" w:color="000000" w:sz="4" w:space="0"/>
        <w:left w:val="none" w:color="000000" w:sz="4" w:space="0"/>
        <w:bottom w:val="none" w:color="000000" w:sz="4" w:space="0"/>
        <w:right w:val="none" w:color="000000" w:sz="4" w:space="0"/>
        <w:between w:val="none" w:color="000000" w:sz="4" w:space="0"/>
      </w:pBdr>
      <w:suppressLineNumbers w:val="0"/>
    </w:pPr>
    <w:rPr>
      <w:rFonts w:ascii="宋体" w:hAnsi="宋体" w:eastAsia="楷体_GB2312" w:cs="Times New Roman"/>
      <w:b w:val="0"/>
      <w:bCs w:val="0"/>
      <w:i w:val="0"/>
      <w:iCs w:val="0"/>
      <w:caps w:val="0"/>
      <w:smallCaps w:val="0"/>
      <w:strike w:val="0"/>
      <w:vanish w:val="0"/>
      <w:color w:val="000000"/>
      <w:spacing w:val="0"/>
      <w:position w:val="0"/>
      <w:sz w:val="24"/>
      <w:szCs w:val="24"/>
      <w:highlight w:val="none"/>
      <w:u w:val="none"/>
      <w:vertAlign w:val="baseline"/>
      <w:rtl w:val="0"/>
      <w:cs w:val="0"/>
      <w:lang w:val="en-US" w:eastAsia="zh-CN" w:bidi="ar-SA"/>
      <w14:ligatures w14: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阚允文</cp:lastModifiedBy>
  <cp:revision>5</cp:revision>
  <dcterms:created xsi:type="dcterms:W3CDTF">2026-07-08T06:35:46Z</dcterms:created>
  <dcterms:modified xsi:type="dcterms:W3CDTF">2026-07-23T07:30:31Z</dcterms:modified>
</cp:coreProperties>
</file>