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1A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0"/>
          <w:szCs w:val="30"/>
          <w:highlight w:val="none"/>
          <w:lang w:val="en-US" w:eastAsia="zh-CN"/>
        </w:rPr>
      </w:pPr>
      <w:r>
        <w:rPr>
          <w:rFonts w:hint="eastAsia"/>
          <w:b/>
          <w:color w:val="auto"/>
          <w:sz w:val="30"/>
          <w:szCs w:val="30"/>
          <w:highlight w:val="none"/>
          <w:lang w:val="en-US" w:eastAsia="zh-CN"/>
        </w:rPr>
        <w:t>无锡学院公共楼宇墙体维修项目</w:t>
      </w:r>
    </w:p>
    <w:p w14:paraId="40DE59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30"/>
          <w:szCs w:val="30"/>
          <w:highlight w:val="none"/>
        </w:rPr>
      </w:pPr>
      <w:r>
        <w:rPr>
          <w:rFonts w:hint="eastAsia"/>
          <w:b/>
          <w:color w:val="auto"/>
          <w:sz w:val="30"/>
          <w:szCs w:val="30"/>
          <w:highlight w:val="none"/>
          <w:lang w:val="en-US" w:eastAsia="zh-CN"/>
        </w:rPr>
        <w:t>工程量</w:t>
      </w:r>
      <w:r>
        <w:rPr>
          <w:rFonts w:hint="eastAsia"/>
          <w:b/>
          <w:color w:val="auto"/>
          <w:sz w:val="30"/>
          <w:szCs w:val="30"/>
          <w:highlight w:val="none"/>
        </w:rPr>
        <w:t>清单编制说明</w:t>
      </w:r>
    </w:p>
    <w:p w14:paraId="3954962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b/>
          <w:color w:val="auto"/>
          <w:sz w:val="24"/>
          <w:highlight w:val="none"/>
        </w:rPr>
        <w:t>工程概况</w:t>
      </w:r>
    </w:p>
    <w:p w14:paraId="28B4D5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90" w:lef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本项目为</w:t>
      </w:r>
      <w:r>
        <w:rPr>
          <w:rFonts w:hint="eastAsia" w:ascii="宋体" w:hAnsi="宋体" w:eastAsia="宋体" w:cs="宋体"/>
          <w:color w:val="auto"/>
          <w:sz w:val="24"/>
          <w:szCs w:val="24"/>
          <w:highlight w:val="none"/>
          <w:lang w:val="en-US" w:eastAsia="zh-CN"/>
        </w:rPr>
        <w:t>无锡学院公共楼宇墙体维修项目，</w:t>
      </w:r>
      <w:r>
        <w:rPr>
          <w:rFonts w:hint="eastAsia" w:ascii="宋体" w:hAnsi="宋体" w:cs="宋体"/>
          <w:color w:val="auto"/>
          <w:sz w:val="24"/>
          <w:szCs w:val="24"/>
          <w:highlight w:val="none"/>
          <w:lang w:val="en-US" w:eastAsia="zh-CN"/>
        </w:rPr>
        <w:t>包含</w:t>
      </w:r>
      <w:r>
        <w:rPr>
          <w:rFonts w:hint="eastAsia" w:ascii="宋体" w:hAnsi="宋体" w:cs="宋体"/>
          <w:color w:val="auto"/>
          <w:sz w:val="24"/>
          <w:highlight w:val="none"/>
          <w:lang w:val="en-US" w:eastAsia="zh-CN"/>
        </w:rPr>
        <w:t>教学楼C1、教学楼C3、学生公寓A11、A12。</w:t>
      </w:r>
      <w:r>
        <w:rPr>
          <w:rFonts w:hint="eastAsia" w:ascii="宋体" w:hAnsi="宋体" w:eastAsia="宋体" w:cs="宋体"/>
          <w:color w:val="auto"/>
          <w:sz w:val="24"/>
          <w:szCs w:val="24"/>
          <w:highlight w:val="none"/>
          <w:lang w:val="en-US" w:eastAsia="zh-CN"/>
        </w:rPr>
        <w:t>建设单位为无锡学院。项目位于锡山区</w:t>
      </w:r>
      <w:r>
        <w:rPr>
          <w:rFonts w:hint="eastAsia" w:ascii="宋体" w:hAnsi="宋体" w:eastAsia="宋体" w:cs="宋体"/>
          <w:color w:val="auto"/>
          <w:sz w:val="24"/>
          <w:highlight w:val="none"/>
          <w:lang w:val="en-US" w:eastAsia="zh-CN"/>
        </w:rPr>
        <w:t>。</w:t>
      </w:r>
    </w:p>
    <w:p w14:paraId="0E2A2CA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招标范围</w:t>
      </w:r>
    </w:p>
    <w:p w14:paraId="5A8D5AAE">
      <w:pPr>
        <w:numPr>
          <w:ilvl w:val="0"/>
          <w:numId w:val="0"/>
        </w:numPr>
        <w:spacing w:line="500" w:lineRule="exact"/>
        <w:ind w:left="590" w:leftChars="0" w:firstLine="480" w:firstLineChars="200"/>
        <w:rPr>
          <w:rFonts w:hint="eastAsia" w:ascii="宋体" w:hAnsi="宋体" w:eastAsia="宋体" w:cs="宋体"/>
          <w:b/>
          <w:bCs w:val="0"/>
          <w:color w:val="auto"/>
          <w:sz w:val="24"/>
          <w:highlight w:val="none"/>
        </w:rPr>
      </w:pPr>
      <w:r>
        <w:rPr>
          <w:rFonts w:hint="eastAsia" w:ascii="宋体" w:hAnsi="宋体" w:eastAsia="宋体" w:cs="宋体"/>
          <w:color w:val="auto"/>
          <w:sz w:val="24"/>
          <w:highlight w:val="none"/>
          <w:lang w:val="en-US" w:eastAsia="zh-CN"/>
        </w:rPr>
        <w:t>清单范围内外立面装饰工程，其中包含：</w:t>
      </w:r>
      <w:r>
        <w:rPr>
          <w:rFonts w:hint="eastAsia" w:ascii="宋体" w:hAnsi="宋体" w:cs="宋体"/>
          <w:color w:val="auto"/>
          <w:sz w:val="24"/>
          <w:highlight w:val="none"/>
          <w:lang w:val="en-US" w:eastAsia="zh-CN"/>
        </w:rPr>
        <w:t>教学楼C1、教学楼C3、学生公寓A11、A12。包含外立面面砖的铲除、空鼓部分铲除、粉刷、防水、涂料等（不含主楼首层外立面）。</w:t>
      </w:r>
    </w:p>
    <w:p w14:paraId="0D897A5A">
      <w:pPr>
        <w:numPr>
          <w:ilvl w:val="0"/>
          <w:numId w:val="1"/>
        </w:numPr>
        <w:spacing w:line="500" w:lineRule="exact"/>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工程量清单编制依据</w:t>
      </w:r>
      <w:bookmarkStart w:id="0" w:name="_Hlk37879437"/>
    </w:p>
    <w:p w14:paraId="472913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1)建设单位提供的图纸及现场勘察。</w:t>
      </w:r>
      <w:bookmarkEnd w:id="0"/>
    </w:p>
    <w:p w14:paraId="084819F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中华人民共和国建设部《建设工程工程量清单计价</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w:t>
      </w:r>
      <w:r>
        <w:rPr>
          <w:rFonts w:hint="eastAsia" w:ascii="宋体" w:hAnsi="宋体" w:eastAsia="宋体" w:cs="宋体"/>
          <w:color w:val="auto"/>
          <w:sz w:val="24"/>
          <w:szCs w:val="24"/>
          <w:lang w:val="en-US" w:eastAsia="zh-CN"/>
        </w:rPr>
        <w:t>500</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；《房屋建筑与装饰工程工程量计算</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》GB50854-20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；《通用安装工程工程量计算</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》GB50856-20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市政</w:t>
      </w:r>
      <w:r>
        <w:rPr>
          <w:rFonts w:hint="eastAsia" w:ascii="宋体" w:hAnsi="宋体" w:eastAsia="宋体" w:cs="宋体"/>
          <w:color w:val="auto"/>
          <w:sz w:val="24"/>
          <w:szCs w:val="24"/>
        </w:rPr>
        <w:t>工程工程量计算</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》GB5085</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园林绿化</w:t>
      </w:r>
      <w:r>
        <w:rPr>
          <w:rFonts w:hint="eastAsia" w:ascii="宋体" w:hAnsi="宋体" w:eastAsia="宋体" w:cs="宋体"/>
          <w:color w:val="auto"/>
          <w:sz w:val="24"/>
          <w:szCs w:val="24"/>
        </w:rPr>
        <w:t>工程工程量计算</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》GB5085</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及其他配套工程量计算规范；《建筑面积计算规范》GBT-50353-2013</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w:t>
      </w:r>
    </w:p>
    <w:p w14:paraId="42E43452">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3)本工程拟定的招标文件。</w:t>
      </w:r>
    </w:p>
    <w:p w14:paraId="4BA7A0D5">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4)其他相关标准图集、现行预结算文件及</w:t>
      </w:r>
      <w:r>
        <w:rPr>
          <w:rFonts w:hint="eastAsia" w:ascii="宋体" w:hAnsi="宋体" w:eastAsia="宋体" w:cs="宋体"/>
          <w:color w:val="auto"/>
          <w:sz w:val="24"/>
          <w:szCs w:val="24"/>
        </w:rPr>
        <w:t>江省无锡市住建局的有关文件苏</w:t>
      </w:r>
      <w:r>
        <w:rPr>
          <w:rFonts w:hint="eastAsia" w:ascii="宋体" w:hAnsi="宋体" w:eastAsia="宋体" w:cs="宋体"/>
          <w:color w:val="auto"/>
          <w:sz w:val="24"/>
          <w:szCs w:val="24"/>
          <w:lang w:val="en-US" w:eastAsia="zh-CN"/>
        </w:rPr>
        <w:t>。</w:t>
      </w:r>
    </w:p>
    <w:p w14:paraId="48452C0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本工程质量、材料、施工等的特殊要求：详见招标文件。</w:t>
      </w:r>
    </w:p>
    <w:p w14:paraId="679D94C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招标人自行采购材料的名称、规格型号：无。</w:t>
      </w:r>
    </w:p>
    <w:p w14:paraId="5D8C2139">
      <w:pPr>
        <w:numPr>
          <w:ilvl w:val="0"/>
          <w:numId w:val="1"/>
        </w:numPr>
        <w:spacing w:line="500" w:lineRule="exact"/>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暂列金额及暂估价</w:t>
      </w:r>
    </w:p>
    <w:p w14:paraId="7C40C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1)暂列金额：</w:t>
      </w:r>
      <w:r>
        <w:rPr>
          <w:rFonts w:hint="eastAsia" w:ascii="宋体" w:hAnsi="宋体" w:eastAsia="宋体" w:cs="宋体"/>
          <w:color w:val="auto"/>
          <w:sz w:val="24"/>
          <w:highlight w:val="none"/>
          <w:u w:val="single"/>
          <w:lang w:val="en-US" w:eastAsia="zh-CN"/>
        </w:rPr>
        <w:t>无</w:t>
      </w:r>
      <w:r>
        <w:rPr>
          <w:rFonts w:hint="eastAsia" w:ascii="宋体" w:hAnsi="宋体" w:eastAsia="宋体" w:cs="宋体"/>
          <w:color w:val="auto"/>
          <w:sz w:val="24"/>
          <w:highlight w:val="none"/>
          <w:lang w:val="en-US" w:eastAsia="zh-CN"/>
        </w:rPr>
        <w:t>。</w:t>
      </w:r>
    </w:p>
    <w:p w14:paraId="300E05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2)专业工程暂估价：</w:t>
      </w:r>
      <w:r>
        <w:rPr>
          <w:rFonts w:hint="eastAsia" w:ascii="宋体" w:hAnsi="宋体" w:eastAsia="宋体" w:cs="宋体"/>
          <w:color w:val="auto"/>
          <w:sz w:val="24"/>
          <w:highlight w:val="none"/>
          <w:u w:val="single"/>
          <w:lang w:val="en-US" w:eastAsia="zh-CN"/>
        </w:rPr>
        <w:t>无</w:t>
      </w:r>
      <w:r>
        <w:rPr>
          <w:rFonts w:hint="eastAsia" w:ascii="宋体" w:hAnsi="宋体" w:eastAsia="宋体" w:cs="宋体"/>
          <w:color w:val="auto"/>
          <w:sz w:val="24"/>
          <w:highlight w:val="none"/>
          <w:lang w:val="en-US" w:eastAsia="zh-CN"/>
        </w:rPr>
        <w:t>。</w:t>
      </w:r>
    </w:p>
    <w:p w14:paraId="429BB7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3)材料暂估价：无。</w:t>
      </w:r>
    </w:p>
    <w:p w14:paraId="3B374471">
      <w:pPr>
        <w:numPr>
          <w:ilvl w:val="0"/>
          <w:numId w:val="1"/>
        </w:numPr>
        <w:spacing w:line="500" w:lineRule="exact"/>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关于工程量清单编制相关内容的说明</w:t>
      </w:r>
    </w:p>
    <w:p w14:paraId="0114A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工程量清单所列的工程量系估算量，作为投标报价的基础，付款时以由承包人计量、监理签证、跟踪审计复核、招标人核准的实际完成工作量为依据。本工程量清单应与投标须知、合同条件、合同协议条款、工程范围一起使用。</w:t>
      </w:r>
    </w:p>
    <w:p w14:paraId="244675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工程量清单凡未能注明做法或项目特征无法描述详细的清单项目按现行施工及验收规范、施工图纸及常规施工工艺施工并由投标单位自主报价。本工程量清单应与投标须知、合同条件、合同协议条款、工程范围和施工图纸一起使用。</w:t>
      </w:r>
    </w:p>
    <w:p w14:paraId="131C81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3)本工程竣工结算时的工程量计算应严格按照</w:t>
      </w:r>
      <w:r>
        <w:rPr>
          <w:rFonts w:hint="eastAsia" w:ascii="宋体" w:hAnsi="宋体" w:eastAsia="宋体" w:cs="宋体"/>
          <w:color w:val="auto"/>
          <w:sz w:val="24"/>
          <w:szCs w:val="24"/>
        </w:rPr>
        <w:t>《建设工程工程量清单计价</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w:t>
      </w:r>
      <w:r>
        <w:rPr>
          <w:rFonts w:hint="eastAsia" w:ascii="宋体" w:hAnsi="宋体" w:eastAsia="宋体" w:cs="宋体"/>
          <w:color w:val="auto"/>
          <w:sz w:val="24"/>
          <w:szCs w:val="24"/>
          <w:lang w:val="en-US" w:eastAsia="zh-CN"/>
        </w:rPr>
        <w:t>500</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；《房屋建筑与装饰工程工程量计算</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》GB50854-20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；《通用安装工程工程量计算</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》GB50856-20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市政</w:t>
      </w:r>
      <w:r>
        <w:rPr>
          <w:rFonts w:hint="eastAsia" w:ascii="宋体" w:hAnsi="宋体" w:eastAsia="宋体" w:cs="宋体"/>
          <w:color w:val="auto"/>
          <w:sz w:val="24"/>
          <w:szCs w:val="24"/>
        </w:rPr>
        <w:t>工程工程量计算</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》GB5085</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园林绿化</w:t>
      </w:r>
      <w:r>
        <w:rPr>
          <w:rFonts w:hint="eastAsia" w:ascii="宋体" w:hAnsi="宋体" w:eastAsia="宋体" w:cs="宋体"/>
          <w:color w:val="auto"/>
          <w:sz w:val="24"/>
          <w:szCs w:val="24"/>
        </w:rPr>
        <w:t>工程工程量计算</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》GB5085</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及其他配套工程量计算规范</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highlight w:val="none"/>
          <w:lang w:val="en-US" w:eastAsia="zh-CN"/>
        </w:rPr>
        <w:t>。</w:t>
      </w:r>
    </w:p>
    <w:p w14:paraId="46D96E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color w:val="auto"/>
          <w:lang w:val="en-US" w:eastAsia="zh-CN"/>
        </w:rPr>
      </w:pPr>
      <w:r>
        <w:rPr>
          <w:rFonts w:hint="eastAsia" w:ascii="宋体" w:hAnsi="宋体" w:eastAsia="宋体" w:cs="宋体"/>
          <w:color w:val="auto"/>
          <w:sz w:val="24"/>
          <w:highlight w:val="none"/>
          <w:lang w:val="en-US" w:eastAsia="zh-CN"/>
        </w:rPr>
        <w:t>4)招标人设暂列金额及暂估价的，投标人投标报价时必须按招标人提供的暂列金额及暂估价报价，竣工结算时按有关规定结算。设暂列金额及暂估价的专业工程达到依法必须招标的标准时，须通过招标确定承包人。</w:t>
      </w:r>
    </w:p>
    <w:p w14:paraId="057412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5)中标单位自行装表支付水电费，故投标单位必须把水电费自行考虑在投标报价中。</w:t>
      </w:r>
    </w:p>
    <w:p w14:paraId="3AED97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6)各投标单位的最终报价必须包括完成本工程施工的所有费用在内。</w:t>
      </w:r>
    </w:p>
    <w:p w14:paraId="16C2B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对招标文件（包括工程量清单的项目特征描述）有疑义的，应在招标文件规定的提疑时间内向招标人提出。招标完毕后招标人的答疑，可作为工程计量、计价的依据；招标人不再受理投标人提出的关于招标文件的异议。</w:t>
      </w:r>
    </w:p>
    <w:p w14:paraId="547FB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8)对招标人所列的措施项目，投标人可根据工程实际与施工组织设计进行增补，但不应更改招标人已列措施项目。结算时，除工程变更引起施工方案改变外，承包人不得以招标工程措施项目清单缺项为由要求新增措施项目。 </w:t>
      </w:r>
    </w:p>
    <w:p w14:paraId="783872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9)其他说明</w:t>
      </w:r>
    </w:p>
    <w:p w14:paraId="0B4681AD">
      <w:pPr>
        <w:numPr>
          <w:ilvl w:val="0"/>
          <w:numId w:val="0"/>
        </w:num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9.1</w:t>
      </w:r>
      <w:r>
        <w:rPr>
          <w:rFonts w:hint="eastAsia" w:ascii="宋体" w:hAnsi="宋体" w:eastAsia="宋体" w:cs="宋体"/>
          <w:color w:val="auto"/>
          <w:sz w:val="24"/>
          <w:highlight w:val="none"/>
        </w:rPr>
        <w:t>施工时发生的</w:t>
      </w:r>
      <w:r>
        <w:rPr>
          <w:rFonts w:hint="eastAsia" w:ascii="宋体" w:hAnsi="宋体" w:eastAsia="宋体" w:cs="宋体"/>
          <w:color w:val="auto"/>
          <w:sz w:val="24"/>
          <w:highlight w:val="none"/>
          <w:lang w:val="en-US" w:eastAsia="zh-CN"/>
        </w:rPr>
        <w:t>垃圾</w:t>
      </w:r>
      <w:r>
        <w:rPr>
          <w:rFonts w:hint="eastAsia" w:ascii="宋体" w:hAnsi="宋体" w:eastAsia="宋体" w:cs="宋体"/>
          <w:color w:val="auto"/>
          <w:sz w:val="24"/>
          <w:highlight w:val="none"/>
        </w:rPr>
        <w:t>运输由投标单位自行考虑，施工运输路线经</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确认后按规定向相关部门报备，所产生费用由投标单位自理。</w:t>
      </w:r>
      <w:r>
        <w:rPr>
          <w:rFonts w:hint="eastAsia" w:ascii="宋体" w:hAnsi="宋体" w:eastAsia="宋体" w:cs="宋体"/>
          <w:color w:val="auto"/>
          <w:sz w:val="24"/>
        </w:rPr>
        <w:t>施工土石方运输（包括场内短驳、弃方或购置土方）由投标人自行组织，合理调配。发包人不另行提供土源或弃土点，由投标人自行现场踏勘，将土源点、弃土点、弃土堆场费、环保处理费、生活垃圾及泥浆的处置费等可能发生的所有费用考虑在报价中。</w:t>
      </w:r>
    </w:p>
    <w:p w14:paraId="18C4B59A">
      <w:pPr>
        <w:numPr>
          <w:ilvl w:val="0"/>
          <w:numId w:val="0"/>
        </w:num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9.2</w:t>
      </w:r>
      <w:r>
        <w:rPr>
          <w:rFonts w:hint="eastAsia" w:ascii="宋体" w:hAnsi="宋体" w:eastAsia="宋体" w:cs="宋体"/>
          <w:color w:val="auto"/>
          <w:sz w:val="24"/>
          <w:highlight w:val="none"/>
        </w:rPr>
        <w:t>检验检测费用：</w:t>
      </w:r>
      <w:r>
        <w:rPr>
          <w:rFonts w:hint="eastAsia" w:ascii="宋体" w:hAnsi="宋体"/>
          <w:color w:val="auto"/>
          <w:sz w:val="24"/>
          <w:szCs w:val="24"/>
        </w:rPr>
        <w:t>检验试验费的结算按20</w:t>
      </w:r>
      <w:r>
        <w:rPr>
          <w:rFonts w:hint="eastAsia" w:ascii="宋体" w:hAnsi="宋体"/>
          <w:color w:val="auto"/>
          <w:sz w:val="24"/>
          <w:szCs w:val="24"/>
          <w:lang w:val="en-US" w:eastAsia="zh-CN"/>
        </w:rPr>
        <w:t>26</w:t>
      </w:r>
      <w:r>
        <w:rPr>
          <w:rFonts w:hint="eastAsia" w:ascii="宋体" w:hAnsi="宋体"/>
          <w:color w:val="auto"/>
          <w:sz w:val="24"/>
          <w:szCs w:val="24"/>
        </w:rPr>
        <w:t>版《</w:t>
      </w:r>
      <w:bookmarkStart w:id="1" w:name="_GoBack"/>
      <w:r>
        <w:rPr>
          <w:rFonts w:hint="eastAsia" w:ascii="宋体" w:hAnsi="宋体"/>
          <w:color w:val="auto"/>
          <w:sz w:val="24"/>
          <w:szCs w:val="24"/>
        </w:rPr>
        <w:t>江</w:t>
      </w:r>
      <w:bookmarkEnd w:id="1"/>
      <w:r>
        <w:rPr>
          <w:rFonts w:hint="eastAsia" w:ascii="宋体" w:hAnsi="宋体"/>
          <w:color w:val="auto"/>
          <w:sz w:val="24"/>
          <w:szCs w:val="24"/>
        </w:rPr>
        <w:t>苏省建设工程费用定额》执行。</w:t>
      </w:r>
    </w:p>
    <w:p w14:paraId="4797ABAA">
      <w:pPr>
        <w:numPr>
          <w:ilvl w:val="0"/>
          <w:numId w:val="0"/>
        </w:numPr>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9.3</w:t>
      </w:r>
      <w:r>
        <w:rPr>
          <w:rFonts w:hint="eastAsia" w:ascii="宋体" w:hAnsi="宋体" w:eastAsia="宋体" w:cs="宋体"/>
          <w:color w:val="auto"/>
          <w:sz w:val="24"/>
          <w:highlight w:val="none"/>
        </w:rPr>
        <w:t>投标单位报价时应充分考虑图纸设计</w:t>
      </w:r>
      <w:r>
        <w:rPr>
          <w:rFonts w:hint="eastAsia" w:ascii="宋体" w:hAnsi="宋体" w:eastAsia="宋体" w:cs="宋体"/>
          <w:color w:val="auto"/>
          <w:sz w:val="24"/>
          <w:highlight w:val="none"/>
          <w:lang w:val="en-US" w:eastAsia="zh-CN"/>
        </w:rPr>
        <w:t>及招标人</w:t>
      </w:r>
      <w:r>
        <w:rPr>
          <w:rFonts w:hint="eastAsia" w:ascii="宋体" w:hAnsi="宋体" w:eastAsia="宋体" w:cs="宋体"/>
          <w:color w:val="auto"/>
          <w:sz w:val="24"/>
          <w:highlight w:val="none"/>
        </w:rPr>
        <w:t>关于色彩的要求，施工阶段由设计</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等相关人员确定，综合单价不变。</w:t>
      </w:r>
    </w:p>
    <w:p w14:paraId="5A389349">
      <w:pPr>
        <w:spacing w:line="360" w:lineRule="auto"/>
        <w:ind w:firstLine="480" w:firstLineChars="200"/>
        <w:rPr>
          <w:rFonts w:hint="eastAsia"/>
          <w:color w:val="auto"/>
        </w:rPr>
      </w:pPr>
      <w:r>
        <w:rPr>
          <w:rFonts w:hint="eastAsia" w:ascii="宋体" w:hAnsi="宋体" w:eastAsia="宋体" w:cs="宋体"/>
          <w:color w:val="auto"/>
          <w:sz w:val="24"/>
          <w:lang w:val="en-US" w:eastAsia="zh-CN"/>
        </w:rPr>
        <w:t>9.4</w:t>
      </w:r>
      <w:r>
        <w:rPr>
          <w:rFonts w:hint="eastAsia" w:ascii="宋体" w:hAnsi="宋体" w:eastAsia="宋体" w:cs="Times New Roman"/>
          <w:color w:val="auto"/>
          <w:sz w:val="24"/>
          <w:szCs w:val="24"/>
          <w:lang w:val="en-US" w:eastAsia="zh-CN"/>
        </w:rPr>
        <w:t>安全生产、文明施工、环境保护要求：符合无锡市有关施工现场的文明卫生要求。建设期间有新的文明施工标准，按新标准执行，拆、移、改等费用均由承包人自行解决，费用自理。投标报价均不得低于苏建价〔2026〕76号《江苏省建设工程费用参考》的下限值。</w:t>
      </w:r>
    </w:p>
    <w:p w14:paraId="62369BE5">
      <w:pPr>
        <w:pStyle w:val="2"/>
        <w:keepNext w:val="0"/>
        <w:keepLines w:val="0"/>
        <w:pageBreakBefore w:val="0"/>
        <w:widowControl w:val="0"/>
        <w:numPr>
          <w:ilvl w:val="0"/>
          <w:numId w:val="1"/>
        </w:numPr>
        <w:kinsoku/>
        <w:wordWrap/>
        <w:overflowPunct/>
        <w:topLinePunct w:val="0"/>
        <w:autoSpaceDE/>
        <w:autoSpaceDN/>
        <w:bidi w:val="0"/>
        <w:adjustRightInd/>
        <w:snapToGrid/>
        <w:spacing w:line="120" w:lineRule="auto"/>
        <w:ind w:left="590" w:leftChars="0" w:firstLine="0" w:firstLineChars="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其他问题</w:t>
      </w:r>
    </w:p>
    <w:p w14:paraId="78658CA1">
      <w:pPr>
        <w:ind w:firstLine="480" w:firstLineChars="200"/>
        <w:rPr>
          <w:rFonts w:hint="eastAsia" w:ascii="宋体" w:hAnsi="宋体" w:eastAsia="宋体" w:cs="宋体"/>
          <w:color w:val="auto"/>
          <w:sz w:val="24"/>
          <w:highlight w:val="none"/>
          <w:lang w:val="en-US" w:eastAsia="zh-CN"/>
        </w:rPr>
      </w:pPr>
    </w:p>
    <w:p w14:paraId="715CF8A9">
      <w:pPr>
        <w:numPr>
          <w:ilvl w:val="0"/>
          <w:numId w:val="0"/>
        </w:numPr>
        <w:spacing w:line="360" w:lineRule="auto"/>
        <w:ind w:left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（1）拆除部分根据图纸及现场勘察，工程量为预估量，结算时按实际调整。</w:t>
      </w:r>
    </w:p>
    <w:p w14:paraId="60BDACC0">
      <w:pPr>
        <w:numPr>
          <w:ilvl w:val="0"/>
          <w:numId w:val="0"/>
        </w:numPr>
        <w:spacing w:line="360" w:lineRule="auto"/>
        <w:ind w:left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（2）现有门窗、空调、地面等成品保护，以项包干，投标人应综合考虑，结算时不调整。</w:t>
      </w:r>
    </w:p>
    <w:p w14:paraId="6EBB187C">
      <w:pPr>
        <w:numPr>
          <w:ilvl w:val="0"/>
          <w:numId w:val="0"/>
        </w:numPr>
        <w:spacing w:line="360" w:lineRule="auto"/>
        <w:ind w:left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（3）绿化拆除及恢复，以项包干，投标人应综合考虑，结算时不调整。</w:t>
      </w:r>
    </w:p>
    <w:p w14:paraId="43244D64">
      <w:pPr>
        <w:numPr>
          <w:ilvl w:val="0"/>
          <w:numId w:val="0"/>
        </w:numPr>
        <w:spacing w:line="360" w:lineRule="auto"/>
        <w:ind w:left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（4）墙面粉刷层铲除不单独计算，包含在墙体拆除及块料拆除中，投标人报价是综合考虑，结算时不得以此增加费用。</w:t>
      </w:r>
    </w:p>
    <w:p w14:paraId="5DADF9D6">
      <w:pPr>
        <w:numPr>
          <w:ilvl w:val="0"/>
          <w:numId w:val="0"/>
        </w:numPr>
        <w:spacing w:line="360" w:lineRule="auto"/>
        <w:ind w:left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（5）材料上下楼费用投标人报价时综合考虑，结算时不得以此增加费用。</w:t>
      </w:r>
    </w:p>
    <w:p w14:paraId="78E625AE">
      <w:pPr>
        <w:numPr>
          <w:ilvl w:val="0"/>
          <w:numId w:val="0"/>
        </w:numPr>
        <w:spacing w:line="360" w:lineRule="auto"/>
        <w:ind w:left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（6）建筑垃圾清理、装袋、归集、下楼费用包含在拆除中，投标人报价时综合考虑，结算时不得以此增加费用。</w:t>
      </w:r>
    </w:p>
    <w:p w14:paraId="5E0DD67F">
      <w:pPr>
        <w:numPr>
          <w:ilvl w:val="0"/>
          <w:numId w:val="1"/>
        </w:numPr>
        <w:spacing w:line="5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投标人不得将下列不可竞争费用降低标准计取：（结算时根据有关规定按照不同类别调整）</w:t>
      </w:r>
    </w:p>
    <w:tbl>
      <w:tblPr>
        <w:tblStyle w:val="4"/>
        <w:tblpPr w:leftFromText="180" w:rightFromText="180" w:vertAnchor="text" w:horzAnchor="page" w:tblpXSpec="center" w:tblpY="201"/>
        <w:tblOverlap w:val="never"/>
        <w:tblW w:w="8306" w:type="dxa"/>
        <w:jc w:val="center"/>
        <w:tblLayout w:type="fixed"/>
        <w:tblCellMar>
          <w:top w:w="0" w:type="dxa"/>
          <w:left w:w="108" w:type="dxa"/>
          <w:bottom w:w="0" w:type="dxa"/>
          <w:right w:w="108" w:type="dxa"/>
        </w:tblCellMar>
      </w:tblPr>
      <w:tblGrid>
        <w:gridCol w:w="1472"/>
        <w:gridCol w:w="3191"/>
        <w:gridCol w:w="3643"/>
      </w:tblGrid>
      <w:tr w14:paraId="238587E2">
        <w:tblPrEx>
          <w:tblCellMar>
            <w:top w:w="0" w:type="dxa"/>
            <w:left w:w="108" w:type="dxa"/>
            <w:bottom w:w="0" w:type="dxa"/>
            <w:right w:w="108" w:type="dxa"/>
          </w:tblCellMar>
        </w:tblPrEx>
        <w:trPr>
          <w:trHeight w:val="351" w:hRule="atLeast"/>
          <w:jc w:val="center"/>
        </w:trPr>
        <w:tc>
          <w:tcPr>
            <w:tcW w:w="1472" w:type="dxa"/>
            <w:tcBorders>
              <w:top w:val="single" w:color="auto" w:sz="8" w:space="0"/>
              <w:left w:val="single" w:color="auto" w:sz="8" w:space="0"/>
              <w:bottom w:val="single" w:color="auto" w:sz="4" w:space="0"/>
              <w:right w:val="single" w:color="auto" w:sz="4" w:space="0"/>
            </w:tcBorders>
            <w:noWrap w:val="0"/>
            <w:vAlign w:val="center"/>
          </w:tcPr>
          <w:p w14:paraId="1951BD17">
            <w:pPr>
              <w:widowControl/>
              <w:jc w:val="center"/>
              <w:rPr>
                <w:rFonts w:ascii="宋体" w:hAnsi="宋体" w:cs="宋体"/>
                <w:color w:val="auto"/>
                <w:sz w:val="24"/>
                <w:szCs w:val="24"/>
              </w:rPr>
            </w:pPr>
            <w:r>
              <w:rPr>
                <w:rFonts w:hint="eastAsia" w:ascii="宋体" w:hAnsi="宋体" w:cs="宋体"/>
                <w:color w:val="auto"/>
                <w:sz w:val="24"/>
                <w:szCs w:val="24"/>
              </w:rPr>
              <w:t>序号</w:t>
            </w:r>
          </w:p>
        </w:tc>
        <w:tc>
          <w:tcPr>
            <w:tcW w:w="3191" w:type="dxa"/>
            <w:tcBorders>
              <w:top w:val="single" w:color="auto" w:sz="8" w:space="0"/>
              <w:left w:val="nil"/>
              <w:bottom w:val="single" w:color="auto" w:sz="4" w:space="0"/>
              <w:right w:val="single" w:color="auto" w:sz="4" w:space="0"/>
            </w:tcBorders>
            <w:noWrap w:val="0"/>
            <w:vAlign w:val="center"/>
          </w:tcPr>
          <w:p w14:paraId="2874E4DE">
            <w:pPr>
              <w:widowControl/>
              <w:jc w:val="center"/>
              <w:rPr>
                <w:rFonts w:ascii="宋体" w:hAnsi="宋体" w:cs="宋体"/>
                <w:color w:val="auto"/>
                <w:sz w:val="24"/>
                <w:szCs w:val="24"/>
              </w:rPr>
            </w:pPr>
            <w:r>
              <w:rPr>
                <w:rFonts w:hint="eastAsia" w:ascii="宋体" w:hAnsi="宋体" w:cs="宋体"/>
                <w:color w:val="auto"/>
                <w:sz w:val="24"/>
                <w:szCs w:val="24"/>
              </w:rPr>
              <w:t>一</w:t>
            </w:r>
          </w:p>
        </w:tc>
        <w:tc>
          <w:tcPr>
            <w:tcW w:w="3643" w:type="dxa"/>
            <w:tcBorders>
              <w:top w:val="single" w:color="auto" w:sz="8" w:space="0"/>
              <w:left w:val="nil"/>
              <w:bottom w:val="single" w:color="auto" w:sz="4" w:space="0"/>
              <w:right w:val="single" w:color="auto" w:sz="8" w:space="0"/>
            </w:tcBorders>
            <w:noWrap w:val="0"/>
            <w:vAlign w:val="center"/>
          </w:tcPr>
          <w:p w14:paraId="0845F7A5">
            <w:pPr>
              <w:widowControl/>
              <w:jc w:val="center"/>
              <w:rPr>
                <w:rFonts w:hint="eastAsia" w:ascii="宋体" w:hAnsi="宋体" w:cs="宋体" w:eastAsiaTheme="minorEastAsia"/>
                <w:color w:val="auto"/>
                <w:sz w:val="24"/>
                <w:szCs w:val="24"/>
                <w:lang w:eastAsia="zh-CN"/>
              </w:rPr>
            </w:pPr>
            <w:r>
              <w:rPr>
                <w:rFonts w:hint="eastAsia" w:ascii="宋体" w:hAnsi="宋体" w:cs="宋体"/>
                <w:color w:val="auto"/>
                <w:sz w:val="24"/>
                <w:szCs w:val="24"/>
                <w:lang w:val="en-US" w:eastAsia="zh-CN"/>
              </w:rPr>
              <w:t>二</w:t>
            </w:r>
          </w:p>
        </w:tc>
      </w:tr>
      <w:tr w14:paraId="46A79D37">
        <w:tblPrEx>
          <w:tblCellMar>
            <w:top w:w="0" w:type="dxa"/>
            <w:left w:w="108" w:type="dxa"/>
            <w:bottom w:w="0" w:type="dxa"/>
            <w:right w:w="108" w:type="dxa"/>
          </w:tblCellMar>
        </w:tblPrEx>
        <w:trPr>
          <w:trHeight w:val="1015" w:hRule="atLeast"/>
          <w:jc w:val="center"/>
        </w:trPr>
        <w:tc>
          <w:tcPr>
            <w:tcW w:w="1472" w:type="dxa"/>
            <w:tcBorders>
              <w:top w:val="nil"/>
              <w:left w:val="single" w:color="auto" w:sz="8" w:space="0"/>
              <w:bottom w:val="single" w:color="auto" w:sz="8" w:space="0"/>
              <w:right w:val="single" w:color="auto" w:sz="4" w:space="0"/>
            </w:tcBorders>
            <w:noWrap w:val="0"/>
            <w:vAlign w:val="center"/>
          </w:tcPr>
          <w:p w14:paraId="66B56AC4">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费用名称</w:t>
            </w:r>
          </w:p>
        </w:tc>
        <w:tc>
          <w:tcPr>
            <w:tcW w:w="3191" w:type="dxa"/>
            <w:tcBorders>
              <w:top w:val="single" w:color="auto" w:sz="4" w:space="0"/>
              <w:left w:val="nil"/>
              <w:bottom w:val="single" w:color="auto" w:sz="8" w:space="0"/>
              <w:right w:val="single" w:color="auto" w:sz="4" w:space="0"/>
            </w:tcBorders>
            <w:noWrap w:val="0"/>
            <w:vAlign w:val="center"/>
          </w:tcPr>
          <w:p w14:paraId="7C2591EA">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rPr>
              <w:t>费</w:t>
            </w:r>
          </w:p>
        </w:tc>
        <w:tc>
          <w:tcPr>
            <w:tcW w:w="3643" w:type="dxa"/>
            <w:tcBorders>
              <w:top w:val="nil"/>
              <w:left w:val="nil"/>
              <w:bottom w:val="single" w:color="auto" w:sz="8" w:space="0"/>
              <w:right w:val="single" w:color="auto" w:sz="8" w:space="0"/>
            </w:tcBorders>
            <w:noWrap w:val="0"/>
            <w:vAlign w:val="center"/>
          </w:tcPr>
          <w:p w14:paraId="582386AE">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税金</w:t>
            </w:r>
          </w:p>
        </w:tc>
      </w:tr>
      <w:tr w14:paraId="1855FBE6">
        <w:tblPrEx>
          <w:tblCellMar>
            <w:top w:w="0" w:type="dxa"/>
            <w:left w:w="108" w:type="dxa"/>
            <w:bottom w:w="0" w:type="dxa"/>
            <w:right w:w="108" w:type="dxa"/>
          </w:tblCellMar>
        </w:tblPrEx>
        <w:trPr>
          <w:trHeight w:val="1612" w:hRule="atLeast"/>
          <w:jc w:val="center"/>
        </w:trPr>
        <w:tc>
          <w:tcPr>
            <w:tcW w:w="1472" w:type="dxa"/>
            <w:tcBorders>
              <w:top w:val="nil"/>
              <w:left w:val="single" w:color="auto" w:sz="8" w:space="0"/>
              <w:bottom w:val="single" w:color="auto" w:sz="8" w:space="0"/>
              <w:right w:val="single" w:color="auto" w:sz="4" w:space="0"/>
            </w:tcBorders>
            <w:noWrap w:val="0"/>
            <w:vAlign w:val="center"/>
          </w:tcPr>
          <w:p w14:paraId="7DD655B8">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计算基础</w:t>
            </w:r>
          </w:p>
        </w:tc>
        <w:tc>
          <w:tcPr>
            <w:tcW w:w="3191" w:type="dxa"/>
            <w:tcBorders>
              <w:top w:val="single" w:color="auto" w:sz="4" w:space="0"/>
              <w:left w:val="nil"/>
              <w:bottom w:val="single" w:color="auto" w:sz="8" w:space="0"/>
              <w:right w:val="single" w:color="auto" w:sz="4" w:space="0"/>
            </w:tcBorders>
            <w:noWrap w:val="0"/>
            <w:vAlign w:val="center"/>
          </w:tcPr>
          <w:p w14:paraId="6AB4E81F">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分部分项工程费</w:t>
            </w:r>
          </w:p>
          <w:p w14:paraId="0C33C68F">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-除税工程设备费</w:t>
            </w:r>
          </w:p>
        </w:tc>
        <w:tc>
          <w:tcPr>
            <w:tcW w:w="3643" w:type="dxa"/>
            <w:tcBorders>
              <w:top w:val="nil"/>
              <w:left w:val="nil"/>
              <w:bottom w:val="single" w:color="auto" w:sz="8" w:space="0"/>
              <w:right w:val="single" w:color="auto" w:sz="8" w:space="0"/>
            </w:tcBorders>
            <w:noWrap w:val="0"/>
            <w:vAlign w:val="center"/>
          </w:tcPr>
          <w:p w14:paraId="2FBF80E9">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分部分项工程+措施项目+其他项目-专业工程暂估价-除税甲供材料和甲供设备费</w:t>
            </w:r>
          </w:p>
        </w:tc>
      </w:tr>
      <w:tr w14:paraId="6616CB19">
        <w:tblPrEx>
          <w:tblCellMar>
            <w:top w:w="0" w:type="dxa"/>
            <w:left w:w="108" w:type="dxa"/>
            <w:bottom w:w="0" w:type="dxa"/>
            <w:right w:w="108" w:type="dxa"/>
          </w:tblCellMar>
        </w:tblPrEx>
        <w:trPr>
          <w:trHeight w:val="613" w:hRule="atLeast"/>
          <w:jc w:val="center"/>
        </w:trPr>
        <w:tc>
          <w:tcPr>
            <w:tcW w:w="1472" w:type="dxa"/>
            <w:tcBorders>
              <w:top w:val="single" w:color="auto" w:sz="8" w:space="0"/>
              <w:left w:val="single" w:color="auto" w:sz="8" w:space="0"/>
              <w:bottom w:val="single" w:color="auto" w:sz="8" w:space="0"/>
              <w:right w:val="single" w:color="auto" w:sz="8" w:space="0"/>
            </w:tcBorders>
            <w:noWrap w:val="0"/>
            <w:vAlign w:val="center"/>
          </w:tcPr>
          <w:p w14:paraId="63454CBF">
            <w:pPr>
              <w:jc w:val="center"/>
              <w:rPr>
                <w:rFonts w:hint="default" w:ascii="宋体" w:hAnsi="宋体"/>
                <w:color w:val="auto"/>
                <w:sz w:val="24"/>
                <w:szCs w:val="24"/>
                <w:lang w:val="en-US" w:eastAsia="zh-CN"/>
              </w:rPr>
            </w:pPr>
            <w:r>
              <w:rPr>
                <w:rFonts w:hint="eastAsia" w:ascii="宋体" w:hAnsi="宋体"/>
                <w:color w:val="auto"/>
                <w:sz w:val="24"/>
                <w:szCs w:val="24"/>
                <w:lang w:val="en-US" w:eastAsia="zh-CN"/>
              </w:rPr>
              <w:t>修缮工程</w:t>
            </w:r>
          </w:p>
        </w:tc>
        <w:tc>
          <w:tcPr>
            <w:tcW w:w="3191" w:type="dxa"/>
            <w:tcBorders>
              <w:top w:val="single" w:color="auto" w:sz="8" w:space="0"/>
              <w:left w:val="single" w:color="auto" w:sz="8" w:space="0"/>
              <w:bottom w:val="single" w:color="auto" w:sz="8" w:space="0"/>
              <w:right w:val="single" w:color="auto" w:sz="8" w:space="0"/>
            </w:tcBorders>
            <w:noWrap w:val="0"/>
            <w:vAlign w:val="center"/>
          </w:tcPr>
          <w:p w14:paraId="63F18ABD">
            <w:pPr>
              <w:jc w:val="center"/>
              <w:rPr>
                <w:rFonts w:hint="default" w:ascii="宋体" w:hAnsi="宋体"/>
                <w:color w:val="auto"/>
                <w:sz w:val="24"/>
                <w:szCs w:val="24"/>
                <w:lang w:val="en-US" w:eastAsia="zh-CN"/>
              </w:rPr>
            </w:pPr>
            <w:r>
              <w:rPr>
                <w:rFonts w:hint="eastAsia" w:ascii="宋体" w:hAnsi="宋体"/>
                <w:color w:val="auto"/>
                <w:sz w:val="24"/>
                <w:szCs w:val="24"/>
                <w:lang w:val="en-US" w:eastAsia="zh-CN"/>
              </w:rPr>
              <w:t>3.8</w:t>
            </w:r>
          </w:p>
        </w:tc>
        <w:tc>
          <w:tcPr>
            <w:tcW w:w="3643" w:type="dxa"/>
            <w:tcBorders>
              <w:top w:val="single" w:color="auto" w:sz="8" w:space="0"/>
              <w:left w:val="single" w:color="auto" w:sz="8" w:space="0"/>
              <w:bottom w:val="single" w:color="auto" w:sz="8" w:space="0"/>
              <w:right w:val="single" w:color="auto" w:sz="8" w:space="0"/>
            </w:tcBorders>
            <w:noWrap w:val="0"/>
            <w:vAlign w:val="center"/>
          </w:tcPr>
          <w:p w14:paraId="7CDAE511">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9</w:t>
            </w:r>
          </w:p>
        </w:tc>
      </w:tr>
    </w:tbl>
    <w:p w14:paraId="43CBD990">
      <w:pPr>
        <w:spacing w:line="360" w:lineRule="auto"/>
        <w:jc w:val="left"/>
        <w:rPr>
          <w:rFonts w:hint="default"/>
          <w:color w:val="auto"/>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C4DE"/>
    <w:multiLevelType w:val="singleLevel"/>
    <w:tmpl w:val="979EC4DE"/>
    <w:lvl w:ilvl="0" w:tentative="0">
      <w:start w:val="1"/>
      <w:numFmt w:val="chineseCounting"/>
      <w:suff w:val="nothing"/>
      <w:lvlText w:val="%1、"/>
      <w:lvlJc w:val="left"/>
      <w:pPr>
        <w:ind w:left="59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YjFkMjdkYTE0NmY5MTk4N2I2ZGQ1ZDM5NGM1OGMifQ=="/>
  </w:docVars>
  <w:rsids>
    <w:rsidRoot w:val="6C6F55A5"/>
    <w:rsid w:val="00DB4845"/>
    <w:rsid w:val="01710365"/>
    <w:rsid w:val="02186A33"/>
    <w:rsid w:val="022B2C0A"/>
    <w:rsid w:val="026B74AB"/>
    <w:rsid w:val="02D74B40"/>
    <w:rsid w:val="02F56D74"/>
    <w:rsid w:val="03004097"/>
    <w:rsid w:val="03842523"/>
    <w:rsid w:val="03A367D0"/>
    <w:rsid w:val="04096F7B"/>
    <w:rsid w:val="045F377B"/>
    <w:rsid w:val="04D2011A"/>
    <w:rsid w:val="05503A5D"/>
    <w:rsid w:val="055A4227"/>
    <w:rsid w:val="05CD013F"/>
    <w:rsid w:val="05E33715"/>
    <w:rsid w:val="06713680"/>
    <w:rsid w:val="06B35AD2"/>
    <w:rsid w:val="0790350F"/>
    <w:rsid w:val="07C84A57"/>
    <w:rsid w:val="08BF0273"/>
    <w:rsid w:val="08FB5F1D"/>
    <w:rsid w:val="093206A7"/>
    <w:rsid w:val="096E162E"/>
    <w:rsid w:val="0A485655"/>
    <w:rsid w:val="0AB003D0"/>
    <w:rsid w:val="0AB91107"/>
    <w:rsid w:val="0AFC48AC"/>
    <w:rsid w:val="0BA92DF2"/>
    <w:rsid w:val="0BD3273F"/>
    <w:rsid w:val="0BE233B5"/>
    <w:rsid w:val="0C796C68"/>
    <w:rsid w:val="0D05152E"/>
    <w:rsid w:val="0D1E0B42"/>
    <w:rsid w:val="0E4B39E5"/>
    <w:rsid w:val="0F974BAA"/>
    <w:rsid w:val="0FAC7E87"/>
    <w:rsid w:val="11D230A2"/>
    <w:rsid w:val="13DA7FEC"/>
    <w:rsid w:val="14274635"/>
    <w:rsid w:val="14E472DE"/>
    <w:rsid w:val="15847EF8"/>
    <w:rsid w:val="16AB5C70"/>
    <w:rsid w:val="17237EFC"/>
    <w:rsid w:val="17AC2618"/>
    <w:rsid w:val="17E24F42"/>
    <w:rsid w:val="1876200D"/>
    <w:rsid w:val="18AA2B26"/>
    <w:rsid w:val="193440BB"/>
    <w:rsid w:val="19355DAA"/>
    <w:rsid w:val="1AAB1706"/>
    <w:rsid w:val="1B012567"/>
    <w:rsid w:val="1BC9669C"/>
    <w:rsid w:val="1BDB54D4"/>
    <w:rsid w:val="1C3A2253"/>
    <w:rsid w:val="1CD75A11"/>
    <w:rsid w:val="1D0B56BA"/>
    <w:rsid w:val="1D59107F"/>
    <w:rsid w:val="1DEF4A01"/>
    <w:rsid w:val="1EA97F80"/>
    <w:rsid w:val="1F263699"/>
    <w:rsid w:val="1FA616CA"/>
    <w:rsid w:val="209B6C81"/>
    <w:rsid w:val="21087706"/>
    <w:rsid w:val="21C10A3D"/>
    <w:rsid w:val="22971C7A"/>
    <w:rsid w:val="235F050E"/>
    <w:rsid w:val="23BD6A1A"/>
    <w:rsid w:val="23DE2855"/>
    <w:rsid w:val="23F24EDE"/>
    <w:rsid w:val="2492046F"/>
    <w:rsid w:val="25A206E7"/>
    <w:rsid w:val="25B0540E"/>
    <w:rsid w:val="25F413E1"/>
    <w:rsid w:val="264E4D45"/>
    <w:rsid w:val="26BA1A87"/>
    <w:rsid w:val="274F1B2F"/>
    <w:rsid w:val="279F712B"/>
    <w:rsid w:val="27B801ED"/>
    <w:rsid w:val="283635EF"/>
    <w:rsid w:val="29115E06"/>
    <w:rsid w:val="29BC2227"/>
    <w:rsid w:val="2A4974F3"/>
    <w:rsid w:val="2D1A60F9"/>
    <w:rsid w:val="2DCC0D7B"/>
    <w:rsid w:val="2E651A32"/>
    <w:rsid w:val="2F062E33"/>
    <w:rsid w:val="31102290"/>
    <w:rsid w:val="317C31F3"/>
    <w:rsid w:val="324B7318"/>
    <w:rsid w:val="33272FCF"/>
    <w:rsid w:val="33AE07C2"/>
    <w:rsid w:val="33E10ACB"/>
    <w:rsid w:val="341449F5"/>
    <w:rsid w:val="34366D6C"/>
    <w:rsid w:val="348222AE"/>
    <w:rsid w:val="34D523DE"/>
    <w:rsid w:val="34DB19BE"/>
    <w:rsid w:val="34E42621"/>
    <w:rsid w:val="375C154D"/>
    <w:rsid w:val="38457246"/>
    <w:rsid w:val="38D310BB"/>
    <w:rsid w:val="38D74A6D"/>
    <w:rsid w:val="39D11C32"/>
    <w:rsid w:val="3A1337B9"/>
    <w:rsid w:val="3A3E6C77"/>
    <w:rsid w:val="3A974E83"/>
    <w:rsid w:val="3ACA665F"/>
    <w:rsid w:val="3B3100B4"/>
    <w:rsid w:val="3B6A511E"/>
    <w:rsid w:val="3C597D99"/>
    <w:rsid w:val="3CB72D11"/>
    <w:rsid w:val="3CC8573C"/>
    <w:rsid w:val="3D0F48FB"/>
    <w:rsid w:val="3E522CF1"/>
    <w:rsid w:val="3F816B2D"/>
    <w:rsid w:val="3FE47979"/>
    <w:rsid w:val="40705F86"/>
    <w:rsid w:val="417B430D"/>
    <w:rsid w:val="41F11C9D"/>
    <w:rsid w:val="42925DB2"/>
    <w:rsid w:val="442838A3"/>
    <w:rsid w:val="45B32CD1"/>
    <w:rsid w:val="46054AED"/>
    <w:rsid w:val="46CE79F7"/>
    <w:rsid w:val="472E597E"/>
    <w:rsid w:val="481400E6"/>
    <w:rsid w:val="48C251D8"/>
    <w:rsid w:val="49444B8D"/>
    <w:rsid w:val="49A81A17"/>
    <w:rsid w:val="4A9935AB"/>
    <w:rsid w:val="4B391A1F"/>
    <w:rsid w:val="4B7D0AC3"/>
    <w:rsid w:val="4CBA751A"/>
    <w:rsid w:val="4D8C315E"/>
    <w:rsid w:val="4D92310A"/>
    <w:rsid w:val="4DDA6B71"/>
    <w:rsid w:val="4E552427"/>
    <w:rsid w:val="4E576C45"/>
    <w:rsid w:val="4ED11886"/>
    <w:rsid w:val="4EDE7C89"/>
    <w:rsid w:val="4F9F06A7"/>
    <w:rsid w:val="51730B5D"/>
    <w:rsid w:val="5308609E"/>
    <w:rsid w:val="532D11DF"/>
    <w:rsid w:val="53856AB5"/>
    <w:rsid w:val="53A64230"/>
    <w:rsid w:val="54BB2F47"/>
    <w:rsid w:val="55672018"/>
    <w:rsid w:val="55A97243"/>
    <w:rsid w:val="57CF2865"/>
    <w:rsid w:val="57CF6775"/>
    <w:rsid w:val="589E6690"/>
    <w:rsid w:val="58FF091D"/>
    <w:rsid w:val="591C1ADA"/>
    <w:rsid w:val="59A23A35"/>
    <w:rsid w:val="5A627604"/>
    <w:rsid w:val="5AF85ECE"/>
    <w:rsid w:val="5B2E56C5"/>
    <w:rsid w:val="5BC53434"/>
    <w:rsid w:val="5BE626E4"/>
    <w:rsid w:val="5BEF1D93"/>
    <w:rsid w:val="5BEF34D6"/>
    <w:rsid w:val="5C341831"/>
    <w:rsid w:val="5C4B671C"/>
    <w:rsid w:val="5D6B37EB"/>
    <w:rsid w:val="5D9378C2"/>
    <w:rsid w:val="5DC001E7"/>
    <w:rsid w:val="5DF426F5"/>
    <w:rsid w:val="5E023EAE"/>
    <w:rsid w:val="5EEA30B7"/>
    <w:rsid w:val="5FA97E40"/>
    <w:rsid w:val="5FD924D3"/>
    <w:rsid w:val="60B15B02"/>
    <w:rsid w:val="61186C5D"/>
    <w:rsid w:val="62B441EF"/>
    <w:rsid w:val="632D722C"/>
    <w:rsid w:val="63EE7738"/>
    <w:rsid w:val="640A5204"/>
    <w:rsid w:val="64416899"/>
    <w:rsid w:val="65A31E21"/>
    <w:rsid w:val="66326DE1"/>
    <w:rsid w:val="6778510E"/>
    <w:rsid w:val="678A6A48"/>
    <w:rsid w:val="68F6703B"/>
    <w:rsid w:val="69603C65"/>
    <w:rsid w:val="69675EB2"/>
    <w:rsid w:val="696A5375"/>
    <w:rsid w:val="6AA10091"/>
    <w:rsid w:val="6AA9254D"/>
    <w:rsid w:val="6AAC4229"/>
    <w:rsid w:val="6BDC17E2"/>
    <w:rsid w:val="6C6F55A5"/>
    <w:rsid w:val="6D3A4ED9"/>
    <w:rsid w:val="6DD92104"/>
    <w:rsid w:val="6E066070"/>
    <w:rsid w:val="6E423939"/>
    <w:rsid w:val="6EAE1962"/>
    <w:rsid w:val="6FE944C8"/>
    <w:rsid w:val="704F1DB6"/>
    <w:rsid w:val="7078637A"/>
    <w:rsid w:val="70C12830"/>
    <w:rsid w:val="70EB7EDA"/>
    <w:rsid w:val="717E5318"/>
    <w:rsid w:val="71AC3EEB"/>
    <w:rsid w:val="71D376CA"/>
    <w:rsid w:val="734463A5"/>
    <w:rsid w:val="7440091B"/>
    <w:rsid w:val="748E072E"/>
    <w:rsid w:val="74C56C57"/>
    <w:rsid w:val="754E52B9"/>
    <w:rsid w:val="758643DF"/>
    <w:rsid w:val="75C4732A"/>
    <w:rsid w:val="76A92BCA"/>
    <w:rsid w:val="787710B8"/>
    <w:rsid w:val="790A599B"/>
    <w:rsid w:val="79595438"/>
    <w:rsid w:val="7A352E20"/>
    <w:rsid w:val="7A4318B4"/>
    <w:rsid w:val="7B130E40"/>
    <w:rsid w:val="7B803FD8"/>
    <w:rsid w:val="7BA51526"/>
    <w:rsid w:val="7C8E41ED"/>
    <w:rsid w:val="7CA103C5"/>
    <w:rsid w:val="7CC6771F"/>
    <w:rsid w:val="7CED0E43"/>
    <w:rsid w:val="7E115AC9"/>
    <w:rsid w:val="7E8527D9"/>
    <w:rsid w:val="7EA62846"/>
    <w:rsid w:val="7EEF3669"/>
    <w:rsid w:val="7F363046"/>
    <w:rsid w:val="7F8F09A8"/>
    <w:rsid w:val="7FB1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1"/>
    <w:pPr>
      <w:ind w:left="300"/>
      <w:jc w:val="center"/>
      <w:outlineLvl w:val="3"/>
    </w:pPr>
    <w:rPr>
      <w:sz w:val="28"/>
      <w:szCs w:val="28"/>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Body text|1"/>
    <w:basedOn w:val="1"/>
    <w:autoRedefine/>
    <w:qFormat/>
    <w:uiPriority w:val="0"/>
    <w:pPr>
      <w:widowControl w:val="0"/>
      <w:shd w:val="clear" w:color="auto" w:fill="auto"/>
      <w:spacing w:line="432" w:lineRule="auto"/>
      <w:ind w:firstLine="400"/>
    </w:pPr>
    <w:rPr>
      <w:rFonts w:ascii="宋体" w:hAnsi="宋体" w:eastAsia="宋体" w:cs="宋体"/>
      <w:sz w:val="26"/>
      <w:szCs w:val="26"/>
      <w:u w:val="none"/>
      <w:shd w:val="clear" w:color="auto" w:fill="auto"/>
      <w:lang w:val="zh-TW" w:eastAsia="zh-TW" w:bidi="zh-TW"/>
    </w:rPr>
  </w:style>
  <w:style w:type="paragraph" w:customStyle="1" w:styleId="8">
    <w:name w:val="Other|1"/>
    <w:basedOn w:val="1"/>
    <w:autoRedefine/>
    <w:qFormat/>
    <w:uiPriority w:val="0"/>
    <w:pPr>
      <w:widowControl w:val="0"/>
      <w:shd w:val="clear" w:color="auto" w:fill="auto"/>
      <w:spacing w:line="43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1884</Words>
  <Characters>2054</Characters>
  <Lines>0</Lines>
  <Paragraphs>0</Paragraphs>
  <TotalTime>2</TotalTime>
  <ScaleCrop>false</ScaleCrop>
  <LinksUpToDate>false</LinksUpToDate>
  <CharactersWithSpaces>2055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2021-01-07T10:30:00Z</dcterms:created>
  <dc:creator>cn.cheng</dc:creator>
  <cp:lastModifiedBy>Nil</cp:lastModifiedBy>
  <cp:lastPrinted>2021-02-22T02:02:00Z</cp:lastPrinted>
  <dcterms:modified xsi:type="dcterms:W3CDTF">2026-07-06T06:32:46Z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BA8B36605F0049FFAF9895B6D20CA96E</vt:lpwstr>
  </property>
  <property fmtid="{D5CDD505-2E9C-101B-9397-08002B2CF9AE}" pid="4" name="KSOTemplateDocerSaveRecord">
    <vt:lpwstr>eyJoZGlkIjoiZjBiOTA0OGIzNmM5Zjc2ZTMyNjg0YTBkZTM2MzY3NDUiLCJ1c2VySWQiOiI3OTgxNzg4NzEifQ==</vt:lpwstr>
  </property>
</Properties>
</file>