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56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项目名称：射阳县市场监督管理局2026年食品监督抽检检测服务采购项目</w:t>
      </w:r>
      <w:r/>
    </w:p>
    <w:p>
      <w:pPr>
        <w:ind w:left="0" w:right="0" w:firstLine="56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项目编号：JSZC-320924-SYHY-G2026-0011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射阳县市场监督管理局</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招标公告……………………………………1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投标人须知…………………………………4</w:t>
      </w:r>
      <w:r>
        <w:rPr>
          <w:rFonts w:ascii="SimSun" w:hAnsi="SimSun" w:eastAsia="SimSun" w:cs="SimSun"/>
          <w:color w:val="000000"/>
          <w:sz w:val="36"/>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合同文本……………………………………14</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采购需求……………………………………20</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评标方法与评标标准………………………26</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投标文件格式………………………………31</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第一章 招标公告</w:t>
      </w:r>
      <w:r/>
    </w:p>
    <w:p>
      <w:pPr>
        <w:ind w:left="0" w:right="0" w:firstLine="482"/>
        <w:jc w:val="both"/>
        <w:spacing w:before="240" w:after="24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240" w:after="24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射阳县市场监督管理局2026年食品监督抽检检测服务采购项目</w:t>
      </w:r>
      <w:r>
        <w:rPr>
          <w:rFonts w:ascii="SimSun" w:hAnsi="SimSun" w:eastAsia="SimSun" w:cs="SimSun"/>
          <w:color w:val="000000"/>
          <w:sz w:val="24"/>
        </w:rPr>
        <w:t xml:space="preserve">招标项目的潜在投标人可在</w:t>
      </w:r>
      <w:r>
        <w:rPr>
          <w:rFonts w:ascii="SimSun" w:hAnsi="SimSun" w:eastAsia="SimSun" w:cs="SimSun"/>
          <w:color w:val="333333"/>
          <w:sz w:val="24"/>
          <w:highlight w:val="white"/>
        </w:rPr>
        <w:t xml:space="preserve">“苏采云”系统内免费下载（投标人必须在苏采云系统中获取采购文件，方能参与政府采购项目）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2026年7月14日9点00分</w:t>
      </w:r>
      <w:r>
        <w:rPr>
          <w:rFonts w:ascii="SimSun" w:hAnsi="SimSun" w:eastAsia="SimSun" w:cs="SimSun"/>
          <w:color w:val="000000"/>
          <w:sz w:val="24"/>
        </w:rPr>
        <w:t xml:space="preserve">（北京时间）前递交投标文件。</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1.项目编号：JSZC-320924-SYHY-G2026-0011</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2.项目名称：射阳县市场监督管理局2026年食品监督抽检检测服务采购项目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3.采购方式：公开招标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4.预算金额：301万元</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301万元【其中采购1包单批次最高限价700元，合同金额60.2万元；采购2包单批次最高限价700元，合同金额60.2万元；采购3包单批次最高限价700元，合同金额60.2万元；采购4包单批次最高限价700元，合同金额60.2万元；采购5包单批次最高限价700元，合同金额60.2万元】，本项目设定最高限价单价，（投标报价报单价，超过最高限价单价的为无效响应）。投标报价高于最高限价的作无效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6.评标方法：综合评分法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射阳县市场监督管理局2026年食品监督抽检检测服务采购项目，本项目划分为5个包，所有投标人均可报名参加上述5个采购包的投标，采用兼投不兼中原则，若该投标人经评审后成为采购包1中标候选人排名的第一名，则不再推荐该投标人为采购包2及之后各包的中标候选人。开标、评标、定标顺序以采购包1至采购包5顺序依次进行。不因前面开标、评标确认的第一中标候选人因质疑、投诉、复议被取消第一中标候选人（或中标人）资格，而改变后面开标、评标确定的中标候选人结果。具体采购范围及所应达到的具体要求，以招标文件采购需求中的相</w:t>
      </w:r>
      <w:r>
        <w:rPr>
          <w:rFonts w:ascii="SimSun" w:hAnsi="SimSun" w:eastAsia="SimSun" w:cs="SimSun"/>
          <w:color w:val="000000"/>
          <w:sz w:val="24"/>
        </w:rPr>
        <w:t xml:space="preserve">应规定为准。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8.合同履行期限：自合同签订日起12个月内完成所有抽检项目并出具检验报告，具体检测内容及检测频率按照采购人要求执行。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9.履约地点：射阳县市场监督管理局指定地点。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10.本项目不接受联合体投标。</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2.落实政府采购政策需满足的资格要求：本项目属于专门面向中小企业采购的项目,投标人应为中小微企业、监狱企业、残疾人福利性单位。投标文件中提供《中小企业声明函》。</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按照《政府采购促进中小企业发展管理办法》（财库〔2020〕46号）规定要求提供声明函内容不实的，即不属于中小企业参与本项目投标的，属于提供虚假材料谋取中标，依照《中华人民共和国政府采购法》等国家有关规定追究相应责任，请各投标人予以关注。</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3.本项目的特定资格要求：投标人须具有有效内的检验检测机构资质认定证书（CMA）。</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1.时间：2026年6月23日至2026年6月30日，每天上午00:00-12:00，下午12:00-23:59（北京时间，法定节假日除外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1.时间：2026年7月14日9点00分（北京时间）；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自本公告发布之日起5个工作日。</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领取CA和办理电子</w:t>
      </w:r>
      <w:r>
        <w:rPr>
          <w:rFonts w:ascii="SimSun" w:hAnsi="SimSun" w:eastAsia="SimSun" w:cs="SimSun"/>
          <w:color w:val="000000"/>
          <w:sz w:val="24"/>
          <w:highlight w:val="white"/>
        </w:rPr>
        <w:t xml:space="preserve">签章（</w:t>
      </w:r>
      <w:r>
        <w:rPr>
          <w:rFonts w:ascii="SimSun" w:hAnsi="SimSun" w:eastAsia="SimSun" w:cs="SimSun"/>
          <w:color w:val="000000"/>
          <w:sz w:val="24"/>
        </w:rPr>
        <w:t xml:space="preserve">请至盐城市府西路1号盐城市公共资源交易中心四楼大厅10号，11号窗口办理</w:t>
      </w:r>
      <w:r>
        <w:rPr>
          <w:rFonts w:ascii="SimSun" w:hAnsi="SimSun" w:eastAsia="SimSun" w:cs="SimSun"/>
          <w:color w:val="000000"/>
          <w:sz w:val="24"/>
          <w:highlight w:val="white"/>
        </w:rPr>
        <w:t xml:space="preserve">，联系电话：150</w:t>
      </w:r>
      <w:r>
        <w:rPr>
          <w:rFonts w:ascii="SimSun" w:hAnsi="SimSun" w:eastAsia="SimSun" w:cs="SimSun"/>
          <w:color w:val="333333"/>
          <w:sz w:val="24"/>
          <w:highlight w:val="white"/>
        </w:rPr>
        <w:t xml:space="preserve">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2.潜在投标人访问电子招标响应交易平台的网络地址和方法：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采购文件（后缀名为“.kedt”）、供应商操作手册及政府采购客户端工具可通过“苏采云”系统相应链接进行下载。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采购代理机构将数据电文形式的采购文件加载至“苏采云”系统，供潜在投标人下载或者查阅。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请潜在投标人提前安装相应的控件（详见《“苏采云”系统供应商操作手册》）并使用谷歌浏览器登录“苏采云”系统参与不见面开评标。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3.有关本次招标的事项若存在变动或修改，敬请及时关注招标代理机构在“中国政府采购网”“江苏政府采购网”“盐城市政府采购网”发布的更正公告。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4.投标人不得提供虚假材料谋取中标成交或采取不正当手段诋毁、排挤其他投标人。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5.投标人存在串通投标、以他人名义投标、弄虚作假等违法违规行为，或者无正当理由放弃投标、中标资格，造成项目招标失败的，不得参加该项目重新招标的投标。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6.本次招标不收取投标保证金，不收取质量保证金。</w:t>
      </w:r>
      <w:r/>
    </w:p>
    <w:p>
      <w:pPr>
        <w:ind w:left="0" w:right="0" w:firstLine="56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七、对本次招标提出询问，请按以下方式联系。</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1.采购人信息</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称：射阳县市场监督管理局</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地址：江苏省盐城市射阳县合德镇解放路8号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联系人：秦爱成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联系方式：13815530169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2.采购代理机构信息</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称：射阳宏远财会服务有限公司</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 址：射阳县合德镇沿河路17-1号</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联系人：曹红芹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联系方式：13851150809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3.项目联系方式</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项目联系人：秦爱成</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电　　 话：13815530169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第二章  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3、适用法律和标准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 在本项目政府采购活动过程中，如果所执行的标准有更新的，按照最新标准执行。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4.2本次招标招标代理机构和采购人不收取标书工本费与中标服务费。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招标的代理服务费按《江苏省政府采购代理服务收费指导意见》的通知（苏政采协【2024】20号）收费标准进行计取（按差额定率分档累进法计算），由中标人在领取中标通知书前一次性支付。（本条不单独列表报价，自行综合考虑在投标报价中，中标后采购人不再另行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收款帐户为：射阳宏远财会服务有限公司，开户行：中国建设银行股份有限公司射阳县支行，账号：32001737436052512853。</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前按招标公告中的通讯地址，以书面形式通知采购人或招标代理机构。</w:t>
      </w:r>
      <w:r/>
    </w:p>
    <w:p>
      <w:pPr>
        <w:ind w:left="0" w:right="0" w:firstLine="5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8.1在投标截止时间前，采购人或招标代理机构可以对招标文件进行修改。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8.2采购人或招标代理机构有权按照法定的要求推迟投标截止日期和开标日期。</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9.1投标人提交的投标文件以及投标人与采购人或招标代理机构就有关投标的所有来往通知、函件和文件均应使用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中国政府采购网”“江苏政府采购网”“盐城市政府采购网”发布的招标文件不一致，请以</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360" w:lineRule="atLeast"/>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18.2采购人或招标代理机构可以按照规定，通过修改招标文件酌情延长投标截止时间，在此情况下，投标人的所有权利和义务以及投标人受制的截止时间均应以延长后新的截止时间为准。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19.1招标代理机构拒绝接收在其规定的投标截止时间后上传的任何投标文件。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21.2开标仪式由招标代理机构组织。苏采云系统将自动对项目进行开标，并宣布各投标人名称和投标价格。</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22.1开标后，招标代理机构将立即组织评标委员会（以下简称评委会）进行评标。</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23.3采购人、招标代理机构和评标委员会不向未中标的投标人解释未中标原因，也不公布评标过程中的相关细节。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24.3接到评委会澄清、说明和补正要求的投标人如未按规定作出澄清、说明和补正，其风险由投标人自行承担。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25.6投标人在开、评标全过程中应保持通信畅通，及时登录苏采云系统查阅、答复相关信息，并安排专人与招标代理机构及评标委员会联系。</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1.投标报价低于全部通过符合性审查投标人投标报价平均值50%的，即投标（响应）报价&lt;全部通过符合性审查投标人投标报价平均值×50%；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2.投标报价低于通过符合性审查的次低报价投标人投标报价50%的，即投标（响应）报价&lt;通过符合性审查的次低报价投标人投标报价×50%；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4.评审委员会基于专业判断，认为投标人报价过低，有可能影响产品质量或者不能诚信履约的其他情形。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相关法律法规对投标人报价有规定的，从其规定。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26.2.1符合专业条件的投标人或者对招标文件作实质响应的投标人不足三家的。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投标截止时间结束后参加投标的投标人不足三家的处理：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26.3.1如出现投标截止时间结束后参加投标的投标人或者在评标期间对招标文件做出实质响应的投标人不足三家情况，按政府采购相关规定执行。</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27.3招标代理机构将在“中国政府采购网”“江苏政府采购网”“盐城市政府采购网”发布中标公告，公告期限为1个工作日。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27.4.4与采购人或者其他投标人恶意串通的。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27.4.5采取不正当手段诋毁、排挤其他投标人的。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28.1提出质疑的投标人应当是参与所质疑项目采购活动的投标人。潜在投标人依法获取其可质疑的采购文件的，可以对采购文件提出质疑。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投标人应当在法定质疑期内一次性提出针对同一采购程序环节的质疑。投标人如在法定期限内对同一采购程序环节提出多次质疑的，招标代理机构、采购人将只对投标人第一次质疑作出答复。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招标代理机构提出，由招标代理机构负责答复。</w:t>
      </w:r>
      <w:r/>
    </w:p>
    <w:p>
      <w:pPr>
        <w:ind w:left="0" w:right="0" w:firstLine="480"/>
        <w:spacing w:before="0" w:after="0" w:line="36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招标代理机构及采购人只接收以纸质原件形式送达的质疑,采购人和招标代理机构不接受未填写快递运单的快件。</w:t>
      </w:r>
      <w:r/>
    </w:p>
    <w:p>
      <w:pPr>
        <w:ind w:left="0" w:right="0" w:firstLine="480"/>
        <w:spacing w:before="0" w:after="0" w:line="36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spacing w:before="0" w:after="0" w:line="36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质疑人（或授权委托人）须是投标单位正式员工，授权委托人须提供投标单位为其缴纳的本年度近期社保证明。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28.5.4未参加投标活动的投标人或在投标活动中自身权益未受到损害的投标人所提出的质疑。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原则上应在15日内签订采购合同），按照招标文件确定的事项与采购人签订政府采购合同。合同签订之日起2个工作日内在财政指定平台公示。所签订的合同不得对招标文件确定的事项和中标人投标文件作实质性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人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32.2中小企业、监狱企业及残疾人福利性单位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32.2.1中小企业定义：</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32.2.2投标人提供服务符合下列情形的，享受中小企业扶持政策：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32.2.2.1在服务采购项目中，服务由中小企业承接，即提供服务的人员为中小企业依照《中华人民共和国劳动合同法》订立劳动合同的从业人员。</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32.2.4残疾人福利单位定义：享受政府采购支持政策的残疾人福利性单位应当同时满足以下条件：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32.2.4.1安置的残疾人占本单位在职职工人数的比例不低于25%（含25%），并且安置的残疾人人数不少于10 人（含10 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32.2.4.2依法与安置的每位残疾人签订了一年以上（含一年）的劳动合同或服务协议；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32.2.4.3为安置的每位残疾人按月足额缴纳了基本养老保险、基本医疗保险、失业保险、工伤保险和生育保险等社会保险费；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32.2.4.4通过银行等金融机构向安置的每位残疾人，按月支付了不低于单位所在区县适用的经省级人民政府批准的月最低工资标准的工资；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32.2.4.5提供本单位承担的服务（以下简称产品）；</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32.2.5本项目是否专门面向中小企业预留采购份额见第一章《招标公告》。</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32.2.6采购标的对应的中小企业划分标准所属行业见第四章《采购需求》。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32.2.7小微企业价格评审优惠的政策：见第五章《评标方法和评标标准》。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32.3绿色包装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服务过程中能做到低碳物流、环保节约、提高资源利用率。</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32.4政府采购创新产品</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32.5绿色数据中心政策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涉及生产过程或检测时间长等原因，不能在验收过程中开展检测、认证的，可要求投标人在验收阶段提供相关检测报告、认证报告。</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32.6履约保证金政策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履约保证金的金额和是否缴纳由采购人与中标人协商确定。确需收取履约保证金的，履约保证金的缴纳形式：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如以履约保函（保险）形式缴纳履约保证金，投标人可通过政府采购电子履约保函（保险）平台（www.jsdzbh.com）在线申请履约保函（保险）。</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级及以上的政府采购投标人（需在签订采购合同前提供信用管理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33、预付款制度</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%（原则上不低于合同金额的30%）。在签订合同时，中标人明确书面表示无需预付款或者主动要求降低预付款比例的，采购人可就预付款比例作相应调整。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合同文本合同</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rPr>
          <w:rFonts w:ascii="Calibri" w:hAnsi="Calibri" w:eastAsia="Calibri" w:cs="Calibri"/>
          <w:color w:val="000000"/>
          <w:sz w:val="24"/>
        </w:rPr>
        <w:t xml:space="preserve"> </w:t>
      </w:r>
      <w:r/>
    </w:p>
    <w:p>
      <w:pPr>
        <w:ind w:left="0" w:right="0" w:firstLine="0"/>
        <w:jc w:val="center"/>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盐城市政府采购合同（服务）（合同编号）</w:t>
      </w:r>
      <w:r/>
    </w:p>
    <w:p>
      <w:pPr>
        <w:ind w:left="0" w:right="0" w:firstLine="0"/>
        <w:jc w:val="center"/>
        <w:spacing w:before="5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（样稿，在未改变实质性条件下，可双方协商确定）</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项目名称：射阳县市场监督管理局2026年食品监督抽检检测服务采购项目                                       </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项目委托单位（甲方）：</w:t>
      </w:r>
      <w:r>
        <w:rPr>
          <w:rFonts w:ascii="SimSun" w:hAnsi="SimSun" w:eastAsia="SimSun" w:cs="SimSun"/>
          <w:color w:val="000000"/>
          <w:sz w:val="24"/>
          <w:u w:val="single"/>
        </w:rPr>
        <w:t xml:space="preserve">射阳县市场监督管理局</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项目承担单位（乙方）：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射阳县市场监督管理局2026年食品监督抽检检测服务采购项目</w:t>
      </w:r>
      <w:r>
        <w:rPr>
          <w:rFonts w:ascii="SimSun" w:hAnsi="SimSun" w:eastAsia="SimSun" w:cs="SimSun"/>
          <w:color w:val="000000"/>
          <w:sz w:val="24"/>
        </w:rPr>
        <w:t xml:space="preserve">公开招标的结果，签署本合同。</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一、服务内容及服务期限</w:t>
      </w:r>
      <w:r/>
    </w:p>
    <w:p>
      <w:pPr>
        <w:ind w:left="239"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（一）服务内容：2026年食品监督抽检检测服务（采购</w:t>
      </w:r>
      <w:r>
        <w:rPr>
          <w:rFonts w:ascii="SimSun" w:hAnsi="SimSun" w:eastAsia="SimSun" w:cs="SimSun"/>
          <w:color w:val="000000"/>
          <w:sz w:val="24"/>
          <w:u w:val="single"/>
        </w:rPr>
        <w:t xml:space="preserve">   </w:t>
      </w:r>
      <w:r>
        <w:rPr>
          <w:rFonts w:ascii="SimSun" w:hAnsi="SimSun" w:eastAsia="SimSun" w:cs="SimSun"/>
          <w:color w:val="000000"/>
          <w:sz w:val="24"/>
        </w:rPr>
        <w:t xml:space="preserve">包号）批次。</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（二）服务期限：自合同签订日起12个月内完成抽检样品的采集、检验、结果报送、数据上传等所有工作。具体检测内容及检测频率按照采购人要求执行。</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二、合同金额（含税价）</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本合同金额为（大写）：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时，经采购人与中标人根据实际情况协商一致，可支付合同总价的30%作为项目启动预付款；中标人在完成抽样检验并提供检验报告书后，根据所完成的任务量以及中标人的成交价格按实支付。中标人开具结算发票，在采购人收到结算发票并确认无误后60日内予以一次性付清，并无息退还履约保证金（如有），以上付款均不计任何利息和相关费用，付款一律通过银行结转，甲方在财政拨款后完成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left="0" w:right="11" w:firstLine="480"/>
        <w:jc w:val="both"/>
        <w:spacing w:before="120" w:after="0" w:line="360"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2、注：经采购人验收，若任务完成情况评估表在70分～79分之间，则按合同金额90%结算；若任务完成情况评估表在80分～89分之间，则按合同金额95%结算；若任务完成情况评估表在90分以上，则按合同金额100%结算。</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乙方交纳人民币_________元作为本合同的履约保证金。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不得超过合同金额的10%，鼓励采购人对AA评级及以上政府采购投标人（需提供信用管理部门备案的第三方信用报告）免收履约保证金或降低履约保证金缴纳比例。依据《关于在全省政府采购领域推行电子履约保函（保险）的通知》，鼓励投标人自愿使用履约保函（保险）代替缴纳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4.2确需收取履约保证金的，履约保证金的缴纳形式：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如以履约保函（保险）形式缴纳履约保证金，供应商可通过政府采购电子履约保函（保险）平台（www.jsdzbh.com）在线申请履约保函（保险）。</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4.3合同履行结束后，甲方应及时退还交纳的履约保证金。</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4.4履约保证金的退还：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4.4.1方式：无息退还至投标人缴纳履约保证金的账户。如为保函，在到期时自行失效。</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4.4.2时间：验收合格且采购人收到发票后10日内。</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4.4.3条件：按合同要求全部履约完成并经采购人验收合格，且采购人收到中标人出具的发票。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4.4.4不予退还情形：</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任务完成后，采购人根据“承检机构任务完成情况评估表”对服务结果进行考核验收，验收结果作为服务费用支付依据。</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0"/>
        <w:gridCol w:w="7017"/>
        <w:gridCol w:w="1158"/>
      </w:tblGrid>
      <w:tr>
        <w:trPr>
          <w:trHeight w:val="36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射阳县</w:t>
            </w:r>
            <w:r>
              <w:rPr>
                <w:rFonts w:ascii="SimSun" w:hAnsi="SimSun" w:eastAsia="SimSun" w:cs="SimSun"/>
                <w:b/>
                <w:color w:val="000000"/>
                <w:sz w:val="24"/>
              </w:rPr>
              <w:t xml:space="preserve">食品安全监督抽检承检机构任务完成情况评估表</w:t>
            </w:r>
            <w:r/>
          </w:p>
        </w:tc>
      </w:tr>
      <w:tr>
        <w:trPr>
          <w:trHeight w:val="3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任务名称：           承检机构名称：                　　　　日期：</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评估得分</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方案制定</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1.食品抽检专项任务应制定抽检实施方案，无实施方案不得分；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方案要贯彻落实《食品安全抽样检验管理办法》《食品安全抽样检验工作规范》，体现食品抽检防范食品安全系统性风险、打击食品行业违法犯罪行为、支撑食品安全监管执法的作用。方案应包含但不限于以下（一）至（六）项内容，方案操作性不强的视情扣分，共计15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（一）基本情况：至少包含任务来源、任务类型、承检机构、批次数等内容；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（二）必要性和可行性：至少包含任务意义、目标（风险排查、活动保障、打击违法、专项整治等）；抽检可行性（含抽检资质、能力等）等内容；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（三）组织实施：明确具体举措，责任到人，体现重点，确保任务目的达成，包括项目专员委派、抽检重点品种、区域、主体、项目等内容；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（四）时间安排；</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（五）注意事项：至少包含《食品安全抽样检验管理办法》第21条的贯彻落实、不合格食品原因分析建议书、与属地局联系、结果报送、国抽系统数据上报、资料汇总留存等内容；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（六）数据分析、监管建议、宣传报道等。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3.要以不少于总批次10%、不高于总批次30%的任务批次数开展方案验证，验证结果达不到方案目标的视情扣分，共计5分，扣完为止。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抽检流程</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1.根据《食用农产品抽样检验和核查处置规定》《食品安全抽样检验管理办法》要求，开展抽检工作；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2.任务书、工作证、抽样照片、样品运输与流转，发现并确认存在不规范操作的扣1分，共计7分，扣完为止；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3.抽样前未效验，导致重复抽检等情况，发现一起扣2分，共计8分，扣完为止；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4.因抽样过程有问题被申请异议且认可的，扣5分。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数据录入</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1.抽检数据被市局评查出错误数据每一条扣1分，共计8分，扣完为止；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2.抽检数据被省局反馈并确认错误数据每一条扣2分，共计12分，扣完为止。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任务完成</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时效性</w:t>
            </w:r>
            <w:r/>
          </w:p>
          <w:p>
            <w:pPr>
              <w:ind w:left="0" w:right="0" w:firstLine="0"/>
              <w:jc w:val="center"/>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1.未反馈市场监管分局抽样建议征集表，每次扣1分，共计5分，扣完为止；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2.检测报告在20个工作日内完成，超期1批次，扣3分，共计6分，扣完为止；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3.未按抽检实施方案完成抽检任务，延期1次扣2分，共计4分，扣完为止；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4.检出不合格报告应第一时间报送电子版报告，尽快报送纸质版报告，未及时报送，扣2分；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5.任务完成后应报送任务分析及监管建议、科普新闻稿，未报送视情扣3分。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问题检出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靶向性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1.普通食品专项任务问题检出率不低于3%，食用农产品专项任务问题检出率不低于4%，未按约定完成不合格检出率要求，少于合同约定每0.2%，扣2分，共计20分，扣完为止；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2.不合格检出率超过合同约定的每0.2%（普通食品专项任务中食用农产品及餐饮具合计检出批次不得超出不合格食品食品检出总批次的50%），加2分，加分上限为10分。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违法线索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1.抽检中发现“两超一非”类项目不合格食品批次占比超过任务总批次数50%，每0.5%加1分；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3.实验室检验中，发现方案规定以外的检验项目不合格，且准确判定风险等级的，每批次加2分。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4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评估流程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4"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评估由任务委托机构（射阳县市场监督管理局食品协调科）组织实施，对任务完成情况进行评估计分，评估结果由任务负责人签字确认后纳入费用结算。</w:t>
            </w:r>
            <w:r/>
          </w:p>
        </w:tc>
      </w:tr>
      <w:tr>
        <w:trPr>
          <w:trHeight w:val="42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任务负责人：                                                日期： </w:t>
            </w:r>
            <w:r/>
          </w:p>
        </w:tc>
      </w:tr>
    </w:tbl>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六、甲方的权利和义务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（一）负责工作任务的下达和资金的及时支付。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（二）提供抽检工作所需相关文书。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（三）对乙方完成任务情况及抽检工作质量进行检查考核，并依规定采取相应的处理措施。</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七、乙方的权利和义务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遵守食品安全抽检监测承检机构工作规定相关要求，确保具备所承担抽检任务涉及食品以及检验项目的检验能力和相关资质，能够对检验结论进行准确判定。如有违反，乙方须向甲方承担按照合同总金额20%计算的违约金，同时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范围的抽样检验服务，应由乙方直接供应，不得将本合同项下的全部或部分服务转让他人供应；乙方不得租赁或借用他人检验设备完成所承担的检验服务。如有违反，乙方须向甲方承担按照合同总金额20%计算的违约金，同时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应具备保证完成抽检监测任务所需的仪器设备、实验室环境、技术人员等工作条件，并在任务实施过程中予以保持。如有违反，乙方须向甲方承担按照合同总金额20%计算的违约金，同时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按照甲方要求，及时完成符合要求的抽样地点、抽检单位类型的样品采集工作。如有违反，乙方须向甲方承担3000元/天的违约金。逾期超过10天的，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须拥有安全有效的实验室信息化管理系统和信息分析汇总人员，保证按时完成高质量的食品安全抽检数据上报工作。如有违反，乙方须向甲方承担3000元/天的违约金。逾期超过10天的，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须如实上报样品信息、检验结果和抽检分析报告；须认真总结和分析抽检工作，并对检验工作负责，确保所承担的抽样、检验等相关工作科学、公正、准确。如乙方在检验过程中发现被检样品存在严重安全问题的，或检验出现明显异常情况的（如食品中检出三聚氰胺等、检出非法添加非食用物质、可能危及人体健康的重要安全问题、以及其他重大异常情况等），应当立即向甲方报告。如有违反，乙方须向甲方承担按照合同总金额30%计算的违约金，同时甲方有权解除本合同。如乙方存在故意隐瞒前述情形的，甲方可依法追究乙方相应的经济、法律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甲方关于抽检工作各环节的时间进度安排，及时将检验报告和规定的材料及有关情况报送甲方。对于无法按时上报的情况要事先向甲方书面说明情况，在经得甲方同意后方可延期。如未经甲方同意的，乙方须向甲方承担3000元/天的违约金。逾期超过10天的，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（八）接受甲方对抽检工作质量监督检查和考核。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（九）严格遵守国家法律、法规的规定和抽检工作有关纪律要求。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1.不得在开展抽样工作前事先通知被抽检食品生产经营单位；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2.不得以承担抽检任务的名义向被抽检食品生产经营单位和其他单位承揽业务；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3.在承担抽检任务期间，不与食品生产经营单位签订同类食品的有偿服务协议及其它与本单位利益相关的工作；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4.不得接受被抽检企业的馈赠，不发生利用抽检工作牟取利益的其它行为；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5.开展抽检工作，不得收取被抽检食品生产经营单位费用；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6.不得以各种形式利用抽检结果参与有偿活动，不开展食品推荐、评比活动，不向受检食品生产经营单位发放抽检合格证书或牌匾；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7.如与食品生产、经营企业存在股权、期权持有或被持有关系，或与食品生产经营企业存在长期有偿服务合同等可能影响食品安全抽检公平、公正情况的，应向甲方报告并主动回避相应食品大类的抽检工作。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8.遵守保密纪律要求。未经甲方同意，不得以任何方式向被抽检食品生产经营单位或其他单位、人员以及公众透露任何与检验任务、检验结果有关的信息。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如乙方存在上述1-8项中的任意一项行为的，须向甲方承担按照合同总金额30%计算的违约金，同时甲方有权解除本合同（如前述违约金不足以弥补甲方损失的，乙方应补足）。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（十）未经甲方同意，不得单方面拒绝或放弃履行承检义务。</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八、违约责任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（一）甲方如出现未提供抽检计划的行为，乙方可停止执行甲方提出的抽检检验任务。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（二）对乙方出现的如下情形，甲方有权扣除其检验费用、解除合同并取消检验资格：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1.拒绝、阻挠、逃避甲方对抽检工作质量开展监督检查和考核的；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2.未经甲方许可减少或调换抽样检验品种、批次、项目或抽样区域、环节的；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（三）对乙方出现的如下情形，造成不良结果的，甲方将不再委托检验任务、解除合同直至追究法律责任：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1.出具虚假、错误检验数据和报告的；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2.违反保密规定，向甲方以外单位或被抽检方泄露检验结果；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3.超资质范围出具检验报告、未按照规定时限出具检验报告；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4.因运输、保存不当导致备份样品丢失或损毁的；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5.乙方持有食品生产、经营企业股权、期权或与食品生产经营企业存在长期有偿服务合同等可能影响食品安全抽检公平、公正情况而未向甲方备案；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6.乙方出具的检验报告单位名称与投标法人不一致。</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九、安全责任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及乙方工作人员在履行本合同项下所有义务过程中的人身、财产安全均由乙方自行承担，与甲方无涉。在履行本合同过程中，如非因甲方原因，乙方或乙方工作人员对任意第三人造成人身、财产损害的，由乙方自行承担相应的经济、法律责任。</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十、合同争议的解决方式</w:t>
      </w:r>
      <w:r/>
    </w:p>
    <w:p>
      <w:pPr>
        <w:ind w:left="0" w:right="0" w:firstLine="60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双方在执行合同中所发生的一切争议，应通过协商解决。如协商不成，可向合同签订地法院起诉，合同签订地在此约定为射阳县。</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十一、合同生效及其它</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（一）合同经双方法定代表人或授权委托代表人签字并加盖单位公章后生效。</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（二）在合同执行过程中，如需变更合同内容，应由甲乙双方共同协商，签订补充文件。补充签订的文件与本合同具有同等法律效力。</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（三）本合同一式三份，具有同等法律效力，甲方、乙方及招标代理公司各执一份。</w:t>
      </w:r>
      <w:r/>
    </w:p>
    <w:p>
      <w:pPr>
        <w:ind w:left="0" w:right="0" w:firstLine="72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地址：地址： </w:t>
      </w:r>
      <w:r/>
    </w:p>
    <w:p>
      <w:pPr>
        <w:ind w:left="0" w:right="0" w:firstLine="72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72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 </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承检机构负责抽样。承检机构在进行抽样时，应依据国家市场监督管理总局制定的《食品安全监督抽检监测和风险监测工作规范》规定的抽样方法及数量抽取、保存和运输，并严格按照采购方抽检计划规定的产品类别、批次和时间安排等开展抽检有关工作，自备抽样工具和车辆，必须保证抽检、监测分离、抽样人员与检验人员不得为同一人。不得向被抽检企业收取检验费和其他任何费用。抽检工作分为以下七个阶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①选择承检机构；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②抽样；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③检验、检验报告出具以及检验结果的确认；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④异议处理工作；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⑤汇总材料及上报；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⑥后处理，采购人负责监督抽查后处理工作；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2、承检机构应严格按照《食品安全监督抽检监测和风险监测实施细则》规定的项目和检验方法开展检验工作，不得擅自增加或者减少检验项目，不得擅自修改实施细则中确定的检验方法，确保检验数据准确。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检机构应在规定的时间内完成采购人部署的抽检监测工作，依法出具检验报告，上报数据至指定的数据平台，汇总样品抽样检测结果信息，提交抽样检测工作分析总结报告，未经采购方同意不得擅自发布抽样检测结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任务由采购人确定，承检机构必须具备该任务监督抽检所有检验项目的有效期内的CMA资质，如承检机构不具有相应资质或资质已过期，应及时主动提出，采购人有权选择具备资质的机构；各承检机构必须自觉接受采购人每年的考核、检查、比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5、因违反抽样、检验、信息披露等相关规定的，采购人有权取消其承检资格并追究其经济赔偿责任和法律责任。</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二、总体任务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项目共分五个包,各包信息如下：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采购1包（对应区域：合德镇（除富民批发市场）），单批次最高限价700元，合同金额60.2万元；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采购2包（对应区域：县开发区、合德镇部分，单批次最高限价700元，合同金额60.2万元；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采购3包（对应区域：千秋镇、临海农场、临海镇、淮海农场、富民批发市场），单批次最高限价700元，合同金额60.2万元；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采购4包（对应区域：海通镇、射阳港、黄沙港、盐场、四明镇、新坍镇、长荡镇），单批次最高限价700元，合同金额60.2万元；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采购5包（对应区域：盘湾镇、特庸镇、海河镇、县开发区部分、兴桥镇、洋马镇、新洋农场），单批次最高限价700元，合同金额60.2万元；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投标报价高于最高限价的，采购人将不予接受，视为无效标书。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检验项目：普通食品按照《国家食品安全监督抽检实施细则》（2026年版）检验要求，检验项目不低于50%；食用农产品按“市、县食用农产品监督抽检重点品种必检和自选项目表”文件所列检验项目进行检测，必检项目必须全部检测，自选项目至少检测2个项目。另在上述要求之外，投标人须根据采购人要求，或结合季节、产品等特点，增加相关检验参数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质量标准：根据食品安全国家标准、食品安全江苏省地方标准或国家市场监督管理总局《国家食品安全监督抽检实施细则》（2026版）里项目、方法判定标准进行判定。</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三、其它说明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（一）商务要求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费用综合单价包括（但不限于）：人力成本、设备成本、抽样买样购样费用、检测费用、出报告费用、利润、税金、采购代理费和不可预见费用等为完成本项目所需的全部费用的总和，采购人不再支付任何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2、服务期：自合同签订日起12个月内完成所有抽检项目并出具检验报告，具体检测内容及检测频率按照采购人要求执行。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3、完工地点：采购人指定地点。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①抽样时间：按照采购方实际需求确定时间。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②抽样地点：根据实际工作要求，由采购方确定具体抽样地点。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③抽样人员：每次抽检由中标人安排2名以上工作人配合采购方抽样，承诺配备能同时出动2组（2人一组）或以上专业抽样人员。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④抽样办法：根据检验项目及国家标准中规定的采样方法及采样数量抽取样品。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⑤检验依据：依据食品安全国家标准、食品安全江苏省地方标准或国家食药监总局《食品安全抽检实施细则》（最新版）要求一致。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⑥样品运输：由中标人负责，并确保样品安全。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⑦样品检验：由中标人负责，并对样品检验结果负责。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⑧交通工具：中标人单日能安排配套的抽样车辆2台，并配有车载冰箱。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⑨抽检方案：由采购方提供具体的项目实施方案。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①投标人负责提供每次抽检所需的交通工作，积极配合抽检工作。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②实验室检验设备、检验人员充实，能满足食品检验的特殊要求，能按时按质完成抽检任务，出具合法有效的检验报告。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③投标人须以承诺函的形式承诺近3年无食品检验数据严重质量问题。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④投标人应按照专业操守尽职尽责，根据相关标准进行样品的抽样、检验及判定工作，并且按当次抽检方案约定日期出具体检验报告；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⑤食品安全抽检监测工作遵照《食品安全抽样检验管理办法》和国家食药监总局制定的《食品安全监督抽检和风险监测工作规范》执行。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⑥投标人对其抽取的样品负责，检验结果反映送检样品的真实状况。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⑦投标人应针对每次任务提供承接项目的质量保障计划、措施和结果，保证原始记录规范完整，并接受采购人组织的专家检验及评估。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（三）其他事项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①投标人必须自觉接受采购方的考核、检查、比对。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②投标人出具检验报告后，在规定时间内将检验数据录入国家食品安全抽检检验信息系统。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③在抽检过程中如中标人存在抽样、检验质量事故的，采购人有权不再分配抽检任务；如造成经济损失及不良影响的，追究其经济赔偿责任和法律责任。</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四、付款方式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时，经采购人与中标人根据实际情况协商一致，可支付合同总价的30%作为项目启动预付款；中标人在完成抽样检验并提供检验报告书后，根据所完成的任务量以及中标人的成交价格按实支付。中标人开具结算发票，在采购人收到结算发票并确认无误后60日内予以一次性付清，并无息退还履约保证金（如有），以上付款均不计任何利息和相关费用，付款一律通过银行结转，甲方在财政拨款后完成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left="0" w:right="11" w:firstLine="480"/>
        <w:jc w:val="both"/>
        <w:spacing w:before="120" w:after="0" w:line="360"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2、注：经采购人验收，若任务完成情况评估表在70分～79分之间，则按合同金额90%结算；若任务完成情况评估表在80分～89分之间，则按合同金额95%结算；若任务完成情况评估表在90分以上，则按合同金额100%结算。</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五、验收方式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任务完成后，采购人根据“承检机构任务完成情况评估表”对服务结果进行考核验收，验收结果作为服务费用支付依据。</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0"/>
        <w:gridCol w:w="7017"/>
        <w:gridCol w:w="1158"/>
      </w:tblGrid>
      <w:tr>
        <w:trPr>
          <w:trHeight w:val="36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射阳县食品安全监督抽检承检机构任务完成情况评估表</w:t>
            </w:r>
            <w:r/>
          </w:p>
        </w:tc>
      </w:tr>
      <w:tr>
        <w:trPr>
          <w:trHeight w:val="3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任务名称：               承检机构名称：                　　　日期：</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评估得分</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方案制定</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1.食品抽检专项任务应制定抽检实施方案，无实施方案不得分；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方案要贯彻落实《食品安全抽样检验管理办法》《食品安全抽样检验工作规范》，体现食品抽检防范食品安全系统性风险、打击食品行业违法犯罪行为、支撑食品安全监管执法的作用。方案应包含但不限于以下（一）至（六）项内容，方案操作性不强的视情扣分，共计15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（一）基本情况：至少包含任务来源、任务类型、承检机构、批次数等内容；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（二）必要性和可行性：至少包含任务意义、目标（风险排查、活动保障、打击违法、专项整治等）；抽检可行性（含抽检资质、能力等）等内容；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（三）组织实施：明确具体举措，责任到人，体现重点，确保任务目的达成，包括项目专员委派、抽检重点品种、区域、主体、项目等内容；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（四）时间安排；</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（五）注意事项：至少包含《食品安全抽样检验管理办法》第21条的贯彻落实、不合格食品原因分析建议书、与属地局联系、结果报送、国抽系统数据上报、资料汇总留存等内容；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（六）数据分析、监管建议、宣传报道等。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3.要以不少于总批次10%、不高于总批次30%的任务批次数开展方案验证，验证结果达不到方案目标的视情扣分，共计5分，扣完为止。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抽检流程</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1.根据《食用农产品抽样检验和核查处置规定》《食品安全抽样检验管理办法》要求，开展抽检工作；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2.任务书、工作证、抽样照片、样品运输与流转，发现并确认存在不规范操作的扣1分，共计7分，扣完为止；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3.抽样前未效验，导致重复抽检等情况，发现一起扣2分，共计8分，扣完为止；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4.因抽样过程有问题被申请异议且认可的，扣5分。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数据录入</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1.抽检数据被市局评查出错误数据每一条扣1分，共计8分，扣完为止；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2.抽检数据被省局反馈并确认错误数据每一条扣2分，共计12分，扣完为止。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任务完成</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时效性</w:t>
            </w:r>
            <w:r/>
          </w:p>
          <w:p>
            <w:pPr>
              <w:ind w:left="0" w:right="0" w:firstLine="0"/>
              <w:jc w:val="center"/>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1.未反馈市场监管分局抽样建议征集表，每次扣1分，共计5分，扣完为止；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2.检测报告在20个工作日内完成，超期1批次，扣3分，共计6分，扣完为止；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3.未按抽检实施方案完成抽检任务，延期1次扣2分，共计4分，扣完为止；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4.检出不合格报告应第一时间报送电子版报告，尽快报送纸质版报告，未及时报送，扣2分；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5.任务完成后应报送任务分析及监管建议、科普新闻稿，未报送视情扣3分。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问题检出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靶向性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1.普通食品专项任务问题检出率不低于3%，食用农产品专项任务问题检出率不低于4%，未按约定完成不合格检出率要求，少于合同约定每0.2%，扣2分，共计20分，扣完为止；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2.不合格检出率超过合同约定的每0.2%（普通食品专项任务中食用农产品及餐饮具合计检出批次不得超出不合格食品食品检出总批次的50%），加2分，加分上限为10分。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违法线索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1.抽检中发现“两超一非”类项目不合格食品批次占比超过任务总批次数50%，每0.5%加1分；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3.实验室检验中，发现方案规定以外的检验项目不合格，且准确判定风险等级的，每批次加2分。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4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spacing w:before="0" w:after="0" w:line="57" w:lineRule="atLeast"/>
            </w:pP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评估流程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4"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评估由任务委托机构（射阳县市场监督管理局食品协调科）组织实施，对任务完成情况进行评估计分，评估结果由任务负责人签字确认后纳入费用结算。</w:t>
            </w:r>
            <w:r/>
          </w:p>
        </w:tc>
      </w:tr>
      <w:tr>
        <w:trPr>
          <w:trHeight w:val="68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任务负责人：                                                日期： </w:t>
            </w:r>
            <w:r/>
          </w:p>
        </w:tc>
      </w:tr>
    </w:tbl>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六、安全管理要求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1、为贯彻“安全第一，预防为主”方针，中标人</w:t>
      </w:r>
      <w:r>
        <w:rPr>
          <w:rFonts w:ascii="SimSun" w:hAnsi="SimSun" w:eastAsia="SimSun" w:cs="SimSun"/>
          <w:b/>
          <w:color w:val="ff0000"/>
          <w:sz w:val="24"/>
        </w:rPr>
        <w:t xml:space="preserve">应为项目安装服务人员购买不记名意外伤害保险</w:t>
      </w:r>
      <w:r>
        <w:rPr>
          <w:rFonts w:ascii="SimSun" w:hAnsi="SimSun" w:eastAsia="SimSun" w:cs="SimSun"/>
          <w:color w:val="000000"/>
          <w:sz w:val="24"/>
        </w:rPr>
        <w:t xml:space="preserve">。中标人在项目安装调试现场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2、若发生安全问题，由中标人自行负责处理并承担一切经济和法律责任，其与采购人一切无关，同时按合同要求保证项目进度，按时完工。</w:t>
      </w:r>
      <w:r>
        <w:rPr>
          <w:rFonts w:ascii="SimSun" w:hAnsi="SimSun" w:eastAsia="SimSun" w:cs="SimSun"/>
          <w:b/>
          <w:color w:val="000000"/>
          <w:sz w:val="24"/>
        </w:rPr>
        <w:tab/>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七、投标人总体要求</w:t>
      </w:r>
      <w:r/>
    </w:p>
    <w:p>
      <w:pPr>
        <w:ind w:left="0" w:right="0" w:firstLine="482"/>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为了保障项目安全有序、实施有保障，体现投标人履约能力：</w:t>
      </w:r>
      <w:r/>
    </w:p>
    <w:p>
      <w:pPr>
        <w:ind w:left="0" w:right="0" w:firstLine="49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1、投标人须具有较强的人员配备，具有与食品抽检工作相匹配的专职抽样人员和检验人员，其中专职抽样人员不少于10人，检验人员不少于30人，相关人员须是投标单位正式员工；</w:t>
      </w:r>
      <w:r/>
    </w:p>
    <w:p>
      <w:pPr>
        <w:ind w:left="0" w:right="0" w:firstLine="49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投标人须具有满足食品安全检测的设施及仪器设备；具有实施本项目的专业类能力；具备满足食品抽检工作要求的抽样工具、车辆及特殊贮存条件要求的运输设备。具备用于采样过程视频取证的采样记录仪不少于10部，提供合格备份样品再利用工作情况。</w:t>
      </w:r>
      <w:r/>
    </w:p>
    <w:p>
      <w:pPr>
        <w:ind w:left="0" w:right="0" w:firstLine="49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3、投标人须具备丰富的各级食品监督抽检项目相关经验，确保本项目的顺利实施，提供类似项目业绩。</w:t>
      </w:r>
      <w:r/>
    </w:p>
    <w:p>
      <w:pPr>
        <w:ind w:left="0" w:right="0" w:firstLine="49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4、投标人须提供详细的项目实施方案，确保项目保质保量、安全有序实施。</w:t>
      </w:r>
      <w:r/>
    </w:p>
    <w:p>
      <w:pPr>
        <w:ind w:left="0" w:right="0" w:firstLine="48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5、投标人须承诺派遣项目专员负责制定抽样方案、协助食品抽检监测数据汇总和信息公示、协助采购人做工作协调，直至项目结项。（提供承诺书，格式自拟）</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八、特别说明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1、报价含项目成果交付前一切费用，不接受选择性报价。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2、对本项目投标人资格要求、项目需求、评分标准等的质疑由采购人负责答复；采购单位具有项目的解释权，质疑函和答复须同时报采购代理机构备案管理。</w:t>
      </w:r>
      <w:r/>
    </w:p>
    <w:p>
      <w:pPr>
        <w:ind w:left="0" w:right="11" w:firstLine="562"/>
        <w:jc w:val="both"/>
        <w:spacing w:before="120" w:after="0" w:line="439" w:lineRule="atLeast"/>
        <w:tabs>
          <w:tab w:val="left" w:pos="627" w:leader="none"/>
          <w:tab w:val="left" w:pos="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九、采购标的对应的中小企业划分标准所属行业一览表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根据《工业和信息化部、国家统计局、国家发展和改革委员会、财政部关于印发中小企业划型标准规定的通知》（工信部联企业[2011]300号）规定的划分标准填写。 </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4220"/>
        <w:gridCol w:w="3451"/>
      </w:tblGrid>
      <w:tr>
        <w:trPr>
          <w:trHeight w:val="1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0"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0"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射阳县市场监督管理局2026年食品监督抽检检测服务采购项目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240" w:after="24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第五章  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b/>
          <w:color w:val="000000"/>
          <w:sz w:val="24"/>
        </w:rPr>
        <w:t xml:space="preserve">综合评分法</w:t>
      </w:r>
      <w:r>
        <w:rPr>
          <w:rFonts w:ascii="SimSun" w:hAnsi="SimSun" w:eastAsia="SimSun" w:cs="SimSun"/>
          <w:color w:val="000000"/>
          <w:sz w:val="24"/>
        </w:rPr>
        <w:t xml:space="preserve">，评标结果按评审后每包得分由高到低顺序排列。投标文件满足招标文件全部实质性要求，且按照每包评审因素的量化指标评审得分最高的投标人为中标候选人。本项目每包选取1名中标候选人。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如总得分相同的，按项目实施方案得分最高的投标人确定为本项目的第一中标候选人。本项目每包选取1名中标候选人。采购人确定每包排名第一的中标候选人为中标人并与其签订合同。</w:t>
      </w:r>
      <w:r/>
    </w:p>
    <w:p>
      <w:pPr>
        <w:ind w:left="0" w:right="0" w:firstLine="441"/>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划分为5个包，所有投标人均可报名参加上述5个采购包的投标，采用兼投不兼中原则，若该投标人经评审后成为采购包1中标候选人排名的第一名，则不再推荐该投标人为采购包2及之后各包的中标候选人。开标、评标、定标顺序以采购包1至采购包5顺序依次进行。不因前面开标、评标确认的第一中标候选人因质疑、投诉、复议被取消第一中标候选人（或中标人）资格，而改变后面开标、评标确定的中标候选人结果。</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（1）本项目5个包均专门面向中小企业采购，不再对小型和微型企业产品给予价格扣除。</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（2）供应商需按照招标文件的要求提供相应的《企业声明函》。</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（3）本次采购项目属于其他未列明行业。</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（4）企业标准请参照《关于印发中小企业划型标准规定的通知》（工信部联企业[2011]300号）文件规定自行填写。</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（5）本项目对残疾人福利性单位视同小型、微型企业。残疾人福利单位标准请参照《关于促进残疾人就业政府采购政策的通知》（财库〔2017〕141号），需提供《残疾人福利性单位声明函》。</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2020〕46号）规定要求提供声明函内容不实的，即不属于中小企业参与本项目投标的，属于提供虚假材料谋取中标，依照《中华人民共和国政府采购法》等国家有关规定追究相应责任，请各投标人予以关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（9）本文件中若涉及到数据中心采购，应按照《&lt;绿色数据中心政府采购需求标准（试行）&gt;的通知》（财库〔2023〕7号）执行。</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三、评标方法与评标标准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本项目采用综合评分法确定每包成交候选供应商。，标委员会将按下列评分办法和标准进行评分，总分值为100分。</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分包</w:t>
      </w:r>
      <w:r>
        <w:rPr>
          <w:rFonts w:ascii="Arial" w:hAnsi="Arial" w:eastAsia="Arial" w:cs="Arial"/>
          <w:b/>
          <w:color w:val="000000"/>
          <w:sz w:val="24"/>
        </w:rPr>
        <w:t xml:space="preserve">1</w:t>
      </w:r>
      <w:r>
        <w:rPr>
          <w:rFonts w:ascii="DengXian" w:hAnsi="DengXian" w:eastAsia="DengXian" w:cs="DengXian"/>
          <w:b/>
          <w:color w:val="000000"/>
          <w:sz w:val="24"/>
        </w:rPr>
        <w:t xml:space="preserve">、分包</w:t>
      </w:r>
      <w:r>
        <w:rPr>
          <w:rFonts w:ascii="Arial" w:hAnsi="Arial" w:eastAsia="Arial" w:cs="Arial"/>
          <w:b/>
          <w:color w:val="000000"/>
          <w:sz w:val="24"/>
        </w:rPr>
        <w:t xml:space="preserve">2</w:t>
      </w:r>
      <w:r>
        <w:rPr>
          <w:rFonts w:ascii="DengXian" w:hAnsi="DengXian" w:eastAsia="DengXian" w:cs="DengXian"/>
          <w:b/>
          <w:color w:val="000000"/>
          <w:sz w:val="24"/>
        </w:rPr>
        <w:t xml:space="preserve">、分包</w:t>
      </w:r>
      <w:r>
        <w:rPr>
          <w:rFonts w:ascii="Arial" w:hAnsi="Arial" w:eastAsia="Arial" w:cs="Arial"/>
          <w:b/>
          <w:color w:val="000000"/>
          <w:sz w:val="24"/>
        </w:rPr>
        <w:t xml:space="preserve">3</w:t>
      </w:r>
      <w:r>
        <w:rPr>
          <w:rFonts w:ascii="DengXian" w:hAnsi="DengXian" w:eastAsia="DengXian" w:cs="DengXian"/>
          <w:b/>
          <w:color w:val="000000"/>
          <w:sz w:val="24"/>
        </w:rPr>
        <w:t xml:space="preserve">、分包</w:t>
      </w:r>
      <w:r>
        <w:rPr>
          <w:rFonts w:ascii="Arial" w:hAnsi="Arial" w:eastAsia="Arial" w:cs="Arial"/>
          <w:b/>
          <w:color w:val="000000"/>
          <w:sz w:val="24"/>
        </w:rPr>
        <w:t xml:space="preserve">4</w:t>
      </w:r>
      <w:r>
        <w:rPr>
          <w:rFonts w:ascii="DengXian" w:hAnsi="DengXian" w:eastAsia="DengXian" w:cs="DengXian"/>
          <w:b/>
          <w:color w:val="000000"/>
          <w:sz w:val="24"/>
        </w:rPr>
        <w:t xml:space="preserve">、分包</w:t>
      </w:r>
      <w:r>
        <w:rPr>
          <w:rFonts w:ascii="Arial" w:hAnsi="Arial" w:eastAsia="Arial" w:cs="Arial"/>
          <w:b/>
          <w:color w:val="000000"/>
          <w:sz w:val="24"/>
        </w:rPr>
        <w:t xml:space="preserve">5</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
        <w:gridCol w:w="304"/>
        <w:gridCol w:w="8861"/>
        <w:gridCol w:w="94"/>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2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采用低价优先法计算，即满足招标文件要求且投标价格最低的投标报价为评标基准价，其价格分为满分10分。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其他投标人的价格分统一按照下列公式计算：投标报价得分=(评标基准价/投标报价)×10（小数点保留两位）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投标人须具有与食品抽检工作相匹配的专职抽样人员和检验人员：</w:t>
            </w:r>
            <w:r/>
          </w:p>
          <w:p>
            <w:pPr>
              <w:ind w:left="0" w:right="0" w:firstLine="480"/>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1.人员数量（6分）</w:t>
            </w:r>
            <w:r/>
          </w:p>
          <w:p>
            <w:pPr>
              <w:ind w:left="0" w:right="0" w:firstLine="480"/>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①投标人拟投入的食品抽样人员在满足10人的基础上，每增加1人得0.3分，本项最高得3分。</w:t>
            </w:r>
            <w:r/>
          </w:p>
          <w:p>
            <w:pPr>
              <w:ind w:left="0" w:right="0" w:firstLine="480"/>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②投标人拟投入的食品检验人员在满足30人的基础上，每增加1人得0.3分，本项最高得3分。</w:t>
            </w:r>
            <w:r/>
          </w:p>
          <w:p>
            <w:pPr>
              <w:ind w:left="0" w:right="0" w:firstLine="482"/>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注：以上人员须为本单位职工，提供相关工作证明及食品岗位证明材料的彩色扫描件加盖投标人公章，未提供或提供材料不全的不得分，同一人员不重复得分。</w:t>
            </w:r>
            <w:r/>
          </w:p>
          <w:p>
            <w:pPr>
              <w:ind w:left="0" w:right="0" w:firstLine="480"/>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2.人员实力（4分）</w:t>
            </w:r>
            <w:r/>
          </w:p>
          <w:p>
            <w:pPr>
              <w:ind w:left="0" w:right="0" w:firstLine="480"/>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投标人拟投入人员中具有副高级及以上职称的每有1人得0.5分，最多得2分；有中级及以上职称的每有1人得0.2分，最多得2分，本项最多得4分。</w:t>
            </w:r>
            <w:r/>
          </w:p>
          <w:p>
            <w:pPr>
              <w:ind w:left="0" w:right="0" w:firstLine="482"/>
              <w:jc w:val="both"/>
              <w:spacing w:before="200" w:after="200" w:line="320" w:lineRule="atLeast"/>
              <w:tabs>
                <w:tab w:val="left" w:pos="8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注：以上人员须为本单位职工，提供相关工作证明及职称证书彩色扫描件加盖投标人公章，未提供或提供材料不全的不得分，同一人员不重复得分。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投标人须具有满足食品安全检测的设施及仪器设备：</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液相色谱-质谱联用仪2台、气相色谱-质谱联用仪2台、液相色谱仪2台、气相色谱仪2台、气相色谱串联质谱仪（GC-MS/MS）1台、电感耦合等离子质谱仪（ICP-MS）1台、原子荧光光谱仪1台、原子吸收分光光度计1台的得基本分3分，以上所列仪器每少一种扣0.5分；以上全部具备的基础上，每增加一台大型设备【大型设备指：液相色谱-质谱联用仪 、气相色谱-质谱联用仪、液相色谱仪、气相色谱仪、气相色谱串联质谱仪（GC-MS/MS）、电感耦合等离子质谱仪（ICP-MS）】加0.5分，不全不加分，最多加4分，本项</w:t>
            </w:r>
            <w:r>
              <w:rPr>
                <w:rFonts w:ascii="SimSun" w:hAnsi="SimSun" w:eastAsia="SimSun" w:cs="SimSun"/>
                <w:color w:val="000000"/>
                <w:sz w:val="24"/>
              </w:rPr>
              <w:t xml:space="preserve">最高得7分。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提供以上仪器设备清单、仪器校准证书、购置发票及仪器在实验室的照片等证明材料彩色扫描件加盖投标人公章，相关设备的证明材料提供不全的该设备不得分。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r>
      <w:tr>
        <w:trPr>
          <w:trHeight w:val="24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专业类能力</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1.综合覆盖率（6分）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投标人对国抽细则2026版中除婴幼儿配方食品和特医食品之外的37大类食品列出的各产品检验项目表的项目覆盖率，覆盖率低于95%的不得分，达到95%的得基本分1分，每增加1%得1分，本项最高得6分。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提供资质证书及实验室检验项目资质表，并与2026年国抽细则检验指标进行对照，标明对应资质附表中的页码，相关证明材料加盖投标人公章，评委现场核对，未提供或提供材料不全或不一致的不得分。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2.专业类产品检测能力（2分）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投标人通过CNAS认证的得1分，通过CATL考核的得1分，本项最高得2分。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提供相关证明材料原件彩色扫描件并加盖投标人公章。</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3.质量体系（2分）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投标人具有与食品相关的质量管理体系认证证书的得2分，本项最高得2分</w:t>
            </w:r>
            <w:r>
              <w:rPr>
                <w:rFonts w:ascii="SimSun" w:hAnsi="SimSun" w:eastAsia="SimSun" w:cs="SimSun"/>
                <w:b/>
                <w:color w:val="000000"/>
                <w:sz w:val="24"/>
              </w:rPr>
              <w:t xml:space="preserve">。</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提供有效期内的证书彩色扫描件加盖投标人公章，未提供的不得分。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4.实验室能力验证（6分）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2024年1月1日以来，参加过相关机构组织的食品检测项目的实验室能力验证或市场监管部门组织的盲样考核，并获得满意结果的，具备全部9个领域，得6分；具备8个领域，得5分；具备7个领域，得4分；具备6个领域，得3分；其他不得分；本项最高得6分。（9个领域为：农药残留、兽药残留、重金属、真菌毒素、食品添加剂、非法添加、微生物、营养元素、动物源性成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提供能力验证报告或证明结果满意的证书扫描件加盖投标人公章，证明材料信息与投标人一致，信息不一致或获得不满意结果的或未提供有效证明文件或证明文件不清晰、不明确、不符合要求的均不得分。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16分</w:t>
            </w:r>
            <w:r/>
          </w:p>
        </w:tc>
      </w:tr>
      <w:tr>
        <w:trPr>
          <w:trHeight w:val="3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保障工作</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投标人具备满足食品抽检工作要求的抽样工具、车辆及特殊贮存条件要求的运输设备情况：</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①投标人自有或租赁采样车在满足2辆的基础上，每增加一辆得0.4分，本项最高得2分；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②投标人自有或租赁温控冷藏车在满足2辆的基础上，每增加一辆得1分，本项最高得2分；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③投标人具备用于样品保存的车载冰箱或冷藏箱，每有5个得1分，本项最高得2分；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④投标人具备用于采样过程视频取证的采样记录仪不少于10部（含）的得2分；少于10部的不得分，本项最高得2分。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提供车辆的《机动车行驶证》彩色扫描件</w:t>
            </w:r>
            <w:r>
              <w:rPr>
                <w:rFonts w:ascii="SimSun" w:hAnsi="SimSun" w:eastAsia="SimSun" w:cs="SimSun"/>
                <w:b/>
                <w:color w:val="000000"/>
                <w:spacing w:val="-11"/>
                <w:sz w:val="24"/>
              </w:rPr>
              <w:t xml:space="preserve">加盖</w:t>
            </w:r>
            <w:r>
              <w:rPr>
                <w:rFonts w:ascii="SimSun" w:hAnsi="SimSun" w:eastAsia="SimSun" w:cs="SimSun"/>
                <w:b/>
                <w:color w:val="000000"/>
                <w:sz w:val="24"/>
              </w:rPr>
              <w:t xml:space="preserve">投标人公章（如机动车所有人非投标人的，提供《机动车行驶证》彩色扫描件以及投标人与机动车所有人签订的车辆租赁协议彩色扫描件</w:t>
            </w:r>
            <w:r>
              <w:rPr>
                <w:rFonts w:ascii="SimSun" w:hAnsi="SimSun" w:eastAsia="SimSun" w:cs="SimSun"/>
                <w:b/>
                <w:color w:val="000000"/>
                <w:spacing w:val="-11"/>
                <w:sz w:val="24"/>
              </w:rPr>
              <w:t xml:space="preserve">加盖</w:t>
            </w:r>
            <w:r>
              <w:rPr>
                <w:rFonts w:ascii="SimSun" w:hAnsi="SimSun" w:eastAsia="SimSun" w:cs="SimSun"/>
                <w:b/>
                <w:color w:val="000000"/>
                <w:sz w:val="24"/>
              </w:rPr>
              <w:t xml:space="preserve">投标人公章，且该协议的租期须在本项目服务期内），未提供或提供材料不全的不得分。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车载冰箱或冷藏箱、采样记录仪提供发票彩色扫描件加盖投标人公章，未提供的不得分。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合格备份样品再利用</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投标人自2024年1月1日以来：</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（1）已建立抽检合格备份样品再利用工作制度机制的得2分；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（2）已按照工作机制开展抽检合格备份样品再利用工作的，有一次得0.5分，最高得2分；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（3）开展的合格备份样品再利用工作取得良好社会效果（如媒体报道、受益方出具的感谢信等）的，有一次得0.5分，最高得2分。</w:t>
            </w:r>
            <w:r/>
          </w:p>
          <w:p>
            <w:pPr>
              <w:ind w:left="0" w:right="0" w:firstLine="482"/>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需提供相关工作制度、开展情况介绍、良好的社会效应等证明材料。备样再利用方式包括捐赠、拍卖、义卖等方式。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3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5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投标人自2024年以来（以合同签订日期为准）承担过类似项目业绩（各级食品监督抽检项目业绩）的，提供1个得2分，最高得10分。</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提供合同原件扫描件彩色扫描件加盖投标人公章，合同须能反映项目名称、主要标的物、签订时间、单位公章或专用合同章,如不能反映的，另须提供盖有原委托单位公章的证明，否则不予认可。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tabs>
                <w:tab w:val="left" w:pos="5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投标人针对本项目模拟制定的《射阳县2026年网络餐饮专项监督抽检实施方案》抽检工作方案（至少包含：①对项目工作目标；②工作内容；③工作方法；④工作进程安排；⑤重点难点分析；⑥质量管理控制。）进行综合评审：（9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可操作性强且有不同于其他投标人特色举措，完全满足采购需求的得9分；每有一项内容缺失的扣1.5分；每有一处内容存在缺陷或不满足需求的扣0.5分，扣完为止（缺陷或不满足指：内容不全面、条理不清晰、与实际需求不符、内容不清晰或交叉混乱、套用其他项目方案、有规范性或常识性错误、有逻辑漏洞、存在无关的事项、凭空编造、存在不可能实现的夸大情形等任意一种情形）；未提供方案不得分。</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投标人针对本项目突发事件应急措施、其它活动配合措施提供的应急响应方案（至少包含：①投标人综合实力；②承担抽检任务的响应程度（应急响应速度，车辆和人员的机动数量等）；③本地化应急能力。）进行综合评审：（6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切实可行、针对性强，响应时间相较其他投标人迅速，完全符合采购人应急实际需求的得6分；每有一项内容缺失的扣2分；每有一处内容存在缺陷或不满足需求的扣0.5分，扣完为止（缺陷或不满足指：内容不全面、条理不清晰、与实际需求不符、内容不清晰或交叉混乱、响应时间缓慢、套用其他项目方案、有规范性或常识性错误、有逻辑漏洞、存在无关的事项、凭空编造、存在不可能实现的夸大情形等任意一种情形）；未提供方案不得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投标人针对本项目提供的针对性建设建议方案（至少包含：①对当前社会高度关注、群众反映强烈的食品安全突出问题，结合本地食品产业特点，深入分析问题产生的根源、高发领域及潜在风险隐患；②提高本地食品安全抽检问题发现率的具体设想与实施建议；③针对网络餐饮、网络食品、直播带货等新兴重点领域抽检，结合本地监管实际，提出贴合实际、可操作的抽检新举措；④围绕抽检工作全流程，针对抽检计划制定、抽样流程、检验检测、核查处置、信息公开等关键环节，提出完善闭环管理机制的建议，提升抽检工作的科学性、精准性和规范性。）进行综合评</w:t>
            </w:r>
            <w:r>
              <w:rPr>
                <w:rFonts w:ascii="SimSun" w:hAnsi="SimSun" w:eastAsia="SimSun" w:cs="SimSun"/>
                <w:color w:val="000000"/>
                <w:sz w:val="24"/>
              </w:rPr>
              <w:t xml:space="preserve">审：（8分）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切实可行、针对性强，完全符合采购人应急实际需求的得8分；每有一项内容缺失的扣2分；每有一处内容存在缺陷或不满足需求的扣0.5分，扣完为止（缺陷或不满足指：内容不全面、条理不清晰、关联性不大、与实际需求不符、内容不清晰或交叉混乱、套用其他项目方案、有规范性或常识性错误、有逻辑漏洞、存在无关的事项、凭空编造、存在不可能实现的夸大情形等任意一种情形）；未提供方案不得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4.根据投标人针对本项目在实施食品抽检服务之外为采购人提供的相关增值服务方案（至少包含：①培训方案；②分析报告。）进行综合评审：（6分）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切实可行，完全符合采购人采购需求的得6分；每有一项内容缺失的扣3分；每有一处内容存在缺陷或不满足需求的扣1分，扣完为止（缺陷或不满足指：内容不全面、条理不清晰、关联性不大、与实际需求不符、内容不清晰或交叉混乱、套用其他项目方案、有规范性或常识性错误、有逻辑漏洞、存在无关的事项、凭空编造、存在不可能实现的夸大情形等任意一种情形）；未提供方案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29分</w:t>
            </w:r>
            <w:r/>
          </w:p>
        </w:tc>
      </w:tr>
      <w:tr>
        <w:trPr>
          <w:trHeight w:val="8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tabs>
                <w:tab w:val="left" w:pos="5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61" w:type="dxa"/>
            <w:vAlign w:val="center"/>
            <w:textDirection w:val="lrTb"/>
            <w:noWrap/>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投标人承诺派遣项目专员负责制定抽样方案、协助食品抽检监测数据汇总和信息公示、协助采购人做工作协调，直至项目结项的得4分。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提供承诺书（格式自拟），未承诺派遣项目专员不得分。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bl>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有权在规定的时间内（中标公示或质疑期间及其他采购人明确要求的时间内）对中标人或其他投标人提供的与采购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3、评分中涉及相关证明材料均应在有效期内</w:t>
      </w:r>
      <w:r>
        <w:rPr>
          <w:rFonts w:ascii="SimSun" w:hAnsi="SimSun" w:eastAsia="SimSun" w:cs="SimSun"/>
          <w:b/>
          <w:color w:val="000000"/>
          <w:sz w:val="24"/>
        </w:rPr>
        <w:t xml:space="preserve">。</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第六章  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二、上一年度的财务状况报表（至少提供资产负债表、利润表、现金流量表，投标人成立不满一年无需提供）；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六、单位负责人为同一人或者存在直接控股、服务关系的不同投标人，不得参加同一合同项下的政府采购活动。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七、特定资格要求的证明文件（如果本项目设置特定资格要求，则需要提供）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八、法人授权书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九、投标函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十、中小企业声明函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十二、资格性审查响应对照表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SimSun" w:hAnsi="SimSun" w:eastAsia="SimSun" w:cs="SimSun"/>
          <w:i/>
          <w:color w:val="000000"/>
          <w:sz w:val="24"/>
        </w:rPr>
        <w:t xml:space="preserve">符合性检查响应对照表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十四、分项报价表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十六、技术方案、服务承诺、培训承诺等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六、单位负责人为同一人或者存在直接控股、服务关系的不同投标人，不得参加同一合同项下的政府采购活动。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我单位不存在：单位负责人为同一人或者存在直接控股、服务关系的不同投标人，同时参加同一合同项下的政府采购活动。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七、特定资格要求的证明文件（如果本项目设置特定资格要求，则需要提供）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授权</w:t>
      </w:r>
      <w:r>
        <w:rPr>
          <w:rFonts w:ascii="Times New Roman" w:hAnsi="Times New Roman" w:eastAsia="Times New Roman" w:cs="Times New Roman"/>
          <w:color w:val="000000"/>
          <w:sz w:val="24"/>
        </w:rPr>
        <w:t xml:space="preserve">____</w:t>
      </w:r>
      <w:r>
        <w:rPr>
          <w:rFonts w:ascii="SimSun" w:hAnsi="SimSun" w:eastAsia="SimSun" w:cs="SimSun"/>
          <w:color w:val="000000"/>
          <w:sz w:val="24"/>
          <w:u w:val="single"/>
        </w:rPr>
        <w:t xml:space="preserve">（被授权人的姓名）   </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射阳县市场监督管理局</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年食品监督抽检检测服务采购项目，</w:t>
      </w:r>
      <w:r>
        <w:rPr>
          <w:rFonts w:ascii="Times New Roman" w:hAnsi="Times New Roman" w:eastAsia="Times New Roman" w:cs="Times New Roman"/>
          <w:color w:val="000000"/>
          <w:sz w:val="24"/>
          <w:u w:val="single"/>
        </w:rPr>
        <w:t xml:space="preserve">JSZC-320924-SYHY-G2026-0011</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九、投标函（包）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致：射阳县市场监督管理局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射阳县市场监督管理局2026年食品监督抽检检测服务采购项目，JSZC-320924-SYHY-G2026-0011</w:t>
      </w:r>
      <w:r>
        <w:rPr>
          <w:rFonts w:ascii="SimSun" w:hAnsi="SimSun" w:eastAsia="SimSun" w:cs="SimSun"/>
          <w:color w:val="000000"/>
          <w:sz w:val="24"/>
        </w:rPr>
        <w:t xml:space="preserve">号招标文件，正式授权下述签字人</w:t>
      </w:r>
      <w:r>
        <w:rPr>
          <w:rFonts w:ascii="SimSun" w:hAnsi="SimSun" w:eastAsia="SimSun" w:cs="SimSun"/>
          <w:color w:val="000000"/>
          <w:sz w:val="24"/>
          <w:u w:val="single"/>
        </w:rPr>
        <w:t xml:space="preserve">  (姓名)   </w:t>
      </w:r>
      <w:r>
        <w:rPr>
          <w:rFonts w:ascii="SimSun" w:hAnsi="SimSun" w:eastAsia="SimSun" w:cs="SimSun"/>
          <w:color w:val="000000"/>
          <w:sz w:val="24"/>
        </w:rPr>
        <w:t xml:space="preserve">代表我方</w:t>
      </w:r>
      <w:r>
        <w:rPr>
          <w:rFonts w:ascii="SimSun" w:hAnsi="SimSun" w:eastAsia="SimSun" w:cs="SimSun"/>
          <w:color w:val="000000"/>
          <w:sz w:val="24"/>
          <w:u w:val="single"/>
        </w:rPr>
        <w:t xml:space="preserve"> （投标人的名称）  </w:t>
      </w:r>
      <w:r>
        <w:rPr>
          <w:rFonts w:ascii="SimSun" w:hAnsi="SimSun" w:eastAsia="SimSun" w:cs="SimSun"/>
          <w:color w:val="000000"/>
          <w:sz w:val="24"/>
        </w:rPr>
        <w:t xml:space="preserve">，全权处理本次项目投标的有关事宜。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十、中小企业声明函</w:t>
      </w:r>
      <w:r>
        <w:rPr>
          <w:rFonts w:ascii="SimHei" w:hAnsi="SimHei" w:eastAsia="SimHei" w:cs="SimHei"/>
          <w:b/>
          <w:i/>
          <w:color w:val="000000"/>
          <w:sz w:val="36"/>
          <w:u w:val="single"/>
        </w:rPr>
        <w:t xml:space="preserve">（   包）</w:t>
      </w:r>
      <w:r>
        <w:rPr>
          <w:rFonts w:ascii="SimHei" w:hAnsi="SimHei" w:eastAsia="SimHei" w:cs="SimHei"/>
          <w:b/>
          <w:i/>
          <w:color w:val="000000"/>
          <w:sz w:val="32"/>
          <w:u w:val="single"/>
        </w:rPr>
        <w:t xml:space="preserve">（服务）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射阳宏远财会服务有限公司</w:t>
      </w:r>
      <w:r>
        <w:rPr>
          <w:rFonts w:ascii="SimSun" w:hAnsi="SimSun" w:eastAsia="SimSun" w:cs="SimSun"/>
          <w:color w:val="000000"/>
          <w:sz w:val="24"/>
        </w:rPr>
        <w:t xml:space="preserve">组织的</w:t>
      </w:r>
      <w:r>
        <w:rPr>
          <w:rFonts w:ascii="SimSun" w:hAnsi="SimSun" w:eastAsia="SimSun" w:cs="SimSun"/>
          <w:color w:val="000000"/>
          <w:sz w:val="24"/>
          <w:u w:val="single"/>
        </w:rPr>
        <w:t xml:space="preserve">射阳县市场监督管理局</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JSZC-320924-SYHY-G2026-0011</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射阳县市场监督管理局2026年食品监督抽检检测服务采购项目</w:t>
      </w:r>
      <w:r>
        <w:rPr>
          <w:rFonts w:ascii="SimSun" w:hAnsi="SimSun" w:eastAsia="SimSun" w:cs="SimSun"/>
          <w:color w:val="000000"/>
          <w:sz w:val="24"/>
        </w:rPr>
        <w:t xml:space="preserve">的采购活动，服务全部由符合政策要求的中小企业承接。相关企业的具体情况如下：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射阳县市场监督管理局2026年食品监督抽检检测服务采购项目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备注2：投标人如不提供此声明函，价格将不做相应扣除（如项目全面面向中小企业，则资格审查不通过）。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十一、残疾人福利性单位声明函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射阳县市场监督管理局</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JSZC-320924-SYHY-G2026-0011</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射阳县市场监督管理局2026年食品监督抽检检测服务采购项目</w:t>
      </w:r>
      <w:r>
        <w:rPr>
          <w:rFonts w:ascii="SimSun" w:hAnsi="SimSun" w:eastAsia="SimSun" w:cs="SimSun"/>
          <w:color w:val="000000"/>
          <w:sz w:val="24"/>
        </w:rPr>
        <w:t xml:space="preserve">项目采购活动由本单位提供服务。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投标人全称（加盖CA电子公章）：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十二、资格性审查响应对照表</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5062"/>
        <w:gridCol w:w="1628"/>
        <w:gridCol w:w="1546"/>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上一年度的财务状况报表（至少提供资产负债表、利润表、现金流量表，投标人成立不满一年无需提供）；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单位负责人为同一人或者存在直接控股、管理关系的不同供应商，不得参加同一合同项下的政府采购活动；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投标人须具有有效内的检验检测机构资质认定证书（CMA）。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2" w:type="dxa"/>
            <w:vAlign w:val="center"/>
            <w:textDirection w:val="lrTb"/>
            <w:noWrap w:val="false"/>
          </w:tcPr>
          <w:p>
            <w:pPr>
              <w:ind w:left="0" w:right="0" w:firstLine="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1、本表须明确填写并按招标文件要求提供材料，否则资格性检查无法通过。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投标人全称（加盖CA电子公章）：</w:t>
      </w:r>
      <w:r/>
    </w:p>
    <w:p>
      <w:pPr>
        <w:ind w:left="0" w:right="1560" w:firstLine="0"/>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pStyle w:val="847"/>
        <w:ind w:left="0" w:right="0" w:firstLine="0"/>
        <w:jc w:val="center"/>
        <w:spacing w:before="100" w:after="100"/>
        <w:tabs>
          <w:tab w:val="left" w:pos="851"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 </w:t>
      </w:r>
      <w:r/>
    </w:p>
    <w:p>
      <w:pPr>
        <w:pStyle w:val="847"/>
        <w:ind w:left="0" w:right="0" w:firstLine="0"/>
        <w:jc w:val="center"/>
        <w:spacing w:before="100" w:after="100"/>
        <w:tabs>
          <w:tab w:val="left" w:pos="851"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 </w:t>
      </w:r>
      <w:r/>
    </w:p>
    <w:p>
      <w:pPr>
        <w:pStyle w:val="847"/>
        <w:ind w:left="0" w:right="0" w:firstLine="0"/>
        <w:jc w:val="center"/>
        <w:spacing w:before="100" w:after="100"/>
        <w:tabs>
          <w:tab w:val="left" w:pos="851"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十三、符合性检查响应对照表</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4188"/>
        <w:gridCol w:w="1897"/>
        <w:gridCol w:w="18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实质性响应内容（附件1、附件2）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注：本表须明确填写并按招标文件要求提供材料，否则符合性检查无法通过。</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投标人全称（加盖CA电子公章）：</w:t>
      </w:r>
      <w:r/>
    </w:p>
    <w:p>
      <w:pPr>
        <w:ind w:left="0" w:right="1560" w:firstLine="480"/>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846"/>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附件1           </w:t>
      </w:r>
      <w:r/>
    </w:p>
    <w:p>
      <w:pPr>
        <w:pStyle w:val="8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实质性响应内容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我公司承诺响应招标文件采购需求中的全部内容。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256" w:right="0" w:firstLine="5748"/>
        <w:jc w:val="right"/>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附件2      </w:t>
      </w:r>
      <w:r>
        <w:rPr>
          <w:rFonts w:ascii="SimSun" w:hAnsi="SimSun" w:eastAsia="SimSun" w:cs="SimSun"/>
          <w:b/>
          <w:color w:val="000000"/>
          <w:sz w:val="28"/>
        </w:rPr>
        <w:t xml:space="preserve">     </w:t>
      </w:r>
      <w:r/>
    </w:p>
    <w:p>
      <w:pPr>
        <w:pStyle w:val="8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关于投标文件真实性的声明函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射阳县市场监督管理局、射阳宏远财会服务有限公司：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授权</w:t>
      </w:r>
      <w:r>
        <w:rPr>
          <w:rFonts w:ascii="SimSun" w:hAnsi="SimSun" w:eastAsia="SimSun" w:cs="SimSun"/>
          <w:color w:val="000000"/>
          <w:sz w:val="24"/>
          <w:u w:val="single"/>
        </w:rPr>
        <w:t xml:space="preserve">    （授权代理人姓名、职务）</w:t>
      </w:r>
      <w:r>
        <w:rPr>
          <w:rFonts w:ascii="SimSun" w:hAnsi="SimSun" w:eastAsia="SimSun" w:cs="SimSun"/>
          <w:color w:val="000000"/>
          <w:sz w:val="24"/>
        </w:rPr>
        <w:t xml:space="preserve">为全权代表，参加你们组织的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的采购活动，并郑重声明：我方提交的投标文件（包括但不限于检测报告、证书、业绩证明文件、采购需求内容等）是真实、准确的。若我方提供虚假材料以谋取中标，同意采购人及招标代理机构按照《中华人民共和国政府采购法》第七十七条的规定对我方予以处罚。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256" w:right="0" w:firstLine="5748"/>
        <w:jc w:val="right"/>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注：除可填报项目外，对本声明函的实质性修改将被视为非实质性响应投标，从而导致该投标被拒绝。</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十四、分项报价表</w:t>
      </w:r>
      <w:r>
        <w:rPr>
          <w:rFonts w:ascii="SimHei" w:hAnsi="SimHei" w:eastAsia="SimHei" w:cs="SimHei"/>
          <w:b/>
          <w:color w:val="000000"/>
          <w:sz w:val="32"/>
          <w:u w:val="single"/>
        </w:rPr>
        <w:t xml:space="preserve">（   包）</w:t>
      </w:r>
      <w:r>
        <w:rPr>
          <w:rFonts w:ascii="SimHei" w:hAnsi="SimHei" w:eastAsia="SimHei" w:cs="SimHei"/>
          <w:b/>
          <w:color w:val="000000"/>
          <w:sz w:val="32"/>
        </w:rPr>
        <w:t xml:space="preserve">（服务类）</w:t>
      </w:r>
      <w:r/>
    </w:p>
    <w:p>
      <w:pPr>
        <w:ind w:left="0" w:right="0" w:firstLine="21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491"/>
        <w:gridCol w:w="1491"/>
        <w:gridCol w:w="1491"/>
        <w:gridCol w:w="1328"/>
        <w:gridCol w:w="1687"/>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分项单价/批次</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批次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分项总单价（大写）：</w:t>
            </w:r>
            <w:r>
              <w:rPr>
                <w:rFonts w:ascii="SimSun" w:hAnsi="SimSun" w:eastAsia="SimSun" w:cs="SimSun"/>
                <w:color w:val="000000"/>
                <w:sz w:val="24"/>
                <w:u w:val="single"/>
              </w:rPr>
              <w:t xml:space="preserve">                 </w:t>
            </w:r>
            <w:r>
              <w:rPr>
                <w:rFonts w:ascii="SimSun" w:hAnsi="SimSun" w:eastAsia="SimSun" w:cs="SimSun"/>
                <w:color w:val="000000"/>
                <w:sz w:val="24"/>
              </w:rPr>
              <w:t xml:space="preserve">元/批次（人民币：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元/批次）</w:t>
            </w:r>
            <w:r/>
          </w:p>
        </w:tc>
      </w:tr>
    </w:tbl>
    <w:p>
      <w:pPr>
        <w:ind w:left="0" w:right="1560" w:firstLine="0"/>
        <w:jc w:val="both"/>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分项总单价”应包括采购人需求的服务（包含与服务相关的货物）价格、质量保证费用、培训费用等，项目在指定地点、环境交付、验收所需费用和所有相关税金费用及为完成整个项目所产生的其它所有费用，招标文件另有规定的除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2、“投标分项报价表”中“分项总单价”数额应当与“开标一览表”中“投标单价”数额一致。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3、小数点后保留两位。</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ff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384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十五、开标一览表（包）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（人民币：元/批次）</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830" w:right="0" w:firstLine="17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投标人（加盖CA电子公章）：</w:t>
      </w:r>
      <w:r/>
    </w:p>
    <w:p>
      <w:pPr>
        <w:ind w:left="0" w:right="0" w:firstLine="5582"/>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82"/>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十六、技术方案、服务承诺、培训承诺等</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DengXian">
    <w:panose1 w:val="02010600030101010101"/>
  </w:font>
  <w:font w:name="黑体">
    <w:panose1 w:val="02010609060101010101"/>
  </w:font>
  <w:font w:name="仿宋_GB2312">
    <w:panose1 w:val="02010609060101010101"/>
  </w:font>
  <w:font w:name="等线">
    <w:panose1 w:val="02010600030101010101"/>
  </w:font>
  <w:font w:name="仿宋">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lear" w:pos="4153" w:leader="none"/>
        <w:tab w:val="left" w:pos="4288" w:leader="none"/>
      </w:tabs>
      <w:rPr>
        <w:rFonts w:hint="eastAsia" w:eastAsiaTheme="minor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6"/>
    <w:uiPriority w:val="9"/>
    <w:rPr>
      <w:rFonts w:ascii="Arial" w:hAnsi="Arial" w:eastAsia="Arial" w:cs="Arial"/>
      <w:sz w:val="40"/>
      <w:szCs w:val="40"/>
    </w:rPr>
  </w:style>
  <w:style w:type="character" w:styleId="675">
    <w:name w:val="Heading 2 Char"/>
    <w:basedOn w:val="848"/>
    <w:link w:val="847"/>
    <w:uiPriority w:val="9"/>
    <w:rPr>
      <w:rFonts w:ascii="Arial" w:hAnsi="Arial" w:eastAsia="Arial" w:cs="Arial"/>
      <w:sz w:val="34"/>
    </w:rPr>
  </w:style>
  <w:style w:type="paragraph" w:styleId="676">
    <w:name w:val="Heading 3"/>
    <w:basedOn w:val="845"/>
    <w:next w:val="845"/>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basedOn w:val="848"/>
    <w:link w:val="676"/>
    <w:uiPriority w:val="9"/>
    <w:rPr>
      <w:rFonts w:ascii="Arial" w:hAnsi="Arial" w:eastAsia="Arial" w:cs="Arial"/>
      <w:sz w:val="30"/>
      <w:szCs w:val="30"/>
    </w:rPr>
  </w:style>
  <w:style w:type="paragraph" w:styleId="678">
    <w:name w:val="Heading 4"/>
    <w:basedOn w:val="845"/>
    <w:next w:val="845"/>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8"/>
    <w:link w:val="678"/>
    <w:uiPriority w:val="9"/>
    <w:rPr>
      <w:rFonts w:ascii="Arial" w:hAnsi="Arial" w:eastAsia="Arial" w:cs="Arial"/>
      <w:b/>
      <w:bCs/>
      <w:sz w:val="26"/>
      <w:szCs w:val="26"/>
    </w:rPr>
  </w:style>
  <w:style w:type="paragraph" w:styleId="680">
    <w:name w:val="Heading 5"/>
    <w:basedOn w:val="845"/>
    <w:next w:val="845"/>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8"/>
    <w:link w:val="680"/>
    <w:uiPriority w:val="9"/>
    <w:rPr>
      <w:rFonts w:ascii="Arial" w:hAnsi="Arial" w:eastAsia="Arial" w:cs="Arial"/>
      <w:b/>
      <w:bCs/>
      <w:sz w:val="24"/>
      <w:szCs w:val="24"/>
    </w:rPr>
  </w:style>
  <w:style w:type="paragraph" w:styleId="682">
    <w:name w:val="Heading 6"/>
    <w:basedOn w:val="845"/>
    <w:next w:val="845"/>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8"/>
    <w:link w:val="682"/>
    <w:uiPriority w:val="9"/>
    <w:rPr>
      <w:rFonts w:ascii="Arial" w:hAnsi="Arial" w:eastAsia="Arial" w:cs="Arial"/>
      <w:b/>
      <w:bCs/>
      <w:sz w:val="22"/>
      <w:szCs w:val="22"/>
    </w:rPr>
  </w:style>
  <w:style w:type="paragraph" w:styleId="684">
    <w:name w:val="Heading 7"/>
    <w:basedOn w:val="845"/>
    <w:next w:val="845"/>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8"/>
    <w:link w:val="684"/>
    <w:uiPriority w:val="9"/>
    <w:rPr>
      <w:rFonts w:ascii="Arial" w:hAnsi="Arial" w:eastAsia="Arial" w:cs="Arial"/>
      <w:b/>
      <w:bCs/>
      <w:i/>
      <w:iCs/>
      <w:sz w:val="22"/>
      <w:szCs w:val="22"/>
    </w:rPr>
  </w:style>
  <w:style w:type="paragraph" w:styleId="686">
    <w:name w:val="Heading 8"/>
    <w:basedOn w:val="845"/>
    <w:next w:val="845"/>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8"/>
    <w:link w:val="686"/>
    <w:uiPriority w:val="9"/>
    <w:rPr>
      <w:rFonts w:ascii="Arial" w:hAnsi="Arial" w:eastAsia="Arial" w:cs="Arial"/>
      <w:i/>
      <w:iCs/>
      <w:sz w:val="22"/>
      <w:szCs w:val="22"/>
    </w:rPr>
  </w:style>
  <w:style w:type="paragraph" w:styleId="688">
    <w:name w:val="Heading 9"/>
    <w:basedOn w:val="845"/>
    <w:next w:val="845"/>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8"/>
    <w:link w:val="688"/>
    <w:uiPriority w:val="9"/>
    <w:rPr>
      <w:rFonts w:ascii="Arial" w:hAnsi="Arial" w:eastAsia="Arial" w:cs="Arial"/>
      <w:i/>
      <w:iCs/>
      <w:sz w:val="21"/>
      <w:szCs w:val="21"/>
    </w:rPr>
  </w:style>
  <w:style w:type="paragraph" w:styleId="690">
    <w:name w:val="No Spacing"/>
    <w:uiPriority w:val="1"/>
    <w:qFormat/>
    <w:pPr>
      <w:spacing w:before="0" w:after="0" w:line="240" w:lineRule="auto"/>
    </w:pPr>
  </w:style>
  <w:style w:type="paragraph" w:styleId="691">
    <w:name w:val="Title"/>
    <w:basedOn w:val="845"/>
    <w:next w:val="845"/>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5"/>
    <w:next w:val="845"/>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5"/>
    <w:next w:val="845"/>
    <w:link w:val="696"/>
    <w:uiPriority w:val="29"/>
    <w:qFormat/>
    <w:pPr>
      <w:ind w:left="720" w:right="720"/>
    </w:pPr>
    <w:rPr>
      <w:i/>
    </w:rPr>
  </w:style>
  <w:style w:type="character" w:styleId="696">
    <w:name w:val="Quote Char"/>
    <w:link w:val="695"/>
    <w:uiPriority w:val="29"/>
    <w:rPr>
      <w:i/>
    </w:rPr>
  </w:style>
  <w:style w:type="paragraph" w:styleId="697">
    <w:name w:val="Intense Quote"/>
    <w:basedOn w:val="845"/>
    <w:next w:val="845"/>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7"/>
    <w:uiPriority w:val="99"/>
  </w:style>
  <w:style w:type="character" w:styleId="700">
    <w:name w:val="Footer Char"/>
    <w:basedOn w:val="848"/>
    <w:link w:val="856"/>
    <w:uiPriority w:val="99"/>
  </w:style>
  <w:style w:type="paragraph" w:styleId="701">
    <w:name w:val="Caption"/>
    <w:basedOn w:val="845"/>
    <w:next w:val="845"/>
    <w:uiPriority w:val="35"/>
    <w:semiHidden/>
    <w:unhideWhenUsed/>
    <w:qFormat/>
    <w:pPr>
      <w:spacing w:line="276" w:lineRule="auto"/>
    </w:pPr>
    <w:rPr>
      <w:b/>
      <w:bCs/>
      <w:color w:val="4f81bd" w:themeColor="accent1"/>
      <w:sz w:val="18"/>
      <w:szCs w:val="18"/>
    </w:rPr>
  </w:style>
  <w:style w:type="character" w:styleId="702">
    <w:name w:val="Caption Char"/>
    <w:basedOn w:val="701"/>
    <w:link w:val="856"/>
    <w:uiPriority w:val="99"/>
  </w:style>
  <w:style w:type="table" w:styleId="703">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8"/>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8"/>
    <w:uiPriority w:val="99"/>
    <w:semiHidden/>
    <w:unhideWhenUsed/>
    <w:rPr>
      <w:vertAlign w:val="superscript"/>
    </w:rPr>
  </w:style>
  <w:style w:type="paragraph" w:styleId="835">
    <w:name w:val="toc 1"/>
    <w:basedOn w:val="845"/>
    <w:next w:val="845"/>
    <w:uiPriority w:val="39"/>
    <w:unhideWhenUsed/>
    <w:pPr>
      <w:ind w:left="0" w:right="0" w:firstLine="0"/>
      <w:spacing w:after="57"/>
    </w:pPr>
  </w:style>
  <w:style w:type="paragraph" w:styleId="836">
    <w:name w:val="toc 2"/>
    <w:basedOn w:val="845"/>
    <w:next w:val="845"/>
    <w:uiPriority w:val="39"/>
    <w:unhideWhenUsed/>
    <w:pPr>
      <w:ind w:left="283" w:right="0" w:firstLine="0"/>
      <w:spacing w:after="57"/>
    </w:pPr>
  </w:style>
  <w:style w:type="paragraph" w:styleId="837">
    <w:name w:val="toc 3"/>
    <w:basedOn w:val="845"/>
    <w:next w:val="845"/>
    <w:uiPriority w:val="39"/>
    <w:unhideWhenUsed/>
    <w:pPr>
      <w:ind w:left="567" w:right="0" w:firstLine="0"/>
      <w:spacing w:after="57"/>
    </w:pPr>
  </w:style>
  <w:style w:type="paragraph" w:styleId="838">
    <w:name w:val="toc 4"/>
    <w:basedOn w:val="845"/>
    <w:next w:val="845"/>
    <w:uiPriority w:val="39"/>
    <w:unhideWhenUsed/>
    <w:pPr>
      <w:ind w:left="850" w:right="0" w:firstLine="0"/>
      <w:spacing w:after="57"/>
    </w:pPr>
  </w:style>
  <w:style w:type="paragraph" w:styleId="839">
    <w:name w:val="toc 5"/>
    <w:basedOn w:val="845"/>
    <w:next w:val="845"/>
    <w:uiPriority w:val="39"/>
    <w:unhideWhenUsed/>
    <w:pPr>
      <w:ind w:left="1134"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6">
    <w:name w:val="Heading 1"/>
    <w:basedOn w:val="845"/>
    <w:next w:val="845"/>
    <w:uiPriority w:val="0"/>
    <w:qFormat/>
    <w:pPr>
      <w:jc w:val="center"/>
      <w:keepNext/>
      <w:outlineLvl w:val="0"/>
    </w:pPr>
    <w:rPr>
      <w:rFonts w:ascii="楷体_GB2312" w:eastAsia="楷体_GB2312"/>
      <w:szCs w:val="28"/>
    </w:rPr>
  </w:style>
  <w:style w:type="paragraph" w:styleId="847">
    <w:name w:val="Heading 2"/>
    <w:basedOn w:val="845"/>
    <w:next w:val="85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Normal Indent"/>
    <w:basedOn w:val="845"/>
    <w:uiPriority w:val="0"/>
    <w:qFormat/>
    <w:pPr>
      <w:ind w:firstLine="420"/>
    </w:pPr>
    <w:rPr>
      <w:rFonts w:ascii="Times New Roman" w:eastAsia="宋体"/>
      <w:szCs w:val="20"/>
    </w:rPr>
  </w:style>
  <w:style w:type="paragraph" w:styleId="851">
    <w:name w:val="annotation text"/>
    <w:basedOn w:val="845"/>
    <w:uiPriority w:val="0"/>
    <w:qFormat/>
    <w:pPr>
      <w:jc w:val="left"/>
    </w:pPr>
  </w:style>
  <w:style w:type="paragraph" w:styleId="852">
    <w:name w:val="Body Text"/>
    <w:basedOn w:val="845"/>
    <w:uiPriority w:val="0"/>
    <w:semiHidden/>
    <w:qFormat/>
    <w:rPr>
      <w:rFonts w:ascii="仿宋" w:hAnsi="仿宋" w:eastAsia="仿宋" w:cs="仿宋"/>
      <w:sz w:val="31"/>
      <w:szCs w:val="31"/>
      <w:lang w:val="en-US" w:eastAsia="en-US" w:bidi="ar-SA"/>
    </w:rPr>
  </w:style>
  <w:style w:type="paragraph" w:styleId="853">
    <w:name w:val="Body Text Indent"/>
    <w:basedOn w:val="845"/>
    <w:next w:val="854"/>
    <w:uiPriority w:val="0"/>
    <w:unhideWhenUsed/>
    <w:qFormat/>
    <w:pPr>
      <w:ind w:left="420"/>
      <w:spacing w:after="120"/>
    </w:pPr>
  </w:style>
  <w:style w:type="paragraph" w:styleId="854">
    <w:name w:val="envelope return"/>
    <w:basedOn w:val="845"/>
    <w:uiPriority w:val="0"/>
    <w:qFormat/>
    <w:rPr>
      <w:rFonts w:ascii="Arial" w:hAnsi="Arial"/>
    </w:rPr>
  </w:style>
  <w:style w:type="paragraph" w:styleId="855">
    <w:name w:val="Block Text"/>
    <w:basedOn w:val="84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6">
    <w:name w:val="Footer"/>
    <w:basedOn w:val="845"/>
    <w:link w:val="870"/>
    <w:uiPriority w:val="0"/>
    <w:qFormat/>
    <w:pPr>
      <w:jc w:val="left"/>
      <w:tabs>
        <w:tab w:val="center" w:pos="4153" w:leader="none"/>
        <w:tab w:val="right" w:pos="8306" w:leader="none"/>
      </w:tabs>
    </w:pPr>
    <w:rPr>
      <w:sz w:val="18"/>
      <w:szCs w:val="18"/>
    </w:rPr>
  </w:style>
  <w:style w:type="paragraph" w:styleId="857">
    <w:name w:val="Header"/>
    <w:basedOn w:val="845"/>
    <w:link w:val="869"/>
    <w:uiPriority w:val="0"/>
    <w:qFormat/>
    <w:pPr>
      <w:jc w:val="center"/>
      <w:tabs>
        <w:tab w:val="center" w:pos="4153" w:leader="none"/>
        <w:tab w:val="right" w:pos="8306" w:leader="none"/>
      </w:tabs>
      <w:pBdr>
        <w:bottom w:val="single" w:color="auto" w:sz="6" w:space="1"/>
      </w:pBdr>
    </w:pPr>
    <w:rPr>
      <w:sz w:val="18"/>
      <w:szCs w:val="18"/>
    </w:rPr>
  </w:style>
  <w:style w:type="paragraph" w:styleId="858">
    <w:name w:val="toc 6"/>
    <w:basedOn w:val="845"/>
    <w:next w:val="845"/>
    <w:uiPriority w:val="39"/>
    <w:unhideWhenUsed/>
    <w:qFormat/>
    <w:pPr>
      <w:ind w:left="1417"/>
      <w:spacing w:after="57"/>
    </w:pPr>
  </w:style>
  <w:style w:type="paragraph" w:styleId="859">
    <w:name w:val="Normal (Web)"/>
    <w:basedOn w:val="845"/>
    <w:uiPriority w:val="0"/>
    <w:qFormat/>
    <w:pPr>
      <w:jc w:val="left"/>
      <w:spacing w:beforeAutospacing="1" w:afterAutospacing="1"/>
    </w:pPr>
    <w:rPr>
      <w:rFonts w:cs="Times New Roman"/>
      <w:sz w:val="24"/>
    </w:rPr>
  </w:style>
  <w:style w:type="paragraph" w:styleId="860">
    <w:name w:val="Body Text First Indent"/>
    <w:basedOn w:val="852"/>
    <w:uiPriority w:val="0"/>
    <w:qFormat/>
    <w:pPr>
      <w:ind w:firstLine="200"/>
      <w:spacing w:line="360" w:lineRule="auto"/>
    </w:pPr>
    <w:rPr>
      <w:rFonts w:ascii="仿宋_GB2312" w:hAnsi="Times New Roman" w:eastAsia="仿宋_GB2312"/>
      <w:sz w:val="30"/>
      <w:szCs w:val="30"/>
    </w:rPr>
  </w:style>
  <w:style w:type="paragraph" w:styleId="861">
    <w:name w:val="Body Text First Indent 2"/>
    <w:basedOn w:val="853"/>
    <w:next w:val="845"/>
    <w:uiPriority w:val="0"/>
    <w:qFormat/>
    <w:pPr>
      <w:ind w:left="0" w:firstLine="420"/>
      <w:spacing w:before="50" w:line="360" w:lineRule="auto"/>
    </w:pPr>
    <w:rPr>
      <w:sz w:val="30"/>
      <w:szCs w:val="24"/>
    </w:rPr>
  </w:style>
  <w:style w:type="table" w:styleId="862">
    <w:name w:val="Table Grid"/>
    <w:basedOn w:val="84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Emphasis"/>
    <w:uiPriority w:val="0"/>
    <w:qFormat/>
    <w:rPr>
      <w:i/>
    </w:rPr>
  </w:style>
  <w:style w:type="paragraph" w:styleId="864" w:customStyle="1">
    <w:name w:val="一级条标题"/>
    <w:basedOn w:val="865"/>
    <w:next w:val="8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5" w:customStyle="1">
    <w:name w:val="章标题"/>
    <w:next w:val="8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66" w:customStyle="1">
    <w:name w:val="段"/>
    <w:next w:val="867"/>
    <w:uiPriority w:val="0"/>
    <w:qFormat/>
    <w:pPr>
      <w:ind w:firstLine="200"/>
      <w:jc w:val="both"/>
      <w:widowControl w:val="off"/>
    </w:pPr>
    <w:rPr>
      <w:rFonts w:hint="default" w:ascii="宋体" w:hAnsi="宋体" w:eastAsia="宋体" w:cs="宋体"/>
      <w:color w:val="000000"/>
      <w:sz w:val="21"/>
      <w:szCs w:val="21"/>
    </w:rPr>
  </w:style>
  <w:style w:type="paragraph" w:styleId="867" w:customStyle="1">
    <w:name w:val="正文 A"/>
    <w:next w:val="866"/>
    <w:uiPriority w:val="0"/>
    <w:qFormat/>
    <w:pPr>
      <w:jc w:val="both"/>
      <w:widowControl w:val="off"/>
    </w:pPr>
    <w:rPr>
      <w:rFonts w:hint="default" w:ascii="Calibri" w:hAnsi="Calibri" w:eastAsia="Calibri" w:cs="Calibri"/>
      <w:color w:val="000000"/>
      <w:sz w:val="21"/>
      <w:szCs w:val="21"/>
    </w:rPr>
  </w:style>
  <w:style w:type="paragraph" w:styleId="868" w:customStyle="1">
    <w:name w:val="Default"/>
    <w:basedOn w:val="845"/>
    <w:uiPriority w:val="0"/>
    <w:semiHidden/>
    <w:qFormat/>
    <w:pPr>
      <w:jc w:val="left"/>
    </w:pPr>
    <w:rPr>
      <w:rFonts w:ascii="宋体" w:hAnsi="Calibri" w:cs="宋体"/>
      <w:color w:val="000000"/>
      <w:sz w:val="24"/>
    </w:rPr>
  </w:style>
  <w:style w:type="character" w:styleId="869" w:customStyle="1">
    <w:name w:val="页眉 Char"/>
    <w:basedOn w:val="848"/>
    <w:link w:val="857"/>
    <w:uiPriority w:val="0"/>
    <w:qFormat/>
    <w:rPr>
      <w:rFonts w:asciiTheme="minorHAnsi" w:hAnsiTheme="minorHAnsi" w:eastAsiaTheme="minorEastAsia" w:cstheme="minorBidi"/>
      <w:sz w:val="18"/>
      <w:szCs w:val="18"/>
    </w:rPr>
  </w:style>
  <w:style w:type="character" w:styleId="870" w:customStyle="1">
    <w:name w:val="页脚 Char"/>
    <w:basedOn w:val="848"/>
    <w:link w:val="856"/>
    <w:uiPriority w:val="0"/>
    <w:qFormat/>
    <w:rPr>
      <w:rFonts w:asciiTheme="minorHAnsi" w:hAnsiTheme="minorHAnsi" w:eastAsiaTheme="minorEastAsia" w:cstheme="minorBidi"/>
      <w:sz w:val="18"/>
      <w:szCs w:val="18"/>
    </w:rPr>
  </w:style>
  <w:style w:type="paragraph" w:styleId="871" w:customStyle="1">
    <w:name w:val="普通正文"/>
    <w:basedOn w:val="845"/>
    <w:uiPriority w:val="0"/>
    <w:qFormat/>
    <w:pPr>
      <w:ind w:firstLine="480"/>
      <w:jc w:val="left"/>
      <w:spacing w:before="120" w:after="120" w:line="360" w:lineRule="auto"/>
    </w:pPr>
    <w:rPr>
      <w:rFonts w:ascii="Arial" w:hAnsi="Arial" w:eastAsia="等线" w:cs="Arial"/>
      <w:sz w:val="24"/>
      <w:szCs w:val="24"/>
    </w:rPr>
  </w:style>
  <w:style w:type="paragraph" w:styleId="872" w:customStyle="1">
    <w:name w:val="正文首行缩进 21"/>
    <w:basedOn w:val="873"/>
    <w:uiPriority w:val="0"/>
    <w:qFormat/>
    <w:pPr>
      <w:ind w:firstLine="420"/>
    </w:pPr>
  </w:style>
  <w:style w:type="paragraph" w:styleId="873" w:customStyle="1">
    <w:name w:val="正文文本缩进1"/>
    <w:basedOn w:val="845"/>
    <w:uiPriority w:val="0"/>
    <w:qFormat/>
    <w:pPr>
      <w:ind w:left="420"/>
      <w:spacing w:after="120"/>
    </w:pPr>
  </w:style>
  <w:style w:type="paragraph" w:styleId="874" w:customStyle="1">
    <w:name w:val="表格文字"/>
    <w:basedOn w:val="845"/>
    <w:uiPriority w:val="0"/>
    <w:qFormat/>
    <w:pPr>
      <w:ind w:firstLine="0"/>
    </w:pPr>
    <w:rPr>
      <w:rFonts w:ascii="宋体" w:hAnsi="宋体" w:cs="宋体"/>
    </w:rPr>
  </w:style>
  <w:style w:type="paragraph" w:styleId="875" w:customStyle="1">
    <w:name w:val="Table Paragraph"/>
    <w:basedOn w:val="845"/>
    <w:uiPriority w:val="0"/>
    <w:qFormat/>
    <w:pPr>
      <w:jc w:val="left"/>
    </w:pPr>
    <w:rPr>
      <w:rFonts w:ascii="宋体" w:hAnsi="宋体" w:cs="宋体"/>
      <w:sz w:val="22"/>
      <w:szCs w:val="22"/>
      <w:lang w:val="zh-CN" w:bidi="zh-CN"/>
    </w:rPr>
  </w:style>
  <w:style w:type="paragraph" w:styleId="876">
    <w:name w:val="List Paragraph"/>
    <w:basedOn w:val="845"/>
    <w:uiPriority w:val="34"/>
    <w:qFormat/>
    <w:pPr>
      <w:contextualSpacing/>
      <w:ind w:left="720"/>
    </w:pPr>
  </w:style>
  <w:style w:type="paragraph" w:styleId="877" w:customStyle="1">
    <w:name w:val="正文空2格  1."/>
    <w:basedOn w:val="845"/>
    <w:uiPriority w:val="0"/>
    <w:qFormat/>
    <w:pPr>
      <w:ind w:firstLine="480"/>
    </w:pPr>
    <w:rPr>
      <w:rFonts w:cs="宋体"/>
      <w:szCs w:val="20"/>
    </w:rPr>
  </w:style>
  <w:style w:type="paragraph" w:styleId="878" w:customStyle="1">
    <w:name w:val="普通(网站)1"/>
    <w:basedOn w:val="845"/>
    <w:uiPriority w:val="0"/>
    <w:qFormat/>
    <w:rPr>
      <w:rFonts w:ascii="Times New Roman"/>
      <w:szCs w:val="24"/>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曹红芹</cp:lastModifiedBy>
  <cp:revision>274</cp:revision>
  <dcterms:created xsi:type="dcterms:W3CDTF">2014-10-29T20:08:00Z</dcterms:created>
  <dcterms:modified xsi:type="dcterms:W3CDTF">2026-06-23T02:16:59Z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eyJoZGlkIjoiM2Y0ODFmNDM2NTVkMTc3MGRiOTY0ZTRmZWY1ZjUyY2IiLCJ1c2VySWQiOiI2NzEzMjE2OTMifQ==</vt:lpwstr>
  </property>
</Properties>
</file>