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bookmarkStart w:id="73" w:name="_GoBack"/>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JSZC-320585-SZTZ-G2026-0013</w:t>
      </w:r>
      <w:r>
        <w:rPr>
          <w:rFonts w:hint="eastAsia" w:ascii="宋体" w:hAnsi="宋体" w:eastAsia="宋体" w:cs="宋体"/>
          <w:b/>
          <w:color w:val="auto"/>
          <w:sz w:val="30"/>
          <w:szCs w:val="30"/>
          <w:highlight w:val="none"/>
        </w:rPr>
        <w:t xml:space="preserve">  </w:t>
      </w:r>
      <w:r/>
    </w:p>
    <w:p>
      <w:pPr>
        <w:ind w:left="480" w:firstLine="0"/>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2026年信号灯新建维护</w:t>
      </w:r>
      <w:r/>
    </w:p>
    <w:p>
      <w:pPr>
        <w:ind w:left="480"/>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采购类型：服务类</w:t>
      </w:r>
      <w:r>
        <w:rPr>
          <w:rFonts w:hint="eastAsia" w:ascii="宋体" w:hAnsi="宋体" w:eastAsia="宋体" w:cs="宋体"/>
          <w:b/>
          <w:color w:val="auto"/>
          <w:sz w:val="30"/>
          <w:szCs w:val="30"/>
          <w:highlight w:val="none"/>
          <w:lang w:val="en-US" w:eastAsia="zh-CN"/>
        </w:rPr>
        <w:t xml:space="preserve"> </w:t>
      </w:r>
      <w:r/>
    </w:p>
    <w:p>
      <w:pPr>
        <w:ind w:left="480"/>
        <w:spacing w:line="360" w:lineRule="auto"/>
        <w:rPr>
          <w:rFonts w:hint="eastAsia" w:ascii="宋体" w:hAnsi="宋体" w:eastAsia="宋体" w:cs="宋体"/>
          <w:color w:val="auto"/>
          <w:sz w:val="30"/>
          <w:highlight w:val="none"/>
        </w:rPr>
      </w:pPr>
      <w:r>
        <w:rPr>
          <w:rFonts w:hint="eastAsia" w:ascii="宋体" w:hAnsi="宋体" w:eastAsia="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（十六）其他未列明行业</w:t>
      </w:r>
      <w:r>
        <w:rPr>
          <w:rFonts w:hint="eastAsia" w:ascii="宋体" w:hAnsi="宋体" w:eastAsia="宋体" w:cs="宋体"/>
          <w:color w:val="auto"/>
          <w:sz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太仓市公安局</w:t>
      </w:r>
      <w:r/>
    </w:p>
    <w:p>
      <w:pPr>
        <w:ind w:left="480" w:right="-159"/>
        <w:spacing w:line="480" w:lineRule="auto"/>
        <w:rPr>
          <w:rFonts w:hint="eastAsia" w:ascii="宋体" w:hAnsi="宋体" w:cs="宋体"/>
          <w:color w:val="auto"/>
          <w:sz w:val="30"/>
          <w:highlight w:val="none"/>
        </w:rPr>
      </w:pPr>
      <w:r>
        <w:rPr>
          <w:rFonts w:hint="eastAsia" w:ascii="宋体" w:hAnsi="宋体" w:eastAsia="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hint="eastAsia" w:ascii="Times New Roman" w:hAnsi="Times New Roman" w:eastAsia="宋体" w:cs="宋体"/>
          <w:b/>
          <w:color w:val="auto"/>
          <w:sz w:val="30"/>
          <w:szCs w:val="30"/>
          <w:highlight w:val="none"/>
        </w:rPr>
      </w:pPr>
      <w:r>
        <w:rPr>
          <w:rFonts w:hint="eastAsia" w:ascii="Times New Roman" w:hAnsi="Times New Roman" w:eastAsia="宋体"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七</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972"/>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_Toc26428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_Toc17445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cs="宋体"/>
          <w:color w:val="auto"/>
          <w:sz w:val="30"/>
          <w:szCs w:val="30"/>
          <w:highlight w:val="none"/>
        </w:rPr>
        <w:fldChar w:fldCharType="end"/>
      </w:r>
      <w:r/>
    </w:p>
    <w:p>
      <w:pPr>
        <w:pStyle w:val="972"/>
        <w:tabs>
          <w:tab w:val="right" w:pos="8640" w:leader="dot"/>
        </w:tabs>
        <w:rPr>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_Toc15584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cs="宋体"/>
          <w:color w:val="auto"/>
          <w:sz w:val="30"/>
          <w:szCs w:val="30"/>
          <w:highlight w:val="none"/>
        </w:rPr>
        <w:fldChar w:fldCharType="end"/>
      </w:r>
      <w:r/>
    </w:p>
    <w:p>
      <w:pPr>
        <w:pStyle w:val="97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_Toc28477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cs="宋体"/>
          <w:color w:val="auto"/>
          <w:sz w:val="30"/>
          <w:szCs w:val="30"/>
          <w:highlight w:val="none"/>
        </w:rPr>
        <w:fldChar w:fldCharType="end"/>
      </w:r>
      <w:r/>
    </w:p>
    <w:p>
      <w:pPr>
        <w:pStyle w:val="97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_Toc25002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cs="宋体"/>
          <w:color w:val="auto"/>
          <w:sz w:val="30"/>
          <w:szCs w:val="30"/>
          <w:highlight w:val="none"/>
        </w:rPr>
        <w:fldChar w:fldCharType="end"/>
      </w:r>
      <w:r/>
    </w:p>
    <w:p>
      <w:pPr>
        <w:pStyle w:val="97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_Toc19345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cs="宋体"/>
          <w:color w:val="auto"/>
          <w:sz w:val="30"/>
          <w:szCs w:val="30"/>
          <w:highlight w:val="none"/>
        </w:rPr>
        <w:fldChar w:fldCharType="end"/>
      </w:r>
      <w:r/>
    </w:p>
    <w:p>
      <w:pPr>
        <w:pStyle w:val="97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_Toc31315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cs="宋体"/>
          <w:color w:val="auto"/>
          <w:sz w:val="30"/>
          <w:szCs w:val="30"/>
          <w:highlight w:val="none"/>
        </w:rPr>
        <w:fldChar w:fldCharType="end"/>
      </w:r>
      <w:r/>
    </w:p>
    <w:p>
      <w:pPr>
        <w:pStyle w:val="972"/>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rFonts w:hint="eastAsia"/>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417" w:header="851" w:footer="992" w:gutter="0"/>
          <w:cols w:num="1" w:sep="0" w:space="720" w:equalWidth="1"/>
          <w:docGrid w:linePitch="360"/>
          <w:titlePg/>
        </w:sectPr>
      </w:pPr>
      <w:r>
        <w:rPr>
          <w:color w:val="auto"/>
          <w:highlight w:val="none"/>
        </w:rPr>
        <w:tab/>
      </w:r>
      <w:r/>
    </w:p>
    <w:p>
      <w:pPr>
        <w:pStyle w:val="948"/>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5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太仓市公安局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JSZC-320585-SZTZ-G2026-0013</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75"/>
              <w:ind w:firstLine="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2026年信号灯新建维护</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75"/>
              <w:ind w:firstLine="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地址：太仓市娄东街道上海东路333号高展商务大厦10楼1002室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vAlign w:val="top"/>
            <w:textDirection w:val="lrTb"/>
            <w:noWrap w:val="false"/>
          </w:tcPr>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Bdr>
                <w:left w:val="none" w:color="auto" w:sz="0" w:space="0"/>
              </w:pBdr>
              <w:suppressLineNumbers w:val="0"/>
            </w:pPr>
            <w:r>
              <w:rPr>
                <w:rFonts w:hint="eastAsia" w:ascii="宋体" w:hAnsi="宋体" w:eastAsia="宋体" w:cs="宋体"/>
                <w:color w:val="auto"/>
                <w:sz w:val="21"/>
                <w:szCs w:val="21"/>
                <w:highlight w:val="none"/>
                <w:lang w:val="en-US" w:eastAsia="zh-CN" w:bidi="ar"/>
              </w:rPr>
              <w:t xml:space="preserve">时间：</w:t>
            </w:r>
            <w:r>
              <w:rPr>
                <w:rFonts w:hint="eastAsia" w:ascii="宋体" w:hAnsi="宋体" w:cs="宋体"/>
                <w:color w:val="auto"/>
                <w:sz w:val="21"/>
                <w:szCs w:val="21"/>
                <w:highlight w:val="none"/>
                <w:lang w:val="en-US" w:eastAsia="zh-CN" w:bidi="ar"/>
              </w:rPr>
              <w:t xml:space="preserve">自招标文件公告发布之日起5个工作日</w:t>
            </w:r>
            <w:r>
              <w:rPr>
                <w:rFonts w:hint="eastAsia" w:ascii="宋体" w:hAnsi="宋体" w:eastAsia="宋体" w:cs="宋体"/>
                <w:color w:val="auto"/>
                <w:sz w:val="21"/>
                <w:szCs w:val="21"/>
                <w:highlight w:val="none"/>
                <w:lang w:val="en-US" w:eastAsia="zh-CN" w:bidi="ar"/>
              </w:rPr>
              <w:t xml:space="preserve"> </w:t>
            </w:r>
            <w:r/>
          </w:p>
          <w:p>
            <w:pPr>
              <w:ind w:right="0"/>
              <w:jc w:val="both"/>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right="0"/>
              <w:jc w:val="both"/>
              <w:keepLines w:val="0"/>
              <w:keepNext w:val="0"/>
              <w:pageBreakBefore w:val="0"/>
              <w:spacing w:before="0" w:beforeAutospacing="0" w:after="0" w:afterAutospacing="0" w:line="360" w:lineRule="auto"/>
              <w:shd w:val="clear" w:color="auto" w:fill="ffffff"/>
              <w:widowControl/>
              <w:rPr>
                <w:rFonts w:hint="eastAsia" w:ascii="宋体" w:hAnsi="宋体" w:cs="宋体"/>
                <w:b/>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加密的电子投标文件上传截止时间：</w:t>
            </w:r>
            <w:r>
              <w:rPr>
                <w:rFonts w:hint="eastAsia" w:ascii="宋体" w:hAnsi="宋体" w:cs="宋体"/>
                <w:b/>
                <w:bCs/>
                <w:i w:val="0"/>
                <w:iCs w:val="0"/>
                <w:caps w:val="0"/>
                <w:color w:val="auto"/>
                <w:spacing w:val="0"/>
                <w:sz w:val="21"/>
                <w:szCs w:val="21"/>
                <w:highlight w:val="none"/>
                <w:u w:val="single"/>
                <w:shd w:val="clear" w:color="auto" w:fill="ffffff"/>
                <w:lang w:val="en-US" w:eastAsia="zh-CN" w:bidi="ar"/>
              </w:rPr>
              <w:t xml:space="preserve">2026年08月13日09点30分</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时间：2026年08月13日09点30分（北京时间）</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firstLine="420"/>
              <w:jc w:val="both"/>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宋体" w:hAnsi="宋体" w:eastAsia="宋体" w:cs="宋体"/>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宋体" w:hAnsi="宋体" w:eastAsia="宋体" w:cs="宋体"/>
                <w:color w:val="auto"/>
                <w:sz w:val="21"/>
                <w:szCs w:val="21"/>
                <w:highlight w:val="none"/>
              </w:rPr>
              <w:t xml:space="preserve">中标、成交供应商）支付，</w:t>
            </w:r>
            <w:r/>
          </w:p>
          <w:p>
            <w:pPr>
              <w:ind w:firstLine="420"/>
              <w:jc w:val="both"/>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按照预算金额</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1042"/>
              <w:jc w:val="both"/>
              <w:spacing w:line="360" w:lineRule="auto"/>
              <w:rPr>
                <w:rFonts w:hint="eastAsia" w:ascii="宋体" w:hAnsi="宋体" w:cs="宋体"/>
                <w:color w:val="auto"/>
                <w:sz w:val="21"/>
                <w:szCs w:val="21"/>
                <w:highlight w:val="none"/>
                <w:lang w:val="zh-CN"/>
              </w:rPr>
            </w:pPr>
            <w:r>
              <w:rPr>
                <w:rFonts w:hint="eastAsia" w:ascii="宋体" w:hAnsi="宋体" w:eastAsia="宋体" w:cs="宋体"/>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元整计收。本项目代理服务费人民币</w:t>
            </w:r>
            <w:r>
              <w:rPr>
                <w:rFonts w:hint="eastAsia" w:ascii="宋体" w:hAnsi="宋体" w:eastAsia="宋体" w:cs="宋体"/>
                <w:color w:val="auto"/>
                <w:sz w:val="21"/>
                <w:highlight w:val="none"/>
                <w:lang w:val="en-US" w:eastAsia="zh-CN"/>
              </w:rPr>
              <w:t xml:space="preserve">25340.00元</w:t>
            </w:r>
            <w:r>
              <w:rPr>
                <w:rFonts w:hint="eastAsia" w:ascii="宋体" w:hAnsi="宋体" w:eastAsia="宋体" w:cs="宋体"/>
                <w:color w:val="auto"/>
                <w:sz w:val="21"/>
                <w:highlight w:val="none"/>
              </w:rPr>
              <w:t xml:space="preserve">。</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40"/>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中标单位应于合同签订前向采购单位指定账户交纳中标合同金额5%的履约保证金。</w:t>
            </w:r>
            <w:r>
              <w:rPr>
                <w:rFonts w:hint="eastAsia"/>
                <w:color w:val="auto"/>
                <w:sz w:val="21"/>
                <w:szCs w:val="21"/>
                <w:highlight w:val="none"/>
                <w:lang w:val="en-US" w:eastAsia="zh-CN"/>
              </w:rPr>
              <w:t xml:space="preserve">项目全部结束后予以无息退还。</w:t>
            </w:r>
            <w:r/>
          </w:p>
        </w:tc>
      </w:tr>
    </w:tbl>
    <w:p>
      <w:pPr>
        <w:pStyle w:val="948"/>
        <w:numPr>
          <w:ilvl w:val="0"/>
          <w:numId w:val="0"/>
        </w:numPr>
        <w:jc w:val="center"/>
        <w:spacing w:before="0" w:after="0" w:line="480" w:lineRule="auto"/>
        <w:rPr>
          <w:rFonts w:hint="eastAsia"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仿宋" w:hAnsi="仿宋" w:eastAsia="仿宋" w:cs="仿宋"/>
          <w:color w:val="auto"/>
          <w:sz w:val="21"/>
          <w:szCs w:val="21"/>
          <w:highlight w:val="none"/>
        </w:rPr>
        <w:t xml:space="preserve">项目概况</w:t>
      </w:r>
      <w:r/>
    </w:p>
    <w:p>
      <w:pPr>
        <w:ind w:firstLine="420"/>
        <w:keepLines w:val="0"/>
        <w:keepNext w:val="0"/>
        <w:pageBreakBefore w:val="0"/>
        <w:spacing w:line="360" w:lineRule="auto"/>
        <w:widowControl w:val="off"/>
        <w:rPr>
          <w:rFonts w:hint="eastAsia" w:cs="宋体"/>
          <w:b/>
          <w:bCs/>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仿宋" w:hAnsi="仿宋" w:eastAsia="仿宋" w:cs="仿宋"/>
          <w:color w:val="auto"/>
          <w:sz w:val="21"/>
          <w:szCs w:val="21"/>
          <w:highlight w:val="none"/>
          <w:lang w:eastAsia="zh-CN"/>
        </w:rPr>
        <w:t xml:space="preserve">2026年信号灯新建维护</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JSZC-320585-SZTZ-G2026-0013</w:t>
      </w:r>
      <w:r>
        <w:rPr>
          <w:rFonts w:hint="eastAsia" w:ascii="仿宋" w:hAnsi="仿宋" w:eastAsia="仿宋" w:cs="仿宋"/>
          <w:color w:val="auto"/>
          <w:sz w:val="21"/>
          <w:szCs w:val="21"/>
          <w:highlight w:val="none"/>
        </w:rPr>
        <w:t xml:space="preserve"> 招标项目</w:t>
      </w:r>
      <w:r>
        <w:rPr>
          <w:rFonts w:hint="eastAsia" w:ascii="仿宋" w:hAnsi="仿宋" w:eastAsia="仿宋" w:cs="仿宋"/>
          <w:i w:val="0"/>
          <w:iCs w:val="0"/>
          <w:caps w:val="0"/>
          <w:color w:val="auto"/>
          <w:spacing w:val="0"/>
          <w:sz w:val="21"/>
          <w:szCs w:val="21"/>
          <w:highlight w:val="none"/>
          <w:shd w:val="clear" w:color="auto" w:fill="ffffff"/>
        </w:rPr>
        <w:t xml:space="preserve">的潜在投标人应在苏采云政府采购一体化平台 获取招标文件，</w:t>
      </w:r>
      <w:r>
        <w:rPr>
          <w:rFonts w:hint="eastAsia" w:ascii="仿宋" w:hAnsi="仿宋" w:eastAsia="仿宋" w:cs="仿宋"/>
          <w:color w:val="auto"/>
          <w:sz w:val="21"/>
          <w:szCs w:val="21"/>
          <w:highlight w:val="none"/>
        </w:rPr>
        <w:t xml:space="preserve">并于</w:t>
      </w:r>
      <w:r>
        <w:rPr>
          <w:rFonts w:hint="eastAsia" w:ascii="仿宋" w:hAnsi="仿宋" w:eastAsia="仿宋" w:cs="仿宋"/>
          <w:color w:val="auto"/>
          <w:sz w:val="21"/>
          <w:szCs w:val="21"/>
          <w:highlight w:val="none"/>
          <w:lang w:eastAsia="zh-CN"/>
        </w:rPr>
        <w:t xml:space="preserve">2026年08月13日09点30分</w:t>
      </w:r>
      <w:r>
        <w:rPr>
          <w:rFonts w:hint="eastAsia" w:ascii="仿宋" w:hAnsi="仿宋" w:eastAsia="仿宋" w:cs="仿宋"/>
          <w:color w:val="auto"/>
          <w:sz w:val="21"/>
          <w:szCs w:val="21"/>
          <w:highlight w:val="none"/>
        </w:rPr>
        <w:t xml:space="preserve">（北京时间）前递交投标文件。</w:t>
      </w:r>
      <w:r/>
    </w:p>
    <w:p>
      <w:pPr>
        <w:ind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一、项目基本情况：</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1、项目编号：JSZC-320585-SZTZ-G2026-0013</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2、项目名称：2026年信号灯新建维护</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3、预算金额：</w:t>
      </w:r>
      <w:r>
        <w:rPr>
          <w:rFonts w:hint="eastAsia" w:ascii="仿宋" w:hAnsi="仿宋" w:eastAsia="仿宋" w:cs="仿宋"/>
          <w:b w:val="0"/>
          <w:bCs w:val="0"/>
          <w:color w:val="auto"/>
          <w:sz w:val="21"/>
          <w:szCs w:val="21"/>
          <w:highlight w:val="none"/>
          <w:lang w:val="en-US" w:eastAsia="zh-CN"/>
        </w:rPr>
        <w:t xml:space="preserve">194.000000万元</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4、最高限价：</w:t>
      </w:r>
      <w:r>
        <w:rPr>
          <w:rFonts w:hint="eastAsia" w:ascii="仿宋" w:hAnsi="仿宋" w:eastAsia="仿宋" w:cs="仿宋"/>
          <w:b w:val="0"/>
          <w:bCs w:val="0"/>
          <w:color w:val="auto"/>
          <w:sz w:val="21"/>
          <w:szCs w:val="21"/>
          <w:highlight w:val="none"/>
          <w:lang w:val="en-US" w:eastAsia="zh-CN"/>
        </w:rPr>
        <w:t xml:space="preserve">194.000000万元</w:t>
      </w:r>
      <w:r/>
    </w:p>
    <w:p>
      <w:pPr>
        <w:ind w:firstLine="420"/>
        <w:spacing w:line="360" w:lineRule="auto"/>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5、采购需求：</w:t>
      </w:r>
      <w:r>
        <w:rPr>
          <w:rFonts w:hint="eastAsia" w:ascii="仿宋" w:hAnsi="仿宋" w:eastAsia="仿宋" w:cs="仿宋"/>
          <w:color w:val="auto"/>
          <w:sz w:val="21"/>
          <w:szCs w:val="21"/>
          <w:highlight w:val="none"/>
          <w:lang w:eastAsia="zh-CN"/>
        </w:rPr>
        <w:t xml:space="preserve">202</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lang w:eastAsia="zh-CN"/>
        </w:rPr>
        <w:t xml:space="preserve">年交通信号灯建设维护</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shd w:val="clear" w:color="auto" w:fill="ffffff"/>
        </w:rPr>
        <w:t xml:space="preserve">对信号灯（含倒计时）进行日常维护，对部分隐患路口增设信号灯控制，对不规范的路口线路进行改造，对部分影响市容的线缆改造入地，对老旧破损信号灯具进行更换等。</w:t>
      </w:r>
      <w:r>
        <w:rPr>
          <w:rFonts w:hint="eastAsia" w:ascii="仿宋" w:hAnsi="仿宋" w:eastAsia="仿宋" w:cs="仿宋"/>
          <w:b w:val="0"/>
          <w:bCs w:val="0"/>
          <w:i w:val="0"/>
          <w:iCs w:val="0"/>
          <w:caps w:val="0"/>
          <w:color w:val="auto"/>
          <w:spacing w:val="0"/>
          <w:sz w:val="21"/>
          <w:szCs w:val="21"/>
          <w:highlight w:val="none"/>
          <w:u w:val="none"/>
          <w:shd w:val="clear" w:color="auto" w:fill="ffffff"/>
          <w:lang w:val="en-US" w:eastAsia="zh-CN" w:bidi="ar"/>
        </w:rPr>
        <w:t xml:space="preserve">具体</w:t>
      </w: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内容详见第三部分项目需求。</w:t>
      </w:r>
      <w:r/>
    </w:p>
    <w:p>
      <w:pPr>
        <w:ind w:firstLine="420"/>
        <w:spacing w:line="360" w:lineRule="auto"/>
        <w:rPr>
          <w:rFonts w:hint="eastAsia" w:ascii="仿宋" w:hAnsi="仿宋" w:eastAsia="仿宋" w:cs="仿宋"/>
          <w:b w:val="0"/>
          <w:bCs w:val="0"/>
          <w:i w:val="0"/>
          <w:iCs w:val="0"/>
          <w:caps w:val="0"/>
          <w:color w:val="auto"/>
          <w:spacing w:val="0"/>
          <w:sz w:val="21"/>
          <w:szCs w:val="21"/>
          <w:highlight w:val="none"/>
        </w:rPr>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6、合同履行期限：</w:t>
      </w:r>
      <w:r>
        <w:rPr>
          <w:rFonts w:hint="eastAsia" w:ascii="仿宋" w:hAnsi="仿宋" w:eastAsia="仿宋" w:cs="仿宋"/>
          <w:b w:val="0"/>
          <w:bCs w:val="0"/>
          <w:color w:val="auto"/>
          <w:sz w:val="21"/>
          <w:szCs w:val="21"/>
          <w:highlight w:val="none"/>
          <w:lang w:val="zh-CN"/>
        </w:rPr>
        <w:t xml:space="preserve">一年或项目累计结算金额达到预算金额止（以先到项为准）。</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7、</w:t>
      </w:r>
      <w:r>
        <w:rPr>
          <w:rFonts w:hint="eastAsia" w:ascii="仿宋" w:hAnsi="仿宋" w:eastAsia="仿宋" w:cs="仿宋"/>
          <w:b w:val="0"/>
          <w:bCs w:val="0"/>
          <w:color w:val="auto"/>
          <w:sz w:val="21"/>
          <w:szCs w:val="21"/>
          <w:highlight w:val="none"/>
        </w:rPr>
        <w:t xml:space="preserve">本项目（是/否）接受联合体投标：不接受联合体</w:t>
      </w: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w:t>
      </w:r>
      <w:r/>
    </w:p>
    <w:p>
      <w:pPr>
        <w:pStyle w:val="949"/>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b/>
          <w:bCs/>
          <w:color w:val="auto"/>
          <w:sz w:val="21"/>
          <w:szCs w:val="21"/>
          <w:highlight w:val="none"/>
        </w:rPr>
        <w:t xml:space="preserve">二、申请人的资格要求</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（一）满足《中华人民共和国政府采购法》第二十二条规定；</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978"/>
        <w:ind w:firstLine="420"/>
        <w:keepLines w:val="0"/>
        <w:keepNext w:val="0"/>
        <w:pageBreakBefore w:val="0"/>
        <w:spacing w:before="0" w:beforeAutospacing="0" w:after="0" w:afterAutospacing="0" w:line="360" w:lineRule="auto"/>
        <w:widowControl/>
        <w:rPr>
          <w:rFonts w:hint="default" w:ascii="仿宋" w:hAnsi="仿宋" w:eastAsia="仿宋" w:cs="仿宋"/>
          <w:color w:val="auto"/>
          <w:sz w:val="21"/>
          <w:szCs w:val="21"/>
          <w:highlight w:val="none"/>
          <w:lang w:val="en-US" w:eastAsia="zh-CN"/>
        </w:rPr>
        <w:pBdr>
          <w:left w:val="none" w:color="auto" w:sz="0" w:space="0"/>
        </w:pBdr>
        <w:suppressLineNumbers w:val="0"/>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法律、行政法规规定的其他条件</w:t>
      </w:r>
      <w:r>
        <w:rPr>
          <w:rFonts w:hint="eastAsia" w:ascii="仿宋" w:hAnsi="仿宋" w:eastAsia="仿宋" w:cs="仿宋"/>
          <w:color w:val="auto"/>
          <w:sz w:val="21"/>
          <w:szCs w:val="21"/>
          <w:highlight w:val="none"/>
          <w:lang w:eastAsia="zh-CN"/>
        </w:rPr>
        <w:t xml:space="preserve">。</w:t>
      </w:r>
      <w:r/>
    </w:p>
    <w:p>
      <w:pPr>
        <w:pStyle w:val="978"/>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（二）落实政府采购政策需满足的资格要求：无</w:t>
      </w:r>
      <w:r/>
    </w:p>
    <w:p>
      <w:pPr>
        <w:pStyle w:val="978"/>
        <w:ind w:firstLine="420"/>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（三）</w:t>
      </w:r>
      <w:r>
        <w:rPr>
          <w:rFonts w:hint="eastAsia" w:ascii="仿宋" w:hAnsi="仿宋" w:eastAsia="仿宋" w:cs="仿宋"/>
          <w:b/>
          <w:bCs/>
          <w:color w:val="auto"/>
          <w:sz w:val="21"/>
          <w:szCs w:val="21"/>
          <w:highlight w:val="none"/>
        </w:rPr>
        <w:t xml:space="preserve">本项目的特定资格要求：</w:t>
      </w:r>
      <w:r/>
    </w:p>
    <w:p>
      <w:pPr>
        <w:pStyle w:val="978"/>
        <w:ind w:firstLine="422"/>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rPr>
        <w:pBdr>
          <w:left w:val="none" w:color="auto" w:sz="0" w:space="0"/>
        </w:pBdr>
        <w:suppressLineNumbers w:val="0"/>
      </w:pPr>
      <w:r>
        <w:rPr>
          <w:rStyle w:val="984"/>
          <w:rFonts w:hint="eastAsia" w:ascii="仿宋" w:hAnsi="仿宋" w:eastAsia="仿宋" w:cs="仿宋"/>
          <w:b/>
          <w:bCs/>
          <w:color w:val="auto"/>
          <w:sz w:val="21"/>
          <w:szCs w:val="21"/>
          <w:highlight w:val="none"/>
          <w:lang w:val="en-US" w:eastAsia="zh-CN"/>
        </w:rPr>
        <w:t xml:space="preserve">1.投标单位具有</w:t>
      </w:r>
      <w:r>
        <w:rPr>
          <w:rFonts w:hint="eastAsia" w:ascii="仿宋" w:hAnsi="仿宋" w:eastAsia="仿宋" w:cs="仿宋"/>
          <w:b/>
          <w:bCs/>
          <w:color w:val="auto"/>
          <w:sz w:val="21"/>
          <w:szCs w:val="21"/>
          <w:highlight w:val="none"/>
        </w:rPr>
        <w:t xml:space="preserve">公路交通工程(公路机电工程分项)专业承包二级(含)以上资质。</w:t>
      </w:r>
      <w:r/>
    </w:p>
    <w:p>
      <w:pPr>
        <w:pStyle w:val="949"/>
        <w:numPr>
          <w:ilvl w:val="1"/>
          <w:numId w:val="0"/>
        </w:numPr>
        <w:ind w:firstLine="422"/>
        <w:keepLines w:val="0"/>
        <w:keepNext w:val="0"/>
        <w:pageBreakBefore w:val="0"/>
        <w:spacing w:before="0" w:beforeAutospacing="0" w:after="0" w:afterAutospacing="0" w:line="360" w:lineRule="auto"/>
        <w:widowControl/>
        <w:rPr>
          <w:rStyle w:val="984"/>
          <w:rFonts w:hint="default" w:ascii="仿宋" w:hAnsi="仿宋" w:eastAsia="仿宋" w:cs="仿宋"/>
          <w:b/>
          <w:bCs/>
          <w:color w:val="auto"/>
          <w:sz w:val="21"/>
          <w:szCs w:val="21"/>
          <w:highlight w:val="none"/>
          <w:lang w:val="en-US" w:eastAsia="zh-CN"/>
        </w:rPr>
        <w:suppressLineNumbers w:val="0"/>
      </w:pPr>
      <w:r>
        <w:rPr>
          <w:rStyle w:val="984"/>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949"/>
        <w:numPr>
          <w:ilvl w:val="1"/>
          <w:numId w:val="0"/>
        </w:numPr>
        <w:ind w:firstLine="422"/>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b/>
          <w:bCs/>
          <w:color w:val="auto"/>
          <w:sz w:val="21"/>
          <w:szCs w:val="21"/>
          <w:highlight w:val="none"/>
        </w:rPr>
        <w:t xml:space="preserve">三、获取招标文件</w:t>
      </w:r>
      <w:r/>
    </w:p>
    <w:p>
      <w:pPr>
        <w:ind w:firstLine="420"/>
        <w:jc w:val="left"/>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lang w:val="en-US" w:eastAsia="zh-CN" w:bidi="ar"/>
        </w:rPr>
        <w:t xml:space="preserve">时间：自招标文件公告发布之日起5个工作日 </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方式：系统内获取 </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售价：0.00元 </w:t>
      </w:r>
      <w:r/>
    </w:p>
    <w:p>
      <w:pPr>
        <w:pStyle w:val="949"/>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b/>
          <w:bCs/>
          <w:color w:val="auto"/>
          <w:sz w:val="21"/>
          <w:szCs w:val="21"/>
          <w:highlight w:val="none"/>
        </w:rPr>
        <w:t xml:space="preserve">四、提交投标文件截止时间、开标时间和地点</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lang w:eastAsia="zh-CN"/>
        </w:rPr>
        <w:t xml:space="preserve">2026年08月13日09点30分</w:t>
      </w:r>
      <w:r>
        <w:rPr>
          <w:rFonts w:hint="eastAsia" w:ascii="仿宋" w:hAnsi="仿宋" w:eastAsia="仿宋" w:cs="仿宋"/>
          <w:color w:val="auto"/>
          <w:sz w:val="21"/>
          <w:szCs w:val="21"/>
          <w:highlight w:val="none"/>
        </w:rPr>
        <w:t xml:space="preserve"> （北京时间）</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地点：苏采云政府采购一体化平台 </w:t>
      </w:r>
      <w:r/>
    </w:p>
    <w:p>
      <w:pPr>
        <w:pStyle w:val="949"/>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b/>
          <w:bCs/>
          <w:color w:val="auto"/>
          <w:sz w:val="21"/>
          <w:szCs w:val="21"/>
          <w:highlight w:val="none"/>
        </w:rPr>
        <w:t xml:space="preserve">五、公告期限</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自本公告发布之日起5个工作日。</w:t>
      </w:r>
      <w:r/>
    </w:p>
    <w:p>
      <w:pPr>
        <w:pStyle w:val="949"/>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b/>
          <w:bCs/>
          <w:color w:val="auto"/>
          <w:sz w:val="21"/>
          <w:szCs w:val="21"/>
          <w:highlight w:val="none"/>
        </w:rPr>
        <w:t xml:space="preserve">六、其他补充事宜</w:t>
      </w:r>
      <w:r/>
    </w:p>
    <w:p>
      <w:pPr>
        <w:ind w:left="0" w:right="0" w:firstLine="422"/>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color w:val="auto"/>
          <w:sz w:val="21"/>
          <w:szCs w:val="21"/>
          <w:highlight w:val="none"/>
          <w:lang w:val="en-US" w:eastAsia="zh-CN" w:bidi="ar"/>
        </w:rPr>
        <w:t xml:space="preserve">1、拒绝下述供应商参加本次采购活动：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（1）供应商单位负责人为同一人或者存在直接控股、管理关系的不同供应商，不得参加同一合同项下的政府采购活动。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（2）凡为采购项目提供整体设计、规范编制或者项目管理、监理、检测等服务的供应商，不得再参加本项目的采购活动。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（3）法人的分支机构不得参加投标（除银行、保险、石油石化、电力、电信等行业特殊情况外）</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2、本项目需要使用CA数字证书制作、上传电子投标文件完成电子投标，请供应商在参加投标活动前办理好CA数字证书申领及电子签章等操作。</w:t>
      </w:r>
      <w:r/>
    </w:p>
    <w:p>
      <w:pPr>
        <w:ind w:left="0" w:right="0" w:firstLine="422"/>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color w:val="auto"/>
          <w:sz w:val="21"/>
          <w:szCs w:val="21"/>
          <w:highlight w:val="none"/>
          <w:lang w:val="en-US" w:eastAsia="zh-CN" w:bidi="ar"/>
        </w:rPr>
        <w:t xml:space="preserve">3、本项目采用不见面开标，投标人开标时无需到开标现场进行解密，采取网上开标大厅解密电子投标文件，投标人远程解密要求如下：</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2）投标人登录苏采云系统，点击开标大厅，选择开标项目，完成不见面开标流程。</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3）投标截止时间后根据系统提示解密电子投标文件。</w:t>
      </w:r>
      <w:r>
        <w:rPr>
          <w:rStyle w:val="984"/>
          <w:rFonts w:hint="eastAsia" w:ascii="仿宋" w:hAnsi="仿宋" w:eastAsia="仿宋" w:cs="仿宋"/>
          <w:color w:val="auto"/>
          <w:sz w:val="21"/>
          <w:szCs w:val="21"/>
          <w:highlight w:val="none"/>
          <w:lang w:val="en-US" w:eastAsia="zh-CN" w:bidi="ar"/>
        </w:rPr>
        <w:t xml:space="preserve">解密时间为15分钟，</w:t>
      </w:r>
      <w:r>
        <w:rPr>
          <w:rFonts w:hint="eastAsia" w:ascii="仿宋" w:hAnsi="仿宋" w:eastAsia="仿宋" w:cs="仿宋"/>
          <w:color w:val="auto"/>
          <w:sz w:val="21"/>
          <w:szCs w:val="21"/>
          <w:highlight w:val="none"/>
          <w:lang w:val="en-US" w:eastAsia="zh-CN" w:bidi="ar"/>
        </w:rPr>
        <w:t xml:space="preserve">未在规定时间内完成解密，其投标文件将被拒绝，不参与后续投标流程。</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w:t>
      </w:r>
      <w:r>
        <w:rPr>
          <w:rStyle w:val="984"/>
          <w:rFonts w:hint="eastAsia" w:ascii="仿宋" w:hAnsi="仿宋" w:eastAsia="仿宋" w:cs="仿宋"/>
          <w:color w:val="auto"/>
          <w:sz w:val="21"/>
          <w:szCs w:val="21"/>
          <w:highlight w:val="none"/>
          <w:lang w:val="en-US" w:eastAsia="zh-CN" w:bidi="ar"/>
        </w:rPr>
        <w:t xml:space="preserve">有关苏采云系统驱动安装，</w:t>
      </w:r>
      <w:r>
        <w:rPr>
          <w:rFonts w:hint="eastAsia" w:ascii="仿宋" w:hAnsi="仿宋" w:eastAsia="仿宋" w:cs="仿宋"/>
          <w:color w:val="auto"/>
          <w:sz w:val="21"/>
          <w:szCs w:val="21"/>
          <w:highlight w:val="none"/>
          <w:lang w:val="en-US" w:eastAsia="zh-CN" w:bidi="ar"/>
        </w:rPr>
        <w:t xml:space="preserve">登录苏州政府采购网，点击页面底部苏采云图标，进入苏采云政府采购一体化平台，点击“驱动下载”，下载</w:t>
      </w:r>
      <w:r>
        <w:rPr>
          <w:rStyle w:val="984"/>
          <w:rFonts w:hint="eastAsia" w:ascii="仿宋" w:hAnsi="仿宋" w:eastAsia="仿宋" w:cs="仿宋"/>
          <w:color w:val="auto"/>
          <w:sz w:val="21"/>
          <w:szCs w:val="21"/>
          <w:highlight w:val="none"/>
          <w:lang w:val="en-US" w:eastAsia="zh-CN" w:bidi="ar"/>
        </w:rPr>
        <w:t xml:space="preserve">“政务CA、方正签章控件驱动安装包及安装说明”</w:t>
      </w:r>
      <w:r>
        <w:rPr>
          <w:rFonts w:hint="eastAsia" w:ascii="仿宋" w:hAnsi="仿宋" w:eastAsia="仿宋" w:cs="仿宋"/>
          <w:color w:val="auto"/>
          <w:sz w:val="21"/>
          <w:szCs w:val="21"/>
          <w:highlight w:val="none"/>
          <w:lang w:val="en-US" w:eastAsia="zh-CN" w:bidi="ar"/>
        </w:rPr>
        <w:t xml:space="preserve">文件，按要求安装驱动。</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5、</w:t>
      </w:r>
      <w:r>
        <w:rPr>
          <w:rStyle w:val="984"/>
          <w:rFonts w:hint="eastAsia" w:ascii="仿宋" w:hAnsi="仿宋" w:eastAsia="仿宋" w:cs="仿宋"/>
          <w:color w:val="auto"/>
          <w:sz w:val="21"/>
          <w:szCs w:val="21"/>
          <w:highlight w:val="none"/>
          <w:lang w:val="en-US" w:eastAsia="zh-CN" w:bidi="ar"/>
        </w:rPr>
        <w:t xml:space="preserve">有关供应商注册、报名、下载电子招标文件、制作上传电子投标文件</w:t>
      </w:r>
      <w:r>
        <w:rPr>
          <w:rFonts w:hint="eastAsia" w:ascii="仿宋" w:hAnsi="仿宋" w:eastAsia="仿宋" w:cs="仿宋"/>
          <w:color w:val="auto"/>
          <w:sz w:val="21"/>
          <w:szCs w:val="21"/>
          <w:highlight w:val="none"/>
          <w:lang w:val="en-US" w:eastAsia="zh-CN" w:bidi="ar"/>
        </w:rPr>
        <w:t xml:space="preserve">、不见面开标及其他注意事项登录苏州政府采购网，在“下载中心”栏目下载“</w:t>
      </w:r>
      <w:r>
        <w:rPr>
          <w:rStyle w:val="984"/>
          <w:rFonts w:hint="eastAsia" w:ascii="仿宋" w:hAnsi="仿宋" w:eastAsia="仿宋" w:cs="仿宋"/>
          <w:color w:val="auto"/>
          <w:sz w:val="21"/>
          <w:szCs w:val="21"/>
          <w:highlight w:val="none"/>
          <w:lang w:val="en-US" w:eastAsia="zh-CN" w:bidi="ar"/>
        </w:rPr>
        <w:t xml:space="preserve">苏采云系统供应商操作手册”</w:t>
      </w:r>
      <w:r>
        <w:rPr>
          <w:rFonts w:hint="eastAsia" w:ascii="仿宋" w:hAnsi="仿宋" w:eastAsia="仿宋" w:cs="仿宋"/>
          <w:color w:val="auto"/>
          <w:sz w:val="21"/>
          <w:szCs w:val="21"/>
          <w:highlight w:val="none"/>
          <w:lang w:val="en-US" w:eastAsia="zh-CN" w:bidi="ar"/>
        </w:rPr>
        <w:t xml:space="preserve">查阅。</w:t>
      </w:r>
      <w:r/>
    </w:p>
    <w:p>
      <w:pPr>
        <w:ind w:left="0" w:right="0" w:firstLine="420"/>
        <w:jc w:val="both"/>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6、</w:t>
      </w:r>
      <w:r>
        <w:rPr>
          <w:rStyle w:val="984"/>
          <w:rFonts w:hint="eastAsia" w:ascii="仿宋" w:hAnsi="仿宋" w:eastAsia="仿宋" w:cs="仿宋"/>
          <w:color w:val="auto"/>
          <w:sz w:val="21"/>
          <w:szCs w:val="21"/>
          <w:highlight w:val="none"/>
          <w:lang w:val="en-US" w:eastAsia="zh-CN" w:bidi="ar"/>
        </w:rPr>
        <w:t xml:space="preserve">有关办理CA数字申领及电子签章事项</w:t>
      </w:r>
      <w:r>
        <w:rPr>
          <w:rFonts w:hint="eastAsia" w:ascii="仿宋" w:hAnsi="仿宋" w:eastAsia="仿宋" w:cs="仿宋"/>
          <w:color w:val="auto"/>
          <w:sz w:val="21"/>
          <w:szCs w:val="21"/>
          <w:highlight w:val="none"/>
          <w:lang w:val="en-US" w:eastAsia="zh-CN" w:bidi="ar"/>
        </w:rPr>
        <w:t xml:space="preserve">，登录苏州政府采购网，点击页面底部苏采云图标，进入苏采云政府采购一体化平台，下载</w:t>
      </w:r>
      <w:r>
        <w:rPr>
          <w:rStyle w:val="984"/>
          <w:rFonts w:hint="eastAsia" w:ascii="仿宋" w:hAnsi="仿宋" w:eastAsia="仿宋" w:cs="仿宋"/>
          <w:color w:val="auto"/>
          <w:sz w:val="21"/>
          <w:szCs w:val="21"/>
          <w:highlight w:val="none"/>
          <w:lang w:val="en-US" w:eastAsia="zh-CN" w:bidi="ar"/>
        </w:rPr>
        <w:t xml:space="preserve">“新CA办理指南”</w:t>
      </w:r>
      <w:r>
        <w:rPr>
          <w:rFonts w:hint="eastAsia" w:ascii="仿宋" w:hAnsi="仿宋" w:eastAsia="仿宋" w:cs="仿宋"/>
          <w:color w:val="auto"/>
          <w:sz w:val="21"/>
          <w:szCs w:val="21"/>
          <w:highlight w:val="none"/>
          <w:lang w:val="en-US" w:eastAsia="zh-CN" w:bidi="ar"/>
        </w:rPr>
        <w:t xml:space="preserve">文件查阅。</w:t>
      </w:r>
      <w:r/>
    </w:p>
    <w:p>
      <w:pPr>
        <w:ind w:left="0" w:right="0" w:firstLine="422"/>
        <w:jc w:val="left"/>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Style w:val="984"/>
          <w:rFonts w:hint="eastAsia" w:ascii="仿宋" w:hAnsi="仿宋" w:eastAsia="仿宋" w:cs="仿宋"/>
          <w:color w:val="auto"/>
          <w:sz w:val="21"/>
          <w:szCs w:val="21"/>
          <w:highlight w:val="none"/>
          <w:lang w:val="en-US" w:eastAsia="zh-CN" w:bidi="ar"/>
        </w:rPr>
        <w:t xml:space="preserve">7、本次招标投标保证金</w:t>
      </w:r>
      <w:r/>
    </w:p>
    <w:p>
      <w:pPr>
        <w:ind w:left="0" w:right="0" w:firstLine="420"/>
        <w:jc w:val="left"/>
        <w:keepLines w:val="0"/>
        <w:keepNext w:val="0"/>
        <w:pageBreakBefore w:val="0"/>
        <w:spacing w:beforeAutospacing="0" w:afterAutospacing="0" w:line="360" w:lineRule="auto"/>
        <w:widowControl/>
        <w:rPr>
          <w:rStyle w:val="984"/>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本项目无须缴纳投标保证金</w:t>
      </w:r>
      <w:r>
        <w:rPr>
          <w:rStyle w:val="984"/>
          <w:rFonts w:hint="eastAsia" w:ascii="仿宋" w:hAnsi="仿宋" w:eastAsia="仿宋" w:cs="仿宋"/>
          <w:color w:val="auto"/>
          <w:sz w:val="21"/>
          <w:szCs w:val="21"/>
          <w:highlight w:val="none"/>
          <w:lang w:val="en-US" w:eastAsia="zh-CN" w:bidi="ar"/>
        </w:rPr>
        <w:t xml:space="preserve">。</w:t>
      </w:r>
      <w:r/>
    </w:p>
    <w:p>
      <w:pPr>
        <w:ind w:left="0" w:right="0" w:firstLine="420"/>
        <w:jc w:val="left"/>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8、</w:t>
      </w:r>
      <w:r>
        <w:rPr>
          <w:rStyle w:val="984"/>
          <w:rFonts w:hint="eastAsia" w:ascii="仿宋" w:hAnsi="仿宋" w:eastAsia="仿宋" w:cs="仿宋"/>
          <w:color w:val="auto"/>
          <w:sz w:val="21"/>
          <w:szCs w:val="21"/>
          <w:highlight w:val="none"/>
          <w:lang w:val="en-US" w:eastAsia="zh-CN" w:bidi="ar"/>
        </w:rPr>
        <w:t xml:space="preserve">代理服务费：</w:t>
      </w:r>
      <w:r>
        <w:rPr>
          <w:rFonts w:hint="eastAsia" w:ascii="仿宋" w:hAnsi="仿宋" w:eastAsia="仿宋" w:cs="仿宋"/>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仿宋" w:hAnsi="仿宋" w:eastAsia="仿宋" w:cs="仿宋"/>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仿宋" w:hAnsi="仿宋" w:eastAsia="仿宋" w:cs="仿宋"/>
          <w:color w:val="auto"/>
          <w:sz w:val="21"/>
          <w:szCs w:val="21"/>
          <w:highlight w:val="none"/>
        </w:rPr>
        <w:t xml:space="preserve">中标、成交供应商）支付，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按照预算金额</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left="0" w:right="0" w:firstLine="420"/>
        <w:jc w:val="left"/>
        <w:keepLines w:val="0"/>
        <w:keepNext w:val="0"/>
        <w:pageBreakBefore w:val="0"/>
        <w:spacing w:beforeAutospacing="0" w:afterAutospacing="0" w:line="360"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元整计收。本项目代理服务费人民币</w:t>
      </w:r>
      <w:r>
        <w:rPr>
          <w:rFonts w:hint="eastAsia" w:ascii="仿宋" w:hAnsi="仿宋" w:eastAsia="仿宋" w:cs="仿宋"/>
          <w:color w:val="auto"/>
          <w:sz w:val="21"/>
          <w:highlight w:val="none"/>
          <w:lang w:val="en-US" w:eastAsia="zh-CN"/>
        </w:rPr>
        <w:t xml:space="preserve">25340.00元</w:t>
      </w:r>
      <w:r>
        <w:rPr>
          <w:rFonts w:hint="eastAsia" w:ascii="仿宋" w:hAnsi="仿宋" w:eastAsia="仿宋" w:cs="仿宋"/>
          <w:color w:val="auto"/>
          <w:sz w:val="21"/>
          <w:highlight w:val="none"/>
        </w:rPr>
        <w:t xml:space="preserve">。</w:t>
      </w:r>
      <w:r/>
    </w:p>
    <w:p>
      <w:pPr>
        <w:numPr>
          <w:ilvl w:val="0"/>
          <w:numId w:val="0"/>
        </w:numPr>
        <w:ind w:right="0" w:firstLine="422"/>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9、政府采购履约资金扶持政策  </w:t>
      </w:r>
      <w:r/>
    </w:p>
    <w:p>
      <w:pPr>
        <w:numPr>
          <w:ilvl w:val="0"/>
          <w:numId w:val="0"/>
        </w:numPr>
        <w:ind w:right="0" w:firstLine="422"/>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中标供应商可凭政府采购合同办理融资贷款，详情请见江苏政府采购网“政采贷”专栏。</w:t>
      </w:r>
      <w:r/>
    </w:p>
    <w:p>
      <w:pPr>
        <w:ind w:right="0" w:firstLine="422"/>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七、对本次招标提出询问，请按以下方式联系</w:t>
      </w: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1、采购人信息</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名称：太仓市公安局</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地址：太仓市上海东路58号　　　　　　　　　　　　</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联系人：田鹤</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联系电话： 0512-53528454　　　　　　　　　　　</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2、采购代理机构信息</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名称：苏州泰至鑫项目管理有限公司</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地址：太仓市娄东街道上海东路333号高展商务大厦10楼1002室</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联系人：顾孙英</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联系电话：13145086180</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项目联系方式</w:t>
      </w:r>
      <w:r/>
    </w:p>
    <w:p>
      <w:pPr>
        <w:pStyle w:val="97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3.项目联系方式</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顾孙英 联系电话：13145086180</w:t>
      </w:r>
      <w:r/>
    </w:p>
    <w:p>
      <w:pPr>
        <w:ind w:left="0" w:right="0" w:firstLine="422"/>
        <w:jc w:val="both"/>
        <w:keepLines w:val="0"/>
        <w:keepNext w:val="0"/>
        <w:pageBreakBefore w:val="0"/>
        <w:spacing w:beforeAutospacing="0" w:afterAutospacing="0" w:line="288" w:lineRule="auto"/>
        <w:widowControl/>
        <w:rPr>
          <w:rStyle w:val="992"/>
          <w:rFonts w:hint="eastAsia" w:ascii="宋体" w:hAnsi="宋体" w:eastAsia="宋体" w:cs="宋体"/>
          <w:color w:val="auto"/>
          <w:sz w:val="32"/>
          <w:szCs w:val="32"/>
          <w:highlight w:val="none"/>
        </w:rPr>
        <w:suppressLineNumbers w:val="0"/>
      </w:pPr>
      <w:r>
        <w:rPr>
          <w:rStyle w:val="984"/>
          <w:rFonts w:hint="eastAsia" w:ascii="仿宋" w:hAnsi="仿宋" w:eastAsia="仿宋" w:cs="仿宋"/>
          <w:color w:val="auto"/>
          <w:sz w:val="21"/>
          <w:szCs w:val="21"/>
          <w:highlight w:val="none"/>
          <w:lang w:val="en-US" w:eastAsia="zh-CN" w:bidi="ar"/>
        </w:rPr>
        <w:t xml:space="preserve">有关电子投标制作技术疑问，请咨询苏采云软件公司客服：18261002950、0512-69820854、0519-86722802，政府采购监督电话：0512-53512539，</w:t>
      </w: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政府采购监督电话：0512-53512539</w:t>
      </w:r>
      <w:bookmarkStart w:id="2" w:name="_Toc15584"/>
      <w:r/>
      <w:r/>
    </w:p>
    <w:p>
      <w:pPr>
        <w:jc w:val="center"/>
        <w:widowControl w:val="off"/>
        <w:rPr>
          <w:rStyle w:val="992"/>
          <w:rFonts w:hint="eastAsia"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第二章 投标人须知</w:t>
      </w:r>
      <w:bookmarkEnd w:id="2"/>
      <w:r/>
      <w:r/>
    </w:p>
    <w:p>
      <w:pPr>
        <w:jc w:val="both"/>
        <w:widowControl w:val="off"/>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13.1.1 开标一览表（</w:t>
      </w:r>
      <w:r>
        <w:rPr>
          <w:rFonts w:hint="eastAsia" w:ascii="宋体" w:hAnsi="宋体" w:cs="宋体"/>
          <w:b w:val="0"/>
          <w:bCs w:val="0"/>
          <w:color w:val="auto"/>
          <w:sz w:val="21"/>
          <w:szCs w:val="21"/>
          <w:highlight w:val="none"/>
          <w:lang w:val="en-US" w:eastAsia="zh-CN"/>
        </w:rPr>
        <w:t xml:space="preserve">系统内直接填写</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w:t>
      </w:r>
      <w:r>
        <w:rPr>
          <w:rFonts w:hint="eastAsia" w:ascii="宋体" w:hAnsi="宋体" w:cs="宋体"/>
          <w:b/>
          <w:bCs/>
          <w:color w:val="auto"/>
          <w:sz w:val="21"/>
          <w:szCs w:val="21"/>
          <w:highlight w:val="none"/>
          <w:lang w:val="en-US" w:eastAsia="zh-CN"/>
        </w:rPr>
        <w:t xml:space="preserve">资格性、符合性、技术、商务部分</w:t>
      </w:r>
      <w:r>
        <w:rPr>
          <w:rFonts w:hint="eastAsia" w:ascii="宋体" w:hAnsi="宋体" w:cs="宋体"/>
          <w:b/>
          <w:bCs/>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13.2.1</w:t>
      </w:r>
      <w:r>
        <w:rPr>
          <w:rFonts w:hint="eastAsia" w:ascii="宋体" w:hAnsi="宋体" w:cs="宋体"/>
          <w:b/>
          <w:bCs/>
          <w:color w:val="auto"/>
          <w:sz w:val="21"/>
          <w:szCs w:val="21"/>
          <w:highlight w:val="none"/>
          <w:lang w:eastAsia="zh-CN"/>
        </w:rPr>
        <w:t xml:space="preserve">资格证明文件部分</w:t>
      </w:r>
      <w:r>
        <w:rPr>
          <w:rFonts w:hint="eastAsia" w:ascii="宋体" w:hAnsi="宋体" w:cs="宋体"/>
          <w:b/>
          <w:bCs/>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bidi="ar-SA"/>
        </w:rPr>
        <w:t xml:space="preserve">具有独立承担民事责任的能力：提供</w:t>
      </w:r>
      <w:r>
        <w:rPr>
          <w:rFonts w:hint="eastAsia" w:ascii="宋体" w:hAnsi="宋体" w:eastAsia="宋体" w:cs="宋体"/>
          <w:color w:val="auto"/>
          <w:sz w:val="21"/>
          <w:szCs w:val="21"/>
          <w:highlight w:val="none"/>
        </w:rPr>
        <w:t xml:space="preserve">投标单位营业执照</w:t>
      </w:r>
      <w:r>
        <w:rPr>
          <w:rFonts w:hint="eastAsia" w:ascii="宋体" w:hAnsi="宋体" w:eastAsia="宋体" w:cs="宋体"/>
          <w:color w:val="auto"/>
          <w:sz w:val="21"/>
          <w:szCs w:val="21"/>
          <w:highlight w:val="none"/>
          <w:lang w:val="en-US" w:eastAsia="zh-CN"/>
        </w:rPr>
        <w:t xml:space="preserve">及法定代表人身份证扫描件或</w:t>
      </w:r>
      <w:r>
        <w:rPr>
          <w:rFonts w:hint="eastAsia" w:ascii="宋体" w:hAnsi="宋体" w:eastAsia="宋体" w:cs="宋体"/>
          <w:color w:val="auto"/>
          <w:sz w:val="21"/>
          <w:szCs w:val="21"/>
          <w:highlight w:val="none"/>
          <w:lang w:val="en-US" w:eastAsia="zh-CN" w:bidi="ar-SA"/>
        </w:rPr>
        <w:t xml:space="preserve">自然人的身份证明、</w:t>
      </w:r>
      <w:r>
        <w:rPr>
          <w:rFonts w:hint="eastAsia" w:ascii="宋体" w:hAnsi="宋体" w:eastAsia="宋体" w:cs="宋体"/>
          <w:color w:val="auto"/>
          <w:sz w:val="21"/>
          <w:szCs w:val="21"/>
          <w:highlight w:val="none"/>
        </w:rPr>
        <w:t xml:space="preserve">授权委托书（如有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）、被授权人身份证（如有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关于资格文件的声明函、投标人基本情况表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（详见投标文件格式</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具有良好的商业信誉和健全的财务会计制度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提供参加本次政府采购活动前的财务状况报告或者银行出具的资信证明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SA"/>
        </w:rPr>
        <w:t xml:space="preserve">具有履行合同所必需的设备和专业技术能力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提供履行合同所必需的设备和专业技术能力的证明材料或书面声明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13.2.2</w:t>
      </w:r>
      <w:r>
        <w:rPr>
          <w:rFonts w:hint="eastAsia" w:ascii="宋体" w:hAnsi="宋体" w:cs="宋体"/>
          <w:b/>
          <w:bCs/>
          <w:color w:val="auto"/>
          <w:sz w:val="21"/>
          <w:szCs w:val="21"/>
          <w:highlight w:val="none"/>
          <w:lang w:val="en-US" w:eastAsia="zh-CN"/>
        </w:rPr>
        <w:t xml:space="preserve"> 符合性审查文件部分</w:t>
      </w:r>
      <w:r/>
    </w:p>
    <w:p>
      <w:pPr>
        <w:ind w:firstLine="420"/>
        <w:spacing w:line="360" w:lineRule="auto"/>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报价</w:t>
      </w:r>
      <w:r>
        <w:rPr>
          <w:rFonts w:hint="eastAsia" w:ascii="宋体" w:hAnsi="宋体" w:eastAsia="宋体" w:cs="宋体"/>
          <w:b/>
          <w:bCs/>
          <w:i w:val="0"/>
          <w:iCs w:val="0"/>
          <w:caps w:val="0"/>
          <w:color w:val="auto"/>
          <w:spacing w:val="0"/>
          <w:sz w:val="21"/>
          <w:szCs w:val="21"/>
          <w:highlight w:val="none"/>
          <w:shd w:val="clear" w:color="auto" w:fill="ffffff"/>
        </w:rPr>
        <w:t xml:space="preserve">符合性审查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w:t>
      </w:r>
      <w:r>
        <w:rPr>
          <w:rFonts w:hint="eastAsia" w:ascii="宋体" w:hAnsi="宋体" w:cs="宋体"/>
          <w:color w:val="auto"/>
          <w:sz w:val="21"/>
          <w:szCs w:val="21"/>
          <w:highlight w:val="none"/>
          <w:lang w:val="en-US" w:eastAsia="zh-CN"/>
        </w:rPr>
        <w:t xml:space="preserve">2技术</w:t>
      </w:r>
      <w:r>
        <w:rPr>
          <w:rFonts w:hint="eastAsia" w:ascii="宋体" w:hAnsi="宋体" w:cs="宋体"/>
          <w:color w:val="auto"/>
          <w:sz w:val="21"/>
          <w:szCs w:val="21"/>
          <w:highlight w:val="none"/>
        </w:rPr>
        <w:t xml:space="preserve">要求偏离表（详见投标文件格式）；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商务</w:t>
      </w:r>
      <w:r>
        <w:rPr>
          <w:rFonts w:hint="eastAsia" w:ascii="宋体" w:hAnsi="宋体" w:cs="宋体"/>
          <w:color w:val="auto"/>
          <w:sz w:val="21"/>
          <w:szCs w:val="21"/>
          <w:highlight w:val="none"/>
          <w:lang w:val="en-US" w:eastAsia="zh-CN"/>
        </w:rPr>
        <w:t xml:space="preserve">条款</w:t>
      </w:r>
      <w:r>
        <w:rPr>
          <w:rFonts w:hint="eastAsia" w:ascii="宋体" w:hAnsi="宋体" w:cs="宋体"/>
          <w:color w:val="auto"/>
          <w:sz w:val="21"/>
          <w:szCs w:val="21"/>
          <w:highlight w:val="none"/>
        </w:rPr>
        <w:t xml:space="preserve">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技术</w:t>
      </w:r>
      <w:r>
        <w:rPr>
          <w:rFonts w:hint="eastAsia" w:ascii="宋体" w:hAnsi="宋体" w:cs="宋体"/>
          <w:b/>
          <w:bCs/>
          <w:color w:val="auto"/>
          <w:sz w:val="21"/>
          <w:szCs w:val="21"/>
          <w:highlight w:val="none"/>
          <w:lang w:eastAsia="zh-CN"/>
        </w:rPr>
        <w:t xml:space="preserve">及商务部分（</w:t>
      </w:r>
      <w:r>
        <w:rPr>
          <w:rFonts w:hint="eastAsia" w:ascii="宋体" w:hAnsi="宋体" w:cs="宋体"/>
          <w:b/>
          <w:bCs/>
          <w:color w:val="auto"/>
          <w:sz w:val="21"/>
          <w:szCs w:val="21"/>
          <w:highlight w:val="none"/>
        </w:rPr>
        <w:t xml:space="preserve">投标人视各自的情况</w:t>
      </w:r>
      <w:r>
        <w:rPr>
          <w:rFonts w:hint="eastAsia" w:ascii="宋体" w:hAnsi="宋体" w:cs="宋体"/>
          <w:b/>
          <w:bCs/>
          <w:color w:val="auto"/>
          <w:sz w:val="21"/>
          <w:szCs w:val="21"/>
          <w:highlight w:val="none"/>
          <w:lang w:val="en-US" w:eastAsia="zh-CN"/>
        </w:rPr>
        <w:t xml:space="preserve">按评审要求</w:t>
      </w:r>
      <w:r>
        <w:rPr>
          <w:rFonts w:hint="eastAsia" w:ascii="宋体" w:hAnsi="宋体" w:cs="宋体"/>
          <w:b/>
          <w:bCs/>
          <w:color w:val="auto"/>
          <w:sz w:val="21"/>
          <w:szCs w:val="21"/>
          <w:highlight w:val="none"/>
        </w:rPr>
        <w:t xml:space="preserve">自行编制</w:t>
      </w:r>
      <w:r>
        <w:rPr>
          <w:rFonts w:hint="eastAsia" w:ascii="宋体" w:hAnsi="宋体" w:cs="宋体"/>
          <w:b/>
          <w:bCs/>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相关业绩一览表</w:t>
      </w:r>
      <w:r>
        <w:rPr>
          <w:rFonts w:hint="eastAsia" w:ascii="宋体" w:hAnsi="宋体" w:cs="宋体"/>
          <w:b w:val="0"/>
          <w:bCs w:val="0"/>
          <w:color w:val="auto"/>
          <w:sz w:val="21"/>
          <w:szCs w:val="21"/>
          <w:highlight w:val="none"/>
        </w:rPr>
        <w:t xml:space="preserve">及相关证明</w:t>
      </w:r>
      <w:r>
        <w:rPr>
          <w:rFonts w:hint="eastAsia" w:ascii="宋体" w:hAnsi="宋体" w:cs="宋体"/>
          <w:color w:val="auto"/>
          <w:sz w:val="21"/>
          <w:szCs w:val="21"/>
          <w:highlight w:val="none"/>
        </w:rPr>
        <w:t xml:space="preserve">材料（详见投标文件格式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rPr>
        <w:t xml:space="preserve">13</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相关证书一览表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投入本项目技术（服务）人员一览表及相关证明材料（详见投标文件格式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项目的技术及服务方案</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招标文件及评分标准中要求提供的其他相</w:t>
      </w:r>
      <w:r>
        <w:rPr>
          <w:rFonts w:hint="eastAsia" w:ascii="宋体" w:hAnsi="宋体" w:cs="宋体"/>
          <w:color w:val="auto"/>
          <w:sz w:val="21"/>
          <w:szCs w:val="21"/>
          <w:highlight w:val="none"/>
        </w:rPr>
        <w:t xml:space="preserve">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其他需投标人对本次投标的详细说明（投标人视各自的情况自行编制）</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13.2.4 价格折扣文件</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4.1 </w:t>
      </w:r>
      <w:r>
        <w:rPr>
          <w:rFonts w:hint="eastAsia" w:ascii="宋体" w:hAnsi="宋体" w:cs="宋体"/>
          <w:color w:val="auto"/>
          <w:sz w:val="21"/>
          <w:szCs w:val="21"/>
          <w:highlight w:val="none"/>
        </w:rPr>
        <w:t xml:space="preserve">中小企业声明函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4.2</w:t>
      </w:r>
      <w:r>
        <w:rPr>
          <w:rFonts w:hint="eastAsia" w:ascii="宋体" w:hAnsi="宋体" w:cs="宋体"/>
          <w:color w:val="auto"/>
          <w:sz w:val="21"/>
          <w:szCs w:val="21"/>
          <w:highlight w:val="none"/>
        </w:rPr>
        <w:t xml:space="preserve">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14.1电子投标文件编制要求：</w:t>
      </w:r>
      <w:r>
        <w:rPr>
          <w:rFonts w:hint="eastAsia" w:ascii="宋体" w:hAnsi="宋体" w:eastAsia="宋体" w:cs="宋体"/>
          <w:color w:val="auto"/>
          <w:sz w:val="21"/>
          <w:szCs w:val="21"/>
          <w:highlight w:val="none"/>
        </w:rPr>
        <w:t xml:space="preserve">投标人应使用</w:t>
      </w:r>
      <w:r>
        <w:rPr>
          <w:rFonts w:hint="eastAsia" w:ascii="宋体" w:hAnsi="宋体" w:eastAsia="宋体" w:cs="宋体"/>
          <w:b/>
          <w:color w:val="auto"/>
          <w:sz w:val="21"/>
          <w:szCs w:val="21"/>
          <w:highlight w:val="none"/>
        </w:rPr>
        <w:t xml:space="preserve">招标文件要求的投标文件制作软件制作电子投标文件</w:t>
      </w:r>
      <w:r>
        <w:rPr>
          <w:rFonts w:hint="eastAsia" w:ascii="宋体" w:hAnsi="宋体" w:eastAsia="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right="0" w:firstLine="420"/>
        <w:keepLines w:val="0"/>
        <w:keepNext w:val="0"/>
        <w:pageBreakBefore w:val="0"/>
        <w:spacing w:line="360" w:lineRule="auto"/>
        <w:widowControl/>
        <w:tabs>
          <w:tab w:val="left" w:pos="420" w:leader="none"/>
          <w:tab w:val="left" w:pos="540" w:leader="none"/>
        </w:tabs>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rPr>
        <w:t xml:space="preserve">15.1除非合同中另有规定，</w:t>
      </w:r>
      <w:r>
        <w:rPr>
          <w:rFonts w:hint="eastAsia" w:ascii="宋体" w:hAnsi="宋体" w:eastAsia="宋体" w:cs="宋体"/>
          <w:bCs/>
          <w:color w:val="auto"/>
          <w:sz w:val="21"/>
          <w:szCs w:val="21"/>
          <w:highlight w:val="none"/>
        </w:rPr>
        <w:t xml:space="preserve">投标总报价</w:t>
      </w:r>
      <w:r>
        <w:rPr>
          <w:rFonts w:hint="eastAsia" w:ascii="宋体" w:hAnsi="宋体" w:cs="宋体"/>
          <w:bCs/>
          <w:color w:val="auto"/>
          <w:sz w:val="21"/>
          <w:szCs w:val="21"/>
          <w:highlight w:val="none"/>
          <w:lang w:val="en-US" w:eastAsia="zh-CN"/>
        </w:rPr>
        <w:t xml:space="preserve">应</w:t>
      </w:r>
      <w:r>
        <w:rPr>
          <w:rFonts w:hint="eastAsia" w:ascii="宋体" w:hAnsi="宋体"/>
          <w:color w:val="auto"/>
          <w:sz w:val="21"/>
          <w:szCs w:val="21"/>
          <w:highlight w:val="none"/>
        </w:rPr>
        <w:t xml:space="preserve">包括所有服务、设备及其备品、备件和专用工具费用、税费（如包括关税、货物及其所用原材料、零部件的各种国内外税费）及包装、运至最终目的地的运输、保险、检测验收、安装、调试、系统软件、技术支持与培训、售后服务与维保及相关劳务支出等工作所发生的全部费用以及投标人企业利润、和政策性文件规定及合同包含的所有风险、责任、施工审图费、总包现场施工配合费等各项应有费用。本项目为交钥匙项目，中标人的投标报价包含了采购人现有场地条件下，进行中标设备的安装调试达到可使用状态，并验收合格前的所有费用</w:t>
      </w:r>
      <w:r>
        <w:rPr>
          <w:rFonts w:hint="eastAsia" w:ascii="宋体" w:hAnsi="宋体" w:eastAsia="宋体" w:cs="宋体"/>
          <w:bCs/>
          <w:color w:val="auto"/>
          <w:sz w:val="21"/>
          <w:szCs w:val="21"/>
          <w:highlight w:val="none"/>
        </w:rPr>
        <w:t xml:space="preserve">。同时，除非合同条款中另有规定，否则，投标单位所报价格在合同实施期间不因市场变化因素而变动。</w:t>
      </w:r>
      <w:r>
        <w:rPr>
          <w:rFonts w:hint="eastAsia" w:ascii="宋体" w:hAnsi="宋体" w:eastAsia="宋体" w:cs="宋体"/>
          <w:b/>
          <w:color w:val="auto"/>
          <w:sz w:val="21"/>
          <w:szCs w:val="21"/>
          <w:highlight w:val="none"/>
        </w:rPr>
        <w:t xml:space="preserve">此外，工资标准不得低于本市最新公布的最低标准。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21.2</w:t>
      </w:r>
      <w:r>
        <w:rPr>
          <w:rFonts w:hint="eastAsia" w:ascii="宋体" w:hAnsi="宋体" w:eastAsia="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lang w:val="en-US" w:eastAsia="zh-CN"/>
        </w:rPr>
        <w:t xml:space="preserve">及</w:t>
      </w:r>
      <w:r>
        <w:rPr>
          <w:rFonts w:ascii="宋体" w:hAnsi="宋体" w:eastAsia="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7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异常低价</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24.7.1</w:t>
      </w:r>
      <w:r>
        <w:rPr>
          <w:rFonts w:hint="eastAsia" w:ascii="宋体" w:hAnsi="宋体" w:eastAsia="宋体" w:cs="宋体"/>
          <w:b w:val="0"/>
          <w:bCs/>
          <w:i w:val="0"/>
          <w:iCs w:val="0"/>
          <w:caps w:val="0"/>
          <w:color w:val="auto"/>
          <w:spacing w:val="0"/>
          <w:sz w:val="21"/>
          <w:szCs w:val="21"/>
          <w:highlight w:val="none"/>
          <w:shd w:val="clear" w:color="auto" w:fill="ffffff"/>
          <w:lang w:val="en-US" w:eastAsia="zh-CN" w:bidi="ar-SA"/>
        </w:rPr>
        <w:t xml:space="preserve">政府</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jc w:val="both"/>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26.1.4</w:t>
      </w:r>
      <w:r>
        <w:rPr>
          <w:rFonts w:hint="eastAsia" w:ascii="宋体" w:hAnsi="宋体" w:eastAsia="宋体" w:cs="宋体"/>
          <w:color w:val="auto"/>
          <w:sz w:val="21"/>
          <w:szCs w:val="21"/>
          <w:highlight w:val="none"/>
        </w:rPr>
        <w:t xml:space="preserve">不同投标人的投标文件使用同一台电脑编制的；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33、代理服务费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w:t>
      </w:r>
      <w:r>
        <w:rPr>
          <w:rFonts w:hint="eastAsia" w:ascii="宋体" w:hAnsi="宋体" w:cs="宋体"/>
          <w:color w:val="auto"/>
          <w:sz w:val="21"/>
          <w:szCs w:val="21"/>
          <w:highlight w:val="none"/>
          <w:lang w:val="en-US" w:eastAsia="zh-CN"/>
        </w:rPr>
        <w:t xml:space="preserve">采购人</w:t>
      </w:r>
      <w:r>
        <w:rPr>
          <w:rFonts w:hint="eastAsia" w:ascii="宋体" w:hAnsi="宋体" w:cs="宋体"/>
          <w:color w:val="auto"/>
          <w:sz w:val="21"/>
          <w:szCs w:val="21"/>
          <w:highlight w:val="none"/>
          <w:lang w:val="zh-CN"/>
        </w:rPr>
        <w:t xml:space="preserve">按前附表中的约定</w:t>
      </w:r>
      <w:r>
        <w:rPr>
          <w:rFonts w:hint="eastAsia" w:ascii="宋体" w:hAnsi="宋体" w:cs="宋体"/>
          <w:color w:val="auto"/>
          <w:sz w:val="21"/>
          <w:szCs w:val="21"/>
          <w:highlight w:val="none"/>
          <w:lang w:val="en-US" w:eastAsia="zh-CN"/>
        </w:rPr>
        <w:t xml:space="preserve">支付</w:t>
      </w:r>
      <w:r>
        <w:rPr>
          <w:rFonts w:hint="eastAsia" w:ascii="宋体" w:hAnsi="宋体" w:cs="宋体"/>
          <w:color w:val="auto"/>
          <w:sz w:val="21"/>
          <w:szCs w:val="21"/>
          <w:highlight w:val="none"/>
          <w:lang w:val="zh-CN"/>
        </w:rPr>
        <w:t xml:space="preserve">代理服务费。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21"/>
          <w:szCs w:val="21"/>
          <w:highlight w:val="none"/>
          <w:lang w:val="zh-CN"/>
        </w:rPr>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991"/>
        <w:ind w:left="0" w:firstLine="0"/>
        <w:jc w:val="center"/>
        <w:rPr>
          <w:rFonts w:hint="default"/>
          <w:color w:val="auto"/>
          <w:highlight w:val="none"/>
          <w:lang w:val="en-US" w:eastAsia="zh-CN"/>
        </w:rPr>
      </w:pPr>
      <w:r/>
      <w:bookmarkStart w:id="4" w:name="_Toc28477"/>
      <w:r>
        <w:rPr>
          <w:rStyle w:val="992"/>
          <w:rFonts w:hint="eastAsia" w:ascii="宋体" w:hAnsi="宋体" w:eastAsia="宋体" w:cs="宋体"/>
          <w:color w:val="auto"/>
          <w:sz w:val="32"/>
          <w:szCs w:val="32"/>
          <w:highlight w:val="none"/>
        </w:rPr>
        <w:t xml:space="preserve">第三章 </w:t>
      </w:r>
      <w:bookmarkEnd w:id="4"/>
      <w:r>
        <w:rPr>
          <w:rStyle w:val="992"/>
          <w:rFonts w:hint="eastAsia" w:ascii="宋体" w:hAnsi="宋体" w:eastAsia="宋体" w:cs="宋体"/>
          <w:color w:val="auto"/>
          <w:sz w:val="32"/>
          <w:szCs w:val="32"/>
          <w:highlight w:val="none"/>
          <w:lang w:val="en-US" w:eastAsia="zh-CN"/>
        </w:rPr>
        <w:t xml:space="preserve">项目需求</w:t>
      </w:r>
      <w:r/>
    </w:p>
    <w:p>
      <w:pPr>
        <w:ind w:right="0"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太仓市公安局</w:t>
      </w:r>
      <w:r>
        <w:rPr>
          <w:rFonts w:hint="eastAsia" w:ascii="宋体" w:hAnsi="宋体" w:cs="宋体"/>
          <w:color w:val="auto"/>
          <w:sz w:val="21"/>
          <w:szCs w:val="21"/>
          <w:highlight w:val="none"/>
        </w:rPr>
        <w:t xml:space="preserve">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2026年信号灯新建维护</w:t>
      </w:r>
      <w:r>
        <w:rPr>
          <w:rFonts w:hint="eastAsia" w:ascii="宋体" w:hAnsi="宋体" w:cs="宋体"/>
          <w:color w:val="auto"/>
          <w:sz w:val="21"/>
          <w:szCs w:val="21"/>
          <w:highlight w:val="none"/>
        </w:rPr>
        <w:t xml:space="preserve">进行国内公开招标。欢迎符合资格条件的供应商前来报名参加投标。</w:t>
      </w:r>
      <w:r/>
    </w:p>
    <w:p>
      <w:pPr>
        <w:pStyle w:val="963"/>
        <w:ind w:firstLine="420"/>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一、项目概况</w:t>
      </w:r>
      <w:r/>
    </w:p>
    <w:p>
      <w:pPr>
        <w:numPr>
          <w:ilvl w:val="0"/>
          <w:numId w:val="0"/>
        </w:numPr>
        <w:ind w:right="0" w:firstLine="422"/>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eastAsia="宋体" w:cs="宋体"/>
          <w:b w:val="0"/>
          <w:bCs w:val="0"/>
          <w:color w:val="auto"/>
          <w:sz w:val="21"/>
          <w:szCs w:val="21"/>
          <w:highlight w:val="none"/>
          <w:lang w:val="zh-CN"/>
        </w:rPr>
        <w:t xml:space="preserve">JSZC-320585-SZTZ-G2026-0013</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eastAsia="宋体" w:cs="宋体"/>
          <w:color w:val="auto"/>
          <w:sz w:val="21"/>
          <w:szCs w:val="21"/>
          <w:highlight w:val="none"/>
          <w:lang w:eastAsia="zh-CN"/>
        </w:rPr>
        <w:t xml:space="preserve">2026年信号灯新建维护</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eastAsia="宋体" w:cs="宋体"/>
          <w:b w:val="0"/>
          <w:bCs w:val="0"/>
          <w:color w:val="auto"/>
          <w:sz w:val="21"/>
          <w:szCs w:val="21"/>
          <w:highlight w:val="none"/>
          <w:lang w:val="zh-CN"/>
        </w:rPr>
        <w:t xml:space="preserve">一年或项目累计结算金额达到预算金额止（以先到项为准）。</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3、预算金额：</w:t>
      </w:r>
      <w:r>
        <w:rPr>
          <w:rFonts w:hint="eastAsia" w:ascii="宋体" w:hAnsi="宋体" w:eastAsia="宋体" w:cs="宋体"/>
          <w:b w:val="0"/>
          <w:bCs w:val="0"/>
          <w:color w:val="auto"/>
          <w:sz w:val="21"/>
          <w:szCs w:val="21"/>
          <w:highlight w:val="none"/>
          <w:lang w:val="en-US" w:eastAsia="zh-CN"/>
        </w:rPr>
        <w:t xml:space="preserve">194.000000万元</w:t>
      </w:r>
      <w:r/>
    </w:p>
    <w:p>
      <w:pPr>
        <w:ind w:left="0"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4、最高限价：</w:t>
      </w:r>
      <w:r>
        <w:rPr>
          <w:rFonts w:hint="eastAsia" w:ascii="宋体" w:hAnsi="宋体" w:eastAsia="宋体" w:cs="宋体"/>
          <w:b w:val="0"/>
          <w:bCs w:val="0"/>
          <w:color w:val="auto"/>
          <w:sz w:val="21"/>
          <w:szCs w:val="21"/>
          <w:highlight w:val="none"/>
          <w:lang w:val="en-US" w:eastAsia="zh-CN"/>
        </w:rPr>
        <w:t xml:space="preserve">194.000000万元</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服务地点：</w:t>
      </w:r>
      <w:r>
        <w:rPr>
          <w:rFonts w:hint="eastAsia" w:ascii="宋体" w:hAnsi="宋体" w:eastAsia="宋体" w:cs="宋体"/>
          <w:b w:val="0"/>
          <w:bCs w:val="0"/>
          <w:color w:val="auto"/>
          <w:sz w:val="21"/>
          <w:szCs w:val="21"/>
          <w:highlight w:val="none"/>
          <w:lang w:eastAsia="zh-CN"/>
        </w:rPr>
        <w:t xml:space="preserve">采购方指定</w:t>
      </w:r>
      <w:r/>
    </w:p>
    <w:p>
      <w:pPr>
        <w:numPr>
          <w:ilvl w:val="0"/>
          <w:numId w:val="0"/>
        </w:numPr>
        <w:ind w:right="0" w:firstLine="422"/>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zh-CN"/>
        </w:rPr>
        <w:t xml:space="preserve">采购需求：</w:t>
      </w:r>
      <w:r/>
    </w:p>
    <w:p>
      <w:pPr>
        <w:ind w:firstLine="422"/>
        <w:spacing w:line="36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（一）内容清单及单价限价：（提醒：</w:t>
      </w:r>
      <w:r>
        <w:rPr>
          <w:rFonts w:hint="eastAsia" w:ascii="宋体" w:hAnsi="宋体" w:eastAsia="宋体" w:cs="Times New Roman"/>
          <w:b/>
          <w:bCs/>
          <w:color w:val="auto"/>
          <w:sz w:val="21"/>
          <w:szCs w:val="21"/>
          <w:highlight w:val="none"/>
          <w:lang w:val="en-US" w:eastAsia="zh-CN"/>
        </w:rPr>
        <w:t xml:space="preserve">投标报价需</w:t>
      </w:r>
      <w:r>
        <w:rPr>
          <w:rFonts w:hint="eastAsia" w:ascii="宋体" w:hAnsi="宋体" w:eastAsia="宋体" w:cs="Times New Roman"/>
          <w:b/>
          <w:bCs/>
          <w:color w:val="auto"/>
          <w:sz w:val="21"/>
          <w:szCs w:val="21"/>
          <w:highlight w:val="none"/>
        </w:rPr>
        <w:t xml:space="preserve">考虑购买保险费用）</w:t>
      </w:r>
      <w:r/>
    </w:p>
    <w:tbl>
      <w:tblPr>
        <w:tblStyle w:val="958"/>
        <w:tblW w:w="9712"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1903"/>
        <w:gridCol w:w="1298"/>
        <w:gridCol w:w="2220"/>
        <w:gridCol w:w="647"/>
        <w:gridCol w:w="511"/>
        <w:gridCol w:w="938"/>
        <w:gridCol w:w="1668"/>
      </w:tblGrid>
      <w:tr>
        <w:trPr>
          <w:trHeight w:val="52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03"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129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W w:w="2220"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参数(mm)</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最高限价（元）</w:t>
            </w:r>
            <w:r/>
          </w:p>
        </w:tc>
        <w:tc>
          <w:tcPr>
            <w:tcW w:w="166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52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日常维护统包</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详见日常维护需要</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月度服务统包</w:t>
            </w:r>
            <w:r/>
          </w:p>
        </w:tc>
      </w:tr>
      <w:tr>
        <w:trPr>
          <w:trHeight w:val="69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智能联网型交通信号控制机</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详见参数要求</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含配套机箱</w:t>
            </w:r>
            <w:r/>
          </w:p>
        </w:tc>
      </w:tr>
      <w:tr>
        <w:trPr>
          <w:trHeight w:val="69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智能联网型交通信号控制机基础</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1200*600*200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含预埋件</w:t>
            </w:r>
            <w:r/>
          </w:p>
        </w:tc>
      </w:tr>
      <w:tr>
        <w:trPr>
          <w:trHeight w:val="69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普通单点非联网型交通信号控制机</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详见参数要求</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511" w:type="dxa"/>
            <w:vAlign w:val="center"/>
            <w:textDirection w:val="lrTb"/>
            <w:noWrap/>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含安装调试基础</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机动车信号灯杆件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不等边八角</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立杆7000，挑臂8000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参考结构图</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机动车信号灯杆件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等边八角</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立杆7000，挑臂8000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参考结构图</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机动车信号灯杆件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四方管单立杆</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高5500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参考结构图</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机动车信号灯杆件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单弯臂</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立杆7500，挑臂4500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参考结构图</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机动车信号灯杆件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双弯臂</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立杆7500，挑臂4500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参考结构图</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机动车信号灯杆件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龙门架</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立杆8000，挑臂8000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参考结构图</w:t>
            </w:r>
            <w:r/>
          </w:p>
        </w:tc>
      </w:tr>
      <w:tr>
        <w:trPr>
          <w:trHeight w:val="69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非机动车信号灯杆</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Φ114*4*3000热镀锌</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人行灯信号灯立杆</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Φ114*4*2500热镀锌</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114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机动车信号灯立杆基础（含予埋件）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定制</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1200*1000*2000，予埋件：M30*1000*6根</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114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机动车信号灯立杆基础（含予埋件）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定制</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1800*1200*2000，予埋件：M30*1000*6根</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人行灯立杆基础（含予埋件）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定制</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800*800*1000,予埋件：M20*600*4根</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三联红黄绿满屏灯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含支架等配件</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三联红黄绿满屏灯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含支架等配件</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三联红黄绿箭头灯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含支架等配件</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三联红黄绿箭头灯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含支架等配件</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红色箭头灯、黄色箭头灯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含支架等配件</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红色箭头灯、黄色箭头灯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含支架等配件</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机动车信号灯灯盘</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满屏、箭头灯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1个灯盘（大功率或普通LED,按路口需求）</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机动车信号灯灯盘</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满屏、箭头灯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1个灯盘（大功率或普通LED,按路口需求）</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机动车信号灯复合灯盘（含倒计时）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满屏、箭头灯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1个灯盘（大功率或普通LED,按路口需求）</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机动车信号灯复合灯盘（含倒计时）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满屏、箭头灯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1个灯盘（大功率或普通LED,按路口需求）</w:t>
            </w:r>
            <w:r/>
          </w:p>
        </w:tc>
      </w:tr>
      <w:tr>
        <w:trPr>
          <w:trHeight w:val="658"/>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非机动车灯</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三联LED Φ400mmLED铝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东亭路式样</w:t>
            </w:r>
            <w:r/>
          </w:p>
        </w:tc>
      </w:tr>
      <w:tr>
        <w:trPr>
          <w:trHeight w:val="28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非机动车信号灯灯盘</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满屏、箭头灯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Φ300mm或400mmLED铝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w:t>
            </w:r>
            <w:r/>
          </w:p>
        </w:tc>
      </w:tr>
      <w:tr>
        <w:trPr>
          <w:trHeight w:val="28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非机动车信号灯复合灯盘（含倒计时）</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满屏、箭头灯</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Φ300mm或400mmLED铝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w:t>
            </w:r>
            <w:r/>
          </w:p>
        </w:tc>
      </w:tr>
      <w:tr>
        <w:trPr>
          <w:trHeight w:val="704"/>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按钮式人行交通信号灯</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包括杆件，热镀锌处理，高2500， LED</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见项目需求</w:t>
            </w:r>
            <w:r/>
          </w:p>
        </w:tc>
      </w:tr>
      <w:tr>
        <w:trPr>
          <w:trHeight w:val="801"/>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一体化二联人行信号灯</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包括杆件，热镀锌处理，高2500， LED</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新华府南路口式样</w:t>
            </w:r>
            <w:r/>
          </w:p>
        </w:tc>
      </w:tr>
      <w:tr>
        <w:trPr>
          <w:trHeight w:val="91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一体化二联人行信号灯</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包括杆件，热镀锌处理，高2500， LED</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数字倒计时</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人行灯（含内嵌倒计时）</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Φ300二联LED 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人行灯灯盘</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 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1个灯盘（大功率或普通LED,按路口需求）</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人行灯灯盘复合灯（含内嵌倒计时）</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 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511" w:type="dxa"/>
            <w:vAlign w:val="center"/>
            <w:textDirection w:val="lrTb"/>
            <w:noWrap/>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1个灯盘（大功率或普通LED,按路口需求）</w:t>
            </w:r>
            <w:r/>
          </w:p>
        </w:tc>
      </w:tr>
      <w:tr>
        <w:trPr>
          <w:trHeight w:val="88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太阳能黄闪灯</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Φ400铝</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含太阳能电池板</w:t>
            </w:r>
            <w:r/>
          </w:p>
        </w:tc>
      </w:tr>
      <w:tr>
        <w:trPr>
          <w:trHeight w:val="28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控制线1</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RVV 19*1.5平方</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控制线2</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RVV 4*1.5平方</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电缆1</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vv22 2*4平方</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电缆2</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vv22 2*6平方</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开挖坚土路面</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管顶距路面400mm</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开挖柏油路面</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管顶距路面400mm</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开挖水泥路面</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管顶距路面400mm</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开挖道板路面</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管顶距路面400mm</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开挖绿化路面</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管顶距路面400mm</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顶管</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按规定制作手井</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不小于Φ60 双管</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硬质塑料PE管</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不小于Φ50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过路钢管</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DN50</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不小于Φ60 镀锌钢管</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不锈钢户外信号控制箱</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304材质</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650*500*1200，厚1.0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控制箱基础及预埋件</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650*600*600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施工手井</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钢筋水泥</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600*600*600</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防雷接地</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W w:w="2220"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所有灯杆和机箱</w:t>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tcW w:w="166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一个路口报</w:t>
            </w:r>
            <w:r/>
          </w:p>
        </w:tc>
      </w:tr>
      <w:tr>
        <w:trPr>
          <w:trHeight w:val="465"/>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两相位移动信号灯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四相位移动信号灯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信号灯倒计时（适用Φ300的信号灯）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信号灯倒计时（适用Φ400的信号灯）</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倒计时灯带</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维修配件</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倒计时控制板</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维修配件</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倒计时6路开关电源</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维修配件</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微波检测器</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视频车辆检测器</w:t>
            </w:r>
            <w:r/>
          </w:p>
        </w:tc>
        <w:tc>
          <w:tcPr>
            <w:tcW w:w="1298"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见要求</w:t>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5500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W w:w="1903" w:type="dxa"/>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w:t>
            </w:r>
            <w:r/>
          </w:p>
        </w:tc>
        <w:tc>
          <w:tcPr>
            <w:tcW w:w="129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20"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7"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1人工日</w:t>
            </w:r>
            <w:r/>
          </w:p>
        </w:tc>
        <w:tc>
          <w:tcPr>
            <w:tcW w:w="511"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38" w:type="dxa"/>
            <w:vAlign w:val="center"/>
            <w:textDirection w:val="lrTb"/>
            <w:noWrap/>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tcW w:w="1668" w:type="dxa"/>
            <w:vAlign w:val="center"/>
            <w:textDirection w:val="lrTb"/>
            <w:noWrap/>
          </w:tcPr>
          <w:p>
            <w:pP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注：（1）投标人按上述单价限价报整体优惠率，实际结算单价按照单价限价*（1-优惠率）后进行结算，实际工程量按照甲方要求并根据审计结果确定。本项目采购预算</w:t>
      </w:r>
      <w:r>
        <w:rPr>
          <w:rFonts w:hint="eastAsia" w:ascii="宋体" w:hAnsi="宋体" w:eastAsia="宋体" w:cs="宋体"/>
          <w:b/>
          <w:bCs/>
          <w:color w:val="auto"/>
          <w:sz w:val="21"/>
          <w:szCs w:val="21"/>
          <w:highlight w:val="none"/>
          <w:lang w:eastAsia="zh-CN"/>
        </w:rPr>
        <w:t xml:space="preserve">壹佰玖拾肆万元整</w:t>
      </w:r>
      <w:r>
        <w:rPr>
          <w:rFonts w:hint="eastAsia" w:ascii="宋体" w:hAnsi="宋体" w:eastAsia="宋体" w:cs="宋体"/>
          <w:b/>
          <w:bCs/>
          <w:color w:val="auto"/>
          <w:sz w:val="21"/>
          <w:szCs w:val="21"/>
          <w:highlight w:val="none"/>
        </w:rPr>
        <w:t xml:space="preserve">，本项目合同履行期限为一年或累计结算金额达到</w:t>
      </w:r>
      <w:r>
        <w:rPr>
          <w:rFonts w:hint="eastAsia" w:ascii="宋体" w:hAnsi="宋体" w:eastAsia="宋体" w:cs="宋体"/>
          <w:b/>
          <w:bCs/>
          <w:color w:val="auto"/>
          <w:sz w:val="21"/>
          <w:szCs w:val="21"/>
          <w:highlight w:val="none"/>
          <w:lang w:eastAsia="zh-CN"/>
        </w:rPr>
        <w:t xml:space="preserve">壹佰玖拾肆万元整</w:t>
      </w:r>
      <w:r>
        <w:rPr>
          <w:rFonts w:hint="eastAsia" w:ascii="宋体" w:hAnsi="宋体" w:eastAsia="宋体" w:cs="宋体"/>
          <w:b/>
          <w:bCs/>
          <w:color w:val="auto"/>
          <w:sz w:val="21"/>
          <w:szCs w:val="21"/>
          <w:highlight w:val="none"/>
        </w:rPr>
        <w:t xml:space="preserve">项目终止（以先到项为准）。</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上述杆件设备单价报定后，在以后的工程中若挑臂尺寸需求有所增加或者减少，挑臂每增加或减少1米，按照此次报价基础上进行增加4%或减少4%的方式进行价格确定，如不等边八角立杆7000mm、挑臂8000mm机动车信号灯杆报价为A元，则同规格立杆7000mm、挑臂7000mm的价格为A*（1-4%）。</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以上设备必需符合相关行业技术规范要求，杆件必需热镀锌处理。以下杆件结构图作为参考。投标方应按照国家、行业等标准进行设计，保证杆件以及基础安全，如有质量问题或者施工带来的安全问题责任，由投标人承担。</w: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（二）服务范围</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1、太仓市全市交通信号灯（含倒计时）系统,具体位置分布请见路口清单。</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（1）以下路口信号机主要为：南昌金科JK-A、南昌金科JK-A、南京蓝泰LT98、扬州鑫通交通–IV、上海市计算技术研究所M-5A型、南京莱斯3000、成立吉S30、S20及S10、</w:t>
      </w:r>
      <w:r>
        <w:rPr>
          <w:rFonts w:hint="eastAsia" w:ascii="宋体" w:hAnsi="宋体" w:cs="宋体"/>
          <w:bCs/>
          <w:color w:val="auto"/>
          <w:sz w:val="21"/>
          <w:szCs w:val="21"/>
          <w:highlight w:val="none"/>
          <w:lang w:val="en-US" w:eastAsia="zh-CN"/>
        </w:rPr>
        <w:t xml:space="preserve">航天</w:t>
      </w:r>
      <w:r>
        <w:rPr>
          <w:rFonts w:hint="eastAsia" w:ascii="宋体" w:hAnsi="宋体" w:eastAsia="宋体" w:cs="宋体"/>
          <w:bCs/>
          <w:color w:val="auto"/>
          <w:sz w:val="21"/>
          <w:szCs w:val="21"/>
          <w:highlight w:val="none"/>
        </w:rPr>
        <w:t xml:space="preserve">大为等型号。</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单位需承诺中标后三个月内完成对所有信号灯维护路口现场踏勘，并将信号机情况、灯组情况、倒计时情况、接电情况、是否飞线等信息制作基础信息台账，未按规定踏勘采购人有权中止项目并取消合同。</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（3）路口清单：</w:t>
      </w:r>
      <w:r/>
    </w:p>
    <w:tbl>
      <w:tblPr>
        <w:tblStyle w:val="958"/>
        <w:tblW w:w="9610" w:type="dxa"/>
        <w:tblInd w:w="93" w:type="dxa"/>
        <w:tblLayout w:type="fixed"/>
        <w:tblCellMar>
          <w:left w:w="108" w:type="dxa"/>
          <w:top w:w="0" w:type="dxa"/>
          <w:right w:w="108" w:type="dxa"/>
          <w:bottom w:w="0" w:type="dxa"/>
        </w:tblCellMar>
        <w:tblLook w:val="04A0" w:firstRow="1" w:lastRow="0" w:firstColumn="1" w:lastColumn="0" w:noHBand="0" w:noVBand="1"/>
      </w:tblPr>
      <w:tblGrid>
        <w:gridCol w:w="1155"/>
        <w:gridCol w:w="1275"/>
        <w:gridCol w:w="5507"/>
        <w:gridCol w:w="1673"/>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路口名</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204国道-339省道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人民路-兰州路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人民路-339省道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人民路-向阳路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人民路-县府路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人民路-新华路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人民路-华旭广场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人民路-南园路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毛太路-广州路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毛太路-青岛路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毛太路-北京路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毛太路-宁波路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毛太路-南京路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毛太路-苏州路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柳园路-弇山路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柳园路-洛阳路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长春路-弇山路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长春路-郑和路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长春路-县府街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长春路-新华路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长春路-上海路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长春路-南园路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古塘街-弇山路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古塘街-郑和路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北门街-郑和路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北门街-县府街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长埭路-上海路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武陵街-上海路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小北门街-向阳路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小北门街-县府街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府南街-新华路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府南街-上海路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柳州路-上海路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太平路-339省道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太平路-天津路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太平路-向阳路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太平路-县府路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太平路-新华路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太平路-惠阳路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太平路-南园路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太平路-滨河路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五洋路-弇山路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五洋路-东古路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五洋路-郑和路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五洋路-昆太路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通海路-顾港路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通海路-弇山路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通海路-东古路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方圆路-弇山路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方圆路-东古路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新港路-连新路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柴塘路-生态园路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新民路-生态园路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新民路-新港公路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新毛路-徐泾路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新毛路-毛家市路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新毛路-新港公路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新横路-徐泾路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新横路-毛家市路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新横路-新港公路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昆太路-古浦路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县府路-府南街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朝阳路-锦州路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锦州路-上海路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锦州路-滨河路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锦州路-岳阳路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古浦路-郑和路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昆太路-庙浜路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204国道西匝道-南园路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支一路-古塘街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支一路-长春路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新港路-东仓路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南园路-南门街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桃园路-弇山路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桃园路-洛阳路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桃园路-郑和路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柳州路-朝阳路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柳州路-岳阳路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柳州路-滨河路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人民路-威武路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连新路-威武路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东仓路-威武路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连新路-大连路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东亭路-339省道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东亭路-天津路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东亭路-县府路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东亭路-滨河路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扬州路-县府街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扬州路-上海路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扬州路-朝阳路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万和路-县府街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万和路-上海路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半泾路-朝阳路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娄江路-常州路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娄江路-S339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娄江路-天津路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娄江路-县府街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娄江路-滨河路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常胜路-五洲路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常胜路-S339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常胜路-天津路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常胜路-滨河路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四通路-五洲路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四通路-S339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四通路-太仓大道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兴业路-新港路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兴业路-美固龙路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兴业路-五洲路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兴业路-S339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兴业路-宣公路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兴业路-禅寺路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发达路-金桥路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发达路-五洲路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发达路-S339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发达路-宣公路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发达路-无锡路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发达路-太仓大道（禅寺路）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岳鹿线-新港公路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岳鹿线-光耀路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太沙线-新港公路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北京路-德荣路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北京路-德昌路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北京路-德盛路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上海路-G15高速</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发达-香花桥</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柴行街-半泾路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东仓路-湖川塘路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东仓路-大连路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东仓路-青岛路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东仓路-宁波路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东仓路-郑州路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东仓路-339省道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东仓路-天津路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东仓路-弇山路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东仓路-洛阳路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东仓路-庆阳路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东仓路-郑和路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东仓路-向阳路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东仓路-县府路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东仓路-惠阳路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东仓路-朝阳路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东仓路-岳阳路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东仓路-滨河路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太仓大道-博文路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新港路-金仓湖互通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204国道-良辅路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204国道-健雄路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204国道-新泾路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204国道-正夫路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人民路-海运堤路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人民路-海仓路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人民路-书院路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人民路-十洲路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人民路-文治路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太平路-海运堤路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太平路-海仓路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太平路-梅村路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太平路-十洲路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东仓新路-海运堤路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东仓新路-梅村路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东仓新路-十洲路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东仓新路-秋帆路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东仓新路-桴亭路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东仓新路-子冈路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东仓新路-健雄路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东仓新路-南张路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东仓新路-荆石路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东仓新路-正夫路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海运堤路-南码头路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海运堤路-常丰街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（老204）文华路-海仓路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（老204）文华路-南仓路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（老204）文华路-南漳泾路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（老204）文华路-良辅路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文华路-野塘路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文华路-子冈路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十洲路-南码头</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书院路-良辅路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书院路-野塘路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书院路-鹊桥路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鹊桥路-子冈路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鹊桥路-健雄路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江申大道-文治路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江申大道-桴亭路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江申大道-子冈路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江申大道-健雄路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江申大道-荆石路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江申大道-复游城路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江申大道-正夫路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小普陀路-海运堤路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小普陀路-梅村路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小普陀路-十洲路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小普陀路-文治路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文昌路-海运堤路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文昌路-梅村路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文昌路-十洲路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文昌路-文治路北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文昌路-文治路南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文昌路-桴亭路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文昌路-子冈路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文昌路-健雄路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文昌路-南张路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文昌路-荆石路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文昌路-复游城路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文渊路-梅村路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文渊路-秋帆路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文渊路-天如路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文渊路-桴亭路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太蓬路-永丰路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粮油市场门口</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胜泾路+太蓬路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胜泾路+陈门泾路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胜泾路+良辅路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文治路-良辅路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良辅路+新农路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良辅路+西新路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良辅路+永丰路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同心河路-新农路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老浏河路+胜泾路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胜泾路+北漳泾路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新农路+北漳泾路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胜泾路+南漳泾路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新农路+南漳泾路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永丰路+佳和路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永丰路+新园路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良辅路+盛园路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胜泾路+杨泾路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新农路+杨泾路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新农路+陈门泾路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永丰路+陈门泾路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陈门泾路+沼泾路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陈门泾路+独娄路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新农路+永胜路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胜泾路+永胜路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西新路+佳和路（南丰线）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陈门泾路-盛园路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陈门泾路-胜昔路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新园路-南街路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老204-海运堤路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老204-同心河路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同心河路-油车路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东仓新路-天如路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江申大道-南张路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文昌路-天如路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正夫路-人行信号灯（太仓南站）</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正夫路-慎之街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荆石路-南星路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老204-同心河南侧</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荆石路-南渡路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南张路-南渡路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正夫路-慎之街北侧</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南张路-南星路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新农路-老浏河路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西新路-张泾路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永丰路-张泾路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张泾路-佳和路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沼泾路-新园路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利民路-新园路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利民路-陈门泾路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新园路-陈门泾路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新民村路-城蓬线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北横塘-城蓬</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良辅-张泾</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新园-独娄</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科教新城</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新园-新明</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S339-融沪大道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S339-站东大道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S339-新塘线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S339-新浏</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S339-G346</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S339-吴泾路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S339-闸北路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太浏快速路-新浏</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太浏快速路-玲美路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太浏快速路-G346</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郑和路-听海路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郑和路-闸北路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郑和路-东港路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上海-庆丰</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郑和路-滨江大道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郑和路-沿江路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G346-望海路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G346-东元路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G346-闸南路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G346-滨江大道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上海路-新苑路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上海路-大同路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上海路-浏河公墓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郑和北路-上海路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上海路-听海路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上海路-闸北路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上海路-东港路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上海路-沿江路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上海路-银海路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郑和-银海</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站前大道-站北路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站前大道-站南路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长宁-纬二</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站厚路-站中路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上海-云景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站厚路-站南路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站东路-站中路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站东路-站南路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G346嘉浏线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G346-沪宜高速</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融沪大道-新港路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新港路-丁泾路路口</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新塘线-新谊路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闸南路-东元路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闸北路-东海路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闸北路-紫薇路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纬二线-东港路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北海路-听海路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听海路-紫薇路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听海路-望海路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东元路嘉浏路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新港路-新塘路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沪宜高速出口-临港路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郑和路-新苑路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G346-北海路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上海路-广场南路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支三路-闸北路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郑和-银港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上海路-三里路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浏河</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上海路-富塘路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204国道-通港路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204国道-新北路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204国道-沙南公路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白云路-印溪北路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白云路-通港路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白云路-新北路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白云路-沙南路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白云路-印溪南路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印溪南路-南院路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太沙线-仁溪路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太沙线-德溪路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太沙线-中荷新村</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太沙线-双浮公路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通港路-印北中心路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通港路-印溪东路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印溪东路-新北街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印溪东路-沙南路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印溪南路-镇东路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镇东路-仁溪路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镇东路-德溪路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镇东路-双浮公路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姚泾南路-沙南路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姚泾南路-印溪南路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姚泾南路-仁溪路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姚泾南路-德溪路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南院路-沙南路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虹桥路-直任路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虹桥路-玉河路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虹桥路-金叶路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白云-老街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长寿路-新北路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岳鹿线-玄恭街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岳鹿线-大木桥路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岳鹿线-振辉路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岳鹿线-陶湾路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岳鹿线-通港东路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岳鹿线-沙南线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岳鹿线-双浮公路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岳鹿线-茜直路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岳鹿路-归米线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镇北路-邢巷线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通港东路-百花北路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百花-沙北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通港东路-昭溪路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众新街线-台中路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沙南线-沙直线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洪泾东路-印溪北路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通港路-太仓驰太电子新材料有限公司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通港路-新开河</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通港路-米中心线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通港路-泰西村</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通港路-洞星路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通港路-洪泾中心路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镇北路-岳王大桥</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双浮公路-沙徐线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邢巷线-岳杨路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邢巷线-公园街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沙南公路-西环路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新港路-众兴街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新港路-岳杨路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204-茜国路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双浮路-柳双路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印溪南路-西环路（北、东、西新濠，南侧交建）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印溪南路-沙徐线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镇北路-公园路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沙徐线-仁溪路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沙徐线-德溪路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凤凰中心路-虹桥路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白云路-金溪路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岳鹿路-粮食储备中心</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百花路-陶湾路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百花路-大木桥路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洪泾路-印北中心路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临港路-台南路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双浮路-三沙路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双浮路-新松路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昭溪路-七浦塘北侧</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印溪路-镇东路西侧</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双浮路-毛柴线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太沙线-东林路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德溪-瑞云</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沙溪</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仁溪-瑞云</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通港东路-陆璜公路（协星路）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新港公路-陆璜公路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通港东路-芦沟路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通港东路-北牌九路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通港路-G346</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通港路-太仓三号物流园（太仓海之诺物流园）</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通港路-申江路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通港路-平江路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通港路-长江大道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通港路-龙江路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通港路-滨江大道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通港路-明达物流园（中集厂北门）</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通港路-港外道路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双浮公路-陆璜公路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双浮公路-方红线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（南环）双浮公路-石池河桥</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双浮公路-红新路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南环路-G346</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南环路-华正路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南环路-沈家浜路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南环路-荷池路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通港东路-新华路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南环路-平江路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南环路-中兴南街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南环路-和平路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南环路-信江路（东环路）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南环路-龙江路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南环路-滨江大道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新港公路-南牌九路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新港公路-西泾路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新港公路-牌新路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新港公路-G346</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新港公路-茜星路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新港公路-龙江路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新港-银港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石化路-振兴路（滨州路）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石化路-滨海路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石化路-滨江路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G346-太仓港北疏港高速</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G346-吴淞浜路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G346-西浮宅路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G346-七丫路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G346-华苏路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滨江大道-华能线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滨江大道-万众路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滨江大道-苏州太仓港城区（中集门口）</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滨江大道-S80</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滨江大道-银港路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滨江大道-兴港路（映雪路）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翠竹-陆璜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滨江大道-碧云路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滨江大道-浮宅路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龙江路-银港路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龙江路-陆公路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龙江路-光华路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龙江路-映雪路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龙江路-秋水街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龙江路-碧云路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龙江路-浮宅路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龙江路-乃德路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龙江路-浏浮路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龙江路-协鑫中路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龙江路-华苏东路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龙江路-东方东路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龙江路-飞马路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龙江路-虹桥路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平江路-甘林路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平江路-崖山路（时沪路）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平江路-永辂街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平江路-万众路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平江路-银港路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平江路-陆公路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平江路-碧云路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平江路-浮宅路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平江路-中兴街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平江路-杨帆路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平江路-七丫路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浮宅路-方红路（牌九路）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浮宅路-红新路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浮宅路-华正路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浮宅路-慧泉路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安江路-银港路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安江路-陆公路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安江路-北环路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安江路-光华路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长江大道-银港路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长江大道-陆公路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长江大道-北环路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长江大道-光华路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长江大道-映雪路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申江路-银港路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申江路-北环路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洋江路-银港路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洋江路-北环路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洋江路-兴港路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洋江路-达港路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洋江路-海港路（碧云路）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和平路-映雪路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和平路-秋水街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和平路-碧云路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和平路-乃德路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和平路-中兴街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和平路-七丫路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牌楼路-牌九路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牌楼路-西泾路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中兴街-Y433</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中兴街-庆丰路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滨海路-协鑫中路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滨海路-华苏中路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滨海路-东方中路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滨洋路-协鑫中路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滨洋路-华苏中路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滨洋路-东方中路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新九路-芦沟路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新九路-红星路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银港路-望江路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映雪路-瑞江路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红新路-新浦路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西泾路-景苑路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信江路-乃德路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七丫路-沈家浜路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滨州路-东方东路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飞马路-茜星路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虹桥路-富民路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红新路-大宅路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通港路-河通线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滨江大道-武港路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滨江南路-华苏路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滨江南路-东方路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滨江南路-飞马路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镇中路-庆丰路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崖山路-时九线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滨江-虹桥</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崖山路-时中路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（协星路）陆璜公路-黑猪农家乐</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陆璜公路-大众村路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陆璜公路-邢巷线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协鑫路-利洁时北侧</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协鑫路-利洁时南侧</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协星路-疏港高速路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和平路-蔷薇路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崇文路-尚德街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华港-元江</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陆璜-岳太</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平江-浮璜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新兴-浮宅</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新兴-新浦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港区</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新兴-规划</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兴业路-金湾路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兴业路-滨河新路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岳鹿线-S339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白云渡路-太仓大道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白云渡路-江南路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白云渡路-上海路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白云渡路-金湾路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白云渡路-中市路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S339-飞沪路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太仓大道-十八港路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江南路-十八港路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江南路-红庙路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江南路-通泰公司门口</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江南路-陆嘉北路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江南路辅路-苏州象田光学科技有限公司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江南路-夏家桥路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金湾路-十八港路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金湾路-富达路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金湾路-万金南路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中市路-兴业南路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中市路-十八港路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中市路-富达路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中市路-景湖路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中市路-万金南路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中市路-花园街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中市路-飞沪路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中市路-东方路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滨河新路-泉州路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滨河新路-十八港路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滨河新路-景湖路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滨河新路-万金南路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上海路-十八港路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上海路-富达路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上海路-万金南路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上海路-花园街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上海路-飞沪大道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上海路-东方路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上海路-东新路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上海路-夏家桥路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江南路-融沪大道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上海路-融沪大道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融沪大道-墨香街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夏家桥路-崇恩路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十八港路-枫泾路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十八港路-西安路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十八港路-株泾路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白云渡辅路-滨河新路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上海路-山河路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三港路-新浏线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三港路-杨园路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三港街-上海路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融沪大道-西安路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中市路-永介路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永介路-金湾路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太仓大道-学致街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太仓大道-飞沪路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太仓大道-奥娄街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太仓大道-娄海街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太仓大道-临沪路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太仓大道-娄旺街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太仓大道-融沪大道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太仓大道-乘风路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太仓大道-通沪路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十八港路-南亭路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滨河新路-永介路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中市路-黄家湾路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金湾路-黄家湾路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黄家湾路-横沥小区东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横沥路-黄家湾路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黄家湾路-南亭路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太仓大道-万金北路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太仓大道-学府路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万金北路-科星路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万金北路-科文路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太仓大道-富达路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金湾路-西花园街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中市路-东新路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陆渡</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横沥-十八港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204国道-双浮公路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204国道-飞凤路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204国道-凤北路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204国道-凤林路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204国道-凤南路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204国道-瓯江路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204国道-新港路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204国道-建湖路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204国道-建业路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204国道-北京路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双浮公路-中市北路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中市北路-凤东路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中市北路-凤南路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中市北路-凤杨路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栖凤路-双浮公路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栖凤路-凤北路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栖凤路-双周公路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通海路-苏州路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凤苑路-凤北路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凤苑路-双周公路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双湖路-凤杨路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双湖路-瓯江路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双湖路-维新路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双湖路-建湖路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湖滨路-建湖路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湖滨路-建业路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湖滨路-广州路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城厢</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五洋路-东安路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南圩路-339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五洋路-苏州路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新闯公路-339</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凤林路-中市路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中市路-凤北路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凤北路-凤雅路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建湖路-迎春路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建业路-迎春路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凤林路-建新路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徐月泾路-未知道路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建业路-迎新路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建湖路-川西路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建湖路-新立路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瓯江路-沿塘线南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中市路-缪泾路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双浮路-凤新路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湖滨-严泾</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双湖-温州</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双浮路-庆南路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川中-建湖</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双凤</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建湖-湖星</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岳鹿线-新文路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岳鹿线-湘杨路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岳鹿线-湘王路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G346-鹿北路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G346-雅飞线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G346-圣象</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G346-南鹿线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G346-伍鹿路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G346-沙鹿路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G346-加弹南路（启程路）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G346-园林路（346为东西向）</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G346-海璜线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G346-荡茜路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G346-荣文路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G346-环三路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沙鹿路-南鹿线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沙鹿路-Y911（可能是申久化纤）</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沙鹿路-钱泾塘路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沙鹿路-创新园路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沙鹿路-崇文路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沙鹿路-玄武路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陆璜公路-园林南路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陆璜公路-潘家桥（广新公交）</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建王线-湘杨路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永安线-勇和线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湘杨路-鹿北路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湘杨路-玄武路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园林路-崇文路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园林路-玄武路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园林路-荣文路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园林路-新镇路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滨江路-万方路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园林路-隆达路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园林路-塔园路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南鹿线-扬子江</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新文路-玄武路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怀仁路-崇文路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广乐路-荣文路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怀仁路-荡茜路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鹿北路-草王路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沙鹿路-荣文路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永乐花园内部红绿灯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玄武路-夏家堰路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（协星路）岳鹿线-沙鹿路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岳鹿线-夏家堰路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G346-时新路（荷花路）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G346-时沪路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林场线-蒋家浜线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滨江大道-三高线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璜泾</w:t>
            </w:r>
            <w:r/>
          </w:p>
        </w:tc>
        <w:tc>
          <w:tcPr>
            <w:shd w:val="clear" w:color="auto" w:fill="auto"/>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明海线-沙鹿路</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bl>
    <w:p>
      <w:pPr>
        <w:ind w:right="-159" w:firstLine="250"/>
        <w:jc w:val="both"/>
        <w:spacing w:line="240" w:lineRule="atLeast"/>
        <w:widowControl w:val="off"/>
        <w:rPr>
          <w:rFonts w:ascii="Times New Roman" w:hAnsi="Times New Roman" w:eastAsia="宋体" w:cs="Times New Roman"/>
          <w:color w:val="auto"/>
          <w:spacing w:val="20"/>
          <w:sz w:val="21"/>
          <w:szCs w:val="24"/>
          <w:highlight w:val="none"/>
          <w:lang w:val="en-US" w:eastAsia="zh-CN" w:bidi="ar-SA"/>
        </w:rPr>
      </w:pPr>
      <w:r>
        <w:rPr>
          <w:rFonts w:ascii="Times New Roman" w:hAnsi="Times New Roman" w:eastAsia="宋体" w:cs="Times New Roman"/>
          <w:color w:val="auto"/>
          <w:spacing w:val="20"/>
          <w:sz w:val="21"/>
          <w:szCs w:val="24"/>
          <w:highlight w:val="none"/>
          <w:lang w:val="en-US" w:eastAsia="zh-CN" w:bidi="ar-SA"/>
        </w:rPr>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注：1、包括但不限于以上路口，实际存在因免费维护管理期限到期而有新增路口的情况，具体以最终实际维护路口为准。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2、太仓市移动式交通信号灯50套；</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3、黄闪警示灯65套；</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4、上海路-常胜路南进口1大、西进口2大，上海路-四通路西进口2大,上海路-兴业路西进口2大,人民路-弇山路西进口2大可变车道屏，微诱导屏11块，上海路（人民路-G15）沿线24块电子显示小屏。</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5、维护内容含信号灯（含倒计时）系统的以下主要部件：</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（1）杆件（含立杆、悬臂）</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（2）基础（含预埋件）</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（3）信号灯灯具</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（4）信号灯线缆以及电源线缆 </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（5）倒计时灯带、线缆、内部配件、外壳</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（6）交通信号控制机及机箱</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（7）手井以及井盖</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（8）路面开挖以及修复</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（9）太阳能电池板以及电瓶</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（10）顶管、预埋管以及施工</w:t>
      </w:r>
      <w:r/>
    </w:p>
    <w:p>
      <w:pPr>
        <w:ind w:left="480" w:firstLine="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（11）日常调试、清洁 </w: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（三）服务要求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1、交通信号灯日常巡查要求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巡查要求：每日巡查信号机在线情况、排查信号机脱机原因、检测信号灯设备是否正常工作,每半个月至少对维护服务的所有道路交通信号灯开展1次巡检，恶劣天气或特殊情况，中标维护方应及时增加巡检次数，确保设施正常运行。因巡检不到位、修复不及时等原因引发的事故均由中标维护方承担相应责任。</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（2）巡查台账要求：建立巡检台账，台账应记录巡检时间、巡检人，发现问题、整改情况、整改时间等信息。</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2、维护人员及设备配备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（1）维护方应为项目配备项目负责人1人，负责本项目的整体管理及项目</w:t>
      </w:r>
      <w:r>
        <w:rPr>
          <w:rFonts w:hint="eastAsia" w:ascii="宋体" w:hAnsi="宋体" w:eastAsia="宋体" w:cs="宋体"/>
          <w:color w:val="auto"/>
          <w:sz w:val="21"/>
          <w:szCs w:val="21"/>
          <w:highlight w:val="none"/>
          <w:shd w:val="clear" w:color="auto" w:fill="ffffff"/>
        </w:rPr>
        <w:t xml:space="preserve">质量控制、进度控制、成本控制和安全控制工作，应具备较强的机电类专业知识，熟悉本项目相关的法规、规范及标准。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（2）投标单位针对本项目提供的设备至少包括登高车1辆、巡逻车1辆，其他设备由投标人按需配置。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（3）技术负责人不少于1人，需</w:t>
      </w:r>
      <w:r>
        <w:rPr>
          <w:rFonts w:hint="eastAsia" w:ascii="宋体" w:hAnsi="宋体" w:eastAsia="宋体" w:cs="宋体"/>
          <w:color w:val="auto"/>
          <w:sz w:val="21"/>
          <w:szCs w:val="21"/>
          <w:highlight w:val="none"/>
          <w:shd w:val="clear" w:color="auto" w:fill="ffffff"/>
        </w:rPr>
        <w:t xml:space="preserve">具有操作一般信息系统的能力，具备一定的计算机理论知识和实际应用能力，并能够进行简单的程序设计和系统网络、安全维护工作，对数据库技术、网络技术、信息安全方面应有一定的了解。</w:t>
      </w:r>
      <w:r/>
    </w:p>
    <w:p>
      <w:pPr>
        <w:ind w:firstLine="420"/>
        <w:spacing w:beforeAutospacing="0" w:afterAutospacing="0"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（4）项目组成员：现场巡查、作业人员不少于2人（持特种作业操作证），其中“电工作业”不少于1人，“高处作业”不少于1人，随时待命，有相关工作经验，业务能力强，持证上岗。</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（5）遇有紧急情况下应跟据交警大队要求，增加足够的维护车辆和维护人员，确保信号灯故障及时排除。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3、维护响应时间</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方提供24小时全天候便捷的优质服务，保持固定维护负责人，保持通信畅通。维护方接到通知或者巡检中发现故障应在30分钟内响应，城区1小时内到达现场，其它区域2小时内到达现场（恶劣天气等特殊情况下主动与交警大队报备），到达现场后在2小时内解决故障。对于因停电、特殊情况下无法2小时内完成的修复的灯控路口，与交警大队报备，乙方应至少配备5台移动信号灯保障路口通行安全，并根据交警大队要求时间节点尽快解决故障问题（除灾害等维护方无法完成的情况外）。</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4、维修更换设备后的保修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（1）维修配件不得低于原设备规格和质量标准；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（2）所用配件均需符合国家最新标准和行业要求；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（3）更换产品及配件的免费保修期自验收合格之日起的三年，杆件、基础等保修期为10年（人为损坏或者台风、地震、雷击等不可抗拒力损坏除外）；</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（4）同一地点同一原因导致三次以上故障，供应商应当提出彻底解决问题的方案，保证此类原因导致的故障半年内不得再次发生。</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5、维护验收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修复后应电话及时回复通知方，并通过交警大队维护平台上报维护记录，每月将维护记录清单书面上报交警大队。对于更换设备配件的地方维修好由交警部门组织验收，不符合要求的必须整改，由此造成的相关损失由维护单位承担。</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维护单位应当对维修的情况进行记录以及建立信号灯维护档案，档案格式如下：</w:t>
      </w:r>
      <w:r/>
    </w:p>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太仓市交警大队交通信号灯（含倒计时）系统维护记录表</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131"/>
        <w:gridCol w:w="1120"/>
        <w:gridCol w:w="1088"/>
        <w:gridCol w:w="1088"/>
        <w:gridCol w:w="1104"/>
        <w:gridCol w:w="929"/>
        <w:gridCol w:w="1224"/>
        <w:gridCol w:w="1076"/>
      </w:tblGrid>
      <w:tr>
        <w:trPr>
          <w:jc w:val="center"/>
          <w:trHeight w:val="725"/>
        </w:trPr>
        <w:tc>
          <w:tcPr>
            <w:tcW w:w="788"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31"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任务来源</w:t>
            </w:r>
            <w:r/>
          </w:p>
        </w:tc>
        <w:tc>
          <w:tcPr>
            <w:tcW w:w="1120"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任务时间</w:t>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故障现象</w:t>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故障原因</w:t>
            </w:r>
            <w:r/>
          </w:p>
        </w:tc>
        <w:tc>
          <w:tcPr>
            <w:tcW w:w="1104"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故障原因详细描述</w:t>
            </w:r>
            <w:r/>
          </w:p>
        </w:tc>
        <w:tc>
          <w:tcPr>
            <w:tcW w:w="929"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解决方法</w:t>
            </w:r>
            <w:r/>
          </w:p>
        </w:tc>
        <w:tc>
          <w:tcPr>
            <w:tcW w:w="1224"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修复时间</w:t>
            </w:r>
            <w:r/>
          </w:p>
        </w:tc>
        <w:tc>
          <w:tcPr>
            <w:tcW w:w="1076"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更换设备</w:t>
            </w:r>
            <w:r/>
          </w:p>
        </w:tc>
      </w:tr>
      <w:tr>
        <w:trPr>
          <w:jc w:val="center"/>
          <w:trHeight w:val="369"/>
        </w:trPr>
        <w:tc>
          <w:tcPr>
            <w:tcW w:w="788"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31"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4"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29"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24"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6"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69"/>
        </w:trPr>
        <w:tc>
          <w:tcPr>
            <w:tcW w:w="788"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31"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4"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29"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24"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6"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82"/>
        </w:trPr>
        <w:tc>
          <w:tcPr>
            <w:tcW w:w="788"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1"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88"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04"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929"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24"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6"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0"/>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center"/>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太仓市交警大队交通信号灯（含倒计时）系统档案表</w:t>
      </w:r>
      <w:r/>
    </w:p>
    <w:tbl>
      <w:tblPr>
        <w:tblStyle w:val="958"/>
        <w:tblW w:w="9616" w:type="dxa"/>
        <w:jc w:val="center"/>
        <w:tblLayout w:type="fixed"/>
        <w:tblCellMar>
          <w:left w:w="108" w:type="dxa"/>
          <w:top w:w="0" w:type="dxa"/>
          <w:right w:w="108" w:type="dxa"/>
          <w:bottom w:w="0" w:type="dxa"/>
        </w:tblCellMar>
        <w:tblLook w:val="04A0" w:firstRow="1" w:lastRow="0" w:firstColumn="1" w:lastColumn="0" w:noHBand="0" w:noVBand="1"/>
      </w:tblPr>
      <w:tblGrid>
        <w:gridCol w:w="936"/>
        <w:gridCol w:w="1060"/>
        <w:gridCol w:w="1400"/>
        <w:gridCol w:w="1520"/>
        <w:gridCol w:w="1520"/>
        <w:gridCol w:w="1060"/>
        <w:gridCol w:w="1060"/>
        <w:gridCol w:w="1060"/>
      </w:tblGrid>
      <w:tr>
        <w:trPr>
          <w:jc w:val="center"/>
          <w:trHeight w:val="610"/>
        </w:trPr>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w:t>
            </w:r>
            <w:r/>
          </w:p>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间    路口</w:t>
            </w:r>
            <w:r/>
          </w:p>
        </w:tc>
        <w:tc>
          <w:tcPr>
            <w:tcBorders>
              <w:top w:val="single" w:color="auto" w:sz="4" w:space="0"/>
              <w:left w:val="single" w:color="auto" w:sz="4" w:space="0"/>
              <w:bottom w:val="single" w:color="000000" w:sz="4" w:space="0"/>
              <w:right w:val="single" w:color="auto" w:sz="4" w:space="0"/>
            </w:tcBorders>
            <w:tcW w:w="1400" w:type="dxa"/>
            <w:vAlign w:val="center"/>
            <w:vMerge w:val="restart"/>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XX年XX月XX日</w:t>
            </w:r>
            <w:r/>
          </w:p>
        </w:tc>
        <w:tc>
          <w:tcPr>
            <w:tcBorders>
              <w:top w:val="single" w:color="auto" w:sz="4" w:space="0"/>
              <w:left w:val="single" w:color="auto" w:sz="4" w:space="0"/>
              <w:bottom w:val="single" w:color="000000" w:sz="4" w:space="0"/>
              <w:right w:val="single" w:color="auto" w:sz="4" w:space="0"/>
            </w:tcBorders>
            <w:tcW w:w="1520" w:type="dxa"/>
            <w:vAlign w:val="center"/>
            <w:vMerge w:val="restart"/>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XX年XX月XX日</w:t>
            </w:r>
            <w:r/>
          </w:p>
        </w:tc>
        <w:tc>
          <w:tcPr>
            <w:tcBorders>
              <w:top w:val="single" w:color="auto" w:sz="4" w:space="0"/>
              <w:left w:val="single" w:color="auto" w:sz="4" w:space="0"/>
              <w:bottom w:val="single" w:color="000000" w:sz="4" w:space="0"/>
              <w:right w:val="single" w:color="auto" w:sz="4" w:space="0"/>
            </w:tcBorders>
            <w:tcW w:w="1520" w:type="dxa"/>
            <w:vAlign w:val="center"/>
            <w:vMerge w:val="restart"/>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XX年XX月XX日</w:t>
            </w:r>
            <w:r/>
          </w:p>
        </w:tc>
        <w:tc>
          <w:tcPr>
            <w:tcBorders>
              <w:top w:val="single" w:color="auto" w:sz="4" w:space="0"/>
              <w:left w:val="single" w:color="auto" w:sz="4" w:space="0"/>
              <w:bottom w:val="single" w:color="000000" w:sz="4" w:space="0"/>
              <w:right w:val="single" w:color="auto" w:sz="4" w:space="0"/>
            </w:tcBorders>
            <w:tcW w:w="1060" w:type="dxa"/>
            <w:vAlign w:val="center"/>
            <w:vMerge w:val="restart"/>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4" w:space="0"/>
              <w:right w:val="single" w:color="auto" w:sz="4" w:space="0"/>
            </w:tcBorders>
            <w:tcW w:w="1060" w:type="dxa"/>
            <w:vAlign w:val="center"/>
            <w:vMerge w:val="restart"/>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4" w:space="0"/>
              <w:right w:val="single" w:color="auto" w:sz="4" w:space="0"/>
            </w:tcBorders>
            <w:tcW w:w="1060" w:type="dxa"/>
            <w:vAlign w:val="center"/>
            <w:vMerge w:val="restart"/>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路口1</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路口2</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故障描述</w:t>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路口3</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2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6、交通信号灯（含倒计时）系统部分设备更换需求：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路口交通信号（含倒计时）系统的实际情况以及交警大队的要求对部分设备进行更换，更换主要部件为：交通信号控制机、杆件、顶管、机动车信号灯、非机动车信号灯、人行横道灯、黄闪灯、电源线、信号灯专用线缆、手井、基础以及预埋件、倒计时灯带线缆配件及外壳等。按中标单价结算。</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（1）此部分费用主要维护内容：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部分路口信号灯（含倒计时）系统线缆、灯具和信号机、灯带等老化设备的更换；</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由于道路开挖、施工等原因造成故障且无法获得赔偿的；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由于交通事故造成且逃逸无法获得理赔的；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雷击、台风、地震等不可抗拒因素损坏无法理赔的；</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其他根据需要维护更换的内容。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（2）维护方案要求：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此部分维护前需要与交警大队进行沟通，由交警大队制定具体的维护方案，施工过程中维护方要严格按照交警大队要求执行，发现问题向大队汇报经过同意后更改维护方案；</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施工前维护方根据交警大队方案与其投标报价进行工程的造价估算，施工后由交警大队对工程量以及产品进行初步核实，维护期结束后，所有工程验收通过并经审计后支付维护款。</w: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（四）技术要求</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1、智能联网型交通信号控制机。</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信号机必须通过《道路交通信号控制机》（GB 25280-2016）标准进行的检测，中标方应免费提供信号机控制系统，系统应是强实时多任务操作系统，可实现多路口协调控制、自适应控制、远程手动控制等基本操作。满足“智能交通服务管理平台”的对接要求，实现无缝接入太仓市公安局交警大队交通信号控制平台“智能交通服务管理平台”，可以完全接受系统的各项功能控制。</w:t>
      </w:r>
      <w:r/>
    </w:p>
    <w:p>
      <w:pPr>
        <w:ind w:firstLine="422"/>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系统软硬件要求至少免费保修期三年，费用已包含在预算中。（</w:t>
      </w:r>
      <w:r>
        <w:rPr>
          <w:rFonts w:hint="eastAsia" w:ascii="宋体" w:hAnsi="宋体" w:eastAsia="宋体" w:cs="宋体"/>
          <w:b/>
          <w:color w:val="auto"/>
          <w:sz w:val="21"/>
          <w:szCs w:val="21"/>
          <w:highlight w:val="none"/>
          <w:lang w:val="en-US" w:eastAsia="zh-CN" w:bidi="ar-SA"/>
        </w:rPr>
        <w:t xml:space="preserve">提供承诺书，格式自拟</w:t>
      </w:r>
      <w:r>
        <w:rPr>
          <w:rFonts w:hint="eastAsia" w:ascii="宋体" w:hAnsi="宋体" w:eastAsia="宋体" w:cs="宋体"/>
          <w:b/>
          <w:color w:val="auto"/>
          <w:sz w:val="21"/>
          <w:szCs w:val="21"/>
          <w:highlight w:val="none"/>
          <w:lang w:val="zh-CN" w:eastAsia="zh-CN" w:bidi="ar-SA"/>
        </w:rPr>
        <w:t xml:space="preserve">）</w:t>
      </w:r>
      <w:r/>
    </w:p>
    <w:p>
      <w:pPr>
        <w:numPr>
          <w:ilvl w:val="1"/>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1"/>
      </w:pPr>
      <w:r/>
      <w:bookmarkStart w:id="5" w:name="_Toc66437921"/>
      <w:r>
        <w:rPr>
          <w:rFonts w:hint="eastAsia" w:ascii="宋体" w:hAnsi="宋体" w:eastAsia="宋体" w:cs="宋体"/>
          <w:b/>
          <w:bCs/>
          <w:color w:val="auto"/>
          <w:sz w:val="21"/>
          <w:szCs w:val="21"/>
          <w:highlight w:val="none"/>
          <w:lang w:val="en-US" w:eastAsia="zh-CN" w:bidi="ar-SA"/>
        </w:rPr>
        <w:t xml:space="preserve">1.1路口级控制系统（道路交通信号控制机）</w:t>
      </w:r>
      <w:bookmarkEnd w:id="5"/>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交通信号控制机可以根据预先配置好的规则自主控制路口红绿灯，也可以与后台控制软件联动，实现干线协调信号控制、配时方案管理、远程人工干预等。也可关联车辆检测器通过通讯接口传输给区域控制机，对交通信息的采集与预处理（包括：车流量、占有率等重要参数）并，进行周期、绿信比、相位差的优化计算，实现各种单点控制功能，控制交通信号灯色等。</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bookmarkStart w:id="6" w:name="_Toc66437922"/>
      <w:r>
        <w:rPr>
          <w:rFonts w:hint="eastAsia" w:ascii="宋体" w:hAnsi="宋体" w:eastAsia="宋体" w:cs="宋体"/>
          <w:b/>
          <w:bCs/>
          <w:color w:val="auto"/>
          <w:sz w:val="21"/>
          <w:szCs w:val="21"/>
          <w:highlight w:val="none"/>
          <w:lang w:val="en-US" w:eastAsia="zh-CN" w:bidi="ar-SA"/>
        </w:rPr>
        <w:t xml:space="preserve">1.1.1基本要求</w:t>
      </w:r>
      <w:bookmarkEnd w:id="6"/>
      <w:r/>
      <w:r/>
    </w:p>
    <w:p>
      <w:pPr>
        <w:numPr>
          <w:ilvl w:val="0"/>
          <w:numId w:val="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交通信号机的相关控制功能要求符合国家标准GB25280-2016《道路交通信号控制机》C类A级的规范要求的要求；同时道路交通信号机软件需要符合GB/T20999-2017《交通信号控制机与上位机间的数据通信协议》通讯协议的体系结构。</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bookmarkStart w:id="7" w:name="_Toc66437923"/>
      <w:r>
        <w:rPr>
          <w:rFonts w:hint="eastAsia" w:ascii="宋体" w:hAnsi="宋体" w:eastAsia="宋体" w:cs="宋体"/>
          <w:b/>
          <w:bCs/>
          <w:color w:val="auto"/>
          <w:sz w:val="21"/>
          <w:szCs w:val="21"/>
          <w:highlight w:val="none"/>
          <w:lang w:val="en-US" w:eastAsia="zh-CN" w:bidi="ar-SA"/>
        </w:rPr>
        <w:t xml:space="preserve">1.1.2功能要求</w:t>
      </w:r>
      <w:bookmarkEnd w:id="7"/>
      <w:r/>
      <w:r/>
    </w:p>
    <w:p>
      <w:pPr>
        <w:numPr>
          <w:ilvl w:val="0"/>
          <w:numId w:val="5"/>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具有多种特殊时段控制模式，支持48个时段配时设置（节假日、星期），支持不少于20种配时方案；</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当发生绿冲突、信号灯灯不亮、红绿同时亮故障时，可进行自动降级处理；</w:t>
      </w:r>
      <w:r/>
    </w:p>
    <w:p>
      <w:pPr>
        <w:numPr>
          <w:ilvl w:val="0"/>
          <w:numId w:val="5"/>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支持可变车道控制，可按时段或流量信息切换可变车道的导向方向；</w:t>
      </w:r>
      <w:r/>
    </w:p>
    <w:p>
      <w:pPr>
        <w:numPr>
          <w:ilvl w:val="0"/>
          <w:numId w:val="5"/>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支持公交优先控制，可通过采集车辆发出的特定信号进行相位配时调整，实现车辆的优先控制；</w:t>
      </w:r>
      <w:r/>
    </w:p>
    <w:p>
      <w:pPr>
        <w:numPr>
          <w:ilvl w:val="0"/>
          <w:numId w:val="5"/>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具备协调过街控制功能：支持无电缆协调和线控协调方式下的过街控制；</w:t>
      </w:r>
      <w:r/>
    </w:p>
    <w:p>
      <w:pPr>
        <w:numPr>
          <w:ilvl w:val="0"/>
          <w:numId w:val="5"/>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具备无线手控功能，可通过外接无线手持终端实现手动/自动切换、相位步进、跳相； </w:t>
      </w:r>
      <w:r/>
    </w:p>
    <w:p>
      <w:pPr>
        <w:numPr>
          <w:ilvl w:val="0"/>
          <w:numId w:val="5"/>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支持笔记本电脑、手持终端现场设置控制参数；</w:t>
      </w:r>
      <w:r/>
    </w:p>
    <w:p>
      <w:pPr>
        <w:numPr>
          <w:ilvl w:val="0"/>
          <w:numId w:val="5"/>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具有掉电数据保护功能，工作参数和时钟可保持一个月不丢失；</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记录异常状态下的事件日志及操作记录。</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rPr>
          <w:rFonts w:hint="eastAsia" w:ascii="宋体" w:hAnsi="宋体" w:eastAsia="宋体" w:cs="宋体"/>
          <w:b/>
          <w:bCs/>
          <w:color w:val="auto"/>
          <w:sz w:val="21"/>
          <w:szCs w:val="21"/>
          <w:highlight w:val="none"/>
          <w:lang w:val="en-US" w:eastAsia="zh-CN" w:bidi="ar-SA"/>
        </w:rPr>
        <w:t xml:space="preserve">1.1.3交通信号控制机</w:t>
      </w:r>
      <w:r/>
    </w:p>
    <w:p>
      <w:pPr>
        <w:ind w:firstLine="422"/>
        <w:spacing w:line="360" w:lineRule="auto"/>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投标人所投交通信号控制机应为集中协调式信号控制机，相关控制功能要求符合国家标准GB25280-2016《道路交通信号控制机》C类A级的规范要求；</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投标人所投交通信号控制机应具备区域联网控制，同时应能实现线控、感应、多时段、单点优化、单点无电缆线控、黄闪、全红、关灯、手控等单点控制功能；</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交通信号控制具有手动控制面板，能够在前端实现手动、跳相、黄闪、全红、应急疏导等；</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采用32位ARM处理器，主频≥200M，嵌入式LINUX操作系统；</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采用32相位控制，标配60路灯控输出，可扩充到108路灯控输出；</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接入不少于32路车流量检测设备，支持无线线圈、地磁、微波、视频、正向雷达等多种车流量检测方式；</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至少控制4块通信式三色倒计时显示屏，并可扩充至16块；为适应优化或线控的需要，可支持倒9秒显示；</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具有“节假日”、“星期”和“普通”三种模式，最大可储存40个日计划调度表，40个日计划方案，可按月份、日期、星期确定执行日计划方案的日期；</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具备绿冲突、灯不亮、红绿同时亮等信号灯故障检测功能，发生故障后自动降级处理；</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具有掉电保护功能，工作参数和时钟至少可保持一个月不丢失；</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支持笔记本电脑、手持终端现场设置控制参数；</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符合国标及行业标准、兼容NTCIP协议；</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记录异常状态下的事件日志及操作记录；</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★投标人所投交通信号控制机支持双电源供电功能，采用双路电源供电，当任一路电源故障时，系统应能正常工作；</w:t>
      </w:r>
      <w:r/>
    </w:p>
    <w:p>
      <w:pPr>
        <w:ind w:left="418" w:firstLine="0"/>
        <w:spacing w:line="360" w:lineRule="auto"/>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标人所投交通信号控制机支持可变车道控制功能，可按时段或流量信息切换可变车道的导向方向；★投标人所投交通信号控制机支持优先控制功能，可通过检测3路检测器的触发信号进行相位配饰调整，实现特殊车辆的绝对优先和相对优先控制；</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★投标人所投交通信号控制机支持无线手控功能，可通过外接无线手持终端实现手动/自动切换、相位步进、跳相；</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投标人所投交通信号控制机支持远程升级功能，可通过Web方式对信号机进性网络远程程序升级；</w:t>
      </w:r>
      <w:r/>
    </w:p>
    <w:p>
      <w:pPr>
        <w:ind w:firstLine="422"/>
        <w:spacing w:line="360" w:lineRule="auto"/>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投标人所投交通信号控制机支持交通流采集功能，可采集时间间隔不大于0.25s的交通流数据；</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支持GPS对时；</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通讯接口：≥4个RS485，≥1个RS422，≥3个RS232，≥1个RJ45；</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环境适应性:工作温度-40℃～+70℃；</w:t>
      </w:r>
      <w:r/>
    </w:p>
    <w:p>
      <w:pPr>
        <w:ind w:firstLine="422"/>
        <w:spacing w:line="360" w:lineRule="auto"/>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★电源电压适应性：电源电压在AC86V-AC264V、频率在50Hz±2Hz范围变化时，信号机应能正常工作；</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相对湿度5%RH～95% RH；</w:t>
      </w:r>
      <w:r/>
    </w:p>
    <w:p>
      <w:pPr>
        <w:numPr>
          <w:ilvl w:val="0"/>
          <w:numId w:val="6"/>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绝缘电阻≥500ＭΩ。</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bookmarkStart w:id="8" w:name="_Toc66437924"/>
      <w:r>
        <w:rPr>
          <w:rFonts w:hint="eastAsia" w:ascii="宋体" w:hAnsi="宋体" w:eastAsia="宋体" w:cs="宋体"/>
          <w:b/>
          <w:bCs/>
          <w:color w:val="auto"/>
          <w:sz w:val="21"/>
          <w:szCs w:val="21"/>
          <w:highlight w:val="none"/>
          <w:lang w:val="en-US" w:eastAsia="zh-CN" w:bidi="ar-SA"/>
        </w:rPr>
        <w:t xml:space="preserve">1.1.4设备要求</w:t>
      </w:r>
      <w:bookmarkEnd w:id="8"/>
      <w:r/>
      <w:r/>
    </w:p>
    <w:p>
      <w:pPr>
        <w:numPr>
          <w:ilvl w:val="0"/>
          <w:numId w:val="7"/>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实现不少于32相位控制，不少于54路灯控输出，可接入不少于16路车流量检测器，支持4路行人按钮接入，接入车流检测器支持无线线圈、地磁、微波及视频等检测方式；可接入4路三色倒计时显示屏，并可扩充至16路；支持倒计时9秒显示；</w:t>
      </w:r>
      <w:r/>
    </w:p>
    <w:p>
      <w:pPr>
        <w:numPr>
          <w:ilvl w:val="0"/>
          <w:numId w:val="7"/>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可接入不少于4路行人按钮；不少于4路三色倒计时显示屏，并支持倒计时9秒显示；</w:t>
      </w:r>
      <w:r/>
    </w:p>
    <w:p>
      <w:pPr>
        <w:numPr>
          <w:ilvl w:val="0"/>
          <w:numId w:val="7"/>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通讯接口：≥1个RS232，≥1个RS485；</w:t>
      </w:r>
      <w:r/>
    </w:p>
    <w:p>
      <w:pPr>
        <w:numPr>
          <w:ilvl w:val="0"/>
          <w:numId w:val="7"/>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电源适应性: 电源电压在AC86V-AC264V、频率在50Hz±2Hz范围变化时，信号机应能正常工作；</w:t>
      </w:r>
      <w:r/>
    </w:p>
    <w:p>
      <w:pPr>
        <w:numPr>
          <w:ilvl w:val="0"/>
          <w:numId w:val="7"/>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相对湿度5%RH～95% RH；</w:t>
      </w:r>
      <w:r/>
    </w:p>
    <w:p>
      <w:pPr>
        <w:numPr>
          <w:ilvl w:val="0"/>
          <w:numId w:val="7"/>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绝缘电阻≥100ＭΩ。</w:t>
      </w:r>
      <w:r/>
    </w:p>
    <w:p>
      <w:pPr>
        <w:numPr>
          <w:ilvl w:val="1"/>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1"/>
      </w:pPr>
      <w:r/>
      <w:bookmarkStart w:id="9" w:name="_Toc66437925"/>
      <w:r>
        <w:rPr>
          <w:rFonts w:hint="eastAsia" w:ascii="宋体" w:hAnsi="宋体" w:eastAsia="宋体" w:cs="宋体"/>
          <w:b/>
          <w:bCs/>
          <w:color w:val="auto"/>
          <w:sz w:val="21"/>
          <w:szCs w:val="21"/>
          <w:highlight w:val="none"/>
          <w:lang w:val="en-US" w:eastAsia="zh-CN" w:bidi="ar-SA"/>
        </w:rPr>
        <w:t xml:space="preserve">1.2区域级控制系统（交通信号控制服务系统）</w:t>
      </w:r>
      <w:bookmarkEnd w:id="9"/>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为交通信号控制系统的后台服务，负责控制区域内系统设备和系统软件的管理与监测，相位差和信号周期的宏观协调。区域控制机实时汇聚路口设备采集交通数据，优化控制被控区域内路口的交通信号，并可兼作交通工程师工作台，监视、控制和协调系统的运行，进行系统核心参数的配置。多路通讯处理器为区域控制计算机与路口控制信号机提供通信通道，高低速数据转换和缓冲整理。</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bookmarkStart w:id="10" w:name="_Toc17378268"/>
      <w:r/>
      <w:bookmarkStart w:id="11" w:name="_Toc66437926"/>
      <w:r>
        <w:rPr>
          <w:rFonts w:hint="eastAsia" w:ascii="宋体" w:hAnsi="宋体" w:eastAsia="宋体" w:cs="宋体"/>
          <w:b/>
          <w:bCs/>
          <w:color w:val="auto"/>
          <w:sz w:val="21"/>
          <w:szCs w:val="21"/>
          <w:highlight w:val="none"/>
          <w:lang w:val="en-US" w:eastAsia="zh-CN" w:bidi="ar-SA"/>
        </w:rPr>
        <w:t xml:space="preserve">1.2.1基本功能</w:t>
      </w:r>
      <w:bookmarkEnd w:id="10"/>
      <w:r/>
      <w:bookmarkEnd w:id="11"/>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12" w:name="_Toc17378270"/>
      <w:r>
        <w:rPr>
          <w:rFonts w:hint="eastAsia" w:ascii="宋体" w:hAnsi="宋体" w:eastAsia="宋体" w:cs="宋体"/>
          <w:color w:val="auto"/>
          <w:sz w:val="21"/>
          <w:szCs w:val="21"/>
          <w:highlight w:val="none"/>
          <w:lang w:val="en-US" w:eastAsia="zh-CN" w:bidi="ar-SA"/>
        </w:rPr>
        <w:t xml:space="preserve">干线协调控制</w:t>
      </w:r>
      <w:bookmarkEnd w:id="12"/>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信号机软件根据预先设置好的相序、配时、相位差等参数，自主进行协调平滑处理，使干线道路实现线控绿波带的效果。</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13" w:name="_Toc17378272"/>
      <w:r>
        <w:rPr>
          <w:rFonts w:hint="eastAsia" w:ascii="宋体" w:hAnsi="宋体" w:eastAsia="宋体" w:cs="宋体"/>
          <w:color w:val="auto"/>
          <w:sz w:val="21"/>
          <w:szCs w:val="21"/>
          <w:highlight w:val="none"/>
          <w:lang w:val="en-US" w:eastAsia="zh-CN" w:bidi="ar-SA"/>
        </w:rPr>
        <w:t xml:space="preserve">定时控制</w:t>
      </w:r>
      <w:bookmarkEnd w:id="13"/>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信号配时方案将使用近期实时自适应优化结果并具有较好交通效益的配时方案，该配时方案可通过人机会话进行配置和修改。</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14" w:name="_Toc17378273"/>
      <w:r>
        <w:rPr>
          <w:rFonts w:hint="eastAsia" w:ascii="宋体" w:hAnsi="宋体" w:eastAsia="宋体" w:cs="宋体"/>
          <w:color w:val="auto"/>
          <w:sz w:val="21"/>
          <w:szCs w:val="21"/>
          <w:highlight w:val="none"/>
          <w:lang w:val="en-US" w:eastAsia="zh-CN" w:bidi="ar-SA"/>
        </w:rPr>
        <w:t xml:space="preserve">其他控制方式</w:t>
      </w:r>
      <w:bookmarkEnd w:id="14"/>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系统或交通信号控制机除具有上述控制方式外还具有下列控制方式：</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无电缆协调方式、感应方式、多时段定周期方式、黄闪方式及全红、关灯等工作方式。</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根据需要可以通过人工干预控制的方式实现指定相位控制、警卫路线控制、模拟手动、手动功能。</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优先控制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公交优先，系统具备根据公交车通行需求的信号，调整路口相位，实现公交优先控制。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特种车辆优先，系统具备路线编辑，根据特种车辆提供的同行需求信号，调整路口相位，实现特种车辆优先控制。</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bookmarkStart w:id="15" w:name="_Toc66437927"/>
      <w:r>
        <w:rPr>
          <w:rFonts w:hint="eastAsia" w:ascii="宋体" w:hAnsi="宋体" w:eastAsia="宋体" w:cs="宋体"/>
          <w:b/>
          <w:bCs/>
          <w:color w:val="auto"/>
          <w:sz w:val="21"/>
          <w:szCs w:val="21"/>
          <w:highlight w:val="none"/>
          <w:lang w:val="en-US" w:eastAsia="zh-CN" w:bidi="ar-SA"/>
        </w:rPr>
        <w:t xml:space="preserve">1.2.2全息自适应控制</w:t>
      </w:r>
      <w:bookmarkEnd w:id="15"/>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1）交通流数据采集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该功能的实现需要路口布设交通流检测设备，为了确保系统对路口红绿灯时间的优化效果，推荐使用视频交通流检测设备或微波交通流检测设备。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视频交通流检测设备建议安装在路口闯红灯电子警察灯杆上，反向拍摄采集入口渠化内交通流数据。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微波交通流检测设备建议安装在路口红绿灯杆的横臂上，检测其对应方向的的入口渠化内交通流数据。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检测数据应至少包含车流量、排队长度、车头时距、占有率、速度等多类数据；对路口的信号配时数据应与城市交通信号控制系统无缝对接进行实时采集。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动态展示当前路口的实时交通状态、相位放行信息（周期优化长度、相位均衡长度、相位优化长度、相位实际长度、单车道最大过车数、车道过车总数、单车道最大绿灯末车辆数、绿灯末加权车辆数、红灯末车辆数、统计时间内单车道最大小时流量）和交通流向信息（各流向单车道最大绿灯末车辆数、绿灯末加权车辆数、红灯末车辆数、统计时间内单车道最大小时流量、分布系数）的功能。</w:t>
      </w:r>
      <w:r/>
    </w:p>
    <w:p>
      <w:pPr>
        <w:ind w:firstLine="420"/>
        <w:spacing w:line="360" w:lineRule="auto"/>
        <w:rPr>
          <w:rFonts w:ascii="宋体" w:hAnsi="宋体" w:eastAsia="宋体" w:cs="宋体"/>
          <w:color w:val="auto"/>
          <w:sz w:val="21"/>
          <w:szCs w:val="21"/>
          <w:highlight w:val="none"/>
        </w:rPr>
      </w:pPr>
      <w:r/>
      <w:bookmarkStart w:id="16" w:name="_Toc498340681"/>
      <w:r>
        <w:rPr>
          <w:rFonts w:hint="eastAsia" w:ascii="宋体" w:hAnsi="宋体" w:eastAsia="宋体" w:cs="宋体"/>
          <w:color w:val="auto"/>
          <w:sz w:val="21"/>
          <w:szCs w:val="21"/>
          <w:highlight w:val="none"/>
        </w:rPr>
        <w:t xml:space="preserve">2）交通流数据分析</w:t>
      </w:r>
      <w:bookmarkEnd w:id="16"/>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应接入实时交通基础信息数据与信号配时数据，同时读取交通信号数据库中的历史交通基础信息数据与信号配时数据综合分析，为实时数据分析和历史数据分析提供数据基础。</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实时数据分析</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应将交通基础信息数据与信号配时数据相结合，以信号周期为单位，对路口各车道、各通行方向的交通参数进行运算分析。 </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历史数据分析</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应以信号周期为单位的交通流数据进行统计分析，通过充分的数据挖掘得到绿灯利用率等丰富的数据。</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3）智能优化方案制定</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相位红灯末段，依照从前端设备获取检测数据，基于海量的历史数据分析交叉口车辆通行规律，给出本相位绿灯放行时间；绿灯中段，通过排队长度、车辆行驶速度、占有率等数据再次优化绿信比；绿灯末段，根据各通行相位的实际交通需求均衡周期内的绿灯时间，给出后续相位优化的策略。</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系统根据最大通行流量划分成多个流量区段，并能够按照协调方向配置每个流量区段的控制方式选择信息（单点优化控制、协调优化控制）、协调带宽以及各路口参数（配时方案、相位差）的功能。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如果交通流数据能够实现对路口渠化开始到停止线内所有的交通流数据，可实现对本周期内正在放行的相位（绿灯）时间实时优化，同时确保交叉口非机动车及行人有足够的通行时间行。</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能够配置周期调整幅度、统计时间间隔、截止绿灯允许车辆数、总小时流量、车辆数加权系数、车辆数步进系数、方向分布切换系数，并能够按路口配置控制方式选择信息（单点优化控制、协调优化控制）、最大允许周期绿灯长度、各流向系数的功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4）闭环控制体系</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综合分析数据，历史分析结果应用于周期库迭代，实时分析结果应用于多参数的路口均衡控制。周期库迭代过程根据历史检测数据建立周期库迭代模型，并根据路口评价结果实时更新周期库；基于多参数的路口均衡控制过程在每个周期开始前从周期库选择合适的周期，采用实时检测数据均衡各相位交通需求。根据路口控制效果评价结果，实时调整周期库迭代模型，最后迭代模型又作用于路口均衡控制过程，形成反馈闭环，进而提高控制效果。</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5）实时监视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实时动态显示路口的交通状态以及单点智能控制针对这些实时路口状态进行的相关控制；需监控路口相序中的各相位的流量情况、原相位绿灯长度与实际执行的相位优化绿灯长度等信息；需监控路口各通行方向的绿灯末和红灯末的车辆数等信息。</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6）故障应急</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在发生检测器掉线、检测器数据异常或者信号机脱机等等故障情况时，应能采取对应的相关控制降级、弹窗预警、故障日志等应急措施。</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bookmarkStart w:id="17" w:name="_Toc17378275"/>
      <w:r/>
      <w:bookmarkStart w:id="18" w:name="_Toc66437928"/>
      <w:r>
        <w:rPr>
          <w:rFonts w:hint="eastAsia" w:ascii="宋体" w:hAnsi="宋体" w:eastAsia="宋体" w:cs="宋体"/>
          <w:b/>
          <w:bCs/>
          <w:color w:val="auto"/>
          <w:sz w:val="21"/>
          <w:szCs w:val="21"/>
          <w:highlight w:val="none"/>
          <w:lang w:val="en-US" w:eastAsia="zh-CN" w:bidi="ar-SA"/>
        </w:rPr>
        <w:t xml:space="preserve">1.2.3数据监控与指令传输</w:t>
      </w:r>
      <w:bookmarkEnd w:id="17"/>
      <w:r/>
      <w:bookmarkEnd w:id="18"/>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19" w:name="_Toc17378276"/>
      <w:r>
        <w:rPr>
          <w:rFonts w:hint="eastAsia" w:ascii="宋体" w:hAnsi="宋体" w:eastAsia="宋体" w:cs="宋体"/>
          <w:color w:val="auto"/>
          <w:sz w:val="21"/>
          <w:szCs w:val="21"/>
          <w:highlight w:val="none"/>
          <w:lang w:val="en-US" w:eastAsia="zh-CN" w:bidi="ar-SA"/>
        </w:rPr>
        <w:t xml:space="preserve">交通信息与控制指令传输</w:t>
      </w:r>
      <w:bookmarkEnd w:id="19"/>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在区域控制计算机和交通信号机通信正常的情况下，区域控制计算机与交通信号机之间可进行交通信息及控制指令的传输。</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交通信号机可向区域控制计算机上传灯故障、检测器故障、绿冲突、通信超时等信息。</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系统数据与控制接口</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系统按照《公安交通集成指挥平台通信协议 第2部分：交通信号控制系统》提供行业的标准化的通讯接口，满足交通信号控制系统与公安交通集成指挥平台或相关的作战指挥平台及信号控制系统的业务交互，包括可以请求和订阅的实时状态，可以发送的查询、加载、控制命令，以及相关的通讯协议的交互。</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20" w:name="_Toc17378278"/>
      <w:r>
        <w:rPr>
          <w:rFonts w:hint="eastAsia" w:ascii="宋体" w:hAnsi="宋体" w:eastAsia="宋体" w:cs="宋体"/>
          <w:color w:val="auto"/>
          <w:sz w:val="21"/>
          <w:szCs w:val="21"/>
          <w:highlight w:val="none"/>
          <w:lang w:val="en-US" w:eastAsia="zh-CN" w:bidi="ar-SA"/>
        </w:rPr>
        <w:t xml:space="preserve">系统崩溃的紧急预案</w:t>
      </w:r>
      <w:bookmarkEnd w:id="20"/>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系统具有系统崩溃（区域控制计算机发生故障、通信断线等）的紧急预案，一旦出现崩溃系统为确保路口交通正常运行，系统崩溃紧急执行预案单点优化工作方式或单点无电缆工作方式。</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21" w:name="_Toc17378279"/>
      <w:r>
        <w:rPr>
          <w:rFonts w:hint="eastAsia" w:ascii="宋体" w:hAnsi="宋体" w:eastAsia="宋体" w:cs="宋体"/>
          <w:color w:val="auto"/>
          <w:sz w:val="21"/>
          <w:szCs w:val="21"/>
          <w:highlight w:val="none"/>
          <w:lang w:val="en-US" w:eastAsia="zh-CN" w:bidi="ar-SA"/>
        </w:rPr>
        <w:t xml:space="preserve">设备自动检测功能</w:t>
      </w:r>
      <w:bookmarkEnd w:id="21"/>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系统对交通信号控制机具有完备的自动检测功能，实时检测当前硬件工作状态、软件运行状态及通信状态，未联机的情况下可进行本地保存。</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软件自检功能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交通信号参数检测和信号机硬件检测功能。</w:t>
      </w:r>
      <w:r/>
    </w:p>
    <w:p>
      <w:pPr>
        <w:numPr>
          <w:ilvl w:val="2"/>
          <w:numId w:val="0"/>
        </w:numPr>
        <w:ind w:firstLine="422"/>
        <w:keepLines w:val="0"/>
        <w:keepNext w:val="0"/>
        <w:spacing w:before="0" w:after="0" w:line="360" w:lineRule="auto"/>
        <w:rPr>
          <w:rFonts w:ascii="宋体" w:hAnsi="宋体" w:eastAsia="宋体" w:cs="宋体"/>
          <w:b/>
          <w:bCs/>
          <w:color w:val="auto"/>
          <w:sz w:val="21"/>
          <w:szCs w:val="21"/>
          <w:highlight w:val="none"/>
          <w:lang w:val="en-US" w:eastAsia="zh-CN" w:bidi="ar-SA"/>
        </w:rPr>
        <w:outlineLvl w:val="2"/>
      </w:pPr>
      <w:r/>
      <w:bookmarkStart w:id="22" w:name="_Toc66437929"/>
      <w:r>
        <w:rPr>
          <w:rFonts w:hint="eastAsia" w:ascii="宋体" w:hAnsi="宋体" w:eastAsia="宋体" w:cs="宋体"/>
          <w:b/>
          <w:bCs/>
          <w:color w:val="auto"/>
          <w:sz w:val="21"/>
          <w:szCs w:val="21"/>
          <w:highlight w:val="none"/>
          <w:lang w:val="en-US" w:eastAsia="zh-CN" w:bidi="ar-SA"/>
        </w:rPr>
        <w:t xml:space="preserve">1.2.4设备管理</w:t>
      </w:r>
      <w:bookmarkEnd w:id="22"/>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23" w:name="_Toc17378281"/>
      <w:r>
        <w:rPr>
          <w:rFonts w:hint="eastAsia" w:ascii="宋体" w:hAnsi="宋体" w:eastAsia="宋体" w:cs="宋体"/>
          <w:color w:val="auto"/>
          <w:sz w:val="21"/>
          <w:szCs w:val="21"/>
          <w:highlight w:val="none"/>
          <w:lang w:val="en-US" w:eastAsia="zh-CN" w:bidi="ar-SA"/>
        </w:rPr>
        <w:t xml:space="preserve">系统监测功能</w:t>
      </w:r>
      <w:bookmarkEnd w:id="23"/>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系统设备和软件运行状况和故障进行全面监测和管理。以报表的形式清晰地反映系统操作员的操作记录，系统参数的修改记录，系统登录记录，系统故障及处理记录，系统运行方案的历史记录，交通阻塞报警及处理记录。</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24" w:name="_Toc17378282"/>
      <w:r>
        <w:rPr>
          <w:rFonts w:hint="eastAsia" w:ascii="宋体" w:hAnsi="宋体" w:eastAsia="宋体" w:cs="宋体"/>
          <w:color w:val="auto"/>
          <w:sz w:val="21"/>
          <w:szCs w:val="21"/>
          <w:highlight w:val="none"/>
          <w:lang w:val="en-US" w:eastAsia="zh-CN" w:bidi="ar-SA"/>
        </w:rPr>
        <w:t xml:space="preserve">遥设信号机参数</w:t>
      </w:r>
      <w:bookmarkEnd w:id="24"/>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区域机可以调看、修改和设置信号机配时方案、普通、特殊时段以及相位配置等参数。</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25" w:name="_Toc17378283"/>
      <w:r>
        <w:rPr>
          <w:rFonts w:hint="eastAsia" w:ascii="宋体" w:hAnsi="宋体" w:eastAsia="宋体" w:cs="宋体"/>
          <w:color w:val="auto"/>
          <w:sz w:val="21"/>
          <w:szCs w:val="21"/>
          <w:highlight w:val="none"/>
          <w:lang w:val="en-US" w:eastAsia="zh-CN" w:bidi="ar-SA"/>
        </w:rPr>
        <w:t xml:space="preserve">系统对时功能</w:t>
      </w:r>
      <w:bookmarkEnd w:id="25"/>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为了保证信号机在协调控制时保持时间基准绝对一致，可以定时或人工对所控制的信号机进行精确对时，使得整个系统的时间上绝对无误。</w:t>
      </w:r>
      <w:r/>
    </w:p>
    <w:p>
      <w:pPr>
        <w:numPr>
          <w:ilvl w:val="0"/>
          <w:numId w:val="7"/>
        </w:numPr>
        <w:ind w:left="0" w:firstLine="420"/>
        <w:jc w:val="both"/>
        <w:spacing w:line="360" w:lineRule="auto"/>
        <w:widowControl w:val="off"/>
        <w:rPr>
          <w:rFonts w:ascii="宋体" w:hAnsi="宋体" w:eastAsia="宋体" w:cs="宋体"/>
          <w:color w:val="auto"/>
          <w:sz w:val="21"/>
          <w:szCs w:val="21"/>
          <w:highlight w:val="none"/>
          <w:lang w:val="en-US" w:eastAsia="zh-CN" w:bidi="ar-SA"/>
        </w:rPr>
      </w:pPr>
      <w:r/>
      <w:bookmarkStart w:id="26" w:name="_Toc17378284"/>
      <w:r>
        <w:rPr>
          <w:rFonts w:hint="eastAsia" w:ascii="宋体" w:hAnsi="宋体" w:eastAsia="宋体" w:cs="宋体"/>
          <w:color w:val="auto"/>
          <w:sz w:val="21"/>
          <w:szCs w:val="21"/>
          <w:highlight w:val="none"/>
          <w:lang w:val="en-US" w:eastAsia="zh-CN" w:bidi="ar-SA"/>
        </w:rPr>
        <w:t xml:space="preserve">交通属性管理</w:t>
      </w:r>
      <w:bookmarkEnd w:id="26"/>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系统可配置区域属性、子区属性、路口属性、车道属性、相位属性、相序属性、路网属性、路网定位灯交通信号相关属性参数。</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1.3普通单点非联网型交通信号控制机</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（1）信号机必须通过《道路交通信号控制机》（GB 25280-2016）标准进行的检测。基本功能要求：</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护功能。当外界电网波动引起电压、电流过大或信号输出严重短路故障，超出信号机承受能力时，本机自动断开强电，使本身得到保护，而控制线路继续工作，同时，面板上保护指示灯亮，通知用户查明故障原因。</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运行模式。四种运行模式以上，平日、双休、假日、临时等，每种模式下可设置时段不少于十个，每个时段内最多可设置相位不少于八个。具有黄闪和信号灯全部关闭功能。</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数据保存要求。信号机停电后继续自动走时，并可保持设定好的数据在十年以内的时间不丢失。</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在信号灯转换时，可设置绿闪、红闪、红黄同亮三种转换模式。</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面板模拟路口运行，车道及人行道显示，六位LED数码管构成友好人机对话界面。</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具有故障检测功能，可以检测红绿灯故障、是否有绿冲突。系统降级功能，系统遇到故障自动降级为黄闪，如遇紧急情况，可以手动强制运行。</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带有实时倒计时通讯接口，提高倒计时显示的准确性、及时性。</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全金属外壳，防尘、防电磁干扰、耐用、可靠性好。</w:t>
      </w:r>
      <w:r/>
    </w:p>
    <w:p>
      <w:pPr>
        <w:numPr>
          <w:ilvl w:val="0"/>
          <w:numId w:val="8"/>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抗冲击、震动，可经受路面工作环境的冲击、震动。可经受各种交通工具正常运输时所产生的冲击及震动而不影响机器性能。</w:t>
      </w:r>
      <w:r/>
    </w:p>
    <w:p>
      <w:pPr>
        <w:ind w:firstLine="420"/>
        <w:spacing w:line="360" w:lineRule="auto"/>
        <w:tabs>
          <w:tab w:val="left" w:pos="105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（2）电器要求：</w:t>
      </w:r>
      <w:r/>
    </w:p>
    <w:p>
      <w:pPr>
        <w:numPr>
          <w:ilvl w:val="0"/>
          <w:numId w:val="9"/>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电压范围：AC（170V～250）V/50Hz </w:t>
      </w:r>
      <w:r/>
    </w:p>
    <w:p>
      <w:pPr>
        <w:numPr>
          <w:ilvl w:val="0"/>
          <w:numId w:val="9"/>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整机功率（空载）：≤10W </w:t>
      </w:r>
      <w:r/>
    </w:p>
    <w:p>
      <w:pPr>
        <w:numPr>
          <w:ilvl w:val="0"/>
          <w:numId w:val="9"/>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信号输出：32路信号独立输出以上，单路带负载能力≤800W </w:t>
      </w:r>
      <w:r/>
    </w:p>
    <w:p>
      <w:pPr>
        <w:numPr>
          <w:ilvl w:val="0"/>
          <w:numId w:val="9"/>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绝缘强度：20M</w:t>
      </w:r>
      <w:r/>
    </w:p>
    <w:p>
      <w:pPr>
        <w:numPr>
          <w:ilvl w:val="0"/>
          <w:numId w:val="9"/>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工作环境温度：-25℃～+60℃</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2、信号灯杆件要求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）信号灯杆杆体采用Q235优质碳素结构钢制造，材质必须符合GB700-</w:t>
      </w:r>
      <w:r>
        <w:rPr>
          <w:rFonts w:hint="eastAsia" w:ascii="宋体" w:hAnsi="宋体" w:eastAsia="宋体" w:cs="宋体"/>
          <w:color w:val="auto"/>
          <w:sz w:val="21"/>
          <w:szCs w:val="21"/>
          <w:highlight w:val="none"/>
          <w:lang w:val="en-US" w:eastAsia="zh-CN" w:bidi="ar-SA"/>
        </w:rPr>
        <w:t xml:space="preserve">2006</w:t>
      </w:r>
      <w:r>
        <w:rPr>
          <w:rFonts w:hint="eastAsia" w:ascii="宋体" w:hAnsi="宋体" w:eastAsia="宋体" w:cs="宋体"/>
          <w:color w:val="auto"/>
          <w:sz w:val="21"/>
          <w:szCs w:val="21"/>
          <w:highlight w:val="none"/>
          <w:lang w:val="zh-CN" w:eastAsia="zh-CN" w:bidi="ar-SA"/>
        </w:rPr>
        <w:t xml:space="preserve">标准要求；所有杆体截面均应满足设计要求。要防雨水、防潮湿、防强风、尘、防雷电、防腐蚀，安全可靠，寿命长。</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）灯杆为热镀锌钢管，钢管壁厚度不少于8mm，悬臂厚度不少于5mm（带弧度）；</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）各种杆的表面及组件的焊接口为满焊，杆体焊接必须符合国家行业标准，焊体表面无裂纹、气孔、夹渣，焊缝均匀丰满美观。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）安装各部件连接紧密，吊装时不得损坏杆表层。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zh-CN" w:eastAsia="zh-CN" w:bidi="ar-SA"/>
        </w:rPr>
        <w:t xml:space="preserve">）长臂杆的横杆与立杆连接螺栓必须使用符合国际标准，横杆末端承重不少于1OOKG。</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3、信号灯具要求</w: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3.1总体要求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（1）道路交通信号灯采用LED面发光、主流壳体材质为压铸铝合金。利用大功率LED发光管+菲涅尔透镜+配光罩等技术，无颗粒现象，出光面均匀、柔和，实现真正面发光大功率交通信号灯。</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（2）采用大功率LED发光管，一个信号灯单元最多7颗发光管，所用PCB线路板面积小于100cm2。避免产生使用众多发光管而造成的亮度、色度、光衰等一致性控制困难的缺点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（3）相同规格的信号灯，无图案信号灯与有图案信号灯灯盘及电源单元互为通用，以便为信号灯维护提供便利。需恒流限压双重保护。</w: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3.2产品样式及尺寸</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产品样式示意图：（含灯具裙边，根据实际情况确定是否需要安装）</w:t>
      </w:r>
      <w:r/>
    </w:p>
    <w:p>
      <w:pPr>
        <w:ind w:firstLine="216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mc:AlternateContent>
          <mc:Choice Requires="wpg">
            <w:drawing>
              <wp:inline xmlns:wp="http://schemas.openxmlformats.org/drawingml/2006/wordprocessingDrawing" distT="0" distB="0" distL="0" distR="0">
                <wp:extent cx="584835" cy="1626870"/>
                <wp:effectExtent l="0" t="0" r="5715"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16"/>
                        <a:stretch/>
                      </pic:blipFill>
                      <pic:spPr bwMode="auto">
                        <a:xfrm>
                          <a:off x="0" y="0"/>
                          <a:ext cx="584835" cy="1626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0pt;height:128.1pt;mso-wrap-distance-left:0.0pt;mso-wrap-distance-top:0.0pt;mso-wrap-distance-right:0.0pt;mso-wrap-distance-bottom:0.0pt;" stroked="f">
                <v:path textboxrect="0,0,0,0"/>
                <v:imagedata r:id="rId16" o:title=""/>
              </v:shape>
            </w:pict>
          </mc:Fallback>
        </mc:AlternateContent>
      </w:r>
      <w:r>
        <w:rPr>
          <w:rFonts w:ascii="宋体" w:hAnsi="宋体" w:eastAsia="宋体" w:cs="Times New Roman"/>
          <w:color w:val="auto"/>
          <w:szCs w:val="21"/>
          <w:highlight w:val="none"/>
        </w:rPr>
        <mc:AlternateContent>
          <mc:Choice Requires="wpg">
            <w:drawing>
              <wp:inline xmlns:wp="http://schemas.openxmlformats.org/drawingml/2006/wordprocessingDrawing" distT="0" distB="0" distL="0" distR="0">
                <wp:extent cx="595630" cy="1638300"/>
                <wp:effectExtent l="0" t="0" r="1397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17"/>
                        <a:stretch/>
                      </pic:blipFill>
                      <pic:spPr bwMode="auto">
                        <a:xfrm>
                          <a:off x="0" y="0"/>
                          <a:ext cx="595630" cy="1638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9pt;height:129.0pt;mso-wrap-distance-left:0.0pt;mso-wrap-distance-top:0.0pt;mso-wrap-distance-right:0.0pt;mso-wrap-distance-bottom:0.0pt;" stroked="f">
                <v:path textboxrect="0,0,0,0"/>
                <v:imagedata r:id="rId17" o:title=""/>
              </v:shape>
            </w:pict>
          </mc:Fallback>
        </mc:AlternateContent>
      </w:r>
      <w:r>
        <w:rPr>
          <w:rFonts w:ascii="宋体" w:hAnsi="宋体" w:eastAsia="宋体" w:cs="Times New Roman"/>
          <w:color w:val="auto"/>
          <w:szCs w:val="21"/>
          <w:highlight w:val="none"/>
        </w:rPr>
        <mc:AlternateContent>
          <mc:Choice Requires="wpg">
            <w:drawing>
              <wp:inline xmlns:wp="http://schemas.openxmlformats.org/drawingml/2006/wordprocessingDrawing" distT="0" distB="0" distL="0" distR="0">
                <wp:extent cx="1084580" cy="1553210"/>
                <wp:effectExtent l="0" t="0" r="1270" b="889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18"/>
                        <a:stretch/>
                      </pic:blipFill>
                      <pic:spPr bwMode="auto">
                        <a:xfrm>
                          <a:off x="0" y="0"/>
                          <a:ext cx="1084580"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4pt;height:122.3pt;mso-wrap-distance-left:0.0pt;mso-wrap-distance-top:0.0pt;mso-wrap-distance-right:0.0pt;mso-wrap-distance-bottom:0.0pt;" stroked="f">
                <v:path textboxrect="0,0,0,0"/>
                <v:imagedata r:id="rId18" o:title=""/>
              </v:shape>
            </w:pict>
          </mc:Fallback>
        </mc:AlternateContent>
      </w:r>
      <w:r/>
    </w:p>
    <w:p>
      <w:pPr>
        <w:ind w:firstLine="20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mc:AlternateContent>
          <mc:Choice Requires="wpg">
            <w:drawing>
              <wp:inline xmlns:wp="http://schemas.openxmlformats.org/drawingml/2006/wordprocessingDrawing" distT="0" distB="0" distL="0" distR="0">
                <wp:extent cx="3101340" cy="2358390"/>
                <wp:effectExtent l="0" t="0" r="3810" b="381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r:embed="rId19"/>
                        <a:stretch/>
                      </pic:blipFill>
                      <pic:spPr bwMode="auto">
                        <a:xfrm>
                          <a:off x="0" y="0"/>
                          <a:ext cx="3101339" cy="2358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4.2pt;height:185.7pt;mso-wrap-distance-left:0.0pt;mso-wrap-distance-top:0.0pt;mso-wrap-distance-right:0.0pt;mso-wrap-distance-bottom:0.0pt;" stroked="f">
                <v:path textboxrect="0,0,0,0"/>
                <v:imagedata r:id="rId19" o:title=""/>
              </v:shape>
            </w:pict>
          </mc:Fallback>
        </mc:AlternateConten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（一）机动车满屏信号灯（Φ400mm和Φ300mm）、方向指示信号灯（Φ400mm和Φ300mm）</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行人信号灯（Φ300mm） </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1）机动车满屏信号灯符合 GB14887-2011《道路交通信号灯》 GB16796-2022《安全防范报警设备安全要求和试验方法》 的各项规定。</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动车信号灯、方向指示信号灯每组由红、黄、绿三个几何位置分立单元组成，同一方向红、黄、绿三色方向指示信号灯应为三个几何位置分离单元。行人信号灯每组由红、绿两个几何位置分立单元组成，显示画面：红行人/绿行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3）灯体外壳采用铝镁合金材料压铸成型，经喷塑黑处理，外壳、前盖、遮沿、色片及密封圈表面平滑，无缺料、无开裂、无银丝、无明显变型和毛刺等缺陷。</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4）信号灯发光单元在信号灯壳体上的安装孔直径、出光面直径应符合国标GB14887-2011要求。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5）采用双重密封，首先应将组成信号灯单元的电气部件通过托盘及色片密封成独立单元，再将其安装在信号灯盖板内部，壳体的轻微破损不影响信号灯的整体防护等级。</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6）灯体材质应采用铝合金压铸灯箱，与信号灯杆连接固定的安装支架采用 热镀锌钢结构件，其灯壳颜色宜采用黑色。</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7）发光单元采用无色有配光设计透光面，其中方向指示灯、行人信号灯等带图案信号灯其显示图案通过在满屏灯图案基础上遮蔽不需要发光的部分获得。</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8）采用国际知名品牌LED发光管。 </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9）信号灯红、黄、绿单元各采用不少于7颗大功率LED发光管。</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10）发光波长：红色620±5nm，黄色590±5nm，绿色505±nm。</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11）单管中心光强（350mA）：红色大于等于19cd，黄色30cd，绿色27cd。</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12）无图案信号灯单元基准轴发光强度不小于600CD，有图案信号灯单元中心亮度不小于500cd/m</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13）可定制调光功能，信号灯投入使用 1年以后，信号灯发光单元基准轴上的发光强度（亮度）不低于规定值的80%。</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14）信号灯电源：90～220VAC，50HZ。</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15）额定功率：Φ400mm机动车信号灯单元小于20W，Φ300机动车信号灯单元小于15W。</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16）功率因素：大于85%。</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17）启动瞬间电流小于2A。</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18）启动/关闭响应时间小于0.1S。</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19）采用智能信号灯电源，具备脉冲屏蔽功能，当信号灯出现配合后程倒计时工作的脉冲时保持信号灯正常显示。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20）绝缘电阻：大于2MΩ。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21）工作温度：-40～80℃。</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rPr>
          <w:rFonts w:hint="eastAsia"/>
          <w:color w:val="auto"/>
          <w:sz w:val="21"/>
          <w:highlight w:val="none"/>
        </w:rPr>
        <w:t xml:space="preserve">★</w:t>
      </w:r>
      <w:r>
        <w:rPr>
          <w:rFonts w:hint="eastAsia" w:ascii="宋体" w:hAnsi="宋体" w:cs="宋体"/>
          <w:color w:val="auto"/>
          <w:sz w:val="21"/>
          <w:szCs w:val="21"/>
          <w:highlight w:val="none"/>
        </w:rPr>
        <w:t xml:space="preserve">防护等级：IP55。</w:t>
      </w:r>
      <w:r/>
    </w:p>
    <w:p>
      <w:pPr>
        <w:ind w:firstLine="420"/>
        <w:spacing w:line="360" w:lineRule="auto"/>
        <w:rPr>
          <w:color w:val="auto"/>
          <w:sz w:val="21"/>
          <w:highlight w:val="none"/>
        </w:rPr>
      </w:pPr>
      <w:r>
        <w:rPr>
          <w:rFonts w:hint="eastAsia"/>
          <w:color w:val="auto"/>
          <w:sz w:val="21"/>
          <w:highlight w:val="none"/>
        </w:rPr>
        <w:t xml:space="preserve">2</w:t>
      </w:r>
      <w:r>
        <w:rPr>
          <w:rFonts w:hint="eastAsia"/>
          <w:color w:val="auto"/>
          <w:sz w:val="21"/>
          <w:highlight w:val="none"/>
          <w:lang w:val="en-US" w:eastAsia="zh-CN"/>
        </w:rPr>
        <w:t xml:space="preserve">3</w:t>
      </w:r>
      <w:r>
        <w:rPr>
          <w:rFonts w:hint="eastAsia"/>
          <w:color w:val="auto"/>
          <w:sz w:val="21"/>
          <w:highlight w:val="none"/>
        </w:rPr>
        <w:t xml:space="preserve">）★亮度配置功能：支持通过上位机进行信号灯的亮度设置，可分级100级。</w:t>
      </w:r>
      <w:r/>
    </w:p>
    <w:p>
      <w:pPr>
        <w:ind w:firstLine="420"/>
        <w:spacing w:line="360" w:lineRule="auto"/>
        <w:rPr>
          <w:color w:val="auto"/>
          <w:sz w:val="21"/>
          <w:highlight w:val="none"/>
        </w:rPr>
      </w:pPr>
      <w:r>
        <w:rPr>
          <w:rFonts w:hint="eastAsia"/>
          <w:color w:val="auto"/>
          <w:sz w:val="21"/>
          <w:highlight w:val="none"/>
        </w:rPr>
        <w:t xml:space="preserve">2</w:t>
      </w:r>
      <w:r>
        <w:rPr>
          <w:rFonts w:hint="eastAsia"/>
          <w:color w:val="auto"/>
          <w:sz w:val="21"/>
          <w:highlight w:val="none"/>
          <w:lang w:val="en-US" w:eastAsia="zh-CN"/>
        </w:rPr>
        <w:t xml:space="preserve">4</w:t>
      </w:r>
      <w:r>
        <w:rPr>
          <w:rFonts w:hint="eastAsia"/>
          <w:color w:val="auto"/>
          <w:sz w:val="21"/>
          <w:highlight w:val="none"/>
        </w:rPr>
        <w:t xml:space="preserve">）★故障监测功能检查： 当信号灯出现常亮故障(常红、常绿、常黄)、红绿同亮、灭灯故障、电流低于预警阈值等故障信息，信号灯降级处理并上报故障信息，响应时间在1s内。</w:t>
      </w:r>
      <w:r/>
    </w:p>
    <w:p>
      <w:pPr>
        <w:ind w:firstLine="420"/>
        <w:spacing w:line="360" w:lineRule="auto"/>
        <w:rPr>
          <w:color w:val="auto"/>
          <w:sz w:val="21"/>
          <w:highlight w:val="none"/>
        </w:rPr>
      </w:pPr>
      <w:r>
        <w:rPr>
          <w:rFonts w:hint="eastAsia"/>
          <w:color w:val="auto"/>
          <w:sz w:val="21"/>
          <w:highlight w:val="none"/>
        </w:rPr>
        <w:t xml:space="preserve">2</w:t>
      </w:r>
      <w:r>
        <w:rPr>
          <w:rFonts w:hint="eastAsia"/>
          <w:color w:val="auto"/>
          <w:sz w:val="21"/>
          <w:highlight w:val="none"/>
          <w:lang w:val="en-US" w:eastAsia="zh-CN"/>
        </w:rPr>
        <w:t xml:space="preserve">5</w:t>
      </w:r>
      <w:r>
        <w:rPr>
          <w:rFonts w:hint="eastAsia"/>
          <w:color w:val="auto"/>
          <w:highlight w:val="none"/>
        </w:rPr>
        <w:t xml:space="preserve">）</w:t>
      </w:r>
      <w:r>
        <w:rPr>
          <w:rFonts w:hint="eastAsia"/>
          <w:color w:val="auto"/>
          <w:sz w:val="21"/>
          <w:highlight w:val="none"/>
        </w:rPr>
        <w:t xml:space="preserve">★失效检测功能检查：当发光单元上有失效发光二极管(LED)时，信号灯应能自动熄灭该发光单元上所有的发光二极管(LED)，并且在1s内上报故障信息。</w:t>
      </w:r>
      <w:r/>
    </w:p>
    <w:p>
      <w:pPr>
        <w:pStyle w:val="959"/>
        <w:ind w:firstLine="375"/>
        <w:spacing w:line="360" w:lineRule="auto"/>
        <w:rPr>
          <w:color w:val="auto"/>
          <w:highlight w:val="none"/>
        </w:rPr>
      </w:pPr>
      <w:r>
        <w:rPr>
          <w:rFonts w:hint="eastAsia"/>
          <w:color w:val="auto"/>
          <w:highlight w:val="none"/>
        </w:rPr>
        <w:t xml:space="preserve">2</w:t>
      </w:r>
      <w:r>
        <w:rPr>
          <w:rFonts w:hint="eastAsia"/>
          <w:color w:val="auto"/>
          <w:highlight w:val="none"/>
          <w:lang w:val="en-US" w:eastAsia="zh-CN"/>
        </w:rPr>
        <w:t xml:space="preserve">6</w:t>
      </w:r>
      <w:r>
        <w:rPr>
          <w:rFonts w:hint="eastAsia"/>
          <w:color w:val="auto"/>
          <w:highlight w:val="none"/>
        </w:rPr>
        <w:t xml:space="preserve">）★控制方式：信号灯支持直接点亮和通讯控制点亮两种方式，并且可自由切换控制方式。</w:t>
      </w:r>
      <w:r/>
    </w:p>
    <w:p>
      <w:pPr>
        <w:ind w:firstLine="420"/>
        <w:spacing w:line="360" w:lineRule="auto"/>
        <w:rPr>
          <w:rFonts w:hint="eastAsia" w:ascii="宋体" w:hAnsi="宋体" w:eastAsia="宋体" w:cs="宋体"/>
          <w:color w:val="auto"/>
          <w:sz w:val="21"/>
          <w:szCs w:val="21"/>
          <w:highlight w:val="none"/>
        </w:rPr>
      </w:pPr>
      <w:r>
        <w:rPr>
          <w:rFonts w:hint="eastAsia"/>
          <w:color w:val="auto"/>
          <w:sz w:val="21"/>
          <w:highlight w:val="none"/>
        </w:rPr>
        <w:t xml:space="preserve">2</w:t>
      </w:r>
      <w:r>
        <w:rPr>
          <w:rFonts w:hint="eastAsia"/>
          <w:color w:val="auto"/>
          <w:sz w:val="21"/>
          <w:highlight w:val="none"/>
          <w:lang w:val="en-US" w:eastAsia="zh-CN"/>
        </w:rPr>
        <w:t xml:space="preserve">7</w:t>
      </w:r>
      <w:r>
        <w:rPr>
          <w:rFonts w:hint="eastAsia"/>
          <w:color w:val="auto"/>
          <w:sz w:val="21"/>
          <w:highlight w:val="none"/>
        </w:rPr>
        <w:t xml:space="preserve">）★脉冲配置功能：支持通过上位机修改闪灭脉冲宽度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）人行横道复合（带倒计时）信号灯要求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a、安装及外观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横道信号灯（RX300-3/12W）采用LED勾勒静态图案，发光单元透面光尺寸为Ф300，统一在人行横道信号灯红灯单元内安装内嵌式黄色两位“倒计时”装置；信号灯上联为红色站立人形图案与黄色88“倒计时”复合，下联为绿色行走人形图案(图案不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人行横道信号灯外壳采用聚酸碳脂工程塑料，黑色亚光喷塑防护，遮光防护罩，光学性能符合GB14887-2011。</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b、显示方式</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绿灯闪烁时显示“倒计时”，红灯不显示“倒计时”；“倒计时”显示时间范围0-99，“倒计时”结束时显示数字为</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4、按钮式信号灯功能要求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有人需要通过路口时，行人按下灯杆上的按钮。则机动车绿灯闪烁，然后黄灯亮，接着机动车红灯亮，行人绿灯亮。行人通行时间(PGH)可设定。当行人通行时间结束，行人绿灯闪烁，然后行人红灯亮，机动车绿灯亮。</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）当上一轮行人通行刚结束时，有一段按钮失效时间(nob)。若在此时间段内有人按下按钮，信号灯不变化。</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）杆件式样与人民路华旭广场门前一致。</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）行人通行时间(PGH)：5~50秒。</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zh-CN" w:eastAsia="zh-CN" w:bidi="ar-SA"/>
        </w:rPr>
        <w:t xml:space="preserve">）按钮失效时间(nob)：30~300秒。</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5、信号机机柜</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采用优质不锈钢或钢板，并经过防尘、防锈及喷塑处理。具有防尘、防锈、防盗和易于维护的功能。信号机内部的印制电路板材料及部件进行防潮、防腐、防烟雾处理，机箱内部具有设备升级使用的专用空间。</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6、移动信号灯</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（1）两相位灯面为Φ200mm，四相位灯面为Φ300mm，单灯功率小于5W；</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（2）灯色、光强：红黄绿，&gt;200cd；</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（3）移动车体功能：可锁定，脚撑展开最大距离大于0.9m，车体可手摇升降，最高高度不得小于 2.2m；</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（4）蓄电池：免维护电池，不得低于12V100Ah ；</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（5）交流充电功能：配交流充电器，与车体内蓄电池可靠连接，充电时间8-10h；</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（6）无太阳连续工作时间(h)：&gt; 300h</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（7）工作环境温度：-40ºC ~ +70 ºC</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（8）外壳防护等级：IP54</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（9）控制方式：每个相位可设置最大时间为不得低于90秒，可手动控制；</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（10）正常工作寿命和保修：正常工作寿命不小于5年，免费保修不小于3年；</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其它要求：模块化结构，各个部件电器由防水快换接头连接，方便维护更换。蓄电池可以方便地装卸，整套设备二人可以搬运装车。对于不平整地面可以调节支撑。</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（11）多时段控制功能。</w:t>
      </w:r>
      <w:r>
        <w:rPr>
          <w:rFonts w:hint="eastAsia" w:ascii="宋体" w:hAnsi="宋体" w:eastAsia="宋体" w:cs="宋体"/>
          <w:color w:val="auto"/>
          <w:sz w:val="21"/>
          <w:szCs w:val="21"/>
          <w:highlight w:val="none"/>
          <w:lang w:val="zh-CN" w:eastAsia="zh-CN" w:bidi="ar-SA"/>
        </w:rPr>
        <w:t xml:space="preserve">可根据交叉口的交通状况，将每天划分为多个不同的时段，每个时段配置不同的控制方案。信号机能够根据内置时钟选择各个时段的控制方案，实现交叉口的合理控制，以减少不必要的绿灯损失。</w:t>
      </w:r>
      <w:r/>
    </w:p>
    <w:p>
      <w:pPr>
        <w:ind w:firstLine="422"/>
        <w:spacing w:line="360" w:lineRule="auto"/>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（12）具有遥控装置，可以实现路口遥控切换相位功能。</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7、信号灯倒计时</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倒计时设备功能及技术需求：</w:t>
      </w:r>
      <w:r/>
    </w:p>
    <w:p>
      <w:pPr>
        <w:ind w:firstLine="422"/>
        <w:spacing w:line="360" w:lineRule="auto"/>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zh-CN" w:eastAsia="zh-CN" w:bidi="ar-SA"/>
        </w:rPr>
        <w:t xml:space="preserve">）产品标准：符合GAT508-2014和国际有关标准。外壳采用压铸铝材质，防尘、防水，使用寿命超过10年；显示双字，单个字显示尺寸：1)、适用Φ300的信号灯面罩尺寸:数字间距≥50毫米，字宽250~300毫米，字高450~550毫米，笔画宽度30~80毫米；2）、适用Φ400的信号灯面罩尺寸:数字间距≥150毫米，字宽400~450毫米，字高750~850毫米，笔画宽度50~100毫米。</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）性能指标：</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A、光源指标：采用四元素超高亮度发光二极管（LED），单点发光亮度：红色LED＞3500mcd，黄色LED＞3500mcd，绿色LED＞8000mcd，发光视角≥30度， LED灯珠使用寿命≥10万小时。倒计时器显示光强≥5000cd/㎡；波长：红625±5nm，波长：黄590±5nm，绿505±5nm；可视角度：≥30度；</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B、外壳防护等级：≥IP55；工作温度：－40℃～+80℃；湿热性能：温度为40℃时，空气相对湿度≤95%，绝缘电阻：≥500MΩ；抗风压：145km/h ； </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C、电气指标：输入电压为AC220V±20%，频率50HZ±3HZ，采用信号取电（无需单独拉电源供电线）电源部分应设有防雷装置和电源滤波器件；能支持9路信号输入（3相位输入）；倒计时器带电部件和箱体之间的绝缘电阻不小于500MΩ，泄流电流不超过1.0MA，整机最大功耗小于25W；需具有独立时钟看门狗电路和硬件的抗干扰措施，倒计时器运行稳定可靠；</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工作方式要求：具有学习方式（跟随方式），通讯方式，触发方式，同时具有学习（跟随），通讯，触发三种兼容工作方式；显示：数码显示倒计时以标准7段码制模式、人行过街控制模式、中心联机模式、主从机控制模式等全部信号机可能使用的工作模式。计时精度：误差小于0.2秒。</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）可维护性:产品需采用模块化设计；电路模块（电源、主控电路、驱动电路、防雷电路）采用插拨方式连接便于维护。</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8、微波检测器</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8.1产品要求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检测覆盖区域内的交通目标全程跟踪检测，并实时显示目标坐标和仿真当前路况,可识别跟踪最大256个目标（车辆）；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正向安装，安装维护时不需要破坏路面；检测双向8条车道，纵向检测距离250米，无差别支持各种弯曲、倾斜、分叉等异型车道；</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检测覆盖区域内的交通目标分类，可区分为大型汽车，中型汽车、小型汽车、非机动车、行人；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检测覆盖区域内的车流量、单车车速、平均车速、车道时间和空间占有率、车辆排队长度、车辆排队数、车辆存在性、车头时距和车间时距等参数，支持分区域、多断面；</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检测覆盖区域内的各车道评价指标，包括最大排队长度、平均停车次数、平均延误时间、平均一次通过率、平均行程距离、平距行程时间、车间距方差等参数。</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检测覆盖区域内的异常交通事件检测及报警，包括拥堵、变道、违停、逆行、超速、占用应急车道、未保持安全车距、溢出等；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支持每车道自定义多达16组虚拟线圈，线圈大小和位置软件可调，实时输出车辆存在信息，无缝升级替换现有线圈或地磁检测器；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支持RS485/LAN/ Wi-Fi接口，支持TCP/IP协议，支持无线传输，支持输出电平或开关量信号；统计周期1~3600秒可调</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全天时全天候工作，不受光照、灰尘和风雨雾雪霾等自然条件影响。</w: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8.2产品性能</w:t>
      </w:r>
      <w:r/>
    </w:p>
    <w:p>
      <w:pPr>
        <w:numPr>
          <w:ilvl w:val="0"/>
          <w:numId w:val="10"/>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车辆存在性检测精度：95%</w:t>
      </w:r>
      <w:r/>
    </w:p>
    <w:p>
      <w:pPr>
        <w:numPr>
          <w:ilvl w:val="0"/>
          <w:numId w:val="10"/>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速度测量精度：±2km/h</w:t>
      </w:r>
      <w:r/>
    </w:p>
    <w:p>
      <w:pPr>
        <w:numPr>
          <w:ilvl w:val="0"/>
          <w:numId w:val="10"/>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平均速度精度：≥95%</w:t>
      </w:r>
      <w:r/>
    </w:p>
    <w:p>
      <w:pPr>
        <w:numPr>
          <w:ilvl w:val="0"/>
          <w:numId w:val="10"/>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单车道流量精度：95%</w:t>
      </w:r>
      <w:r/>
    </w:p>
    <w:p>
      <w:pPr>
        <w:numPr>
          <w:ilvl w:val="0"/>
          <w:numId w:val="10"/>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车辆排队长度精度：±5米（&gt;95%）</w:t>
      </w:r>
      <w:r/>
    </w:p>
    <w:p>
      <w:pPr>
        <w:numPr>
          <w:ilvl w:val="0"/>
          <w:numId w:val="10"/>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速度检测区间：0-250km/h</w: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8.3产品技术指标</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安装方式：正装或斜侧装</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安装高度：3m～10m</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检测区域：沿车辆行驶方向最远距离：&gt;250m</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垂直于车辆行驶方向有效检测距离（检测车道）：双向8车道</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可识别跟踪最大256个目标（车辆）</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中心频率：24.15GHz ±50MHz</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占用带宽：≤250MHz</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发射功率（EIRP）：≤20mW</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通信接口：RS485/LAN/Wi-Fi，波特率9600bps~256000bps可调</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支持TCP/IP协议，支持无线传输</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内置存储：支持断网续传，至少可存储180天基本数据</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温度范围：-40℃～85℃</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湿度范围：0-95%RH</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整机连续工作能力：&gt;90000h</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供电方式：DC 12~24V</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实际功耗：≤24W</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机械性能：产品采用复合材料外壳，符合NEMA4X和IP67标准，</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配有通用固定支架可在三个轴向角度可调</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尺寸：225mm(长)×88mm(宽)×180mm(高)</w:t>
      </w:r>
      <w:r/>
    </w:p>
    <w:p>
      <w:pPr>
        <w:numPr>
          <w:ilvl w:val="2"/>
          <w:numId w:val="11"/>
        </w:numPr>
        <w:ind w:left="0"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重量：1.5kg</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9、视频车辆检测器</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9.1技术要求</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摄像头组件和AI处理模块一体化设计，结构简单，性能稳定便于安装；</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结合AI技术进行交通目标检测、识别，突破传统的视频车辆检测器范畴，有效提升目标检测精度和稳定性；</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采用嵌入式处理器，体积小，功耗低，可靠性高；</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可检测、跟踪和识别各型机动车、非机动车和行人等目标；</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可检测车流量、车道占有率、平均车速、车头时距、车身间距，排队长度等交通统计信息；</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可检测拥堵、逆行、行人闯入、违规停车等交通事件；</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可输出叠加检测信息的RTSP视频流；</w:t>
      </w:r>
      <w:r/>
    </w:p>
    <w:p>
      <w:pPr>
        <w:numPr>
          <w:ilvl w:val="0"/>
          <w:numId w:val="12"/>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支持通信协议定制。</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9.2设备</w:t>
      </w:r>
      <w:r>
        <w:rPr>
          <w:rFonts w:hint="eastAsia" w:ascii="宋体" w:hAnsi="宋体" w:eastAsia="宋体" w:cs="宋体"/>
          <w:b/>
          <w:color w:val="auto"/>
          <w:sz w:val="21"/>
          <w:szCs w:val="21"/>
          <w:highlight w:val="none"/>
          <w:lang w:val="zh-CN" w:eastAsia="zh-CN" w:bidi="ar-SA"/>
        </w:rPr>
        <w:t xml:space="preserve">功能</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27" w:name="_Toc67566099"/>
      <w:r/>
      <w:bookmarkStart w:id="28" w:name="_Toc13600"/>
      <w:r>
        <w:rPr>
          <w:rFonts w:hint="eastAsia" w:ascii="宋体" w:hAnsi="宋体" w:eastAsia="宋体" w:cs="宋体"/>
          <w:b/>
          <w:bCs w:val="0"/>
          <w:color w:val="auto"/>
          <w:sz w:val="21"/>
          <w:szCs w:val="21"/>
          <w:highlight w:val="none"/>
          <w:lang w:val="en-US" w:eastAsia="zh-CN" w:bidi="ar-SA"/>
        </w:rPr>
        <w:t xml:space="preserve">（1）车辆信息检测</w:t>
      </w:r>
      <w:bookmarkEnd w:id="27"/>
      <w:r/>
      <w:bookmarkEnd w:id="28"/>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具备交通目标运行轨迹跟踪和识别功能，车辆在运动状态下，对车辆的二维坐标位置、车辆速度、车辆航向角，车辆长度、车辆跟踪运动轨迹、车辆类型（含行人、非机动车）等信息进行检测输出。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不低于800万像素，视频检测车道数同向3-4车道，可通过软件在每个车道上设置4个检测断面（含正向车道和反向车道），可根据要求设置各监测断面的位置和大小，并能输出断面压占状态。</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29" w:name="_Toc12317"/>
      <w:r/>
      <w:bookmarkStart w:id="30" w:name="_Toc67566100"/>
      <w:r>
        <w:rPr>
          <w:rFonts w:hint="eastAsia" w:ascii="宋体" w:hAnsi="宋体" w:eastAsia="宋体" w:cs="宋体"/>
          <w:b/>
          <w:bCs w:val="0"/>
          <w:color w:val="auto"/>
          <w:sz w:val="21"/>
          <w:szCs w:val="21"/>
          <w:highlight w:val="none"/>
          <w:lang w:val="en-US" w:eastAsia="zh-CN" w:bidi="ar-SA"/>
        </w:rPr>
        <w:t xml:space="preserve">（2）交通参数统计</w:t>
      </w:r>
      <w:bookmarkEnd w:id="29"/>
      <w:r/>
      <w:bookmarkEnd w:id="30"/>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具备交通参数统计功能，可统计车流量、车道占有率、平均车速、平均车头时距、平均车头间距等交通参数，并输出。</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可通过软件设置数据统计周期，设置周期范围为1-3600s。</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31" w:name="_Toc67566101"/>
      <w:r/>
      <w:bookmarkStart w:id="32" w:name="_Toc25482"/>
      <w:r>
        <w:rPr>
          <w:rFonts w:hint="eastAsia" w:ascii="宋体" w:hAnsi="宋体" w:eastAsia="宋体" w:cs="宋体"/>
          <w:b/>
          <w:bCs w:val="0"/>
          <w:color w:val="auto"/>
          <w:sz w:val="21"/>
          <w:szCs w:val="21"/>
          <w:highlight w:val="none"/>
          <w:lang w:val="en-US" w:eastAsia="zh-CN" w:bidi="ar-SA"/>
        </w:rPr>
        <w:t xml:space="preserve">（3）交通状态分析</w:t>
      </w:r>
      <w:bookmarkEnd w:id="31"/>
      <w:r/>
      <w:bookmarkEnd w:id="32"/>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支持排队长度检测功能。</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支持对检测区域内区域状态进行分析，包括畅通、缓行以及拥堵，并输出状态。</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可分析各车道的通行评价指标，包括最大排队长度、平均停车次数以及平均延误时间等信息。</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33" w:name="_Toc30986"/>
      <w:r/>
      <w:bookmarkStart w:id="34" w:name="_Toc67566102"/>
      <w:r>
        <w:rPr>
          <w:rFonts w:hint="eastAsia" w:ascii="宋体" w:hAnsi="宋体" w:eastAsia="宋体" w:cs="宋体"/>
          <w:b/>
          <w:bCs w:val="0"/>
          <w:color w:val="auto"/>
          <w:sz w:val="21"/>
          <w:szCs w:val="21"/>
          <w:highlight w:val="none"/>
          <w:lang w:val="en-US" w:eastAsia="zh-CN" w:bidi="ar-SA"/>
        </w:rPr>
        <w:t xml:space="preserve">（4）交通事件分析</w:t>
      </w:r>
      <w:bookmarkEnd w:id="33"/>
      <w:r/>
      <w:bookmarkEnd w:id="34"/>
      <w:r/>
      <w:r/>
    </w:p>
    <w:p>
      <w:pPr>
        <w:ind w:firstLine="420"/>
        <w:spacing w:line="360" w:lineRule="auto"/>
        <w:rPr>
          <w:rFonts w:ascii="宋体" w:hAnsi="宋体" w:eastAsia="宋体" w:cs="宋体"/>
          <w:color w:val="auto"/>
          <w:sz w:val="21"/>
          <w:szCs w:val="21"/>
          <w:highlight w:val="none"/>
        </w:rPr>
      </w:pPr>
      <w:r/>
      <w:bookmarkStart w:id="35" w:name="_Toc53411629"/>
      <w:r>
        <w:rPr>
          <w:rFonts w:hint="eastAsia" w:ascii="宋体" w:hAnsi="宋体" w:eastAsia="宋体" w:cs="宋体"/>
          <w:color w:val="auto"/>
          <w:sz w:val="21"/>
          <w:szCs w:val="21"/>
          <w:highlight w:val="none"/>
        </w:rPr>
        <w:t xml:space="preserve">具备交通交通事件分析功能，可分析拥堵、逆行、行人闯入、违规停车等，并可输出报警信息。</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36" w:name="_Toc4703"/>
      <w:r/>
      <w:bookmarkStart w:id="37" w:name="_Toc67566103"/>
      <w:r>
        <w:rPr>
          <w:rFonts w:hint="eastAsia" w:ascii="宋体" w:hAnsi="宋体" w:eastAsia="宋体" w:cs="宋体"/>
          <w:b/>
          <w:bCs w:val="0"/>
          <w:color w:val="auto"/>
          <w:sz w:val="21"/>
          <w:szCs w:val="21"/>
          <w:highlight w:val="none"/>
          <w:lang w:val="en-US" w:eastAsia="zh-CN" w:bidi="ar-SA"/>
        </w:rPr>
        <w:t xml:space="preserve">（5）视频输出</w:t>
      </w:r>
      <w:bookmarkEnd w:id="36"/>
      <w:r/>
      <w:bookmarkEnd w:id="37"/>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支持rtsp视频流输出，实时监控道路实况信息。</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38" w:name="_Toc67566104"/>
      <w:r/>
      <w:bookmarkStart w:id="39" w:name="_Toc15693"/>
      <w:r>
        <w:rPr>
          <w:rFonts w:hint="eastAsia" w:ascii="宋体" w:hAnsi="宋体" w:eastAsia="宋体" w:cs="宋体"/>
          <w:b/>
          <w:bCs w:val="0"/>
          <w:color w:val="auto"/>
          <w:sz w:val="21"/>
          <w:szCs w:val="21"/>
          <w:highlight w:val="none"/>
          <w:lang w:val="en-US" w:eastAsia="zh-CN" w:bidi="ar-SA"/>
        </w:rPr>
        <w:t xml:space="preserve">（6）系统扩展</w:t>
      </w:r>
      <w:bookmarkEnd w:id="38"/>
      <w:r/>
      <w:bookmarkEnd w:id="39"/>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支持系统进行多传感器级联目标融合。</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支持与信号机对接，为信号机提供交通数据。</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40" w:name="_Toc2670"/>
      <w:r/>
      <w:bookmarkStart w:id="41" w:name="_Toc67566105"/>
      <w:r>
        <w:rPr>
          <w:rFonts w:hint="eastAsia" w:ascii="宋体" w:hAnsi="宋体" w:eastAsia="宋体" w:cs="宋体"/>
          <w:b/>
          <w:bCs w:val="0"/>
          <w:color w:val="auto"/>
          <w:sz w:val="21"/>
          <w:szCs w:val="21"/>
          <w:highlight w:val="none"/>
          <w:lang w:val="en-US" w:eastAsia="zh-CN" w:bidi="ar-SA"/>
        </w:rPr>
        <w:t xml:space="preserve">（7）网络授时</w:t>
      </w:r>
      <w:bookmarkEnd w:id="35"/>
      <w:r/>
      <w:bookmarkEnd w:id="40"/>
      <w:r/>
      <w:bookmarkEnd w:id="41"/>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具备NTP网络授时功能，授时精度达到ms级。</w:t>
      </w:r>
      <w:r/>
    </w:p>
    <w:p>
      <w:pPr>
        <w:numPr>
          <w:ilvl w:val="1"/>
          <w:numId w:val="0"/>
        </w:numPr>
        <w:ind w:firstLine="422"/>
        <w:keepLines/>
        <w:keepNext/>
        <w:spacing w:before="0" w:after="0" w:line="360" w:lineRule="auto"/>
        <w:rPr>
          <w:rFonts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9.3设备性能</w:t>
      </w:r>
      <w:r>
        <w:rPr>
          <w:rFonts w:hint="eastAsia" w:ascii="宋体" w:hAnsi="宋体" w:eastAsia="宋体" w:cs="宋体"/>
          <w:b/>
          <w:bCs w:val="0"/>
          <w:color w:val="auto"/>
          <w:sz w:val="21"/>
          <w:szCs w:val="21"/>
          <w:highlight w:val="none"/>
          <w:lang w:val="en-US" w:eastAsia="zh-CN" w:bidi="ar-SA"/>
        </w:rPr>
        <w:t xml:space="preserve">参数</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42" w:name="_Toc67566110"/>
      <w:r/>
      <w:bookmarkStart w:id="43" w:name="_Toc27227"/>
      <w:r>
        <w:rPr>
          <w:rFonts w:hint="eastAsia" w:ascii="宋体" w:hAnsi="宋体" w:eastAsia="宋体" w:cs="宋体"/>
          <w:b/>
          <w:bCs w:val="0"/>
          <w:color w:val="auto"/>
          <w:sz w:val="21"/>
          <w:szCs w:val="21"/>
          <w:highlight w:val="none"/>
          <w:lang w:val="en-US" w:eastAsia="zh-CN" w:bidi="ar-SA"/>
        </w:rPr>
        <w:t xml:space="preserve">（1）传感器指标</w:t>
      </w:r>
      <w:bookmarkEnd w:id="42"/>
      <w:r/>
      <w:bookmarkEnd w:id="43"/>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EFL：8mm/12mm；</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分辨率：1920×1080（VT-200），3840×2160（VT-800）；</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输出帧率：1920×1080@30fps，3840×2160@25fps； </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视场范围：41.2°×23.62°（8mm镜头），26.2°×14.80°（12mm镜头）；</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日夜切换：IR-Cut 自动切换，手动切换，定时切换；</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图像参数设置：支持设置亮度、对比度、饱和度、锐度、色调等图像参数；</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曝光参数设置：自动手动模式切换，手动模式支持曝光时间和增益模式设置；</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日夜转换模式设置：日夜模式可切换自动、白天、夜晚、计划等状态，夜晚模式可设置补光灯模式；</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背光设置：可进行高动态、强光补偿、强光抑制设置；</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白平衡设置：切换手动自动两种模式，手动模式下课配置白平衡 RGB 增益强度； </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图像增强设置：设置数字降噪、去雾、灰度范围、畸变矫正，灰度范围可配置为 0-255，16-235 两个状态，畸变矫正可配置 LDCH/FEC 两种状态；</w:t>
      </w:r>
      <w:r/>
    </w:p>
    <w:p>
      <w:pPr>
        <w:numPr>
          <w:ilvl w:val="0"/>
          <w:numId w:val="13"/>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视频设置：可切换 P/N 两种制式。</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44" w:name="_Toc3521"/>
      <w:r>
        <w:rPr>
          <w:rFonts w:hint="eastAsia" w:ascii="宋体" w:hAnsi="宋体" w:eastAsia="宋体" w:cs="宋体"/>
          <w:b/>
          <w:bCs w:val="0"/>
          <w:color w:val="auto"/>
          <w:sz w:val="21"/>
          <w:szCs w:val="21"/>
          <w:highlight w:val="none"/>
          <w:lang w:val="en-US" w:eastAsia="zh-CN" w:bidi="ar-SA"/>
        </w:rPr>
        <w:t xml:space="preserve">（2）交通检测指标</w:t>
      </w:r>
      <w:bookmarkEnd w:id="44"/>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工作模式：正向；</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探测距离：车辆 &gt;200m；非机动车 &gt;80m；行人 &gt;80m;</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目标跟踪：不少于256个目标批次处理；</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统计输出：车流量、车道占有率、平均车速、排队长度、排队车辆数等；</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事件输出：拥堵、逆行、行人闯入、违规停车等；</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车流量检测精度：单车道流量≥95%；总流量≥98%（白天）</w:t>
      </w:r>
      <w:r/>
    </w:p>
    <w:p>
      <w:pPr>
        <w:numPr>
          <w:ilvl w:val="0"/>
          <w:numId w:val="14"/>
        </w:numPr>
        <w:ind w:left="0"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单车道流量≥90%；总流量≥95%（夜晚）；</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平均车速检测精度：≥95%（白天）；≥90%（夜晚）；</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输出事件精度：≥95%（白天）；≥90%（夜晚）；</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车型识别率：≥95%（白天）；≥90%（夜晚）。</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45" w:name="_Toc28956"/>
      <w:r>
        <w:rPr>
          <w:rFonts w:hint="eastAsia" w:ascii="宋体" w:hAnsi="宋体" w:eastAsia="宋体" w:cs="宋体"/>
          <w:b/>
          <w:bCs w:val="0"/>
          <w:color w:val="auto"/>
          <w:sz w:val="21"/>
          <w:szCs w:val="21"/>
          <w:highlight w:val="none"/>
          <w:lang w:val="en-US" w:eastAsia="zh-CN" w:bidi="ar-SA"/>
        </w:rPr>
        <w:t xml:space="preserve">（3）视频输出指标</w:t>
      </w:r>
      <w:bookmarkEnd w:id="45"/>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RTSP输出： RTSP 码流输出；</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访问控制：用户名、密码校验服务； </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视频分辨率 ：主码流分辨率支持 1920*1080（200W）3840*2160（800W），子码流支持1280*720，第三码流支持 1920*1080； </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编码格式：H.264，H.265，MJPEG-4；</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视频码流率：256～16384kbps 可配置，默认 4096kbps；</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码流输出形式：支持单码流输出和多码流输出，可配置； </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单码流输出分辨率与摄像头模组输入分辨率一致； </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多码流输出的主码流分辨率 1920*1080（200W）3840*2160（800W），子码流分 640*480/1280*720，第三码流 1920*1080/704*576/1280*720/640*480； </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OSD：支持视频叠加字符功能，叠加显示 NTP 时间信息、文字信息以及深度学习目标检测框，可通过 IE 浏览器或客户端软件设置至少 2 行字符叠加内容</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46" w:name="_Toc343"/>
      <w:r>
        <w:rPr>
          <w:rFonts w:hint="eastAsia" w:ascii="宋体" w:hAnsi="宋体" w:eastAsia="宋体" w:cs="宋体"/>
          <w:b/>
          <w:bCs w:val="0"/>
          <w:color w:val="auto"/>
          <w:sz w:val="21"/>
          <w:szCs w:val="21"/>
          <w:highlight w:val="none"/>
          <w:lang w:val="en-US" w:eastAsia="zh-CN" w:bidi="ar-SA"/>
        </w:rPr>
        <w:t xml:space="preserve">（4）通信指标</w:t>
      </w:r>
      <w:bookmarkEnd w:id="46"/>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通信接口：1路10M/100M/1000Mbps 自适应以太网接口，1路RS485异步串口；</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网络协议：支持 TCP/IP/HTTP/RTP/RTSP/DHCP/DNS/NTP；</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通信协议：内置默认通信协议，支持通信协议定制；</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NTP服务：支持手动/自动校时，NTP 校时，时区可设置；</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远程升级：支持通过 Eth 升级系统软件。</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47" w:name="_Toc30963"/>
      <w:r>
        <w:rPr>
          <w:rFonts w:hint="eastAsia" w:ascii="宋体" w:hAnsi="宋体" w:eastAsia="宋体" w:cs="宋体"/>
          <w:b/>
          <w:bCs w:val="0"/>
          <w:color w:val="auto"/>
          <w:sz w:val="21"/>
          <w:szCs w:val="21"/>
          <w:highlight w:val="none"/>
          <w:lang w:val="en-US" w:eastAsia="zh-CN" w:bidi="ar-SA"/>
        </w:rPr>
        <w:t xml:space="preserve">（5）电气指标</w:t>
      </w:r>
      <w:bookmarkEnd w:id="47"/>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工作电压：DC12~24V；</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功耗：&lt;3W。</w:t>
      </w:r>
      <w:r/>
    </w:p>
    <w:p>
      <w:pPr>
        <w:numPr>
          <w:ilvl w:val="1"/>
          <w:numId w:val="0"/>
        </w:numPr>
        <w:ind w:firstLine="422"/>
        <w:keepLines/>
        <w:keepNext/>
        <w:spacing w:before="0" w:after="0" w:line="360" w:lineRule="auto"/>
        <w:rPr>
          <w:rFonts w:ascii="宋体" w:hAnsi="宋体" w:eastAsia="宋体" w:cs="宋体"/>
          <w:b w:val="0"/>
          <w:bCs w:val="0"/>
          <w:color w:val="auto"/>
          <w:sz w:val="21"/>
          <w:szCs w:val="21"/>
          <w:highlight w:val="none"/>
          <w:lang w:val="en-US" w:eastAsia="zh-CN" w:bidi="ar-SA"/>
        </w:rPr>
        <w:outlineLvl w:val="1"/>
      </w:pPr>
      <w:r/>
      <w:bookmarkStart w:id="48" w:name="_Toc21419"/>
      <w:r>
        <w:rPr>
          <w:rFonts w:hint="eastAsia" w:ascii="宋体" w:hAnsi="宋体" w:eastAsia="宋体" w:cs="宋体"/>
          <w:b/>
          <w:bCs w:val="0"/>
          <w:color w:val="auto"/>
          <w:sz w:val="21"/>
          <w:szCs w:val="21"/>
          <w:highlight w:val="none"/>
          <w:lang w:val="en-US" w:eastAsia="zh-CN" w:bidi="ar-SA"/>
        </w:rPr>
        <w:t xml:space="preserve">（6）环境指标</w:t>
      </w:r>
      <w:bookmarkEnd w:id="48"/>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工作温度：-30°C～+70°C；</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存储温度：-40°C～+80°C；</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防护等级：IP67；</w:t>
      </w:r>
      <w:r/>
    </w:p>
    <w:p>
      <w:pPr>
        <w:numPr>
          <w:ilvl w:val="0"/>
          <w:numId w:val="14"/>
        </w:numPr>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MTBF：≥90000h。</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（五）设计施工要求：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甲方提出安装信号灯安装需求后，施工单位需要经过实地查看，对信号灯建设方案进行初步设计，提供有资质单位设计的建设方案，方案待甲方确认后方可施工。</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施工过程中涉及到的开挖、设施占用、补偿、修复等工作手续、费用等由中标单位负责。施工垃圾应当按照规定进行收集，按照规定处理，禁止施工材料随意堆放、丢弃。</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1、设计要求；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1.1灯杆、基础、法兰盘、地脚螺栓、螺母、垫片和加强筋等部件的尺寸、强度等性能指标应根据信号灯安装方式及悬臂长度确定，应由有相关资质单位进行设计。</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1.2若采用悬臂、支撑臂、拉杆等结构形式，悬臂、支撑臂、拉杆的尺寸、强度等性能指标应由有相关资质单位进行设计。</w:t>
      </w:r>
      <w:r/>
    </w:p>
    <w:p>
      <w:pPr>
        <w:ind w:firstLine="422"/>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2、信号灯施工</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）密封件耐腐蚀，密封效果好,信号灯的附属金属结构件和标准紧固件，使用耐腐蚀金属材料，与悬臂灯杆连接的安装支架采用热镀锌结构耐腐蚀材料。</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）地下电缆在拐弯处以及杆件、信号机基础边设置手井，手井盖有明显的信号灯标识，且行车道使用钢筋混凝土材质。井底应设有渗水孔，手井中管道口应高于井底20cm，电线在井中应作盘留。</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）管道和基础的开挖应按照路口坡度和标高或按使用方的要求施工。回填必须至少恢复到原来地面标准并夯实。地埋管横过道路采用机械顶管时，埋Φ75mm厚壁管。管线铺设深度为0.7米。</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）所有信号灯柱基础混凝土为25＃砼以上。其中水泥为425＃普通硅酸盐水泥。混凝土的配比和最小水泥用量应符合GBJ204-83的规定。</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zh-CN" w:eastAsia="zh-CN" w:bidi="ar-SA"/>
        </w:rPr>
        <w:t xml:space="preserve">）每一条灯杆都必须接地，其接地电阻＜10Ω。</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）预埋件地脚螺栓法兰盘以上的螺纹必须包扎好，以防损坏螺纹。根据预埋件安装图正确放置预埋件，保证悬臂灯杆的方向与行车道垂直。</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zh-CN" w:eastAsia="zh-CN" w:bidi="ar-SA"/>
        </w:rPr>
        <w:t xml:space="preserve">）信号灯基础的混凝土浇注面平整度＜5㎜/ m。预埋件法兰盘低于周围地面50～80㎜或高出周围地面100～300㎜，以防止积水。</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信号灯采用一灯一缆方式接线，地下铺设的电缆不得有接头，每根电缆线应留有3m－5m余量。地下电缆穿线管应当内套钢管或者波纹管，行车道用钢管，人行道以及绿化需要使用波纹管，穿线接头处应使用套管固定。</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zh-CN" w:eastAsia="zh-CN" w:bidi="ar-SA"/>
        </w:rPr>
        <w:t xml:space="preserve">）按规定做好线缆的接头，使用防水胶布缠绕后套防水套管。灯杆的电缆线必须一线到底，中间不得存在接头。每根电缆线可留有2股至4股备用芯线。同一根电缆线两端应有相同标识。</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zh-CN" w:eastAsia="zh-CN" w:bidi="ar-SA"/>
        </w:rPr>
        <w:t xml:space="preserve">）电缆沟的宽度≮500mm或以区市建设局的要求为准，深度以电缆穿线套管理置后其顶部距路面的距离≮450mm为准。</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lang w:val="zh-CN" w:eastAsia="zh-CN" w:bidi="ar-SA"/>
        </w:rPr>
        <w:t xml:space="preserve">）机动车道的电缆沟修复应用25＃以上的混凝土修复，修复后的高度应高出0～5 mm，行人道和绿化带上的电缆沟，应按原地貌修复。使用硬质PE管做电缆管时，管的周围应有30～50 mm的混凝土的保护层。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zh-CN" w:eastAsia="zh-CN" w:bidi="ar-SA"/>
        </w:rPr>
        <w:t xml:space="preserve">）信号灯杆旁、信号灯控制机旁、电缆拐弯处、电缆管直线长度超过60米时，或两端电缆管不在同一平面相距100㎜以上时，必须设置手井。</w:t>
      </w:r>
      <w:r/>
    </w:p>
    <w:p>
      <w:pPr>
        <w:ind w:firstLine="422"/>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3、信号机施工：</w:t>
      </w:r>
      <w:r/>
    </w:p>
    <w:p>
      <w:pPr>
        <w:ind w:firstLine="422"/>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3.1、安装前的准备：</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）信号灯安装，保证引线正确无误；</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ab/>
      </w:r>
      <w:r>
        <w:rPr>
          <w:rFonts w:hint="eastAsia" w:ascii="宋体" w:hAnsi="宋体" w:eastAsia="宋体" w:cs="宋体"/>
          <w:color w:val="auto"/>
          <w:sz w:val="21"/>
          <w:szCs w:val="21"/>
          <w:highlight w:val="none"/>
          <w:lang w:val="zh-CN" w:eastAsia="zh-CN" w:bidi="ar-SA"/>
        </w:rPr>
        <w:t xml:space="preserve">若有配电箱，须先安装好配电箱，在各个接线端上必须安装5A/220V的保险丝以确保信号机不因外部短路而损坏内部的线路，而且配电箱要有漏电保安器以确保信号供电安全。</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）在安装信号机位置，必须将信号机垫高至离地面不低于30厘米位置的基础或底座；</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）准备好一些1.5mm2的多股电缆和不低于2.5mm2双芯电缆；</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zh-CN" w:eastAsia="zh-CN" w:bidi="ar-SA"/>
        </w:rPr>
        <w:t xml:space="preserve">）确认接线端子牢靠、无松动，保险丝安装牢靠。</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zh-CN" w:eastAsia="zh-CN" w:bidi="ar-SA"/>
        </w:rPr>
        <w:t xml:space="preserve">）按照路口交通状态设计好相位和时段。</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3.2、</w:t>
      </w:r>
      <w:r>
        <w:rPr>
          <w:rFonts w:hint="eastAsia" w:ascii="宋体" w:hAnsi="宋体" w:eastAsia="宋体" w:cs="宋体"/>
          <w:b/>
          <w:color w:val="auto"/>
          <w:sz w:val="21"/>
          <w:szCs w:val="21"/>
          <w:highlight w:val="none"/>
          <w:lang w:val="zh-CN" w:eastAsia="zh-CN" w:bidi="ar-SA"/>
        </w:rPr>
        <w:t xml:space="preserve">信号机安装，信号机基础法兰盘尺寸图：</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6.1pt;height:115.2pt;mso-wrap-distance-left:0.0pt;mso-wrap-distance-top:0.0pt;mso-wrap-distance-right:0.0pt;mso-wrap-distance-bottom:0.0pt;" filled="f" stroked="f">
            <v:path textboxrect="0,0,0,0"/>
            <v:imagedata r:id="rId20" o:title=""/>
          </v:shape>
          <o:OLEObject DrawAspect="Content" r:id="rId21" ObjectID="_1525046" ProgID="AutoCAD.Drawing.15" ShapeID="_x0000_i6" Type="Embed"/>
        </w:objec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信号机基础法兰盘尺寸图</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根据路口的情况，将信号机机柜门朝向适当的方向，机柜安放在基础法兰盘上或底座上，固定好。</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3.3、</w:t>
      </w:r>
      <w:r>
        <w:rPr>
          <w:rFonts w:hint="eastAsia" w:ascii="宋体" w:hAnsi="宋体" w:eastAsia="宋体" w:cs="宋体"/>
          <w:b/>
          <w:color w:val="auto"/>
          <w:sz w:val="21"/>
          <w:szCs w:val="21"/>
          <w:highlight w:val="none"/>
          <w:lang w:val="zh-CN" w:eastAsia="zh-CN" w:bidi="ar-SA"/>
        </w:rPr>
        <w:t xml:space="preserve">信号机接地</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信号机内设有专门的接地端子，通过信号机与信号机基础连接的固定螺栓接入大地（地线设置可参照国家有关安全标准施工），根据国家室外电气设备的安全要求信号机基础的接地电阻应小于10欧姆；信号机内防雷接地与保护接地应分别接入大地。</w:t>
      </w:r>
      <w:r/>
    </w:p>
    <w:p>
      <w:pPr>
        <w:ind w:firstLine="422"/>
        <w:spacing w:line="360" w:lineRule="auto"/>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3.4、信号机与外界设备的联接关系</w:t>
      </w:r>
      <w:r/>
    </w:p>
    <w:p>
      <w:pPr>
        <w:ind w:firstLine="420"/>
        <w:spacing w:beforeAutospacing="0" w:afterAutospacing="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4679315" cy="2984500"/>
                <wp:effectExtent l="0" t="0" r="6985" b="635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22"/>
                        <a:stretch/>
                      </pic:blipFill>
                      <pic:spPr bwMode="auto">
                        <a:xfrm>
                          <a:off x="0" y="0"/>
                          <a:ext cx="4679315" cy="2984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68.4pt;height:235.0pt;mso-wrap-distance-left:0.0pt;mso-wrap-distance-top:0.0pt;mso-wrap-distance-right:0.0pt;mso-wrap-distance-bottom:0.0pt;" stroked="f">
                <v:path textboxrect="0,0,0,0"/>
                <v:imagedata r:id="rId22" o:title=""/>
              </v:shape>
            </w:pict>
          </mc:Fallback>
        </mc:AlternateContent>
      </w:r>
      <w:r/>
    </w:p>
    <w:p>
      <w:pPr>
        <w:ind w:firstLine="422"/>
        <w:spacing w:line="360" w:lineRule="auto"/>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4、杆件安装</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）灯杆与基础用法兰连接,灯杆及基础设计、施工均应满足设计要求。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）安装后立杆应保垂直,倾斜度不得超过±0.5 %。横杆垂直于路沿或按要求情况安装,横杆安装后应保持上仰2度。</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）各种规格的灯杆抗风速不得小于30M/S。</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）表面防腐采用热浸镀锌处理，镀锌层厚度≥86微米，使用寿命不低于15年。</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zh-CN" w:eastAsia="zh-CN" w:bidi="ar-SA"/>
        </w:rPr>
        <w:t xml:space="preserve">）宜采用地锚混凝土式基础。地脚螺栓上端为螺纹，下端为夹角小于60°的折弯或其它类似防拔结构，地脚螺栓应焊接在下法兰盘上。</w:t>
      </w:r>
      <w:r/>
    </w:p>
    <w:p>
      <w:pPr>
        <w:ind w:firstLine="422"/>
        <w:spacing w:line="360" w:lineRule="auto"/>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zh-CN" w:eastAsia="zh-CN" w:bidi="ar-SA"/>
        </w:rPr>
        <w:t xml:space="preserve">）不等边八角信号灯杆件7000*8000结构示意图：</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5149215" cy="3498850"/>
                <wp:effectExtent l="0" t="0" r="13335" b="6350"/>
                <wp:docPr id="9" name="图片 7" descr="说明: 信号灯不等边八角结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说明: 信号灯不等边八角结构图"/>
                        <pic:cNvPicPr>
                          <a:picLocks noChangeAspect="1"/>
                        </pic:cNvPicPr>
                        <pic:nvPr/>
                      </pic:nvPicPr>
                      <pic:blipFill>
                        <a:blip r:embed="rId23"/>
                        <a:stretch/>
                      </pic:blipFill>
                      <pic:spPr bwMode="auto">
                        <a:xfrm>
                          <a:off x="0" y="0"/>
                          <a:ext cx="5149215" cy="349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5.4pt;height:275.5pt;mso-wrap-distance-left:0.0pt;mso-wrap-distance-top:0.0pt;mso-wrap-distance-right:0.0pt;mso-wrap-distance-bottom:0.0pt;" stroked="f">
                <v:path textboxrect="0,0,0,0"/>
                <v:imagedata r:id="rId23" o:title=""/>
              </v:shape>
            </w:pict>
          </mc:Fallback>
        </mc:AlternateContent>
      </w:r>
      <w:r/>
    </w:p>
    <w:p>
      <w:pPr>
        <w:ind w:firstLine="420"/>
        <w:spacing w:line="360" w:lineRule="auto"/>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p>
      <w:pPr>
        <w:ind w:firstLine="422"/>
        <w:spacing w:line="360" w:lineRule="auto"/>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7</w:t>
      </w:r>
      <w:r>
        <w:rPr>
          <w:rFonts w:hint="eastAsia" w:ascii="宋体" w:hAnsi="宋体" w:eastAsia="宋体" w:cs="宋体"/>
          <w:b/>
          <w:bCs/>
          <w:color w:val="auto"/>
          <w:sz w:val="21"/>
          <w:szCs w:val="21"/>
          <w:highlight w:val="none"/>
          <w:lang w:val="zh-CN" w:eastAsia="zh-CN" w:bidi="ar-SA"/>
        </w:rPr>
        <w:t xml:space="preserve">）等边八角信号灯杆件，7000*8000结构示意图：</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5270500" cy="3515360"/>
                <wp:effectExtent l="0" t="0" r="6350" b="889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4"/>
                        <a:stretch/>
                      </pic:blipFill>
                      <pic:spPr bwMode="auto">
                        <a:xfrm>
                          <a:off x="0" y="0"/>
                          <a:ext cx="5270500" cy="3515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0pt;height:276.8pt;mso-wrap-distance-left:0.0pt;mso-wrap-distance-top:0.0pt;mso-wrap-distance-right:0.0pt;mso-wrap-distance-bottom:0.0pt;" stroked="f">
                <v:path textboxrect="0,0,0,0"/>
                <v:imagedata r:id="rId24" o:title=""/>
              </v:shape>
            </w:pict>
          </mc:Fallback>
        </mc:AlternateContent>
      </w:r>
      <w:r/>
    </w:p>
    <w:p>
      <w:pPr>
        <w:ind w:firstLine="422"/>
        <w:spacing w:line="360" w:lineRule="auto"/>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8</w:t>
      </w:r>
      <w:r>
        <w:rPr>
          <w:rFonts w:hint="eastAsia" w:ascii="宋体" w:hAnsi="宋体" w:eastAsia="宋体" w:cs="宋体"/>
          <w:b/>
          <w:bCs/>
          <w:color w:val="auto"/>
          <w:sz w:val="21"/>
          <w:szCs w:val="21"/>
          <w:highlight w:val="none"/>
          <w:lang w:val="zh-CN" w:eastAsia="zh-CN" w:bidi="ar-SA"/>
        </w:rPr>
        <w:t xml:space="preserve">）单弯信号灯杆件结构示意图：</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5249545" cy="3509010"/>
                <wp:effectExtent l="0" t="0" r="8255" b="15240"/>
                <wp:docPr id="11" name="图片 9" descr="说明: 信号灯单弯结构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说明: 信号灯单弯结构图-1"/>
                        <pic:cNvPicPr>
                          <a:picLocks noChangeAspect="1"/>
                        </pic:cNvPicPr>
                        <pic:nvPr/>
                      </pic:nvPicPr>
                      <pic:blipFill>
                        <a:blip r:embed="rId25"/>
                        <a:srcRect l="0" t="0" r="0" b="6424"/>
                        <a:stretch/>
                      </pic:blipFill>
                      <pic:spPr bwMode="auto">
                        <a:xfrm>
                          <a:off x="0" y="0"/>
                          <a:ext cx="5249545" cy="3509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3.3pt;height:276.3pt;mso-wrap-distance-left:0.0pt;mso-wrap-distance-top:0.0pt;mso-wrap-distance-right:0.0pt;mso-wrap-distance-bottom:0.0pt;" stroked="f">
                <v:path textboxrect="0,0,0,0"/>
                <v:imagedata r:id="rId25" o:title=""/>
              </v:shape>
            </w:pict>
          </mc:Fallback>
        </mc:AlternateConten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（9）双弯信号灯杆件结构示意图：</w:t>
      </w:r>
      <w:r/>
    </w:p>
    <w:p>
      <w:pPr>
        <w:ind w:firstLine="420"/>
        <w:spacing w:line="360" w:lineRule="auto"/>
        <w:rPr>
          <w:rFonts w:ascii="宋体" w:hAnsi="宋体" w:eastAsia="宋体" w:cs="宋体"/>
          <w:b/>
          <w:bCs/>
          <w:color w:val="auto"/>
          <w:sz w:val="24"/>
          <w:szCs w:val="21"/>
          <w:highlight w:val="none"/>
          <w:lang w:val="en-US" w:eastAsia="zh-CN" w:bidi="ar-SA"/>
        </w:rPr>
      </w:pPr>
      <w:r>
        <w:rPr>
          <w:rFonts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5340985" cy="3659505"/>
                <wp:effectExtent l="0" t="0" r="12065" b="17145"/>
                <wp:docPr id="12" name="图片 10" descr="说明: 信号灯双弯结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说明: 信号灯双弯结构图"/>
                        <pic:cNvPicPr>
                          <a:picLocks noChangeAspect="1"/>
                        </pic:cNvPicPr>
                        <pic:nvPr/>
                      </pic:nvPicPr>
                      <pic:blipFill>
                        <a:blip r:embed="rId26"/>
                        <a:srcRect l="0" t="0" r="0" b="4382"/>
                        <a:stretch/>
                      </pic:blipFill>
                      <pic:spPr bwMode="auto">
                        <a:xfrm>
                          <a:off x="0" y="0"/>
                          <a:ext cx="5340985" cy="3659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20.5pt;height:288.1pt;mso-wrap-distance-left:0.0pt;mso-wrap-distance-top:0.0pt;mso-wrap-distance-right:0.0pt;mso-wrap-distance-bottom:0.0pt;" stroked="f">
                <v:path textboxrect="0,0,0,0"/>
                <v:imagedata r:id="rId26" o:title=""/>
              </v:shape>
            </w:pict>
          </mc:Fallback>
        </mc:AlternateContent>
      </w:r>
      <w:r/>
    </w:p>
    <w:p>
      <w:pPr>
        <w:ind w:firstLine="422"/>
        <w:spacing w:line="360" w:lineRule="auto"/>
        <w:rPr>
          <w:rFonts w:ascii="宋体" w:hAnsi="宋体" w:eastAsia="宋体" w:cs="宋体"/>
          <w:b/>
          <w:bCs/>
          <w:color w:val="auto"/>
          <w:sz w:val="21"/>
          <w:szCs w:val="21"/>
          <w:highlight w:val="none"/>
          <w:lang w:val="zh-CN" w:eastAsia="zh-CN" w:bidi="ar-SA"/>
        </w:rPr>
      </w:pPr>
      <w:r>
        <w:rPr>
          <w:rFonts w:ascii="宋体" w:hAnsi="宋体" w:eastAsia="宋体" w:cs="宋体"/>
          <w:b/>
          <w:bCs/>
          <w:color w:val="auto"/>
          <w:sz w:val="21"/>
          <w:szCs w:val="21"/>
          <w:highlight w:val="none"/>
          <w:lang w:val="zh-CN" w:eastAsia="zh-CN" w:bidi="ar-SA"/>
        </w:rPr>
      </w:r>
      <w:r/>
    </w:p>
    <w:p>
      <w:pPr>
        <w:ind w:firstLine="422"/>
        <w:spacing w:line="360" w:lineRule="auto"/>
        <w:rPr>
          <w:rFonts w:ascii="宋体" w:hAnsi="宋体" w:eastAsia="宋体" w:cs="宋体"/>
          <w:b/>
          <w:bCs/>
          <w:color w:val="auto"/>
          <w:sz w:val="21"/>
          <w:szCs w:val="21"/>
          <w:highlight w:val="none"/>
          <w:lang w:val="zh-CN" w:eastAsia="zh-CN" w:bidi="ar-SA"/>
        </w:rPr>
      </w:pPr>
      <w:r>
        <w:rPr>
          <w:rFonts w:ascii="宋体" w:hAnsi="宋体" w:eastAsia="宋体" w:cs="宋体"/>
          <w:b/>
          <w:bCs/>
          <w:color w:val="auto"/>
          <w:sz w:val="21"/>
          <w:szCs w:val="21"/>
          <w:highlight w:val="none"/>
          <w:lang w:val="zh-CN" w:eastAsia="zh-CN" w:bidi="ar-SA"/>
        </w:rPr>
      </w:r>
      <w:r/>
    </w:p>
    <w:p>
      <w:pPr>
        <w:ind w:firstLine="422"/>
        <w:spacing w:line="360" w:lineRule="auto"/>
        <w:rPr>
          <w:rFonts w:ascii="宋体" w:hAnsi="宋体" w:eastAsia="宋体" w:cs="宋体"/>
          <w:b/>
          <w:bCs/>
          <w:color w:val="auto"/>
          <w:sz w:val="21"/>
          <w:szCs w:val="21"/>
          <w:highlight w:val="none"/>
          <w:lang w:val="zh-CN" w:eastAsia="zh-CN" w:bidi="ar-SA"/>
        </w:rPr>
      </w:pPr>
      <w:r>
        <w:rPr>
          <w:rFonts w:ascii="宋体" w:hAnsi="宋体" w:eastAsia="宋体" w:cs="宋体"/>
          <w:b/>
          <w:bCs/>
          <w:color w:val="auto"/>
          <w:sz w:val="21"/>
          <w:szCs w:val="21"/>
          <w:highlight w:val="none"/>
          <w:lang w:val="zh-CN" w:eastAsia="zh-CN" w:bidi="ar-SA"/>
        </w:rPr>
      </w:r>
      <w:r/>
    </w:p>
    <w:p>
      <w:pPr>
        <w:ind w:firstLine="422"/>
        <w:spacing w:line="360" w:lineRule="auto"/>
        <w:rPr>
          <w:rFonts w:ascii="宋体" w:hAnsi="宋体" w:eastAsia="宋体" w:cs="宋体"/>
          <w:b/>
          <w:bCs/>
          <w:color w:val="auto"/>
          <w:sz w:val="21"/>
          <w:szCs w:val="21"/>
          <w:highlight w:val="none"/>
          <w:lang w:val="zh-CN" w:eastAsia="zh-CN" w:bidi="ar-SA"/>
        </w:rPr>
      </w:pPr>
      <w:r>
        <w:rPr>
          <w:rFonts w:ascii="宋体" w:hAnsi="宋体" w:eastAsia="宋体" w:cs="宋体"/>
          <w:b/>
          <w:bCs/>
          <w:color w:val="auto"/>
          <w:sz w:val="21"/>
          <w:szCs w:val="21"/>
          <w:highlight w:val="none"/>
          <w:lang w:val="zh-CN" w:eastAsia="zh-CN" w:bidi="ar-SA"/>
        </w:rPr>
      </w:r>
      <w:r/>
    </w:p>
    <w:p>
      <w:pPr>
        <w:ind w:firstLine="422"/>
        <w:spacing w:line="360" w:lineRule="auto"/>
        <w:rPr>
          <w:rFonts w:ascii="宋体" w:hAnsi="宋体" w:eastAsia="宋体" w:cs="宋体"/>
          <w:b/>
          <w:bCs/>
          <w:color w:val="auto"/>
          <w:sz w:val="21"/>
          <w:szCs w:val="21"/>
          <w:highlight w:val="none"/>
          <w:lang w:val="zh-CN" w:eastAsia="zh-CN" w:bidi="ar-SA"/>
        </w:rPr>
      </w:pPr>
      <w:r>
        <w:rPr>
          <w:rFonts w:ascii="宋体" w:hAnsi="宋体" w:eastAsia="宋体" w:cs="宋体"/>
          <w:b/>
          <w:bCs/>
          <w:color w:val="auto"/>
          <w:sz w:val="21"/>
          <w:szCs w:val="21"/>
          <w:highlight w:val="none"/>
          <w:lang w:val="zh-CN" w:eastAsia="zh-CN" w:bidi="ar-SA"/>
        </w:rPr>
      </w:r>
      <w:r/>
    </w:p>
    <w:p>
      <w:pPr>
        <w:ind w:firstLine="422"/>
        <w:spacing w:line="360" w:lineRule="auto"/>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10</w:t>
      </w:r>
      <w:r>
        <w:rPr>
          <w:rFonts w:hint="eastAsia" w:ascii="宋体" w:hAnsi="宋体" w:eastAsia="宋体" w:cs="宋体"/>
          <w:b/>
          <w:bCs/>
          <w:color w:val="auto"/>
          <w:sz w:val="21"/>
          <w:szCs w:val="21"/>
          <w:highlight w:val="none"/>
          <w:lang w:val="zh-CN" w:eastAsia="zh-CN" w:bidi="ar-SA"/>
        </w:rPr>
        <w:t xml:space="preserve">）龙门架信号灯杆件结构示意图：</w:t>
      </w:r>
      <w:r/>
    </w:p>
    <w:p>
      <w:pPr>
        <w:ind w:firstLine="420"/>
        <w:spacing w:line="360" w:lineRule="auto"/>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5379720" cy="4135120"/>
                <wp:effectExtent l="0" t="0" r="11430" b="17780"/>
                <wp:docPr id="13" name="图片 11" descr="说明: 港区龙门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descr="说明: 港区龙门架"/>
                        <pic:cNvPicPr>
                          <a:picLocks noChangeAspect="1"/>
                        </pic:cNvPicPr>
                        <pic:nvPr/>
                      </pic:nvPicPr>
                      <pic:blipFill>
                        <a:blip r:embed="rId27"/>
                        <a:srcRect l="0" t="0" r="0" b="8923"/>
                        <a:stretch/>
                      </pic:blipFill>
                      <pic:spPr bwMode="auto">
                        <a:xfrm>
                          <a:off x="0" y="0"/>
                          <a:ext cx="5379720" cy="4135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23.6pt;height:325.6pt;mso-wrap-distance-left:0.0pt;mso-wrap-distance-top:0.0pt;mso-wrap-distance-right:0.0pt;mso-wrap-distance-bottom:0.0pt;" stroked="f">
                <v:path textboxrect="0,0,0,0"/>
                <v:imagedata r:id="rId27" o:title=""/>
              </v:shape>
            </w:pict>
          </mc:Fallback>
        </mc:AlternateContent>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（11）四方管单立杆：</w:t>
      </w:r>
      <w:r/>
    </w:p>
    <w:p>
      <w:pPr>
        <w:ind w:firstLine="420"/>
        <w:spacing w:line="360" w:lineRule="auto"/>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mc:AlternateContent>
          <mc:Choice Requires="wpg">
            <w:drawing>
              <wp:inline xmlns:wp="http://schemas.openxmlformats.org/drawingml/2006/wordprocessingDrawing" distT="0" distB="0" distL="0" distR="0">
                <wp:extent cx="5686425" cy="3753485"/>
                <wp:effectExtent l="0" t="0" r="9525" b="1841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pic:cNvPicPr>
                          <a:picLocks noChangeAspect="1"/>
                        </pic:cNvPicPr>
                        <pic:nvPr/>
                      </pic:nvPicPr>
                      <pic:blipFill>
                        <a:blip r:embed="rId28"/>
                        <a:stretch/>
                      </pic:blipFill>
                      <pic:spPr bwMode="auto">
                        <a:xfrm>
                          <a:off x="0" y="0"/>
                          <a:ext cx="5686425" cy="3753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7.8pt;height:295.6pt;mso-wrap-distance-left:0.0pt;mso-wrap-distance-top:0.0pt;mso-wrap-distance-right:0.0pt;mso-wrap-distance-bottom:0.0pt;" stroked="f">
                <v:path textboxrect="0,0,0,0"/>
                <v:imagedata r:id="rId28" o:title=""/>
              </v:shape>
            </w:pict>
          </mc:Fallback>
        </mc:AlternateConten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5、埋管铺设相关要求：</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项目施工过程中涉及到对绿化、道板、沥青路面的开挖恢复等工作，要求中标按照规定进行申报审批，按照绿化、市政等部门要求施工以及修复。新开道路路面、绿化设置管线，沥青路面、人行道板埋管要求：镀锌钢管DN50，不小于Φ60，管道需要用C30混凝土包封；绿化带埋管要求：硬质塑料PE管（不小于Φ50），C30混凝土包封。所有管线埋入深度车行道不低于70cm，其他位置埋入深度不低于50cm，埋入后对绿化、路面进行原样恢复。</w:t>
      </w:r>
      <w:r/>
    </w:p>
    <w:p>
      <w:pPr>
        <w:ind w:firstLine="422"/>
        <w:spacing w:line="360" w:lineRule="auto"/>
        <w:rPr>
          <w:rFonts w:ascii="宋体" w:hAnsi="宋体" w:eastAsia="宋体" w:cs="宋体"/>
          <w:b/>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6、其他说明</w:t>
      </w:r>
      <w:r/>
    </w:p>
    <w:p>
      <w:pPr>
        <w:ind w:firstLine="422"/>
        <w:spacing w:line="360" w:lineRule="auto"/>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6.1 投标人标书内附信号机、机动车信号灯杆件、机动车信号灯、普通两联人行灯、一体化人行灯图样。</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6.2 竣工后施工方要提供详细准确的管线图，标明管线尺寸、长度、走向、定位以及手井的定位。</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6.3 施工方应当注意施工安全，施工过程中发生的安全责任，由施工方承担。</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6.4供应商在实际施工、维护工作中，配备车辆1辆，维护人员2人提供建设、售后工作。</w:t>
      </w:r>
      <w:r/>
    </w:p>
    <w:p>
      <w:pPr>
        <w:ind w:firstLine="420"/>
        <w:spacing w:line="360" w:lineRule="auto"/>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6.5建设中应当保证一灯一线的链接方式，竣工时提供完整的施工建设资料，路口的施工、走线、接线等具体方案全部在资料里体现。</w:t>
      </w:r>
      <w:r/>
    </w:p>
    <w:p>
      <w:pPr>
        <w:ind w:firstLine="422"/>
        <w:spacing w:line="36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（六）售后服务</w:t>
      </w:r>
      <w:r/>
    </w:p>
    <w:p>
      <w:pPr>
        <w:ind w:firstLine="422"/>
        <w:spacing w:line="360" w:lineRule="auto"/>
        <w:rPr>
          <w:rFonts w:ascii="宋体" w:hAnsi="宋体" w:eastAsia="宋体" w:cs="Times New Roman"/>
          <w:bCs/>
          <w:color w:val="auto"/>
          <w:sz w:val="21"/>
          <w:szCs w:val="21"/>
          <w:highlight w:val="none"/>
        </w:rPr>
      </w:pPr>
      <w:r>
        <w:rPr>
          <w:rFonts w:hint="eastAsia" w:ascii="宋体" w:hAnsi="宋体" w:eastAsia="宋体" w:cs="Times New Roman"/>
          <w:b/>
          <w:color w:val="auto"/>
          <w:sz w:val="21"/>
          <w:szCs w:val="21"/>
          <w:highlight w:val="none"/>
        </w:rPr>
        <w:t xml:space="preserve">供应商针对本项目提供的设备及配件，产品免费质量保修期自验收合格之日起不少于三年，但其中杆件和基础的免费保修期为十年。</w:t>
      </w:r>
      <w:r>
        <w:rPr>
          <w:rFonts w:hint="eastAsia" w:ascii="宋体" w:hAnsi="宋体" w:eastAsia="宋体" w:cs="Times New Roman"/>
          <w:bCs/>
          <w:color w:val="auto"/>
          <w:sz w:val="21"/>
          <w:szCs w:val="21"/>
          <w:highlight w:val="none"/>
        </w:rPr>
        <w:t xml:space="preserve">合同价为完成本项目实施和售后服务免费保修期限内所收取的全部费用。其他见本项目维护服务要求。</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七）验收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按本招标文件、供应商的投标文件、承诺及国家相关标准为准。如双方对验收结果有分歧，则以权威部门的检验结果为准，检验费用由有过失的一方支付。</w:t>
      </w:r>
      <w:r/>
    </w:p>
    <w:p>
      <w:pPr>
        <w:numPr>
          <w:ilvl w:val="0"/>
          <w:numId w:val="15"/>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报价要求</w:t>
      </w:r>
      <w:r/>
    </w:p>
    <w:p>
      <w:pPr>
        <w:numPr>
          <w:ilvl w:val="0"/>
          <w:numId w:val="0"/>
        </w:num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按整体优惠率报价，结算时以最高单价限价*（1-优惠率），按实结算。总价包括所有服务、设备及其备品、备件和专用工具费用、税费（如包括关税、货物及其所用原材料、零部件的各种国内外税费）及包装、运至最终目的地的运输、保险、检测验收、</w:t>
      </w:r>
      <w:r>
        <w:rPr>
          <w:rFonts w:hint="eastAsia" w:ascii="宋体" w:hAnsi="宋体" w:eastAsia="宋体" w:cs="宋体"/>
          <w:color w:val="auto"/>
          <w:sz w:val="21"/>
          <w:szCs w:val="21"/>
          <w:highlight w:val="none"/>
        </w:rPr>
        <w:t xml:space="preserve">安装、调试、系统软件、技术支持与培训、售后服务与维保及相关劳务支出等工作所发生的全部费用以及投标人企业利润、和政策性文件规定及合同包含的所有风险、责任、施工审图费、总包现场施工配合费等各项应有费用。本项目为交钥匙项目，中标人的投标报价包含了采购人现有场地条件下，进行中标设备的安装调试达到可使用状态，并验收合格前的所有费用。维护总包的价格为合同期内所有信号灯（含倒计时）系统的维护总承包费用；包含日常维护检修及基本辅材费、设备费、人工费、运杂费和税费等，其他涉及到更换灯具、电缆等材料的由甲方确定后按中标价另计。</w:t>
      </w:r>
      <w:r/>
    </w:p>
    <w:p>
      <w:pPr>
        <w:ind w:firstLine="422"/>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（九）</w:t>
      </w:r>
      <w:r>
        <w:rPr>
          <w:rFonts w:hint="eastAsia" w:ascii="宋体" w:hAnsi="宋体" w:eastAsia="宋体" w:cs="宋体"/>
          <w:b/>
          <w:bCs/>
          <w:color w:val="auto"/>
          <w:sz w:val="21"/>
          <w:szCs w:val="21"/>
          <w:highlight w:val="none"/>
          <w:lang w:val="zh-CN" w:eastAsia="zh-CN" w:bidi="ar-SA"/>
        </w:rPr>
        <w:t xml:space="preserve">付款方式</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合同签订后三个月内支付合同金额50%首付款，随后根据工程进度可适时支付不超过合同总额的80%，余下款项待到工程竣工，验收合格经审计等规定程序后两个月内一次性付清，具体时间以财政资金下达情况为准。</w:t>
      </w:r>
      <w:r/>
    </w:p>
    <w:p>
      <w:pPr>
        <w:ind w:firstLine="420"/>
        <w:spacing w:line="360"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签订后一个月内支付合同金额10%预付款，合同签订后三个月内支付至合同金额的50%，随后根据工程进度可适时支付至不超过合同总额的80%，余下款项待到工程竣工，验收合格经审计等规定程序后两个月内一次性付清，</w:t>
      </w:r>
      <w:r>
        <w:rPr>
          <w:rFonts w:hint="eastAsia" w:ascii="宋体" w:hAnsi="宋体" w:eastAsia="宋体" w:cs="Times New Roman"/>
          <w:color w:val="auto"/>
          <w:sz w:val="21"/>
          <w:szCs w:val="21"/>
          <w:highlight w:val="none"/>
          <w:lang w:val="en-US" w:eastAsia="zh-CN" w:bidi="ar-SA"/>
        </w:rPr>
        <w:t xml:space="preserve">具体时间以财政资金下达情况为准。</w:t>
      </w:r>
      <w:r/>
    </w:p>
    <w:p>
      <w:pPr>
        <w:ind w:firstLine="420"/>
        <w:spacing w:line="360" w:lineRule="auto"/>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right="0" w:firstLine="420"/>
        <w:jc w:val="both"/>
        <w:spacing w:line="360" w:lineRule="auto"/>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（十）其他说明</w:t>
      </w:r>
      <w:r/>
    </w:p>
    <w:p>
      <w:pPr>
        <w:ind w:right="0" w:firstLine="420"/>
        <w:jc w:val="both"/>
        <w:spacing w:line="360" w:lineRule="auto"/>
        <w:widowControl w:val="off"/>
        <w:rPr>
          <w:rFonts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1、投标人所投服务内容应能够至少达到或优于以上服务要求，同时明确服务内容、人员配备及交通工具等设备的投入。</w:t>
      </w:r>
      <w:r/>
    </w:p>
    <w:p>
      <w:pPr>
        <w:ind w:right="0" w:firstLine="420"/>
        <w:jc w:val="both"/>
        <w:spacing w:line="360" w:lineRule="auto"/>
        <w:widowControl w:val="off"/>
        <w:rPr>
          <w:rFonts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2、投标人必须承诺招标文件中提出的服务与要求。如果以其中某些条款不响应时，应在文件中逐条列出，未列出的视同响应。</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人项目合同期内必须购买所建设、所维护设施造成的意外险和施工造成的意外险，且累计赔偿限额不低于人民币750万元（每次事故赔偿限额不低于人民币500万元，每次意外人身伤亡赔偿限额不低于人民币250万元，每次意外每人赔偿限额不低于人民币100万元，每次意外财产损失赔偿限额不低于人民币250万元）。费用包含在合同价中。</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、投标人须承诺按照法律规定及合同约定组织完成本项目交通信号灯的新建及维护，确保质量和安全，不得进行转包及违法分包，否则甲方有权</w:t>
      </w:r>
      <w:r>
        <w:rPr>
          <w:rFonts w:hint="eastAsia" w:ascii="宋体" w:hAnsi="宋体" w:eastAsia="宋体" w:cs="宋体"/>
          <w:bCs/>
          <w:color w:val="auto"/>
          <w:sz w:val="21"/>
          <w:szCs w:val="21"/>
          <w:highlight w:val="none"/>
        </w:rPr>
        <w:t xml:space="preserve">中止项目并取消合同。</w:t>
      </w:r>
      <w:r/>
    </w:p>
    <w:p>
      <w:pPr>
        <w:contextualSpacing/>
        <w:ind w:left="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contextualSpacing/>
        <w:ind w:left="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contextualSpacing/>
        <w:ind w:left="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contextualSpacing/>
        <w:ind w:left="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contextualSpacing/>
        <w:ind w:left="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contextualSpacing/>
        <w:ind w:firstLine="422"/>
        <w:spacing w:line="360" w:lineRule="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contextualSpacing/>
        <w:ind w:firstLine="422"/>
        <w:spacing w:line="360" w:lineRule="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jc w:val="center"/>
        <w:spacing w:line="400" w:lineRule="exact"/>
        <w:rPr>
          <w:rStyle w:val="992"/>
          <w:rFonts w:hint="eastAsia" w:ascii="宋体" w:hAnsi="宋体" w:eastAsia="宋体" w:cs="宋体"/>
          <w:color w:val="auto"/>
          <w:sz w:val="32"/>
          <w:szCs w:val="32"/>
          <w:highlight w:val="none"/>
        </w:rPr>
      </w:pPr>
      <w:r/>
      <w:bookmarkStart w:id="49" w:name="_Toc25002"/>
      <w:r/>
      <w:r/>
    </w:p>
    <w:p>
      <w:pPr>
        <w:jc w:val="center"/>
        <w:spacing w:line="400" w:lineRule="exact"/>
        <w:rPr>
          <w:rStyle w:val="99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9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9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92"/>
          <w:rFonts w:hint="eastAsia"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第四章 投标文件格式</w:t>
      </w:r>
      <w:bookmarkEnd w:id="49"/>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rFonts w:hint="eastAsia"/>
          <w:b/>
          <w:color w:val="auto"/>
          <w:sz w:val="36"/>
          <w:szCs w:val="36"/>
          <w:highlight w:val="none"/>
        </w:rPr>
      </w:pPr>
      <w:r>
        <w:rPr>
          <w:rFonts w:hint="eastAsia"/>
          <w:b/>
          <w:color w:val="auto"/>
          <w:sz w:val="36"/>
          <w:szCs w:val="36"/>
          <w:highlight w:val="none"/>
        </w:rPr>
        <w:t xml:space="preserve">招标单位： </w:t>
      </w:r>
      <w:r/>
    </w:p>
    <w:p>
      <w:pPr>
        <w:ind w:left="480" w:firstLine="542"/>
        <w:rPr>
          <w:rFonts w:hint="eastAsia"/>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rFonts w:hint="eastAsia"/>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rFonts w:hint="eastAsia"/>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50"/>
        <w:numPr>
          <w:ilvl w:val="0"/>
          <w:numId w:val="0"/>
        </w:numPr>
        <w:ind w:left="400"/>
        <w:jc w:val="both"/>
        <w:spacing w:before="0" w:after="0" w:line="420" w:lineRule="exact"/>
        <w:rPr>
          <w:rFonts w:hint="eastAsia"/>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：开标一览表（系统内直接填写）</w:t>
      </w:r>
      <w:r/>
    </w:p>
    <w:p>
      <w:pPr>
        <w:pStyle w:val="1009"/>
        <w:jc w:val="center"/>
        <w:spacing w:line="360" w:lineRule="auto"/>
        <w:rPr>
          <w:rFonts w:hint="eastAsia" w:ascii="宋体" w:hAnsi="宋体" w:eastAsia="宋体" w:cs="宋体"/>
          <w:b/>
          <w:bCs/>
          <w:color w:val="auto"/>
          <w:sz w:val="21"/>
          <w:szCs w:val="21"/>
          <w:highlight w:val="none"/>
        </w:rPr>
      </w:pPr>
      <w:r>
        <w:rPr>
          <w:rFonts w:hint="eastAsia" w:hAnsi="宋体" w:eastAsia="宋体" w:cs="宋体"/>
          <w:b/>
          <w:bCs/>
          <w:color w:val="auto"/>
          <w:sz w:val="21"/>
          <w:szCs w:val="21"/>
          <w:highlight w:val="none"/>
          <w:lang w:eastAsia="zh-CN"/>
        </w:rPr>
        <w:t xml:space="preserve">（</w:t>
      </w:r>
      <w:r>
        <w:rPr>
          <w:rFonts w:hint="eastAsia"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开标一览表</w:t>
      </w:r>
      <w:r/>
    </w:p>
    <w:p>
      <w:pPr>
        <w:jc w:val="center"/>
        <w:spacing w:line="30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p>
      <w:pPr>
        <w:ind w:firstLine="42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项目名称：          </w:t>
      </w:r>
      <w:r/>
    </w:p>
    <w:tbl>
      <w:tblPr>
        <w:tblStyle w:val="958"/>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960"/>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cs="宋体"/>
                <w:color w:val="auto"/>
                <w:sz w:val="21"/>
                <w:szCs w:val="21"/>
                <w:highlight w:val="none"/>
                <w:lang w:val="en-US" w:eastAsia="zh-CN"/>
              </w:rPr>
              <w:t xml:space="preserve">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tc>
      </w:tr>
    </w:tbl>
    <w:p>
      <w:pPr>
        <w:pStyle w:val="1040"/>
        <w:ind w:firstLine="3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0"/>
        <w:ind w:firstLine="38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注：本项目结算单价=最高单价限价*</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1-优惠率</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，按实结算。</w:t>
      </w:r>
      <w:r/>
    </w:p>
    <w:p>
      <w:pPr>
        <w:ind w:firstLine="39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3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投标单位（公章）：</w:t>
      </w:r>
      <w:r/>
    </w:p>
    <w:p>
      <w:pPr>
        <w:ind w:firstLine="3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法定代表人或授权委托人：（签字或签章）</w:t>
      </w:r>
      <w:r/>
    </w:p>
    <w:p>
      <w:pPr>
        <w:ind w:firstLine="39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w:t>
      </w:r>
      <w:r/>
    </w:p>
    <w:p>
      <w:pPr>
        <w:pStyle w:val="1021"/>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59"/>
        <w:ind w:left="0" w:firstLine="502"/>
        <w:jc w:val="both"/>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r>
      <w:r/>
    </w:p>
    <w:p>
      <w:pPr>
        <w:pStyle w:val="959"/>
        <w:ind w:left="0" w:firstLine="502"/>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格式</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投标报价明细表</w:t>
      </w:r>
      <w:r/>
    </w:p>
    <w:p>
      <w:pPr>
        <w:pStyle w:val="959"/>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报价明细表</w:t>
      </w:r>
      <w:r/>
    </w:p>
    <w:p>
      <w:pPr>
        <w:ind w:firstLine="420"/>
        <w:keepLines w:val="0"/>
        <w:keepNext w:val="0"/>
        <w:pageBreakBefore w:val="0"/>
        <w:widowControl/>
        <w:rPr>
          <w:rFonts w:hint="eastAsia"/>
          <w:color w:val="auto"/>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rPr>
          <w:rFonts w:hint="eastAsia" w:cs="宋体"/>
          <w:b/>
          <w:color w:val="auto"/>
          <w:szCs w:val="21"/>
          <w:highlight w:val="none"/>
        </w:rPr>
        <w:t xml:space="preserve">                                     </w:t>
      </w:r>
      <w:r/>
    </w:p>
    <w:tbl>
      <w:tblPr>
        <w:tblStyle w:val="958"/>
        <w:tblW w:w="9567"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1903"/>
        <w:gridCol w:w="1298"/>
        <w:gridCol w:w="2220"/>
        <w:gridCol w:w="647"/>
        <w:gridCol w:w="938"/>
        <w:gridCol w:w="938"/>
        <w:gridCol w:w="1096"/>
      </w:tblGrid>
      <w:tr>
        <w:trPr>
          <w:trHeight w:val="52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参数(mm)</w:t>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最高限价（元）</w:t>
            </w:r>
            <w:r/>
          </w:p>
        </w:tc>
        <w:tc>
          <w:tcPr>
            <w:tcW w:w="938"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投标统一优惠率（%）</w:t>
            </w:r>
            <w:r/>
          </w:p>
        </w:tc>
        <w:tc>
          <w:tcPr>
            <w:tcW w:w="1096"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优惠后单价（元）</w:t>
            </w:r>
            <w:r/>
          </w:p>
        </w:tc>
      </w:tr>
      <w:tr>
        <w:trPr>
          <w:trHeight w:val="52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日常维护统包</w:t>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详见日常维护需要</w:t>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智能联网型交通信号控制机</w:t>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详见参数要求</w:t>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智能联网型交通信号控制机基础</w:t>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1200*600*200</w:t>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普通单点非联网型交通信号控制机</w:t>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详见参数要求</w:t>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903"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298"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2220"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647"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903"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298"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2220" w:type="dxa"/>
            <w:vAlign w:val="center"/>
            <w:textDirection w:val="lrTb"/>
            <w:noWrap/>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647"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4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4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0"/>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58"/>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04"/>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01"/>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1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8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8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5"/>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3"/>
        </w:trPr>
        <w:tc>
          <w:tcPr>
            <w:tcW w:w="5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W w:w="1903"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98"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8"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6"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67"/>
        <w:ind w:right="0"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1067"/>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1.优惠率</w:t>
      </w:r>
      <w:r>
        <w:rPr>
          <w:rFonts w:hint="eastAsia" w:ascii="宋体" w:hAnsi="宋体" w:eastAsia="宋体" w:cs="宋体"/>
          <w:color w:val="auto"/>
          <w:sz w:val="21"/>
          <w:szCs w:val="21"/>
          <w:highlight w:val="none"/>
        </w:rPr>
        <w:t xml:space="preserve">应与开标一览表一致。</w:t>
      </w:r>
      <w:r/>
    </w:p>
    <w:p>
      <w:pPr>
        <w:pStyle w:val="1067"/>
        <w:ind w:righ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2.优惠后单价=最高限价*（1-投标优惠率）</w:t>
      </w:r>
      <w:r/>
    </w:p>
    <w:p>
      <w:pPr>
        <w:contextualSpacing/>
        <w:ind w:firstLine="420"/>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本表上传至电子投标文件“</w:t>
      </w:r>
      <w:r>
        <w:rPr>
          <w:rFonts w:hint="eastAsia" w:ascii="宋体" w:hAnsi="宋体" w:eastAsia="宋体" w:cs="宋体"/>
          <w:b/>
          <w:bCs/>
          <w:i w:val="0"/>
          <w:iCs w:val="0"/>
          <w:caps w:val="0"/>
          <w:color w:val="auto"/>
          <w:spacing w:val="0"/>
          <w:sz w:val="21"/>
          <w:szCs w:val="21"/>
          <w:highlight w:val="none"/>
          <w:shd w:val="clear" w:color="auto" w:fill="ffffff"/>
        </w:rPr>
        <w:t xml:space="preserve">报价符合性审查</w:t>
      </w:r>
      <w:r>
        <w:rPr>
          <w:rFonts w:hint="eastAsia" w:ascii="宋体" w:hAnsi="宋体" w:eastAsia="宋体" w:cs="宋体"/>
          <w:b/>
          <w:bCs/>
          <w:color w:val="auto"/>
          <w:sz w:val="21"/>
          <w:szCs w:val="21"/>
          <w:highlight w:val="none"/>
          <w:lang w:val="en-US" w:eastAsia="zh-CN"/>
        </w:rPr>
        <w:t xml:space="preserve">”页面</w:t>
      </w:r>
      <w:r/>
    </w:p>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center"/>
        <w:spacing w:line="360" w:lineRule="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zh-CN"/>
        </w:rPr>
        <w:t xml:space="preserve">拟投入本项目产品情况表</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项目编号：</w:t>
      </w:r>
      <w:r/>
    </w:p>
    <w:tbl>
      <w:tblPr>
        <w:tblStyle w:val="958"/>
        <w:tblW w:w="9158" w:type="dxa"/>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491"/>
        <w:gridCol w:w="842"/>
        <w:gridCol w:w="1474"/>
        <w:gridCol w:w="2009"/>
        <w:gridCol w:w="2219"/>
      </w:tblGrid>
      <w:tr>
        <w:trPr>
          <w:trHeight w:val="454"/>
        </w:trPr>
        <w:tc>
          <w:tcPr>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序号</w:t>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产品名称</w:t>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品牌</w:t>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规格型号</w:t>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生产厂家/产地</w:t>
            </w:r>
            <w:r/>
          </w:p>
        </w:tc>
        <w:tc>
          <w:tcPr>
            <w:tcW w:w="22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技术参数或相关说明</w:t>
            </w:r>
            <w:r/>
          </w:p>
        </w:tc>
      </w:tr>
      <w:tr>
        <w:trPr>
          <w:trHeight w:val="454"/>
        </w:trPr>
        <w:tc>
          <w:tcPr>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trHeight w:val="454"/>
        </w:trPr>
        <w:tc>
          <w:tcPr>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trHeight w:val="454"/>
        </w:trPr>
        <w:tc>
          <w:tcPr>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trHeight w:val="454"/>
        </w:trPr>
        <w:tc>
          <w:tcPr>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trHeight w:val="454"/>
        </w:trPr>
        <w:tc>
          <w:tcPr>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trHeight w:val="454"/>
        </w:trPr>
        <w:tc>
          <w:tcPr>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r>
        <w:trPr>
          <w:trHeight w:val="454"/>
        </w:trPr>
        <w:tc>
          <w:tcPr>
            <w:tcW w:w="1123"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w:t>
            </w:r>
            <w:r/>
          </w:p>
        </w:tc>
        <w:tc>
          <w:tcPr>
            <w:tcW w:w="14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8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147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0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c>
          <w:tcPr>
            <w:tcW w:w="2219"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注：1、本表格式仅供参考，投标人可根据自身情况自行增减；</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2、如采购文件有要求，投标人拟投入产品须满足招标文件要求；</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3、如采购文件有要求，投标人应按采购文件要求提供拟投入产品的相关证明材料。</w:t>
      </w:r>
      <w:r/>
    </w:p>
    <w:p>
      <w:pPr>
        <w:contextualSpacing/>
        <w:ind w:firstLine="420"/>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本表上传至电子投标文件“</w:t>
      </w:r>
      <w:r>
        <w:rPr>
          <w:rFonts w:hint="eastAsia" w:ascii="宋体" w:hAnsi="宋体" w:eastAsia="宋体" w:cs="宋体"/>
          <w:b/>
          <w:bCs/>
          <w:i w:val="0"/>
          <w:iCs w:val="0"/>
          <w:caps w:val="0"/>
          <w:color w:val="auto"/>
          <w:spacing w:val="0"/>
          <w:sz w:val="21"/>
          <w:szCs w:val="21"/>
          <w:highlight w:val="none"/>
          <w:shd w:val="clear" w:color="auto" w:fill="ffffff"/>
        </w:rPr>
        <w:t xml:space="preserve">报价符合性审查</w:t>
      </w:r>
      <w:r>
        <w:rPr>
          <w:rFonts w:hint="eastAsia" w:ascii="宋体" w:hAnsi="宋体" w:eastAsia="宋体" w:cs="宋体"/>
          <w:b/>
          <w:bCs/>
          <w:color w:val="auto"/>
          <w:sz w:val="21"/>
          <w:szCs w:val="21"/>
          <w:highlight w:val="none"/>
          <w:lang w:val="en-US" w:eastAsia="zh-CN"/>
        </w:rPr>
        <w:t xml:space="preserve">”页面</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                </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日</w:t>
      </w:r>
      <w:r/>
    </w:p>
    <w:p>
      <w:pP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ind w:firstLine="422"/>
        <w:jc w:val="center"/>
        <w:tabs>
          <w:tab w:val="left" w:pos="1001"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4</w:t>
      </w: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eastAsia="宋体"/>
          <w:b/>
          <w:color w:val="auto"/>
          <w:sz w:val="44"/>
          <w:szCs w:val="44"/>
          <w:highlight w:val="none"/>
          <w:lang w:val="en-US" w:eastAsia="zh-CN"/>
        </w:rPr>
      </w:pPr>
      <w:r>
        <w:rPr>
          <w:rFonts w:hint="eastAsia" w:ascii="宋体" w:hAnsi="宋体" w:eastAsia="宋体" w:cs="宋体"/>
          <w:color w:val="auto"/>
          <w:sz w:val="21"/>
          <w:szCs w:val="21"/>
          <w:highlight w:val="none"/>
          <w:lang w:val="zh-CN"/>
        </w:rPr>
        <w:t xml:space="preserve">      年     月     日</w:t>
      </w:r>
      <w:r/>
    </w:p>
    <w:p>
      <w:pPr>
        <w:pStyle w:val="950"/>
        <w:numPr>
          <w:ilvl w:val="0"/>
          <w:numId w:val="0"/>
        </w:numPr>
        <w:ind w:left="403"/>
        <w:jc w:val="center"/>
        <w:spacing w:before="156" w:after="0" w:line="420" w:lineRule="exact"/>
        <w:rPr>
          <w:rFonts w:hint="eastAsia"/>
          <w:color w:val="auto"/>
          <w:sz w:val="44"/>
          <w:szCs w:val="44"/>
          <w:highlight w:val="none"/>
          <w:lang w:val="zh-CN"/>
        </w:rPr>
      </w:pPr>
      <w:r>
        <w:rPr>
          <w:rFonts w:hint="eastAsia"/>
          <w:color w:val="auto"/>
          <w:sz w:val="44"/>
          <w:szCs w:val="44"/>
          <w:highlight w:val="none"/>
          <w:lang w:val="zh-CN"/>
        </w:rPr>
      </w:r>
      <w:r/>
    </w:p>
    <w:p>
      <w:pPr>
        <w:jc w:val="center"/>
        <w:spacing w:line="360" w:lineRule="auto"/>
        <w:widowControl w:val="off"/>
        <w:rPr>
          <w:rFonts w:hint="eastAsia"/>
          <w:b/>
          <w:color w:val="auto"/>
          <w:sz w:val="44"/>
          <w:szCs w:val="44"/>
          <w:highlight w:val="none"/>
        </w:rPr>
      </w:pPr>
      <w:r>
        <w:rPr>
          <w:rFonts w:hint="eastAsia"/>
          <w:b/>
          <w:color w:val="auto"/>
          <w:sz w:val="44"/>
          <w:szCs w:val="44"/>
          <w:highlight w:val="none"/>
        </w:rPr>
      </w:r>
      <w:r/>
    </w:p>
    <w:p>
      <w:pPr>
        <w:jc w:val="center"/>
        <w:spacing w:line="360" w:lineRule="auto"/>
        <w:widowControl w:val="off"/>
        <w:rPr>
          <w:rFonts w:hint="eastAsia"/>
          <w:b/>
          <w:color w:val="auto"/>
          <w:sz w:val="44"/>
          <w:szCs w:val="44"/>
          <w:highlight w:val="none"/>
        </w:rPr>
      </w:pPr>
      <w:r>
        <w:rPr>
          <w:rFonts w:hint="eastAsia"/>
          <w:b/>
          <w:color w:val="auto"/>
          <w:sz w:val="44"/>
          <w:szCs w:val="44"/>
          <w:highlight w:val="none"/>
        </w:rPr>
      </w:r>
      <w:r/>
    </w:p>
    <w:p>
      <w:pPr>
        <w:jc w:val="center"/>
        <w:spacing w:line="360" w:lineRule="auto"/>
        <w:widowControl w:val="off"/>
        <w:rPr>
          <w:rFonts w:hint="default" w:eastAsia="宋体"/>
          <w:b/>
          <w:color w:val="auto"/>
          <w:sz w:val="44"/>
          <w:szCs w:val="44"/>
          <w:highlight w:val="none"/>
          <w:lang w:val="en-US" w:eastAsia="zh-CN"/>
        </w:rPr>
      </w:pPr>
      <w:r>
        <w:rPr>
          <w:rFonts w:hint="eastAsia"/>
          <w:b/>
          <w:color w:val="auto"/>
          <w:sz w:val="44"/>
          <w:szCs w:val="44"/>
          <w:highlight w:val="none"/>
          <w:lang w:val="en-US" w:eastAsia="zh-CN"/>
        </w:rPr>
        <w:t xml:space="preserve">资格、技术、商务部分</w:t>
      </w:r>
      <w:r/>
    </w:p>
    <w:p>
      <w:pPr>
        <w:pStyle w:val="963"/>
        <w:rPr>
          <w:rFonts w:hint="eastAsia"/>
          <w:color w:val="auto"/>
          <w:highlight w:val="none"/>
          <w:lang w:val="zh-CN"/>
        </w:rPr>
      </w:pPr>
      <w:r>
        <w:rPr>
          <w:rFonts w:hint="eastAsia"/>
          <w:color w:val="auto"/>
          <w:highlight w:val="none"/>
          <w:lang w:val="zh-CN"/>
        </w:rPr>
      </w:r>
      <w:r/>
    </w:p>
    <w:p>
      <w:pPr>
        <w:pStyle w:val="960"/>
        <w:numPr>
          <w:ilvl w:val="0"/>
          <w:numId w:val="16"/>
        </w:num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60"/>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60"/>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6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9"/>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u w:val="single"/>
          <w:lang w:eastAsia="zh-CN"/>
        </w:rPr>
        <w:t xml:space="preserve">苏州泰至鑫项目管理有限公司</w:t>
      </w:r>
      <w:r>
        <w:rPr>
          <w:rFonts w:hint="eastAsia" w:hAnsi="宋体" w:eastAsia="宋体" w:cs="宋体"/>
          <w:b/>
          <w:bCs/>
          <w:color w:val="auto"/>
          <w:sz w:val="21"/>
          <w:szCs w:val="21"/>
          <w:highlight w:val="none"/>
        </w:rPr>
        <w:t xml:space="preserve">：</w:t>
      </w:r>
      <w:r/>
    </w:p>
    <w:p>
      <w:pPr>
        <w:pStyle w:val="9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lang w:val="en-US" w:eastAsia="zh-CN"/>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1009"/>
        <w:jc w:val="center"/>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rPr>
          <w:rFonts w:hint="eastAsia"/>
          <w:b/>
          <w:bCs/>
          <w:color w:val="auto"/>
          <w:szCs w:val="21"/>
          <w:highlight w:val="none"/>
        </w:rPr>
      </w:pPr>
      <w:r>
        <w:rPr>
          <w:rFonts w:hint="eastAsia"/>
          <w:b/>
          <w:bCs/>
          <w:color w:val="auto"/>
          <w:szCs w:val="21"/>
          <w:highlight w:val="none"/>
        </w:rPr>
      </w:r>
      <w:r/>
    </w:p>
    <w:p>
      <w:pPr>
        <w:pStyle w:val="1009"/>
        <w:jc w:val="center"/>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rFonts w:hint="eastAsia"/>
          <w:b/>
          <w:bCs/>
          <w:color w:val="auto"/>
          <w:sz w:val="21"/>
          <w:szCs w:val="21"/>
          <w:highlight w:val="none"/>
        </w:rPr>
      </w:pPr>
      <w:r>
        <w:rPr>
          <w:rFonts w:hint="eastAsia"/>
          <w:b/>
          <w:bCs/>
          <w:color w:val="auto"/>
          <w:sz w:val="21"/>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both"/>
        <w:spacing w:line="360" w:lineRule="auto"/>
        <w:widowControl w:val="off"/>
        <w:rPr>
          <w:rFonts w:hint="eastAsia" w:ascii="宋体" w:hAnsi="宋体" w:eastAsia="宋体" w:cs="宋体"/>
          <w:color w:val="auto"/>
          <w:sz w:val="21"/>
          <w:szCs w:val="21"/>
          <w:highlight w:val="none"/>
          <w:lang w:eastAsia="zh-CN"/>
        </w:rPr>
      </w:pPr>
      <w:r>
        <w:rPr>
          <w:rFonts w:hint="eastAsia"/>
          <w:b/>
          <w:bCs/>
          <w:color w:val="auto"/>
          <w:sz w:val="21"/>
          <w:szCs w:val="21"/>
          <w:highlight w:val="none"/>
        </w:rPr>
        <w:t xml:space="preserve">注：必须按投标人资格要求提供相关资料并加盖公章</w:t>
      </w:r>
      <w:r>
        <w:rPr>
          <w:rFonts w:hint="eastAsia"/>
          <w:b/>
          <w:bCs/>
          <w:color w:val="auto"/>
          <w:sz w:val="21"/>
          <w:szCs w:val="21"/>
          <w:highlight w:val="none"/>
          <w:lang w:eastAsia="zh-CN"/>
        </w:rPr>
        <w:t xml:space="preserve">。</w:t>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投标人基本情况表</w:t>
      </w:r>
      <w:r/>
    </w:p>
    <w:p>
      <w:pPr>
        <w:pStyle w:val="960"/>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0"/>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w:t>
      </w:r>
      <w:r>
        <w:rPr>
          <w:rFonts w:hint="eastAsia" w:ascii="宋体" w:hAnsi="宋体" w:eastAsia="宋体" w:cs="宋体"/>
          <w:color w:val="auto"/>
          <w:sz w:val="21"/>
          <w:szCs w:val="21"/>
          <w:highlight w:val="none"/>
          <w:u w:val="single"/>
        </w:rPr>
        <w:t xml:space="preserve">                       </w:t>
      </w:r>
      <w:r/>
    </w:p>
    <w:tbl>
      <w:tblPr>
        <w:tblStyle w:val="95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54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bookmarkStart w:id="50" w:name="_Toc9742"/>
      <w:r/>
      <w:bookmarkStart w:id="51" w:name="_Toc24626"/>
      <w:r/>
      <w:bookmarkStart w:id="52" w:name="_Toc14425"/>
      <w:r/>
      <w:bookmarkStart w:id="53" w:name="_Toc5717"/>
      <w:r/>
      <w:bookmarkStart w:id="54" w:name="_Toc18702"/>
      <w:r/>
      <w:bookmarkStart w:id="55" w:name="_Toc17310"/>
      <w:r/>
      <w:bookmarkStart w:id="56" w:name="_Toc20811"/>
      <w:r/>
      <w:bookmarkStart w:id="57" w:name="_Toc29896"/>
      <w:r>
        <w:rPr>
          <w:rFonts w:hint="eastAsia" w:ascii="宋体" w:hAnsi="宋体" w:cs="宋体"/>
          <w:b/>
          <w:color w:val="auto"/>
          <w:sz w:val="21"/>
          <w:szCs w:val="21"/>
          <w:highlight w:val="none"/>
          <w:lang w:val="zh-CN"/>
        </w:rPr>
        <w:t xml:space="preserve">法人授权委托书</w:t>
      </w:r>
      <w:bookmarkEnd w:id="50"/>
      <w:r/>
      <w:bookmarkEnd w:id="51"/>
      <w:r/>
      <w:bookmarkEnd w:id="52"/>
      <w:r/>
      <w:bookmarkEnd w:id="53"/>
      <w:r/>
      <w:bookmarkEnd w:id="54"/>
      <w:r/>
      <w:bookmarkEnd w:id="55"/>
      <w:r/>
      <w:bookmarkEnd w:id="56"/>
      <w:r/>
      <w:bookmarkEnd w:id="57"/>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bookmarkStart w:id="58" w:name="_Toc18588"/>
      <w:r/>
      <w:bookmarkStart w:id="59" w:name="_Toc7351"/>
      <w:r/>
      <w:bookmarkStart w:id="60" w:name="_Toc11973"/>
      <w:r/>
      <w:bookmarkStart w:id="61" w:name="_Toc25556"/>
      <w:r/>
      <w:bookmarkStart w:id="62" w:name="_Toc4786"/>
      <w:r/>
      <w:bookmarkStart w:id="63" w:name="_Toc30046"/>
      <w:r/>
      <w:bookmarkStart w:id="64" w:name="_Toc25055"/>
      <w:r/>
      <w:bookmarkStart w:id="65" w:name="_Toc6794"/>
      <w:r/>
      <w:bookmarkStart w:id="66" w:name="_Toc11337"/>
      <w:r>
        <w:rPr>
          <w:rFonts w:hint="eastAsia" w:ascii="宋体" w:hAnsi="宋体" w:cs="宋体"/>
          <w:b/>
          <w:color w:val="auto"/>
          <w:sz w:val="21"/>
          <w:szCs w:val="21"/>
          <w:highlight w:val="none"/>
        </w:rPr>
        <w:t xml:space="preserve">附：法定代表人身份</w:t>
      </w:r>
      <w:r>
        <w:rPr>
          <w:rFonts w:hint="eastAsia" w:ascii="宋体" w:hAnsi="宋体" w:cs="宋体"/>
          <w:b/>
          <w:color w:val="auto"/>
          <w:sz w:val="21"/>
          <w:szCs w:val="21"/>
          <w:highlight w:val="none"/>
          <w:lang w:eastAsia="zh-CN"/>
        </w:rPr>
        <w:t xml:space="preserve">扫描件</w:t>
      </w:r>
      <w:r>
        <w:rPr>
          <w:rFonts w:hint="eastAsia" w:ascii="宋体" w:hAnsi="宋体" w:cs="宋体"/>
          <w:b/>
          <w:color w:val="auto"/>
          <w:sz w:val="21"/>
          <w:szCs w:val="21"/>
          <w:highlight w:val="none"/>
        </w:rPr>
        <w:t xml:space="preserve">件。</w:t>
      </w:r>
      <w:bookmarkEnd w:id="58"/>
      <w:r/>
      <w:bookmarkEnd w:id="59"/>
      <w:r/>
      <w:bookmarkEnd w:id="60"/>
      <w:r/>
      <w:bookmarkEnd w:id="61"/>
      <w:r/>
      <w:bookmarkEnd w:id="62"/>
      <w:r/>
      <w:bookmarkEnd w:id="63"/>
      <w:r/>
      <w:bookmarkEnd w:id="64"/>
      <w:r/>
      <w:bookmarkEnd w:id="65"/>
      <w:r/>
      <w:bookmarkEnd w:id="66"/>
      <w:r/>
      <w:r/>
    </w:p>
    <w:p>
      <w:pPr>
        <w:pStyle w:val="9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15"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14" o:spid="_x0000_s14"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60"/>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16"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15" o:spid="_x0000_s15"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w:t>
      </w:r>
      <w:r>
        <w:rPr>
          <w:rFonts w:hint="eastAsia" w:ascii="宋体" w:hAnsi="宋体" w:cs="宋体"/>
          <w:b/>
          <w:color w:val="auto"/>
          <w:sz w:val="21"/>
          <w:szCs w:val="21"/>
          <w:highlight w:val="none"/>
          <w:lang w:eastAsia="zh-CN"/>
        </w:rPr>
        <w:t xml:space="preserve">扫描件</w:t>
      </w:r>
      <w:r>
        <w:rPr>
          <w:rFonts w:hint="eastAsia" w:ascii="宋体" w:hAnsi="宋体" w:cs="宋体"/>
          <w:b/>
          <w:color w:val="auto"/>
          <w:sz w:val="21"/>
          <w:szCs w:val="21"/>
          <w:highlight w:val="none"/>
        </w:rPr>
        <w:t xml:space="preserve">件</w:t>
      </w:r>
      <w:r/>
    </w:p>
    <w:p>
      <w:pPr>
        <w:pStyle w:val="950"/>
        <w:numPr>
          <w:ilvl w:val="0"/>
          <w:numId w:val="0"/>
        </w:numPr>
        <w:ind w:left="400"/>
        <w:spacing w:before="0" w:after="0" w:line="360" w:lineRule="auto"/>
        <w:rPr>
          <w:rFonts w:hint="eastAsia"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r>
      <w:r/>
    </w:p>
    <w:p>
      <w:pPr>
        <w:pStyle w:val="950"/>
        <w:numPr>
          <w:ilvl w:val="0"/>
          <w:numId w:val="0"/>
        </w:numPr>
        <w:ind w:left="400"/>
        <w:spacing w:before="0" w:after="0" w:line="360" w:lineRule="auto"/>
        <w:rPr>
          <w:rFonts w:hint="eastAsia"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中小企业声明函</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1017"/>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963"/>
        <w:ind w:right="355" w:firstLine="64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46"/>
        <w:numPr>
          <w:ilvl w:val="0"/>
          <w:numId w:val="17"/>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46"/>
        <w:numPr>
          <w:ilvl w:val="0"/>
          <w:numId w:val="17"/>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63"/>
        <w:ind w:left="860"/>
        <w:spacing w:before="11"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63"/>
        <w:ind w:right="357" w:firstLine="645"/>
        <w:jc w:val="both"/>
        <w:spacing w:before="108" w:line="360" w:lineRule="auto"/>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63"/>
        <w:ind w:right="315" w:firstLine="64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投标单位（公章）：</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备注：</w:t>
      </w:r>
      <w:r>
        <w:rPr>
          <w:rFonts w:hint="eastAsia" w:ascii="宋体" w:hAnsi="宋体" w:cs="宋体"/>
          <w:b/>
          <w:bCs/>
          <w:color w:val="auto"/>
          <w:sz w:val="21"/>
          <w:szCs w:val="21"/>
          <w:highlight w:val="none"/>
          <w:lang w:val="zh-CN"/>
        </w:rPr>
        <w:t xml:space="preserve">1、中小企业划分标准详见“工信部联企业〔2011〕300号通知”。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37"/>
        <w:ind w:left="3400" w:firstLine="4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1037"/>
        <w:ind w:left="38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37"/>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79"/>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79"/>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78"/>
        <w:spacing w:before="0" w:beforeAutospacing="0" w:after="0" w:afterAutospacing="0" w:line="360" w:lineRule="auto"/>
        <w:rPr>
          <w:rFonts w:hint="eastAsia"/>
          <w:color w:val="auto"/>
          <w:sz w:val="21"/>
          <w:szCs w:val="21"/>
          <w:highlight w:val="none"/>
        </w:rPr>
      </w:pPr>
      <w:r/>
      <w:bookmarkStart w:id="67"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67"/>
      <w:r/>
      <w:r/>
    </w:p>
    <w:p>
      <w:pPr>
        <w:pStyle w:val="960"/>
        <w:numPr>
          <w:ilvl w:val="0"/>
          <w:numId w:val="16"/>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偏离表</w:t>
      </w:r>
      <w:r/>
    </w:p>
    <w:p>
      <w:pPr>
        <w:pStyle w:val="960"/>
        <w:rPr>
          <w:rFonts w:ascii="宋体" w:hAnsi="宋体" w:eastAsia="宋体"/>
          <w:b/>
          <w:bCs/>
          <w:color w:val="auto"/>
          <w:szCs w:val="24"/>
          <w:highlight w:val="none"/>
        </w:rPr>
      </w:pPr>
      <w:r>
        <w:rPr>
          <w:rFonts w:hint="eastAsia"/>
          <w:b/>
          <w:bCs/>
          <w:color w:val="auto"/>
          <w:szCs w:val="21"/>
          <w:highlight w:val="none"/>
        </w:rPr>
        <w:t xml:space="preserve">                  </w:t>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技术要求</w:t>
      </w:r>
      <w:r>
        <w:rPr>
          <w:rFonts w:hint="eastAsia" w:ascii="宋体" w:hAnsi="宋体" w:cs="宋体"/>
          <w:b/>
          <w:color w:val="auto"/>
          <w:sz w:val="21"/>
          <w:szCs w:val="21"/>
          <w:highlight w:val="none"/>
        </w:rPr>
        <w:t xml:space="preserve">偏离表</w:t>
      </w:r>
      <w:r/>
    </w:p>
    <w:p>
      <w:pPr>
        <w:ind w:firstLine="525"/>
        <w:spacing w:line="380" w:lineRule="exact"/>
        <w:rPr>
          <w:rFonts w:hint="eastAsia"/>
          <w:color w:val="auto"/>
          <w:sz w:val="21"/>
          <w:szCs w:val="21"/>
          <w:highlight w:val="none"/>
          <w:lang w:val="zh-CN"/>
        </w:rPr>
      </w:pPr>
      <w:r>
        <w:rPr>
          <w:rFonts w:hint="eastAsia"/>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val="false"/>
          </w:tcPr>
          <w:p>
            <w:pPr>
              <w:pStyle w:val="960"/>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60"/>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60"/>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052" w:type="dxa"/>
            <w:vAlign w:val="center"/>
            <w:textDirection w:val="lrTb"/>
            <w:noWrap w:val="false"/>
          </w:tcPr>
          <w:p>
            <w:pPr>
              <w:pStyle w:val="960"/>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683"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683"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683"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683"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683"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683"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top"/>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683"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60"/>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color w:val="auto"/>
          <w:spacing w:val="20"/>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pacing w:val="20"/>
          <w:sz w:val="21"/>
          <w:szCs w:val="21"/>
          <w:highlight w:val="none"/>
        </w:rPr>
        <w:t xml:space="preserve">商务条款偏离表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招标编号∶</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554"/>
        <w:gridCol w:w="3706"/>
        <w:gridCol w:w="1510"/>
        <w:gridCol w:w="1330"/>
        <w:gridCol w:w="934"/>
      </w:tblGrid>
      <w:tr>
        <w:trPr>
          <w:cantSplit/>
          <w:jc w:val="center"/>
          <w:trHeight w:val="454"/>
          <w:tblHeader/>
        </w:trPr>
        <w:tc>
          <w:tcPr>
            <w:tcW w:w="74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55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项目</w:t>
            </w:r>
            <w:r/>
          </w:p>
        </w:tc>
        <w:tc>
          <w:tcPr>
            <w:tcW w:w="3706"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招标文件要求</w:t>
            </w:r>
            <w:r/>
          </w:p>
        </w:tc>
        <w:tc>
          <w:tcPr>
            <w:tcW w:w="151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w:t>
            </w:r>
            <w:r/>
          </w:p>
        </w:tc>
        <w:tc>
          <w:tcPr>
            <w:tcW w:w="133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偏离说明</w:t>
            </w:r>
            <w:r/>
          </w:p>
        </w:tc>
        <w:tc>
          <w:tcPr>
            <w:tcW w:w="9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cantSplit/>
          <w:jc w:val="center"/>
          <w:trHeight w:val="454"/>
        </w:trPr>
        <w:tc>
          <w:tcPr>
            <w:tcW w:w="74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w:t>
            </w:r>
            <w:r/>
          </w:p>
        </w:tc>
        <w:tc>
          <w:tcPr>
            <w:tcW w:w="155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 </w:t>
            </w:r>
            <w:r/>
          </w:p>
        </w:tc>
        <w:tc>
          <w:tcPr>
            <w:tcW w:w="3706"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74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w:t>
            </w:r>
            <w:r/>
          </w:p>
        </w:tc>
        <w:tc>
          <w:tcPr>
            <w:tcW w:w="155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服务地点</w:t>
            </w:r>
            <w:r/>
          </w:p>
        </w:tc>
        <w:tc>
          <w:tcPr>
            <w:tcW w:w="3706" w:type="dxa"/>
            <w:vAlign w:val="center"/>
            <w:textDirection w:val="lrTb"/>
            <w:noWrap w:val="false"/>
          </w:tcPr>
          <w:p>
            <w:pPr>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74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w:t>
            </w:r>
            <w:r/>
          </w:p>
        </w:tc>
        <w:tc>
          <w:tcPr>
            <w:tcW w:w="155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报价方式</w:t>
            </w:r>
            <w:r/>
          </w:p>
        </w:tc>
        <w:tc>
          <w:tcPr>
            <w:tcW w:w="3706"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74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p>
        </w:tc>
        <w:tc>
          <w:tcPr>
            <w:tcW w:w="155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付款方式</w:t>
            </w:r>
            <w:r/>
          </w:p>
        </w:tc>
        <w:tc>
          <w:tcPr>
            <w:tcW w:w="370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74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w:t>
            </w:r>
            <w:r/>
          </w:p>
        </w:tc>
        <w:tc>
          <w:tcPr>
            <w:tcW w:w="1554"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售后服务</w:t>
            </w:r>
            <w:r/>
          </w:p>
        </w:tc>
        <w:tc>
          <w:tcPr>
            <w:tcW w:w="3706"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承诺函可附后</w:t>
            </w:r>
            <w:r/>
          </w:p>
        </w:tc>
      </w:tr>
      <w:tr>
        <w:trPr>
          <w:cantSplit/>
          <w:jc w:val="center"/>
          <w:trHeight w:val="454"/>
        </w:trPr>
        <w:tc>
          <w:tcPr>
            <w:tcW w:w="74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55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其他商务要求</w:t>
            </w:r>
            <w:r/>
          </w:p>
        </w:tc>
        <w:tc>
          <w:tcPr>
            <w:tcW w:w="3706"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spacing w:line="40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格式</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投标人名称：_________________________</w:t>
      </w:r>
      <w:r/>
    </w:p>
    <w:tbl>
      <w:tblPr>
        <w:tblStyle w:val="95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20"/>
        <w:gridCol w:w="2575"/>
        <w:gridCol w:w="1479"/>
        <w:gridCol w:w="1337"/>
        <w:gridCol w:w="1823"/>
      </w:tblGrid>
      <w:tr>
        <w:trPr>
          <w:cantSplit/>
          <w:jc w:val="center"/>
          <w:trHeight w:val="740"/>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5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证书名称</w:t>
            </w:r>
            <w:r/>
          </w:p>
        </w:tc>
        <w:tc>
          <w:tcPr>
            <w:tcW w:w="147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证书级别</w:t>
            </w:r>
            <w:r/>
          </w:p>
        </w:tc>
        <w:tc>
          <w:tcPr>
            <w:tcW w:w="133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包含项目</w:t>
            </w:r>
            <w:r/>
          </w:p>
        </w:tc>
        <w:tc>
          <w:tcPr>
            <w:tcW w:w="1823"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right="0" w:firstLine="718"/>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：需按</w:t>
      </w:r>
      <w:r>
        <w:rPr>
          <w:rFonts w:hint="eastAsia" w:ascii="宋体" w:hAnsi="宋体" w:eastAsia="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rPr>
        <w:t xml:space="preserve">要求提供相关证明资料，</w:t>
      </w:r>
      <w:r>
        <w:rPr>
          <w:rFonts w:hint="eastAsia" w:ascii="宋体" w:hAnsi="宋体" w:eastAsia="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hint="eastAsia" w:ascii="宋体" w:hAnsi="宋体" w:cs="宋体"/>
          <w:color w:val="auto"/>
          <w:highlight w:val="none"/>
        </w:rPr>
      </w:pPr>
      <w:r>
        <w:rPr>
          <w:rFonts w:hint="eastAsia" w:ascii="宋体" w:hAnsi="宋体" w:cs="宋体"/>
          <w:color w:val="auto"/>
          <w:highlight w:val="none"/>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5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7"/>
        <w:gridCol w:w="4075"/>
        <w:gridCol w:w="1815"/>
        <w:gridCol w:w="1337"/>
        <w:gridCol w:w="1337"/>
      </w:tblGrid>
      <w:tr>
        <w:trPr>
          <w:cantSplit/>
          <w:jc w:val="center"/>
          <w:trHeight w:val="740"/>
        </w:trPr>
        <w:tc>
          <w:tcPr>
            <w:tcW w:w="100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4075"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815"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100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07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1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00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407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1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00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407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1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00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407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1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00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407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15"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960"/>
        <w:numPr>
          <w:ilvl w:val="0"/>
          <w:numId w:val="0"/>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格式15：</w:t>
      </w:r>
      <w:r>
        <w:rPr>
          <w:rFonts w:hint="eastAsia" w:ascii="宋体" w:hAnsi="宋体" w:eastAsia="宋体" w:cs="宋体"/>
          <w:b/>
          <w:color w:val="auto"/>
          <w:sz w:val="21"/>
          <w:szCs w:val="21"/>
          <w:highlight w:val="none"/>
          <w:lang w:eastAsia="zh-CN"/>
        </w:rPr>
        <w:t xml:space="preserve">投入本项目</w:t>
      </w:r>
      <w:r>
        <w:rPr>
          <w:rFonts w:hint="eastAsia" w:ascii="宋体" w:hAnsi="宋体" w:eastAsia="宋体" w:cs="宋体"/>
          <w:b/>
          <w:color w:val="auto"/>
          <w:sz w:val="21"/>
          <w:szCs w:val="21"/>
          <w:highlight w:val="none"/>
        </w:rPr>
        <w:t xml:space="preserve">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eastAsia="zh-CN"/>
        </w:rPr>
        <w:t xml:space="preserve">投入本项目</w:t>
      </w:r>
      <w:r>
        <w:rPr>
          <w:rFonts w:hint="eastAsia" w:ascii="宋体" w:hAnsi="宋体" w:eastAsia="宋体" w:cs="宋体"/>
          <w:b/>
          <w:color w:val="auto"/>
          <w:sz w:val="21"/>
          <w:szCs w:val="21"/>
          <w:highlight w:val="none"/>
        </w:rPr>
        <w:t xml:space="preserve">技术（服务）人员</w:t>
      </w:r>
      <w:r>
        <w:rPr>
          <w:rFonts w:hint="eastAsia" w:ascii="宋体" w:hAnsi="宋体" w:eastAsia="宋体" w:cs="宋体"/>
          <w:b/>
          <w:bCs/>
          <w:color w:val="auto"/>
          <w:sz w:val="21"/>
          <w:szCs w:val="21"/>
          <w:highlight w:val="none"/>
        </w:rPr>
        <w:t xml:space="preserve">一览表</w:t>
      </w:r>
      <w:r/>
    </w:p>
    <w:p>
      <w:pPr>
        <w:pStyle w:val="963"/>
        <w:rPr>
          <w:rFonts w:hint="eastAsia"/>
          <w:color w:val="auto"/>
          <w:highlight w:val="none"/>
        </w:rPr>
      </w:pPr>
      <w:r>
        <w:rPr>
          <w:rFonts w:hint="eastAsia"/>
          <w:color w:val="auto"/>
          <w:highlight w:val="none"/>
        </w:rPr>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相关证书</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w:t>
      </w:r>
      <w:r>
        <w:rPr>
          <w:rFonts w:hint="eastAsia" w:ascii="宋体" w:hAnsi="宋体" w:cs="宋体"/>
          <w:color w:val="auto"/>
          <w:sz w:val="21"/>
          <w:szCs w:val="21"/>
          <w:highlight w:val="none"/>
          <w:lang w:eastAsia="zh-CN"/>
        </w:rPr>
        <w:t xml:space="preserve">按招标文件要求</w:t>
      </w:r>
      <w:r>
        <w:rPr>
          <w:rFonts w:hint="eastAsia" w:ascii="宋体" w:hAnsi="宋体" w:cs="宋体"/>
          <w:color w:val="auto"/>
          <w:sz w:val="21"/>
          <w:szCs w:val="21"/>
          <w:highlight w:val="none"/>
        </w:rPr>
        <w:t xml:space="preserve">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37"/>
        <w:ind w:firstLine="492"/>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lang w:val="en-US" w:eastAsia="zh-CN"/>
        </w:rPr>
        <w:t xml:space="preserve">日期：    </w:t>
      </w:r>
      <w:r>
        <w:rPr>
          <w:rFonts w:hint="eastAsia" w:ascii="宋体" w:hAnsi="宋体" w:cs="宋体"/>
          <w:color w:val="auto"/>
          <w:sz w:val="21"/>
          <w:szCs w:val="21"/>
          <w:highlight w:val="none"/>
          <w:lang w:val="zh-CN"/>
        </w:rPr>
        <w:t xml:space="preserve">年     月     日</w:t>
      </w:r>
      <w:r/>
    </w:p>
    <w:p>
      <w:pPr>
        <w:pStyle w:val="1037"/>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格式16：</w:t>
      </w:r>
      <w:r>
        <w:rPr>
          <w:rFonts w:hint="eastAsia" w:ascii="宋体" w:hAnsi="宋体" w:eastAsia="宋体" w:cs="宋体"/>
          <w:b/>
          <w:color w:val="auto"/>
          <w:sz w:val="21"/>
          <w:szCs w:val="21"/>
          <w:highlight w:val="none"/>
        </w:rPr>
        <w:t xml:space="preserve">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Style w:val="992"/>
          <w:rFonts w:hint="eastAsia" w:ascii="宋体" w:hAnsi="宋体" w:eastAsia="宋体" w:cs="宋体"/>
          <w:color w:val="auto"/>
          <w:sz w:val="32"/>
          <w:szCs w:val="32"/>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68" w:name="_Toc19345"/>
      <w:r/>
      <w:r/>
    </w:p>
    <w:p>
      <w:pPr>
        <w:jc w:val="center"/>
        <w:spacing w:line="360" w:lineRule="auto"/>
        <w:rPr>
          <w:rStyle w:val="99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9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9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92"/>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92"/>
          <w:rFonts w:hint="eastAsia"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第五章 评标办法及评分标准</w:t>
      </w:r>
      <w:bookmarkEnd w:id="68"/>
      <w:r/>
      <w:r/>
    </w:p>
    <w:p>
      <w:pPr>
        <w:pStyle w:val="1017"/>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017"/>
        <w:numPr>
          <w:ilvl w:val="0"/>
          <w:numId w:val="18"/>
        </w:numPr>
        <w:ind w:left="0" w:firstLine="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18"/>
        </w:numPr>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18"/>
        </w:numPr>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18"/>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numPr>
          <w:ilvl w:val="1"/>
          <w:numId w:val="18"/>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协议供货目录</w:t>
      </w:r>
      <w:r/>
    </w:p>
    <w:p>
      <w:pPr>
        <w:ind w:firstLine="420"/>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采购清单中的设备如属协议供货中规定的目录内产品将参照苏州市政府采购共享江苏省省级最新一期协议目录产品，同时还须满足协议供货承诺书中所作的承诺。响应单位所响应产品型号</w:t>
      </w:r>
      <w:r>
        <w:rPr>
          <w:rFonts w:hint="eastAsia" w:ascii="宋体" w:hAnsi="宋体" w:cs="宋体"/>
          <w:b/>
          <w:bCs/>
          <w:color w:val="auto"/>
          <w:sz w:val="21"/>
          <w:szCs w:val="21"/>
          <w:highlight w:val="none"/>
          <w:lang w:bidi="ar"/>
        </w:rPr>
        <w:t xml:space="preserve">必须</w:t>
      </w:r>
      <w:r>
        <w:rPr>
          <w:rFonts w:hint="eastAsia" w:ascii="宋体" w:hAnsi="宋体" w:cs="宋体"/>
          <w:color w:val="auto"/>
          <w:sz w:val="21"/>
          <w:szCs w:val="21"/>
          <w:highlight w:val="none"/>
          <w:lang w:bidi="ar"/>
        </w:rPr>
        <w:t xml:space="preserve">为协议供货目录中有的品牌型号，</w:t>
      </w:r>
      <w:r>
        <w:rPr>
          <w:rFonts w:hint="eastAsia" w:ascii="宋体" w:hAnsi="宋体" w:cs="宋体"/>
          <w:b/>
          <w:bCs/>
          <w:color w:val="auto"/>
          <w:sz w:val="21"/>
          <w:szCs w:val="21"/>
          <w:highlight w:val="none"/>
          <w:lang w:bidi="ar"/>
        </w:rPr>
        <w:t xml:space="preserve">且单台设备报价不得高于最高限价</w:t>
      </w:r>
      <w:r>
        <w:rPr>
          <w:rFonts w:hint="eastAsia" w:ascii="宋体" w:hAnsi="宋体" w:cs="宋体"/>
          <w:color w:val="auto"/>
          <w:sz w:val="21"/>
          <w:szCs w:val="21"/>
          <w:highlight w:val="none"/>
          <w:lang w:bidi="ar"/>
        </w:rPr>
        <w:t xml:space="preserve">，</w:t>
      </w:r>
      <w:r>
        <w:rPr>
          <w:rFonts w:hint="eastAsia" w:ascii="宋体" w:hAnsi="宋体" w:cs="宋体"/>
          <w:b/>
          <w:bCs/>
          <w:color w:val="auto"/>
          <w:sz w:val="21"/>
          <w:szCs w:val="21"/>
          <w:highlight w:val="none"/>
          <w:lang w:bidi="ar"/>
        </w:rPr>
        <w:t xml:space="preserve">否则视为未实质性响应</w:t>
      </w:r>
      <w:r>
        <w:rPr>
          <w:rFonts w:hint="eastAsia" w:ascii="宋体" w:hAnsi="宋体" w:cs="宋体"/>
          <w:color w:val="auto"/>
          <w:sz w:val="21"/>
          <w:szCs w:val="21"/>
          <w:highlight w:val="none"/>
          <w:lang w:bidi="ar"/>
        </w:rPr>
        <w:t xml:space="preserve">。响应单位可提供相关产品信息的截图资料以便评审，清单截图资料以递交投标文件截止时已正式公布的最近一期信息为准。</w:t>
      </w:r>
      <w:r/>
    </w:p>
    <w:p>
      <w:pPr>
        <w:ind w:firstLine="420"/>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在最新一期协议供货目录发布时已经开展但尚未进入评审环节的政府采购活动，可同时执行最新一期和其上期协议供货目录。</w:t>
      </w:r>
      <w:r/>
    </w:p>
    <w:p>
      <w:pPr>
        <w:numPr>
          <w:ilvl w:val="1"/>
          <w:numId w:val="18"/>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18"/>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小微企业的价格分评审</w:t>
      </w:r>
      <w:r/>
    </w:p>
    <w:p>
      <w:pPr>
        <w:pStyle w:val="978"/>
        <w:numPr>
          <w:ilvl w:val="0"/>
          <w:numId w:val="19"/>
        </w:numPr>
        <w:ind w:left="0" w:firstLine="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（1）本项目属于</w:t>
      </w:r>
      <w:r>
        <w:rPr>
          <w:rFonts w:hint="eastAsia" w:ascii="宋体" w:hAnsi="宋体" w:cs="宋体"/>
          <w:b/>
          <w:bCs/>
          <w:color w:val="auto"/>
          <w:sz w:val="21"/>
          <w:szCs w:val="21"/>
          <w:highlight w:val="none"/>
          <w:lang w:val="en-US" w:eastAsia="zh-CN"/>
        </w:rPr>
        <w:t xml:space="preserve">非</w:t>
      </w:r>
      <w:r>
        <w:rPr>
          <w:rFonts w:hint="eastAsia" w:ascii="宋体" w:hAnsi="宋体" w:cs="宋体"/>
          <w:b/>
          <w:bCs/>
          <w:color w:val="auto"/>
          <w:sz w:val="21"/>
          <w:szCs w:val="21"/>
          <w:highlight w:val="none"/>
        </w:rPr>
        <w:t xml:space="preserve">专门面向中小微企业</w:t>
      </w:r>
      <w:r>
        <w:rPr>
          <w:rFonts w:hint="eastAsia" w:ascii="宋体" w:hAnsi="宋体" w:cs="宋体"/>
          <w:b/>
          <w:bCs/>
          <w:color w:val="auto"/>
          <w:sz w:val="21"/>
          <w:szCs w:val="21"/>
          <w:highlight w:val="none"/>
          <w:lang w:val="en-US" w:eastAsia="zh-CN"/>
        </w:rPr>
        <w:t xml:space="preserve">采购的项目</w:t>
      </w:r>
      <w:r>
        <w:rPr>
          <w:rFonts w:hint="eastAsia" w:ascii="宋体" w:hAnsi="宋体" w:cs="宋体"/>
          <w:b/>
          <w:bCs/>
          <w:color w:val="auto"/>
          <w:sz w:val="21"/>
          <w:szCs w:val="21"/>
          <w:highlight w:val="none"/>
        </w:rPr>
        <w:t xml:space="preserve">，小微企业</w:t>
      </w:r>
      <w:r>
        <w:rPr>
          <w:rFonts w:hint="eastAsia" w:ascii="宋体" w:hAnsi="宋体" w:cs="宋体"/>
          <w:b/>
          <w:bCs/>
          <w:color w:val="auto"/>
          <w:sz w:val="21"/>
          <w:szCs w:val="21"/>
          <w:highlight w:val="none"/>
          <w:lang w:val="en-US" w:eastAsia="zh-CN"/>
        </w:rPr>
        <w:t xml:space="preserve">参与本项目的对其</w:t>
      </w:r>
      <w:r>
        <w:rPr>
          <w:rFonts w:hint="eastAsia" w:ascii="宋体" w:hAnsi="宋体" w:eastAsia="宋体" w:cs="宋体"/>
          <w:b/>
          <w:bCs/>
          <w:color w:val="auto"/>
          <w:sz w:val="21"/>
          <w:szCs w:val="21"/>
          <w:highlight w:val="none"/>
        </w:rPr>
        <w:t xml:space="preserve">价格给予20%的扣除，用扣除后的价格参与评审</w:t>
      </w:r>
      <w:r>
        <w:rPr>
          <w:rFonts w:hint="eastAsia" w:ascii="宋体" w:hAnsi="宋体" w:cs="宋体"/>
          <w:b/>
          <w:bCs/>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（2）中小企业划分标准详见“工信部联企业〔2011〕300号通知”。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（4）各投标单位若为</w:t>
      </w:r>
      <w:r>
        <w:rPr>
          <w:rFonts w:hint="eastAsia" w:ascii="宋体" w:hAnsi="宋体" w:cs="宋体"/>
          <w:color w:val="auto"/>
          <w:sz w:val="21"/>
          <w:szCs w:val="21"/>
          <w:highlight w:val="none"/>
          <w:lang w:val="en-US" w:eastAsia="zh-CN"/>
        </w:rPr>
        <w:t xml:space="preserve">中、</w:t>
      </w:r>
      <w:r>
        <w:rPr>
          <w:rFonts w:hint="eastAsia" w:ascii="宋体" w:hAnsi="宋体" w:cs="宋体"/>
          <w:color w:val="auto"/>
          <w:sz w:val="21"/>
          <w:szCs w:val="21"/>
          <w:highlight w:val="none"/>
        </w:rPr>
        <w:t xml:space="preserve">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微型企业，则必须提供《中小企业声明函》。（详见附件格式中小企业声明函）。未在</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rPr>
        <w:t xml:space="preserve">文件中提供《中小企业声明函》的，不享受促进中小微企业发展的相关政府采购政策。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（5）提供其他企业制造的货物或服务，须同时提供其他企业的小微企业证明材料（材料同上条）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（8）符合中小企业划分标准的个体工商户，在政府采购活动中视同中小企业。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（9）中标、成交供应商为小微企业单位的，《中小企业声明函》应当随中标、成交结果同时公告，接受社会监督。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78"/>
        <w:numPr>
          <w:ilvl w:val="0"/>
          <w:numId w:val="19"/>
        </w:numPr>
        <w:spacing w:before="0" w:beforeAutospacing="0" w:after="0" w:afterAutospacing="0" w:line="360" w:lineRule="auto"/>
        <w:rPr>
          <w:color w:val="auto"/>
          <w:sz w:val="21"/>
          <w:szCs w:val="21"/>
          <w:highlight w:val="none"/>
        </w:rPr>
      </w:pPr>
      <w:r>
        <w:rPr>
          <w:rFonts w:hint="eastAsia"/>
          <w:color w:val="auto"/>
          <w:sz w:val="21"/>
          <w:szCs w:val="21"/>
          <w:highlight w:val="none"/>
        </w:rPr>
        <w:t xml:space="preserve">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978"/>
        <w:numPr>
          <w:ilvl w:val="0"/>
          <w:numId w:val="19"/>
        </w:numPr>
        <w:spacing w:before="0" w:beforeAutospacing="0" w:after="0" w:afterAutospacing="0" w:line="360" w:lineRule="auto"/>
        <w:rPr>
          <w:color w:val="auto"/>
          <w:sz w:val="21"/>
          <w:szCs w:val="21"/>
          <w:highlight w:val="none"/>
        </w:rPr>
      </w:pPr>
      <w:r>
        <w:rPr>
          <w:rFonts w:hint="eastAsia"/>
          <w:color w:val="auto"/>
          <w:sz w:val="21"/>
          <w:szCs w:val="21"/>
          <w:highlight w:val="none"/>
        </w:rPr>
        <w:t xml:space="preserve">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numPr>
          <w:ilvl w:val="1"/>
          <w:numId w:val="18"/>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w:t>
      </w:r>
      <w:r>
        <w:rPr>
          <w:rFonts w:ascii="宋体" w:hAnsi="宋体" w:eastAsia="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rPr>
        <w:t xml:space="preserve">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eastAsia="zh-CN"/>
        </w:rPr>
        <w:t xml:space="preserve">通过“信用中国”网站、中国政府采购网等渠道查询相关主体信用记录。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right="0"/>
        <w:keepLines w:val="0"/>
        <w:keepNext w:val="0"/>
        <w:pageBreakBefore w:val="0"/>
        <w:spacing w:line="36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spacing w:line="360" w:lineRule="auto"/>
        <w:rPr>
          <w:rFonts w:cs="宋体"/>
          <w:color w:val="auto"/>
          <w:sz w:val="21"/>
          <w:szCs w:val="21"/>
          <w:highlight w:val="none"/>
        </w:rPr>
      </w:pPr>
      <w:r>
        <w:rPr>
          <w:rFonts w:hint="eastAsia" w:cs="宋体"/>
          <w:b/>
          <w:color w:val="auto"/>
          <w:sz w:val="21"/>
          <w:szCs w:val="21"/>
          <w:highlight w:val="none"/>
        </w:rPr>
        <w:t xml:space="preserve">（一）价格基准分：</w:t>
      </w:r>
      <w:r>
        <w:rPr>
          <w:rFonts w:hint="eastAsia" w:cs="宋体"/>
          <w:b/>
          <w:color w:val="auto"/>
          <w:sz w:val="21"/>
          <w:szCs w:val="21"/>
          <w:highlight w:val="none"/>
          <w:lang w:val="en-US" w:eastAsia="zh-CN"/>
        </w:rPr>
        <w:t xml:space="preserve">20</w:t>
      </w:r>
      <w:r>
        <w:rPr>
          <w:rFonts w:hint="eastAsia" w:cs="宋体"/>
          <w:b/>
          <w:color w:val="auto"/>
          <w:sz w:val="21"/>
          <w:szCs w:val="21"/>
          <w:highlight w:val="none"/>
        </w:rPr>
        <w:t xml:space="preserve">分</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第一步：投标报价在采购预算价格以下的，为有效投标报价。超出此范围的投标报价为无效投标报价。无效投标报价的投标文件不进行评审，也不得标。</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第二步：综合评分法中的价格分统一采用低价优先法计算，即满足招标文件要求且报价最低的供应商的价格为招标基准价，其价格分为满分。其他供应商的价格分统一按照下列公式计算：</w:t>
      </w:r>
      <w:r/>
    </w:p>
    <w:p>
      <w:pPr>
        <w:ind w:firstLine="420"/>
        <w:spacing w:line="360" w:lineRule="auto"/>
        <w:rPr>
          <w:rFonts w:hint="eastAsia" w:cs="宋体"/>
          <w:color w:val="auto"/>
          <w:sz w:val="21"/>
          <w:szCs w:val="21"/>
          <w:highlight w:val="none"/>
        </w:rPr>
      </w:pPr>
      <w:r>
        <w:rPr>
          <w:rFonts w:hint="eastAsia" w:cs="宋体"/>
          <w:color w:val="auto"/>
          <w:sz w:val="21"/>
          <w:szCs w:val="21"/>
          <w:highlight w:val="none"/>
        </w:rPr>
        <w:t xml:space="preserve">报价得分=（基准价/</w:t>
      </w:r>
      <w:r>
        <w:rPr>
          <w:rFonts w:hint="eastAsia" w:cs="宋体"/>
          <w:color w:val="auto"/>
          <w:sz w:val="21"/>
          <w:szCs w:val="21"/>
          <w:highlight w:val="none"/>
          <w:lang w:val="en-US" w:eastAsia="zh-CN"/>
        </w:rPr>
        <w:t xml:space="preserve">投标</w:t>
      </w:r>
      <w:r>
        <w:rPr>
          <w:rFonts w:hint="eastAsia" w:cs="宋体"/>
          <w:color w:val="auto"/>
          <w:sz w:val="21"/>
          <w:szCs w:val="21"/>
          <w:highlight w:val="none"/>
        </w:rPr>
        <w:t xml:space="preserve">报价）×</w:t>
      </w:r>
      <w:r>
        <w:rPr>
          <w:rFonts w:hint="eastAsia" w:cs="宋体"/>
          <w:color w:val="auto"/>
          <w:sz w:val="21"/>
          <w:szCs w:val="21"/>
          <w:highlight w:val="none"/>
          <w:lang w:val="en-US" w:eastAsia="zh-CN"/>
        </w:rPr>
        <w:t xml:space="preserve">20</w:t>
      </w:r>
      <w:r>
        <w:rPr>
          <w:rFonts w:hint="eastAsia" w:cs="宋体"/>
          <w:color w:val="auto"/>
          <w:sz w:val="21"/>
          <w:szCs w:val="21"/>
          <w:highlight w:val="none"/>
        </w:rPr>
        <w:t xml:space="preserve">%×100</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（二）技术要求响应(</w:t>
      </w:r>
      <w:r>
        <w:rPr>
          <w:rFonts w:hint="eastAsia" w:ascii="宋体" w:hAnsi="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分)</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1、拟投入本项目新建及维护的产品</w:t>
      </w:r>
      <w:r>
        <w:rPr>
          <w:rFonts w:hint="eastAsia" w:ascii="宋体" w:hAnsi="宋体" w:cs="宋体"/>
          <w:bCs/>
          <w:color w:val="auto"/>
          <w:sz w:val="21"/>
          <w:szCs w:val="21"/>
          <w:highlight w:val="none"/>
          <w:lang w:val="en-US" w:eastAsia="zh-CN"/>
        </w:rPr>
        <w:t xml:space="preserve">重要</w:t>
      </w:r>
      <w:r>
        <w:rPr>
          <w:rFonts w:hint="eastAsia" w:ascii="宋体" w:hAnsi="宋体" w:eastAsia="宋体" w:cs="宋体"/>
          <w:bCs/>
          <w:color w:val="auto"/>
          <w:sz w:val="21"/>
          <w:szCs w:val="21"/>
          <w:highlight w:val="none"/>
        </w:rPr>
        <w:t xml:space="preserve">功能及技术性能参数</w:t>
      </w:r>
      <w:r>
        <w:rPr>
          <w:rFonts w:hint="eastAsia" w:ascii="宋体" w:hAnsi="宋体" w:cs="宋体"/>
          <w:bCs/>
          <w:color w:val="auto"/>
          <w:sz w:val="21"/>
          <w:szCs w:val="21"/>
          <w:highlight w:val="none"/>
          <w:lang w:val="en-US" w:eastAsia="zh-CN"/>
        </w:rPr>
        <w:t xml:space="preserve">。标</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的为重要技术参数，带</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的内容每满足一项得2分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共11条，合计22分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按技术偏离表响应情况为准</w:t>
      </w:r>
      <w:r>
        <w:rPr>
          <w:rFonts w:hint="eastAsia" w:ascii="宋体" w:hAnsi="宋体" w:eastAsia="宋体" w:cs="宋体"/>
          <w:bCs/>
          <w:color w:val="auto"/>
          <w:sz w:val="21"/>
          <w:szCs w:val="21"/>
          <w:highlight w:val="none"/>
        </w:rPr>
        <w:t xml:space="preserve">）</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（三）实施方案 (</w:t>
      </w:r>
      <w:r>
        <w:rPr>
          <w:rFonts w:hint="eastAsia" w:ascii="宋体" w:hAnsi="宋体" w:cs="宋体"/>
          <w:b/>
          <w:bCs/>
          <w:color w:val="auto"/>
          <w:sz w:val="21"/>
          <w:szCs w:val="21"/>
          <w:highlight w:val="none"/>
          <w:lang w:val="en-US" w:eastAsia="zh-CN"/>
        </w:rPr>
        <w:t xml:space="preserve">36</w:t>
      </w:r>
      <w:r>
        <w:rPr>
          <w:rFonts w:hint="eastAsia" w:ascii="宋体" w:hAnsi="宋体" w:eastAsia="宋体" w:cs="宋体"/>
          <w:b/>
          <w:bCs/>
          <w:color w:val="auto"/>
          <w:sz w:val="21"/>
          <w:szCs w:val="21"/>
          <w:highlight w:val="none"/>
        </w:rPr>
        <w:t xml:space="preserve">分)</w:t>
      </w:r>
      <w:r/>
    </w:p>
    <w:p>
      <w:pPr>
        <w:ind w:firstLine="420"/>
        <w:jc w:val="left"/>
        <w:spacing w:line="360" w:lineRule="auto"/>
        <w:widowControl/>
        <w:rPr>
          <w:rFonts w:hint="eastAsia" w:ascii="宋体" w:hAnsi="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1、日常巡查方案。方案内容至少包括：①巡查方案②巡查台帐。</w:t>
      </w:r>
      <w:r>
        <w:rPr>
          <w:rFonts w:hint="eastAsia" w:ascii="宋体" w:hAnsi="宋体" w:cs="宋体"/>
          <w:bCs/>
          <w:color w:val="auto"/>
          <w:sz w:val="21"/>
          <w:szCs w:val="21"/>
          <w:highlight w:val="none"/>
        </w:rPr>
        <w:t xml:space="preserve">方案内容完全针对本项目且符合本项目实际需求的</w:t>
      </w:r>
      <w:r>
        <w:rPr>
          <w:rFonts w:hint="eastAsia" w:ascii="宋体" w:hAnsi="宋体" w:cs="宋体"/>
          <w:bCs/>
          <w:color w:val="auto"/>
          <w:sz w:val="21"/>
          <w:szCs w:val="21"/>
          <w:highlight w:val="none"/>
          <w:lang w:val="en-US" w:eastAsia="zh-CN"/>
        </w:rPr>
        <w:t xml:space="preserve">有一项得4分，最高8分</w:t>
      </w:r>
      <w:r>
        <w:rPr>
          <w:rFonts w:hint="eastAsia" w:ascii="宋体" w:hAnsi="宋体" w:cs="宋体"/>
          <w:bCs/>
          <w:color w:val="auto"/>
          <w:sz w:val="21"/>
          <w:szCs w:val="21"/>
          <w:highlight w:val="none"/>
          <w:lang w:eastAsia="zh-CN"/>
        </w:rPr>
        <w:t xml:space="preserve">。</w:t>
      </w:r>
      <w:r/>
    </w:p>
    <w:p>
      <w:pPr>
        <w:ind w:firstLine="420"/>
        <w:jc w:val="left"/>
        <w:spacing w:line="360" w:lineRule="auto"/>
        <w:widowControl/>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现场施工方案。方案内容至少包括：①信号灯施工方案②信号机施工方案③杆件安装方案④</w:t>
      </w:r>
      <w:r>
        <w:rPr>
          <w:rFonts w:hint="eastAsia" w:ascii="宋体" w:hAnsi="宋体" w:eastAsia="宋体" w:cs="宋体"/>
          <w:b w:val="0"/>
          <w:bCs/>
          <w:color w:val="auto"/>
          <w:sz w:val="21"/>
          <w:szCs w:val="21"/>
          <w:highlight w:val="none"/>
        </w:rPr>
        <w:t xml:space="preserve">埋管铺设</w:t>
      </w:r>
      <w:r>
        <w:rPr>
          <w:rFonts w:hint="eastAsia" w:ascii="宋体" w:hAnsi="宋体" w:cs="宋体"/>
          <w:b w:val="0"/>
          <w:bCs/>
          <w:color w:val="auto"/>
          <w:sz w:val="21"/>
          <w:szCs w:val="21"/>
          <w:highlight w:val="none"/>
          <w:lang w:val="en-US" w:eastAsia="zh-CN"/>
        </w:rPr>
        <w:t xml:space="preserve">方案。</w:t>
      </w:r>
      <w:r>
        <w:rPr>
          <w:rFonts w:hint="eastAsia" w:ascii="宋体" w:hAnsi="宋体" w:cs="宋体"/>
          <w:bCs/>
          <w:color w:val="auto"/>
          <w:sz w:val="21"/>
          <w:szCs w:val="21"/>
          <w:highlight w:val="none"/>
        </w:rPr>
        <w:t xml:space="preserve">方案内容完全针对本项目且符合本项目实际需求的</w:t>
      </w:r>
      <w:r>
        <w:rPr>
          <w:rFonts w:hint="eastAsia" w:ascii="宋体" w:hAnsi="宋体" w:cs="宋体"/>
          <w:bCs/>
          <w:color w:val="auto"/>
          <w:sz w:val="21"/>
          <w:szCs w:val="21"/>
          <w:highlight w:val="none"/>
          <w:lang w:val="en-US" w:eastAsia="zh-CN"/>
        </w:rPr>
        <w:t xml:space="preserve">有一项得4分，最高16分</w:t>
      </w:r>
      <w:r>
        <w:rPr>
          <w:rFonts w:hint="eastAsia" w:ascii="宋体" w:hAnsi="宋体" w:cs="宋体"/>
          <w:bCs/>
          <w:color w:val="auto"/>
          <w:sz w:val="21"/>
          <w:szCs w:val="21"/>
          <w:highlight w:val="none"/>
          <w:lang w:eastAsia="zh-CN"/>
        </w:rPr>
        <w:t xml:space="preserve">。</w:t>
      </w:r>
      <w:r/>
    </w:p>
    <w:p>
      <w:pPr>
        <w:ind w:firstLine="420"/>
        <w:jc w:val="left"/>
        <w:spacing w:line="360" w:lineRule="auto"/>
        <w:widowControl/>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3、现场维修维护。</w:t>
      </w:r>
      <w:r>
        <w:rPr>
          <w:rFonts w:hint="eastAsia" w:ascii="宋体" w:hAnsi="宋体" w:eastAsia="宋体" w:cs="宋体"/>
          <w:bCs/>
          <w:color w:val="auto"/>
          <w:sz w:val="21"/>
          <w:szCs w:val="21"/>
          <w:highlight w:val="none"/>
          <w:lang w:val="en-US" w:eastAsia="zh-CN"/>
        </w:rPr>
        <w:t xml:space="preserve">方案内容至少包括：①</w:t>
      </w:r>
      <w:r>
        <w:rPr>
          <w:rFonts w:hint="eastAsia" w:ascii="宋体" w:hAnsi="宋体" w:cs="宋体"/>
          <w:bCs/>
          <w:color w:val="auto"/>
          <w:sz w:val="21"/>
          <w:szCs w:val="21"/>
          <w:highlight w:val="none"/>
          <w:lang w:val="en-US" w:eastAsia="zh-CN"/>
        </w:rPr>
        <w:t xml:space="preserve">维护响应时间方案</w:t>
      </w:r>
      <w:r>
        <w:rPr>
          <w:rFonts w:hint="eastAsia" w:ascii="宋体" w:hAnsi="宋体" w:eastAsia="宋体" w:cs="宋体"/>
          <w:bCs/>
          <w:color w:val="auto"/>
          <w:sz w:val="21"/>
          <w:szCs w:val="21"/>
          <w:highlight w:val="none"/>
          <w:lang w:val="en-US" w:eastAsia="zh-CN"/>
        </w:rPr>
        <w:t xml:space="preserve">②</w:t>
      </w:r>
      <w:r>
        <w:rPr>
          <w:rFonts w:hint="eastAsia" w:ascii="宋体" w:hAnsi="宋体" w:cs="宋体"/>
          <w:bCs/>
          <w:color w:val="auto"/>
          <w:sz w:val="21"/>
          <w:szCs w:val="21"/>
          <w:highlight w:val="none"/>
          <w:lang w:val="en-US" w:eastAsia="zh-CN"/>
        </w:rPr>
        <w:t xml:space="preserve">维修更换设备保修方案</w:t>
      </w:r>
      <w:r>
        <w:rPr>
          <w:rFonts w:hint="eastAsia" w:ascii="宋体" w:hAnsi="宋体" w:eastAsia="宋体" w:cs="宋体"/>
          <w:bCs/>
          <w:color w:val="auto"/>
          <w:sz w:val="21"/>
          <w:szCs w:val="21"/>
          <w:highlight w:val="none"/>
          <w:lang w:val="en-US" w:eastAsia="zh-CN"/>
        </w:rPr>
        <w:t xml:space="preserve">③</w:t>
      </w:r>
      <w:r>
        <w:rPr>
          <w:rFonts w:hint="eastAsia" w:ascii="宋体" w:hAnsi="宋体" w:cs="宋体"/>
          <w:bCs/>
          <w:color w:val="auto"/>
          <w:sz w:val="21"/>
          <w:szCs w:val="21"/>
          <w:highlight w:val="none"/>
          <w:lang w:val="en-US" w:eastAsia="zh-CN"/>
        </w:rPr>
        <w:t xml:space="preserve">维护验收方案。</w:t>
      </w:r>
      <w:r>
        <w:rPr>
          <w:rFonts w:hint="eastAsia" w:ascii="宋体" w:hAnsi="宋体" w:cs="宋体"/>
          <w:bCs/>
          <w:color w:val="auto"/>
          <w:sz w:val="21"/>
          <w:szCs w:val="21"/>
          <w:highlight w:val="none"/>
        </w:rPr>
        <w:t xml:space="preserve">方案内容完全针对本项目且符合本项目实际需求的</w:t>
      </w:r>
      <w:r>
        <w:rPr>
          <w:rFonts w:hint="eastAsia" w:ascii="宋体" w:hAnsi="宋体" w:cs="宋体"/>
          <w:bCs/>
          <w:color w:val="auto"/>
          <w:sz w:val="21"/>
          <w:szCs w:val="21"/>
          <w:highlight w:val="none"/>
          <w:lang w:val="en-US" w:eastAsia="zh-CN"/>
        </w:rPr>
        <w:t xml:space="preserve">有一项得4分，最高12分</w:t>
      </w:r>
      <w:r>
        <w:rPr>
          <w:rFonts w:hint="eastAsia" w:ascii="宋体" w:hAnsi="宋体" w:cs="宋体"/>
          <w:bCs/>
          <w:color w:val="auto"/>
          <w:sz w:val="21"/>
          <w:szCs w:val="21"/>
          <w:highlight w:val="none"/>
          <w:lang w:eastAsia="zh-CN"/>
        </w:rPr>
        <w:t xml:space="preserve">。</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 (</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1、在太仓地区有固定办公场所或承诺中标后在太仓设置固定办公场所的得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注：有固定办公场所的需提供有效的租房合同或房屋产权证明扫描件。如承诺中标后在太仓设置固定办公场所的投标单位需提供承诺书原件扫描件。</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（五）履约能力(</w:t>
      </w:r>
      <w:r>
        <w:rPr>
          <w:rFonts w:hint="eastAsia" w:ascii="宋体" w:hAnsi="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1、根据投标人自</w:t>
      </w:r>
      <w:r>
        <w:rPr>
          <w:rFonts w:hint="eastAsia" w:ascii="宋体" w:hAnsi="宋体" w:eastAsia="宋体" w:cs="宋体"/>
          <w:b/>
          <w:bCs/>
          <w:color w:val="auto"/>
          <w:sz w:val="21"/>
          <w:szCs w:val="21"/>
          <w:highlight w:val="none"/>
          <w:shd w:val="clear" w:color="auto" w:fill="ffffff"/>
        </w:rPr>
        <w:t xml:space="preserve">202</w:t>
      </w:r>
      <w:r>
        <w:rPr>
          <w:rFonts w:hint="eastAsia" w:ascii="宋体" w:hAnsi="宋体" w:cs="宋体"/>
          <w:b/>
          <w:bCs/>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年1月1日（合同签署时间）</w:t>
      </w:r>
      <w:r>
        <w:rPr>
          <w:rFonts w:hint="eastAsia" w:ascii="宋体" w:hAnsi="宋体" w:eastAsia="宋体" w:cs="宋体"/>
          <w:bCs/>
          <w:color w:val="auto"/>
          <w:sz w:val="21"/>
          <w:szCs w:val="21"/>
          <w:highlight w:val="none"/>
        </w:rPr>
        <w:t xml:space="preserve">以来完成类似业绩（交通信号灯新建或维护）进行打分，每有一个得2分，最高为8分。（需提供业绩合同、</w:t>
      </w:r>
      <w:r>
        <w:rPr>
          <w:rFonts w:hint="eastAsia" w:ascii="宋体" w:hAnsi="宋体" w:cs="宋体"/>
          <w:bCs/>
          <w:color w:val="auto"/>
          <w:sz w:val="21"/>
          <w:szCs w:val="21"/>
          <w:highlight w:val="none"/>
          <w:lang w:val="en-US" w:eastAsia="zh-CN"/>
        </w:rPr>
        <w:t xml:space="preserve">与项目对应的任意一期发票</w:t>
      </w:r>
      <w:r>
        <w:rPr>
          <w:rFonts w:hint="eastAsia" w:ascii="宋体" w:hAnsi="宋体" w:eastAsia="宋体" w:cs="宋体"/>
          <w:bCs/>
          <w:color w:val="auto"/>
          <w:sz w:val="21"/>
          <w:szCs w:val="21"/>
          <w:highlight w:val="none"/>
        </w:rPr>
        <w:t xml:space="preserve">扫描件）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2、项目建设、维护所配备的专业技术力量（</w:t>
      </w: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拟投入现场设备（3分）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投标人自有或租用特种起重作业车的，有一辆得</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分，最高</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分；自有或租用防撞缓冲车的，有一辆得</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分，最高</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（自有车辆提供注册在投标单位车辆行驶证扫描件和车辆车头、侧面方向照片；租用车辆的提供租赁合同、租赁发票、租赁车辆行驶证扫描件和车辆车头、侧面方向照片），本项最高</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rPr>
        <w:t xml:space="preserve">拟投入现场运维服务的负责人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6分</w:t>
      </w:r>
      <w:r>
        <w:rPr>
          <w:rFonts w:hint="eastAsia" w:ascii="宋体" w:hAnsi="宋体" w:cs="宋体"/>
          <w:bCs/>
          <w:color w:val="auto"/>
          <w:sz w:val="21"/>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拟投入现场运维服务的负责人具有机电工程一级注册建造师证书的得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分，机电工程二级注册建造师证书的得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分；拟投入现场运维服务的负责人具有高级职称的得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分，具有中级职称的得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分；本项最高</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（3）拟投入现场</w:t>
      </w:r>
      <w:r>
        <w:rPr>
          <w:rFonts w:hint="eastAsia" w:ascii="宋体" w:hAnsi="宋体" w:eastAsia="宋体" w:cs="宋体"/>
          <w:bCs/>
          <w:color w:val="auto"/>
          <w:sz w:val="21"/>
          <w:szCs w:val="21"/>
          <w:highlight w:val="none"/>
          <w:lang w:val="en-US" w:eastAsia="zh-CN"/>
        </w:rPr>
        <w:t xml:space="preserve">技术负责人</w:t>
      </w:r>
      <w:r>
        <w:rPr>
          <w:rFonts w:hint="eastAsia" w:ascii="宋体" w:hAnsi="宋体" w:cs="宋体"/>
          <w:bCs/>
          <w:color w:val="auto"/>
          <w:sz w:val="21"/>
          <w:szCs w:val="21"/>
          <w:highlight w:val="none"/>
          <w:lang w:val="en-US" w:eastAsia="zh-CN"/>
        </w:rPr>
        <w:t xml:space="preserve">（3分）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拟投入现场</w:t>
      </w:r>
      <w:r>
        <w:rPr>
          <w:rFonts w:hint="eastAsia" w:ascii="宋体" w:hAnsi="宋体" w:eastAsia="宋体" w:cs="宋体"/>
          <w:bCs/>
          <w:color w:val="auto"/>
          <w:sz w:val="21"/>
          <w:szCs w:val="21"/>
          <w:highlight w:val="none"/>
          <w:lang w:val="en-US" w:eastAsia="zh-CN"/>
        </w:rPr>
        <w:t xml:space="preserve">技术负责人</w:t>
      </w:r>
      <w:r>
        <w:rPr>
          <w:rFonts w:hint="eastAsia" w:ascii="宋体" w:hAnsi="宋体" w:eastAsia="宋体" w:cs="宋体"/>
          <w:bCs/>
          <w:color w:val="auto"/>
          <w:sz w:val="21"/>
          <w:szCs w:val="21"/>
          <w:highlight w:val="none"/>
        </w:rPr>
        <w:t xml:space="preserve">具有高级信息系统项目管理师证书的</w:t>
      </w:r>
      <w:r>
        <w:rPr>
          <w:rFonts w:hint="eastAsia" w:ascii="宋体" w:hAnsi="宋体" w:eastAsia="宋体" w:cs="宋体"/>
          <w:bCs/>
          <w:color w:val="auto"/>
          <w:sz w:val="21"/>
          <w:szCs w:val="21"/>
          <w:highlight w:val="none"/>
          <w:lang w:val="en-US" w:eastAsia="zh-CN"/>
        </w:rPr>
        <w:t xml:space="preserve">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拟投入现场技术负责人具有网络安全能力认证证</w:t>
      </w:r>
      <w:r>
        <w:rPr>
          <w:rFonts w:hint="eastAsia" w:ascii="宋体" w:hAnsi="宋体" w:cs="宋体"/>
          <w:bCs/>
          <w:color w:val="auto"/>
          <w:sz w:val="21"/>
          <w:szCs w:val="21"/>
          <w:highlight w:val="none"/>
          <w:lang w:val="en-US" w:eastAsia="zh-CN"/>
        </w:rPr>
        <w:t xml:space="preserve">书的得1分。</w:t>
      </w:r>
      <w:r/>
    </w:p>
    <w:p>
      <w:pPr>
        <w:numPr>
          <w:ilvl w:val="0"/>
          <w:numId w:val="0"/>
        </w:numPr>
        <w:ind w:firstLine="420"/>
        <w:jc w:val="left"/>
        <w:keepLines w:val="0"/>
        <w:keepNext w:val="0"/>
        <w:pageBreakBefore w:val="0"/>
        <w:spacing w:line="360" w:lineRule="auto"/>
        <w:widowControl/>
        <w:rPr>
          <w:rFonts w:hint="default" w:ascii="宋体" w:hAnsi="宋体" w:eastAsia="宋体" w:cs="宋体"/>
          <w:b w:val="0"/>
          <w:bCs/>
          <w:color w:val="auto"/>
          <w:sz w:val="21"/>
          <w:szCs w:val="21"/>
          <w:highlight w:val="none"/>
          <w:lang w:val="en-US" w:eastAsia="zh-CN"/>
        </w:rPr>
      </w:pPr>
      <w:r>
        <w:rPr>
          <w:rFonts w:hint="eastAsia" w:ascii="宋体" w:hAnsi="宋体" w:cs="宋体"/>
          <w:bCs/>
          <w:color w:val="auto"/>
          <w:sz w:val="21"/>
          <w:szCs w:val="21"/>
          <w:highlight w:val="none"/>
        </w:rPr>
        <w:t xml:space="preserve">拟投入现场技术负责人具有I</w:t>
      </w:r>
      <w:r>
        <w:rPr>
          <w:rFonts w:ascii="宋体" w:hAnsi="宋体" w:cs="宋体"/>
          <w:bCs/>
          <w:color w:val="auto"/>
          <w:sz w:val="21"/>
          <w:szCs w:val="21"/>
          <w:highlight w:val="none"/>
        </w:rPr>
        <w:t xml:space="preserve">T</w:t>
      </w:r>
      <w:r>
        <w:rPr>
          <w:rFonts w:hint="eastAsia" w:ascii="宋体" w:hAnsi="宋体" w:cs="宋体"/>
          <w:bCs/>
          <w:color w:val="auto"/>
          <w:sz w:val="21"/>
          <w:szCs w:val="21"/>
          <w:highlight w:val="none"/>
        </w:rPr>
        <w:t xml:space="preserve">服务项目经理</w:t>
      </w:r>
      <w:r>
        <w:rPr>
          <w:rFonts w:hint="eastAsia" w:ascii="宋体" w:hAnsi="宋体" w:cs="宋体"/>
          <w:bCs/>
          <w:color w:val="auto"/>
          <w:sz w:val="21"/>
          <w:szCs w:val="21"/>
          <w:highlight w:val="none"/>
          <w:lang w:val="en-US" w:eastAsia="zh-CN"/>
        </w:rPr>
        <w:t xml:space="preserve">证书的得1分</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以上(2)~(</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)项需提供相应人员证书及</w:t>
      </w:r>
      <w:r>
        <w:rPr>
          <w:rFonts w:hint="eastAsia" w:ascii="宋体" w:hAnsi="宋体" w:cs="宋体"/>
          <w:bCs/>
          <w:color w:val="auto"/>
          <w:sz w:val="21"/>
          <w:szCs w:val="21"/>
          <w:highlight w:val="none"/>
          <w:lang w:eastAsia="zh-CN"/>
        </w:rPr>
        <w:t xml:space="preserve">响应单位为其缴纳的社保</w:t>
      </w:r>
      <w:r>
        <w:rPr>
          <w:rFonts w:hint="eastAsia" w:ascii="宋体" w:hAnsi="宋体" w:eastAsia="宋体" w:cs="宋体"/>
          <w:bCs/>
          <w:color w:val="auto"/>
          <w:sz w:val="21"/>
          <w:szCs w:val="21"/>
          <w:highlight w:val="none"/>
        </w:rPr>
        <w:t xml:space="preserve">证明</w:t>
      </w:r>
      <w:r>
        <w:rPr>
          <w:rFonts w:hint="eastAsia" w:ascii="宋体" w:hAnsi="宋体" w:cs="宋体"/>
          <w:bCs/>
          <w:color w:val="auto"/>
          <w:sz w:val="21"/>
          <w:szCs w:val="21"/>
          <w:highlight w:val="none"/>
          <w:lang w:eastAsia="zh-CN"/>
        </w:rPr>
        <w:t xml:space="preserve">材料</w:t>
      </w:r>
      <w:r>
        <w:rPr>
          <w:rFonts w:hint="eastAsia" w:ascii="宋体" w:hAnsi="宋体" w:eastAsia="宋体" w:cs="宋体"/>
          <w:bCs/>
          <w:color w:val="auto"/>
          <w:sz w:val="21"/>
          <w:szCs w:val="21"/>
          <w:highlight w:val="none"/>
        </w:rPr>
        <w:t xml:space="preserve">扫描件，否则不得分</w:t>
      </w:r>
      <w:r/>
    </w:p>
    <w:p>
      <w:pPr>
        <w:pStyle w:val="1017"/>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w:t>
      </w:r>
      <w:r>
        <w:rPr>
          <w:rFonts w:hint="eastAsia" w:hAnsi="宋体" w:eastAsia="宋体" w:cs="宋体"/>
          <w:b/>
          <w:bCs/>
          <w:color w:val="auto"/>
          <w:sz w:val="21"/>
          <w:szCs w:val="21"/>
          <w:highlight w:val="none"/>
          <w:lang w:val="en-US" w:eastAsia="zh-CN"/>
        </w:rPr>
        <w:t xml:space="preserve">方式</w:t>
      </w:r>
      <w:r>
        <w:rPr>
          <w:rFonts w:hint="eastAsia" w:hAnsi="宋体" w:eastAsia="宋体" w:cs="宋体"/>
          <w:b/>
          <w:bCs/>
          <w:color w:val="auto"/>
          <w:sz w:val="21"/>
          <w:szCs w:val="21"/>
          <w:highlight w:val="none"/>
        </w:rPr>
        <w:t xml:space="preserve">、合同履行期限如有负偏离的不得中标。</w:t>
      </w:r>
      <w:r/>
    </w:p>
    <w:p>
      <w:pP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w:t>
      </w:r>
      <w:r>
        <w:rPr>
          <w:rFonts w:hint="eastAsia" w:ascii="宋体" w:hAnsi="宋体" w:cs="宋体"/>
          <w:b/>
          <w:bCs/>
          <w:color w:val="auto"/>
          <w:sz w:val="21"/>
          <w:szCs w:val="21"/>
          <w:highlight w:val="none"/>
          <w:lang w:eastAsia="zh-CN"/>
        </w:rPr>
        <w:t xml:space="preserve">扫描</w:t>
      </w:r>
      <w:r>
        <w:rPr>
          <w:rFonts w:hint="eastAsia" w:ascii="宋体" w:hAnsi="宋体" w:cs="宋体"/>
          <w:b/>
          <w:bCs/>
          <w:color w:val="auto"/>
          <w:sz w:val="21"/>
          <w:szCs w:val="21"/>
          <w:highlight w:val="none"/>
        </w:rPr>
        <w:t xml:space="preserve">件字迹须清晰可见,</w:t>
      </w:r>
      <w:r>
        <w:rPr>
          <w:rFonts w:hint="eastAsia" w:ascii="宋体" w:hAnsi="宋体" w:cs="宋体"/>
          <w:b/>
          <w:bCs/>
          <w:color w:val="auto"/>
          <w:sz w:val="21"/>
          <w:szCs w:val="21"/>
          <w:highlight w:val="none"/>
          <w:lang w:eastAsia="zh-CN"/>
        </w:rPr>
        <w:t xml:space="preserve">扫描</w:t>
      </w:r>
      <w:r>
        <w:rPr>
          <w:rFonts w:hint="eastAsia" w:ascii="宋体" w:hAnsi="宋体" w:cs="宋体"/>
          <w:b/>
          <w:bCs/>
          <w:color w:val="auto"/>
          <w:sz w:val="21"/>
          <w:szCs w:val="21"/>
          <w:highlight w:val="none"/>
        </w:rPr>
        <w:t xml:space="preserve">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br w:type="page" w:clear="all"/>
      </w:r>
      <w:bookmarkStart w:id="69" w:name="_Toc31315"/>
      <w:r>
        <w:rPr>
          <w:rStyle w:val="992"/>
          <w:rFonts w:hint="eastAsia" w:ascii="宋体" w:hAnsi="宋体" w:eastAsia="宋体" w:cs="宋体"/>
          <w:color w:val="auto"/>
          <w:sz w:val="32"/>
          <w:szCs w:val="32"/>
          <w:highlight w:val="none"/>
        </w:rPr>
        <w:t xml:space="preserve">第六章 合同格式</w:t>
      </w:r>
      <w:bookmarkEnd w:id="69"/>
      <w:r/>
      <w:r/>
    </w:p>
    <w:p>
      <w:pPr>
        <w:spacing w:line="440" w:lineRule="exact"/>
        <w:rPr>
          <w:rFonts w:hint="eastAsia" w:ascii="宋体" w:hAnsi="宋体" w:cs="宋体"/>
          <w:color w:val="auto"/>
          <w:highlight w:val="none"/>
        </w:rPr>
      </w:pPr>
      <w:r/>
      <w:bookmarkStart w:id="70" w:name="_Toc480191160"/>
      <w:r/>
      <w:bookmarkStart w:id="71" w:name="_Toc479449569"/>
      <w:r/>
      <w:bookmarkStart w:id="72" w:name="_Toc479449483"/>
      <w:r/>
      <w:bookmarkEnd w:id="70"/>
      <w:r/>
      <w:bookmarkEnd w:id="71"/>
      <w:r/>
      <w:bookmarkEnd w:id="72"/>
      <w:r/>
      <w:r/>
    </w:p>
    <w:p>
      <w:pPr>
        <w:jc w:val="center"/>
        <w:rPr>
          <w:rFonts w:hint="eastAsia" w:eastAsia="黑体"/>
          <w:color w:val="auto"/>
          <w:sz w:val="72"/>
          <w:highlight w:val="none"/>
        </w:rPr>
      </w:pPr>
      <w:r>
        <w:rPr>
          <w:rFonts w:hint="eastAsia" w:eastAsia="黑体"/>
          <w:color w:val="auto"/>
          <w:sz w:val="72"/>
          <w:highlight w:val="none"/>
        </w:rPr>
      </w:r>
      <w:r/>
    </w:p>
    <w:p>
      <w:pPr>
        <w:jc w:val="center"/>
        <w:rPr>
          <w:rFonts w:hint="eastAsia" w:eastAsia="黑体"/>
          <w:color w:val="auto"/>
          <w:sz w:val="72"/>
          <w:highlight w:val="none"/>
        </w:rPr>
      </w:pPr>
      <w:r>
        <w:rPr>
          <w:rFonts w:hint="eastAsia"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center"/>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4340" w:hanging="2696"/>
        <w:jc w:val="center"/>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1009"/>
        <w:ind w:right="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甲方：太仓市公安局</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  </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电话： </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乙方：  </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 </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电话： </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根据政府采购编号</w:t>
      </w:r>
      <w:r>
        <w:rPr>
          <w:rFonts w:hint="eastAsia" w:ascii="宋体" w:hAnsi="宋体" w:eastAsia="宋体" w:cs="宋体"/>
          <w:color w:val="auto"/>
          <w:sz w:val="21"/>
          <w:szCs w:val="21"/>
          <w:highlight w:val="none"/>
          <w:u w:val="single"/>
          <w:lang w:val="zh-CN"/>
        </w:rPr>
        <w:t xml:space="preserve">（采购编号）</w:t>
      </w:r>
      <w:r>
        <w:rPr>
          <w:rFonts w:hint="eastAsia" w:ascii="宋体" w:hAnsi="宋体" w:eastAsia="宋体" w:cs="宋体"/>
          <w:color w:val="auto"/>
          <w:sz w:val="21"/>
          <w:szCs w:val="21"/>
          <w:highlight w:val="none"/>
          <w:lang w:val="zh-CN"/>
        </w:rPr>
        <w:t xml:space="preserve">号招标文件及该文件的投标文件和中标通知书，甲乙双方就此次中标的</w:t>
      </w:r>
      <w:r>
        <w:rPr>
          <w:rFonts w:hint="eastAsia" w:ascii="宋体" w:hAnsi="宋体" w:eastAsia="宋体" w:cs="宋体"/>
          <w:color w:val="auto"/>
          <w:sz w:val="21"/>
          <w:szCs w:val="21"/>
          <w:highlight w:val="none"/>
          <w:u w:val="single"/>
          <w:lang w:val="zh-CN"/>
        </w:rPr>
        <w:t xml:space="preserve">（项目名称）</w:t>
      </w:r>
      <w:r>
        <w:rPr>
          <w:rFonts w:hint="eastAsia" w:ascii="宋体" w:hAnsi="宋体" w:eastAsia="宋体" w:cs="宋体"/>
          <w:color w:val="auto"/>
          <w:sz w:val="21"/>
          <w:szCs w:val="21"/>
          <w:highlight w:val="none"/>
          <w:lang w:val="zh-CN"/>
        </w:rPr>
        <w:t xml:space="preserve">事宜，签订本合同书。。</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一、定义：以下术语有特定的含义：</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“货物”本合同所称货物是指乙方基于其已中标的投标文件而应向甲方提供的投入本项目运维的货物、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，它还应包括由乙方送交给甲方的所有的必须文件和与使用及测试有关的应进行的任何规定的服务。</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“合同价”系指根据中标的投标文件和合同规定，乙方在正确地履行合同义务后甲方应支付乙方的价款。</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“甲方”系指合同中明确规定的实际购买货物和接受服务单位。</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“乙方”系指合同中规定的提供货物和提供服务的单位。</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二、项目名称： </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项目地点：太仓</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主要内容：根据太仓市公安局交警大队需求，对信号灯（含倒计时）进行日常维护，对部分隐患路口增设信号灯控制，对不规范的路口线路进行改造，对部分影响市容的线缆改造入地，对老旧破损信号灯具进行更换等。</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日常巡查要求：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巡查要求：每日巡查信号机在线情况、排查信号机脱机原因、检测信号灯设备是否正常工作,每半个月至少对维护服务的所有道路交通信号灯开展1次巡检，恶劣天气或特殊情况，中标维护方应及时增加巡检次数，确保设施正常运行。因巡检不到位、修复不及时等原因引发的事故均由中标维护方承担相应责任。</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（2）巡查台账要求：建立巡检台账，台账应记录巡检时间、巡检人，发现问题、整改情况、整改时间等信息。</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w:t>
      </w:r>
      <w:r>
        <w:rPr>
          <w:rFonts w:hint="eastAsia" w:ascii="宋体" w:hAnsi="宋体" w:eastAsia="宋体" w:cs="宋体"/>
          <w:color w:val="auto"/>
          <w:sz w:val="21"/>
          <w:szCs w:val="21"/>
          <w:highlight w:val="none"/>
        </w:rPr>
        <w:t xml:space="preserve">服务内容</w:t>
      </w:r>
      <w:r>
        <w:rPr>
          <w:rFonts w:hint="eastAsia" w:ascii="宋体" w:hAnsi="宋体" w:eastAsia="宋体" w:cs="宋体"/>
          <w:color w:val="auto"/>
          <w:sz w:val="21"/>
          <w:szCs w:val="21"/>
          <w:highlight w:val="none"/>
          <w:lang w:val="zh-CN"/>
        </w:rPr>
        <w:t xml:space="preserve">、数量及价格：</w:t>
      </w:r>
      <w:r/>
    </w:p>
    <w:p>
      <w:pPr>
        <w:ind w:right="0" w:firstLine="422"/>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本项目</w:t>
      </w:r>
      <w:r>
        <w:rPr>
          <w:rFonts w:hint="eastAsia" w:ascii="宋体" w:hAnsi="宋体" w:eastAsia="宋体" w:cs="宋体"/>
          <w:b/>
          <w:bCs/>
          <w:color w:val="auto"/>
          <w:sz w:val="21"/>
          <w:szCs w:val="21"/>
          <w:highlight w:val="none"/>
        </w:rPr>
        <w:t xml:space="preserve">整体</w:t>
      </w:r>
      <w:r>
        <w:rPr>
          <w:rFonts w:hint="eastAsia" w:ascii="宋体" w:hAnsi="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%，实际结算单价按照单价限价</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1-优惠率</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后进行结算，实际工程量按照甲方要求并根据审计结果确定</w:t>
      </w:r>
      <w:r>
        <w:rPr>
          <w:rFonts w:hint="eastAsia" w:ascii="宋体" w:hAnsi="宋体" w:cs="宋体"/>
          <w:b/>
          <w:bCs/>
          <w:color w:val="auto"/>
          <w:sz w:val="21"/>
          <w:szCs w:val="21"/>
          <w:highlight w:val="none"/>
          <w:lang w:eastAsia="zh-CN"/>
        </w:rPr>
        <w:t xml:space="preserve">，最终结算总价不超过</w:t>
      </w:r>
      <w:r>
        <w:rPr>
          <w:rFonts w:hint="eastAsia" w:ascii="宋体" w:hAnsi="宋体" w:cs="宋体"/>
          <w:b/>
          <w:bCs/>
          <w:color w:val="auto"/>
          <w:sz w:val="21"/>
          <w:szCs w:val="21"/>
          <w:highlight w:val="none"/>
          <w:lang w:val="en-US" w:eastAsia="zh-CN"/>
        </w:rPr>
        <w:t xml:space="preserve">194万元，具体单价详见附件。</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四、</w:t>
      </w:r>
      <w:r>
        <w:rPr>
          <w:rFonts w:hint="eastAsia" w:ascii="宋体" w:hAnsi="宋体" w:eastAsia="宋体" w:cs="宋体"/>
          <w:color w:val="auto"/>
          <w:sz w:val="21"/>
          <w:szCs w:val="21"/>
          <w:highlight w:val="none"/>
        </w:rPr>
        <w:t xml:space="preserve">合同总价款：___________。</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五、合同总价范围：</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1．本次合同金额</w:t>
      </w:r>
      <w:r>
        <w:rPr>
          <w:rFonts w:hint="eastAsia" w:ascii="宋体" w:hAnsi="宋体" w:eastAsia="宋体" w:cs="宋体"/>
          <w:color w:val="auto"/>
          <w:sz w:val="21"/>
          <w:szCs w:val="21"/>
          <w:highlight w:val="none"/>
        </w:rPr>
        <w:t xml:space="preserve">均已</w:t>
      </w:r>
      <w:r>
        <w:rPr>
          <w:rFonts w:hint="eastAsia" w:ascii="宋体" w:hAnsi="宋体" w:eastAsia="宋体" w:cs="宋体"/>
          <w:color w:val="auto"/>
          <w:sz w:val="21"/>
          <w:szCs w:val="21"/>
          <w:highlight w:val="none"/>
          <w:lang w:val="zh-CN"/>
        </w:rPr>
        <w:t xml:space="preserve">包括所有</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zh-CN"/>
        </w:rPr>
        <w:t xml:space="preserve">设备及其备品、备件和专用工具费用、税费（如包括关税、货物及其所用原材料、零部件的各种国内外税费）及包装、运至最终目的地的运输、保险、检测验收、安装、调试、系统软件、技术支持与培训、售后服务与维保及相关劳务支出等工作所发生的全部费用以及</w:t>
      </w:r>
      <w:r>
        <w:rPr>
          <w:rFonts w:hint="eastAsia" w:ascii="宋体" w:hAnsi="宋体" w:cs="宋体"/>
          <w:color w:val="auto"/>
          <w:sz w:val="21"/>
          <w:szCs w:val="21"/>
          <w:highlight w:val="none"/>
          <w:lang w:val="zh-CN"/>
        </w:rPr>
        <w:t xml:space="preserve">乙方</w:t>
      </w:r>
      <w:r>
        <w:rPr>
          <w:rFonts w:hint="eastAsia" w:ascii="宋体" w:hAnsi="宋体" w:eastAsia="宋体" w:cs="宋体"/>
          <w:color w:val="auto"/>
          <w:sz w:val="21"/>
          <w:szCs w:val="21"/>
          <w:highlight w:val="none"/>
          <w:lang w:val="zh-CN"/>
        </w:rPr>
        <w:t xml:space="preserve">企业利润、和政策性文件规定及合同包含的所有风险、责任、施工审图费、总包现场施工配合费等各项应有费用。本项目为交钥匙项目，</w:t>
      </w:r>
      <w:r>
        <w:rPr>
          <w:rFonts w:hint="eastAsia" w:ascii="宋体" w:hAnsi="宋体" w:cs="宋体"/>
          <w:color w:val="auto"/>
          <w:sz w:val="21"/>
          <w:szCs w:val="21"/>
          <w:highlight w:val="none"/>
          <w:lang w:val="zh-CN"/>
        </w:rPr>
        <w:t xml:space="preserve">合同价格</w:t>
      </w:r>
      <w:r>
        <w:rPr>
          <w:rFonts w:hint="eastAsia" w:ascii="宋体" w:hAnsi="宋体" w:eastAsia="宋体" w:cs="宋体"/>
          <w:color w:val="auto"/>
          <w:sz w:val="21"/>
          <w:szCs w:val="21"/>
          <w:highlight w:val="none"/>
          <w:lang w:val="zh-CN"/>
        </w:rPr>
        <w:t xml:space="preserve">包含了</w:t>
      </w:r>
      <w:r>
        <w:rPr>
          <w:rFonts w:hint="eastAsia" w:ascii="宋体" w:hAnsi="宋体" w:cs="宋体"/>
          <w:color w:val="auto"/>
          <w:sz w:val="21"/>
          <w:szCs w:val="21"/>
          <w:highlight w:val="none"/>
          <w:lang w:val="zh-CN"/>
        </w:rPr>
        <w:t xml:space="preserve">甲方</w:t>
      </w:r>
      <w:r>
        <w:rPr>
          <w:rFonts w:hint="eastAsia" w:ascii="宋体" w:hAnsi="宋体" w:eastAsia="宋体" w:cs="宋体"/>
          <w:color w:val="auto"/>
          <w:sz w:val="21"/>
          <w:szCs w:val="21"/>
          <w:highlight w:val="none"/>
          <w:lang w:val="zh-CN"/>
        </w:rPr>
        <w:t xml:space="preserve">现有场地条件下，进行设备的安装调试达到可使用状态，并验收合格前的所有费用</w:t>
      </w:r>
      <w:r>
        <w:rPr>
          <w:rFonts w:hint="eastAsia" w:ascii="宋体" w:hAnsi="宋体" w:eastAsia="宋体" w:cs="宋体"/>
          <w:color w:val="auto"/>
          <w:sz w:val="21"/>
          <w:szCs w:val="21"/>
          <w:highlight w:val="none"/>
        </w:rPr>
        <w:t xml:space="preserve">。乙方不再支付合同金额外的任何费用</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．甲方有权根据设计变更作相应调整，乙方应予同意，其单价按中标单价按实结算。</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 项目合同期内</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必须购买所建设、所维护设施造成的意外险和施工造成的意外险，且累计赔偿限额不低于人民币750万元（每次事故赔偿限额不低于人民币500万元，每次意外人身伤亡赔偿限额不低于人民币250万元，每次意外每人赔偿限额不低于人民币100万元，每次意外财产损失赔偿限额不低于人民币250万元）。费用包含在合同价中。</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内容：</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1．符合本合同及招标文件规定的投入本项目运维的货物、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或服务。</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2．保证投入本项目运维的货物、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使用及维修所需的全套技术资料和文件。</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3．其他投入本项目运维的货物、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等。</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七、投入本项目运维的货物、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地点：乙方交货至甲方指定地点，所发生的运输等费用及货物的损坏造成的损失由乙方承担。</w:t>
      </w:r>
      <w:r/>
    </w:p>
    <w:p>
      <w:pPr>
        <w:ind w:right="0" w:firstLine="420"/>
        <w:keepLines w:val="0"/>
        <w:keepNext w:val="0"/>
        <w:pageBreakBefore w:val="0"/>
        <w:spacing w:line="360" w:lineRule="auto"/>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val="zh-CN"/>
        </w:rPr>
        <w:t xml:space="preserve">八、</w:t>
      </w:r>
      <w:r>
        <w:rPr>
          <w:rFonts w:hint="eastAsia" w:ascii="宋体" w:hAnsi="宋体" w:eastAsia="宋体" w:cs="宋体"/>
          <w:strike w:val="0"/>
          <w:color w:val="auto"/>
          <w:sz w:val="21"/>
          <w:szCs w:val="21"/>
          <w:highlight w:val="none"/>
        </w:rPr>
        <w:t xml:space="preserve">履约期限：一年，202</w:t>
      </w:r>
      <w:r>
        <w:rPr>
          <w:rFonts w:hint="eastAsia" w:ascii="宋体" w:hAnsi="宋体" w:cs="宋体"/>
          <w:strike w:val="0"/>
          <w:color w:val="auto"/>
          <w:sz w:val="21"/>
          <w:szCs w:val="21"/>
          <w:highlight w:val="none"/>
          <w:lang w:val="en-US" w:eastAsia="zh-CN"/>
        </w:rPr>
        <w:t xml:space="preserve">6</w:t>
      </w:r>
      <w:r>
        <w:rPr>
          <w:rFonts w:hint="eastAsia" w:ascii="宋体" w:hAnsi="宋体" w:eastAsia="宋体" w:cs="宋体"/>
          <w:strike w:val="0"/>
          <w:color w:val="auto"/>
          <w:sz w:val="21"/>
          <w:szCs w:val="21"/>
          <w:highlight w:val="none"/>
        </w:rPr>
        <w:t xml:space="preserve">年</w:t>
      </w:r>
      <w:r>
        <w:rPr>
          <w:rFonts w:hint="eastAsia" w:ascii="宋体" w:hAnsi="宋体" w:eastAsia="宋体" w:cs="宋体"/>
          <w:strike w:val="0"/>
          <w:color w:val="auto"/>
          <w:sz w:val="21"/>
          <w:szCs w:val="21"/>
          <w:highlight w:val="none"/>
          <w:u w:val="single"/>
          <w:lang w:val="en-US" w:eastAsia="zh-CN"/>
        </w:rPr>
        <w:t xml:space="preserve">    </w:t>
      </w:r>
      <w:r>
        <w:rPr>
          <w:rFonts w:hint="eastAsia" w:ascii="宋体" w:hAnsi="宋体" w:eastAsia="宋体" w:cs="宋体"/>
          <w:strike w:val="0"/>
          <w:color w:val="auto"/>
          <w:sz w:val="21"/>
          <w:szCs w:val="21"/>
          <w:highlight w:val="none"/>
        </w:rPr>
        <w:t xml:space="preserve">月</w:t>
      </w:r>
      <w:r>
        <w:rPr>
          <w:rFonts w:hint="eastAsia" w:ascii="宋体" w:hAnsi="宋体" w:eastAsia="宋体" w:cs="宋体"/>
          <w:strike w:val="0"/>
          <w:color w:val="auto"/>
          <w:sz w:val="21"/>
          <w:szCs w:val="21"/>
          <w:highlight w:val="none"/>
          <w:u w:val="single"/>
          <w:lang w:val="en-US" w:eastAsia="zh-CN"/>
        </w:rPr>
        <w:t xml:space="preserve">    </w:t>
      </w:r>
      <w:r>
        <w:rPr>
          <w:rFonts w:hint="eastAsia" w:ascii="宋体" w:hAnsi="宋体" w:eastAsia="宋体" w:cs="宋体"/>
          <w:strike w:val="0"/>
          <w:color w:val="auto"/>
          <w:sz w:val="21"/>
          <w:szCs w:val="21"/>
          <w:highlight w:val="none"/>
        </w:rPr>
        <w:t xml:space="preserve">日起一年或至项目</w:t>
      </w:r>
      <w:r>
        <w:rPr>
          <w:rFonts w:hint="eastAsia" w:ascii="宋体" w:hAnsi="宋体" w:cs="宋体"/>
          <w:strike w:val="0"/>
          <w:color w:val="auto"/>
          <w:sz w:val="21"/>
          <w:szCs w:val="21"/>
          <w:highlight w:val="none"/>
          <w:lang w:eastAsia="zh-CN"/>
        </w:rPr>
        <w:t xml:space="preserve">累计</w:t>
      </w:r>
      <w:r>
        <w:rPr>
          <w:rFonts w:hint="eastAsia" w:ascii="宋体" w:hAnsi="宋体" w:eastAsia="宋体" w:cs="宋体"/>
          <w:strike w:val="0"/>
          <w:color w:val="auto"/>
          <w:sz w:val="21"/>
          <w:szCs w:val="21"/>
          <w:highlight w:val="none"/>
        </w:rPr>
        <w:t xml:space="preserve">结算金额达到</w:t>
      </w:r>
      <w:r>
        <w:rPr>
          <w:rFonts w:hint="eastAsia" w:ascii="宋体" w:hAnsi="宋体" w:cs="宋体"/>
          <w:strike w:val="0"/>
          <w:color w:val="auto"/>
          <w:sz w:val="21"/>
          <w:szCs w:val="21"/>
          <w:highlight w:val="none"/>
          <w:lang w:val="en-US" w:eastAsia="zh-CN"/>
        </w:rPr>
        <w:t xml:space="preserve">194万元</w:t>
      </w:r>
      <w:r>
        <w:rPr>
          <w:rFonts w:hint="eastAsia" w:ascii="宋体" w:hAnsi="宋体" w:eastAsia="宋体" w:cs="宋体"/>
          <w:strike w:val="0"/>
          <w:color w:val="auto"/>
          <w:sz w:val="21"/>
          <w:szCs w:val="21"/>
          <w:highlight w:val="none"/>
        </w:rPr>
        <w:t xml:space="preserve">止。</w:t>
      </w:r>
      <w:r/>
    </w:p>
    <w:p>
      <w:pPr>
        <w:ind w:right="0" w:firstLine="420"/>
        <w:keepLines w:val="0"/>
        <w:keepNext w:val="0"/>
        <w:pageBreakBefore w:val="0"/>
        <w:spacing w:line="360" w:lineRule="auto"/>
        <w:tabs>
          <w:tab w:val="left" w:pos="8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九、</w:t>
      </w:r>
      <w:r>
        <w:rPr>
          <w:rFonts w:hint="eastAsia" w:ascii="宋体" w:hAnsi="宋体" w:cs="宋体"/>
          <w:color w:val="auto"/>
          <w:sz w:val="21"/>
          <w:szCs w:val="21"/>
          <w:highlight w:val="none"/>
          <w:lang w:val="zh-CN"/>
        </w:rPr>
        <w:t xml:space="preserve">履约保证金</w:t>
      </w:r>
      <w:r>
        <w:rPr>
          <w:rFonts w:hint="eastAsia" w:ascii="宋体" w:hAnsi="宋体" w:eastAsia="宋体" w:cs="宋体"/>
          <w:color w:val="auto"/>
          <w:sz w:val="21"/>
          <w:szCs w:val="21"/>
          <w:highlight w:val="none"/>
          <w:lang w:val="zh-CN"/>
        </w:rPr>
        <w:t xml:space="preserve">：</w:t>
      </w:r>
      <w:r/>
    </w:p>
    <w:p>
      <w:pPr>
        <w:pStyle w:val="1057"/>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中标通知书发出后，</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应于合同签订前向</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指定账户交纳中标合同金额5%的履约保证金。</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十、付款方式</w:t>
      </w:r>
      <w:r/>
    </w:p>
    <w:p>
      <w:pPr>
        <w:ind w:firstLine="42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合同签订后三个月内支付合同金额50%首付款，随后根据工程进度可适时支付不超过合同总额的80%，余下款项待到工程竣工，验收合格经审计等规定程序后两个月内一次性付清，具体时间以财政资金下达情况为准。</w:t>
      </w:r>
      <w:r/>
    </w:p>
    <w:p>
      <w:pPr>
        <w:ind w:firstLine="420"/>
        <w:spacing w:line="360" w:lineRule="auto"/>
        <w:rPr>
          <w:rFonts w:hint="eastAsia" w:ascii="宋体" w:hAnsi="宋体" w:eastAsia="宋体" w:cs="宋体"/>
          <w:color w:val="auto"/>
          <w:sz w:val="21"/>
          <w:szCs w:val="21"/>
          <w:highlight w:val="none"/>
          <w:lang w:val="en-US"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签订后一个月内支付合同金额10%预付款，合同签订后三个月内支付至合同金额的50%，随后根据工程进度可适时支付至不超过合同总额的80%，余下款项待到工程竣工，验收合格经审计等规定程序后两个月内一次性付清，</w:t>
      </w:r>
      <w:r>
        <w:rPr>
          <w:rFonts w:hint="eastAsia" w:ascii="宋体" w:hAnsi="宋体" w:eastAsia="宋体" w:cs="Times New Roman"/>
          <w:color w:val="auto"/>
          <w:sz w:val="21"/>
          <w:szCs w:val="21"/>
          <w:highlight w:val="none"/>
          <w:lang w:val="en-US" w:eastAsia="zh-CN" w:bidi="ar-SA"/>
        </w:rPr>
        <w:t xml:space="preserve">具体时间以财政资金下达情况为准。</w:t>
      </w:r>
      <w:r/>
    </w:p>
    <w:p>
      <w:pPr>
        <w:ind w:firstLine="420"/>
        <w:spacing w:line="360" w:lineRule="auto"/>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right="0" w:firstLine="420"/>
        <w:keepLines w:val="0"/>
        <w:keepNext w:val="0"/>
        <w:pageBreakBefore w:val="0"/>
        <w:spacing w:line="360" w:lineRule="auto"/>
        <w:tabs>
          <w:tab w:val="left" w:pos="8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w:t>
      </w:r>
      <w:r>
        <w:rPr>
          <w:rFonts w:hint="eastAsia" w:ascii="宋体" w:hAnsi="宋体" w:cs="宋体"/>
          <w:color w:val="auto"/>
          <w:sz w:val="21"/>
          <w:szCs w:val="21"/>
          <w:highlight w:val="none"/>
          <w:lang w:eastAsia="zh-CN"/>
        </w:rPr>
        <w:t xml:space="preserve">合同</w:t>
      </w:r>
      <w:r>
        <w:rPr>
          <w:rFonts w:hint="eastAsia" w:ascii="宋体" w:hAnsi="宋体" w:eastAsia="宋体" w:cs="宋体"/>
          <w:color w:val="auto"/>
          <w:sz w:val="21"/>
          <w:szCs w:val="21"/>
          <w:highlight w:val="none"/>
        </w:rPr>
        <w:t xml:space="preserve">中没有指明的，由供需双方协商签订。</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一</w:t>
      </w:r>
      <w:r>
        <w:rPr>
          <w:rFonts w:hint="eastAsia" w:ascii="宋体" w:hAnsi="宋体" w:eastAsia="宋体" w:cs="宋体"/>
          <w:color w:val="auto"/>
          <w:sz w:val="21"/>
          <w:szCs w:val="21"/>
          <w:highlight w:val="none"/>
          <w:lang w:val="zh-CN"/>
        </w:rPr>
        <w:t xml:space="preserve">、储放和保护</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由乙方运至甲方指定地点，验收交货前存放及保管概由乙方负责。</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、技术条款和承诺条款</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乙方所供投入本项目运维的货物、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须符合招标文件设计图纸和国家标准及规范要求，乙方投标文件中列明的设备及元器件品牌、生产地、制造厂商、质量保证等必须符合相关的国家标准和规范。</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三</w:t>
      </w:r>
      <w:r>
        <w:rPr>
          <w:rFonts w:hint="eastAsia" w:ascii="宋体" w:hAnsi="宋体" w:eastAsia="宋体" w:cs="宋体"/>
          <w:color w:val="auto"/>
          <w:sz w:val="21"/>
          <w:szCs w:val="21"/>
          <w:highlight w:val="none"/>
          <w:lang w:val="zh-CN"/>
        </w:rPr>
        <w:t xml:space="preserve">、质量保证</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应为全新，未曾使用过之优质产品，与规定的质量、规格和性能相符，并保证该产品确系原厂制造，同时提供产品的质量保证书、技术性能说明书、有关部门的检测测试报告、质量标准认证证书等相关材料。</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四</w:t>
      </w:r>
      <w:r>
        <w:rPr>
          <w:rFonts w:hint="eastAsia" w:ascii="宋体" w:hAnsi="宋体" w:eastAsia="宋体" w:cs="宋体"/>
          <w:color w:val="auto"/>
          <w:sz w:val="21"/>
          <w:szCs w:val="21"/>
          <w:highlight w:val="none"/>
          <w:lang w:val="zh-CN"/>
        </w:rPr>
        <w:t xml:space="preserve">、本合同应为完整货物及功能的提供。</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五</w:t>
      </w:r>
      <w:r>
        <w:rPr>
          <w:rFonts w:hint="eastAsia" w:ascii="宋体" w:hAnsi="宋体" w:eastAsia="宋体" w:cs="宋体"/>
          <w:color w:val="auto"/>
          <w:sz w:val="21"/>
          <w:szCs w:val="21"/>
          <w:highlight w:val="none"/>
          <w:lang w:val="zh-CN"/>
        </w:rPr>
        <w:t xml:space="preserve">、保修期：产品免费质量保修期自验收合格之日起不少于三年，但其中杆件和基础的保修期为十年（人为损坏、地震等不可抗力损坏除外）。</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六</w:t>
      </w:r>
      <w:r>
        <w:rPr>
          <w:rFonts w:hint="eastAsia" w:ascii="宋体" w:hAnsi="宋体" w:eastAsia="宋体" w:cs="宋体"/>
          <w:color w:val="auto"/>
          <w:sz w:val="21"/>
          <w:szCs w:val="21"/>
          <w:highlight w:val="none"/>
          <w:lang w:val="zh-CN"/>
        </w:rPr>
        <w:t xml:space="preserve">、售后服务：售后服务见乙方投标文件中的承诺。</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七</w:t>
      </w:r>
      <w:r>
        <w:rPr>
          <w:rFonts w:hint="eastAsia" w:ascii="宋体" w:hAnsi="宋体" w:eastAsia="宋体" w:cs="宋体"/>
          <w:color w:val="auto"/>
          <w:sz w:val="21"/>
          <w:szCs w:val="21"/>
          <w:highlight w:val="none"/>
          <w:lang w:val="zh-CN"/>
        </w:rPr>
        <w:t xml:space="preserve">、不可抗拒事故</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八</w:t>
      </w:r>
      <w:r>
        <w:rPr>
          <w:rFonts w:hint="eastAsia" w:ascii="宋体" w:hAnsi="宋体" w:eastAsia="宋体" w:cs="宋体"/>
          <w:color w:val="auto"/>
          <w:sz w:val="21"/>
          <w:szCs w:val="21"/>
          <w:highlight w:val="none"/>
          <w:lang w:val="zh-CN"/>
        </w:rPr>
        <w:t xml:space="preserve">、违约责任</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1．除人力不可抗拒因素外，乙方不能按期交货，或因运输及安装中货物缺损需要更换而影响实际交付使用时，乙方必须向甲方支付延期交货或延期交付使用的违约金，具体标准按合同总价每日0.1%计算。</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．乙方提前交货的，甲方接货后，按合同规定的付款方式付款。</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5.相关罚则</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（1）乙方接到信号灯</w:t>
      </w:r>
      <w:r>
        <w:rPr>
          <w:rFonts w:hint="eastAsia" w:ascii="宋体" w:hAnsi="宋体" w:eastAsia="宋体" w:cs="宋体"/>
          <w:color w:val="auto"/>
          <w:sz w:val="21"/>
          <w:szCs w:val="21"/>
          <w:highlight w:val="none"/>
        </w:rPr>
        <w:t xml:space="preserve">（含倒计时）</w:t>
      </w:r>
      <w:r>
        <w:rPr>
          <w:rFonts w:hint="eastAsia" w:ascii="宋体" w:hAnsi="宋体" w:eastAsia="宋体" w:cs="宋体"/>
          <w:color w:val="auto"/>
          <w:sz w:val="21"/>
          <w:szCs w:val="21"/>
          <w:highlight w:val="none"/>
          <w:lang w:val="zh-CN"/>
        </w:rPr>
        <w:t xml:space="preserve">维护任务城区1小时内到未到达现场，其它区域2小时内未到达现场，到达现场后未在2小时内解决故障也未采取相应的临时措施，且未向太仓市公安局交通警察大队汇报，导致隐患一直存在的（因客观原因造成的，并经太仓市公安局交通警察大队认可的除外）每次扣罚1000元，因维护不及时引发道路交通事故或其他人身及财产损失，由乙方承担全部责任。</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（2）乙方接到信号灯</w:t>
      </w:r>
      <w:r>
        <w:rPr>
          <w:rFonts w:hint="eastAsia" w:ascii="宋体" w:hAnsi="宋体" w:eastAsia="宋体" w:cs="宋体"/>
          <w:color w:val="auto"/>
          <w:sz w:val="21"/>
          <w:szCs w:val="21"/>
          <w:highlight w:val="none"/>
        </w:rPr>
        <w:t xml:space="preserve">（含倒计时）</w:t>
      </w:r>
      <w:r>
        <w:rPr>
          <w:rFonts w:hint="eastAsia" w:ascii="宋体" w:hAnsi="宋体" w:eastAsia="宋体" w:cs="宋体"/>
          <w:color w:val="auto"/>
          <w:sz w:val="21"/>
          <w:szCs w:val="21"/>
          <w:highlight w:val="none"/>
          <w:lang w:val="zh-CN"/>
        </w:rPr>
        <w:t xml:space="preserve">维护任务后，忘记维护或不去维护的（接到维护指令后24小时内未到现场开展有效工作的），每次扣罚5000元，因维护不及时引发道路交通事故或其他人身及财产损失，由乙方承担全部责任。</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（3）乙方违反规定在早晚高峰期间进行施工作业（除抢修项目外），影响道路交通正常通行或造成交通拥堵的，每次扣罚200元。经交通执勤人员劝阻后，不服指挥继续施工作业的，每次扣罚500元；</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（4）乙方不按实际维修情况，虚报、谎报维修清单及工程量的，经查实，每次扣罚10000元；</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（5）乙方违反操作规程，导致人为增加实际工程量的，增加的工程量由维护服务商自行承担费用外每次扣罚1000元；</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 除上述情况外，乙方违反招标文件中的其他规定的，每发现一次，扣罚500元，不设上限；</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（7）多次违反上述规定的，且乙方整改不力的，太仓市公安局交通警察大队有权要求维护服务终止合同。</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以上扣罚费用在工程结算款中直接扣除。</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十</w:t>
      </w:r>
      <w:r>
        <w:rPr>
          <w:rFonts w:hint="eastAsia" w:ascii="宋体" w:hAnsi="宋体" w:cs="宋体"/>
          <w:color w:val="auto"/>
          <w:sz w:val="21"/>
          <w:szCs w:val="21"/>
          <w:highlight w:val="none"/>
          <w:lang w:val="zh-CN"/>
        </w:rPr>
        <w:t xml:space="preserve">九</w:t>
      </w:r>
      <w:r>
        <w:rPr>
          <w:rFonts w:hint="eastAsia" w:ascii="宋体" w:hAnsi="宋体" w:eastAsia="宋体" w:cs="宋体"/>
          <w:color w:val="auto"/>
          <w:sz w:val="21"/>
          <w:szCs w:val="21"/>
          <w:highlight w:val="none"/>
          <w:lang w:val="zh-CN"/>
        </w:rPr>
        <w:t xml:space="preserve">、索赔：</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如在投入本项目运维的货物、</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zh-CN"/>
        </w:rPr>
        <w:t xml:space="preserve">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索赔方式除上述规定之外，甲方还有权选择以下方式进行索赔：</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2．根据货物损坏程度以及甲方遭受损失的数额，经甲乙双方商定降低货物的价格。</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二十</w:t>
      </w:r>
      <w:r>
        <w:rPr>
          <w:rFonts w:hint="eastAsia" w:ascii="宋体" w:hAnsi="宋体" w:eastAsia="宋体" w:cs="宋体"/>
          <w:color w:val="auto"/>
          <w:sz w:val="21"/>
          <w:szCs w:val="21"/>
          <w:highlight w:val="none"/>
          <w:lang w:val="zh-CN"/>
        </w:rPr>
        <w:t xml:space="preserve">、资料提供：合同签订一周内乙方提供货物图纸。</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二十</w:t>
      </w:r>
      <w:r>
        <w:rPr>
          <w:rFonts w:hint="eastAsia" w:ascii="宋体" w:hAnsi="宋体" w:cs="宋体"/>
          <w:color w:val="auto"/>
          <w:sz w:val="21"/>
          <w:szCs w:val="21"/>
          <w:highlight w:val="none"/>
          <w:lang w:val="zh-CN"/>
        </w:rPr>
        <w:t xml:space="preserve">一</w:t>
      </w:r>
      <w:r>
        <w:rPr>
          <w:rFonts w:hint="eastAsia" w:ascii="宋体" w:hAnsi="宋体" w:eastAsia="宋体" w:cs="宋体"/>
          <w:color w:val="auto"/>
          <w:sz w:val="21"/>
          <w:szCs w:val="21"/>
          <w:highlight w:val="none"/>
          <w:lang w:val="zh-CN"/>
        </w:rPr>
        <w:t xml:space="preserve">、技术培训甲方认为可以培训的前一周推荐培训计划、提供资料、培训后能熟练操作、了解构造原理、日常维护、排除一般故障。</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二十</w:t>
      </w:r>
      <w:r>
        <w:rPr>
          <w:rFonts w:hint="eastAsia" w:ascii="宋体" w:hAnsi="宋体" w:cs="宋体"/>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、特别条款</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1．双方签约人为各自法定代表人或被授权代表。</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2．本合同系指本文件及其附件中的所有部分；其中招标文件、中标的投标文件、中标单位在招标过程中的澄清、承诺等为本合同不可缺少的必要组成部分。</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3．本合同一式</w:t>
      </w:r>
      <w:r>
        <w:rPr>
          <w:rFonts w:hint="eastAsia" w:ascii="宋体" w:hAnsi="宋体" w:eastAsia="宋体" w:cs="宋体"/>
          <w:color w:val="auto"/>
          <w:sz w:val="21"/>
          <w:szCs w:val="21"/>
          <w:highlight w:val="none"/>
        </w:rPr>
        <w:t xml:space="preserve">陆</w:t>
      </w:r>
      <w:r>
        <w:rPr>
          <w:rFonts w:hint="eastAsia" w:ascii="宋体" w:hAnsi="宋体" w:eastAsia="宋体" w:cs="宋体"/>
          <w:color w:val="auto"/>
          <w:sz w:val="21"/>
          <w:szCs w:val="21"/>
          <w:highlight w:val="none"/>
          <w:lang w:val="zh-CN"/>
        </w:rPr>
        <w:t xml:space="preserve">份，甲、乙双方各执</w:t>
      </w:r>
      <w:r>
        <w:rPr>
          <w:rFonts w:hint="eastAsia" w:ascii="宋体" w:hAnsi="宋体" w:eastAsia="宋体" w:cs="宋体"/>
          <w:color w:val="auto"/>
          <w:sz w:val="21"/>
          <w:szCs w:val="21"/>
          <w:highlight w:val="none"/>
        </w:rPr>
        <w:t xml:space="preserve">贰</w:t>
      </w:r>
      <w:r>
        <w:rPr>
          <w:rFonts w:hint="eastAsia" w:ascii="宋体" w:hAnsi="宋体" w:eastAsia="宋体" w:cs="宋体"/>
          <w:color w:val="auto"/>
          <w:sz w:val="21"/>
          <w:szCs w:val="21"/>
          <w:highlight w:val="none"/>
          <w:lang w:val="zh-CN"/>
        </w:rPr>
        <w:t xml:space="preserve">份，备案机构和招标代理人各执壹份，各份具有同等法律效力。</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二十</w:t>
      </w:r>
      <w:r>
        <w:rPr>
          <w:rFonts w:hint="eastAsia" w:ascii="宋体" w:hAnsi="宋体" w:cs="宋体"/>
          <w:color w:val="auto"/>
          <w:sz w:val="21"/>
          <w:szCs w:val="21"/>
          <w:highlight w:val="none"/>
          <w:lang w:val="zh-CN"/>
        </w:rPr>
        <w:t xml:space="preserve">三</w:t>
      </w:r>
      <w:r>
        <w:rPr>
          <w:rFonts w:hint="eastAsia" w:ascii="宋体" w:hAnsi="宋体" w:eastAsia="宋体" w:cs="宋体"/>
          <w:color w:val="auto"/>
          <w:sz w:val="21"/>
          <w:szCs w:val="21"/>
          <w:highlight w:val="none"/>
          <w:lang w:val="zh-CN"/>
        </w:rPr>
        <w:t xml:space="preserve">、其他</w:t>
      </w:r>
      <w:r/>
    </w:p>
    <w:p>
      <w:pPr>
        <w:ind w:right="0" w:firstLine="420"/>
        <w:keepLines w:val="0"/>
        <w:keepNext w:val="0"/>
        <w:pageBreakBefore w:val="0"/>
        <w:spacing w:line="360" w:lineRule="auto"/>
        <w:tabs>
          <w:tab w:val="left" w:pos="0" w:leader="none"/>
          <w:tab w:val="left" w:pos="9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1．合同由</w:t>
      </w:r>
      <w:r>
        <w:rPr>
          <w:rFonts w:hint="eastAsia" w:ascii="宋体" w:hAnsi="宋体" w:eastAsia="宋体" w:cs="宋体"/>
          <w:color w:val="auto"/>
          <w:sz w:val="21"/>
          <w:szCs w:val="21"/>
          <w:highlight w:val="none"/>
        </w:rPr>
        <w:t xml:space="preserve">中标方缴纳履约金，</w:t>
      </w:r>
      <w:r>
        <w:rPr>
          <w:rFonts w:hint="eastAsia" w:ascii="宋体" w:hAnsi="宋体" w:eastAsia="宋体" w:cs="宋体"/>
          <w:color w:val="auto"/>
          <w:sz w:val="21"/>
          <w:szCs w:val="21"/>
          <w:highlight w:val="none"/>
          <w:lang w:val="zh-CN"/>
        </w:rPr>
        <w:t xml:space="preserve">甲乙双方盖章签字，</w:t>
      </w:r>
      <w:r>
        <w:rPr>
          <w:rFonts w:hint="eastAsia" w:ascii="宋体" w:hAnsi="宋体" w:eastAsia="宋体" w:cs="宋体"/>
          <w:color w:val="auto"/>
          <w:sz w:val="21"/>
          <w:szCs w:val="21"/>
          <w:highlight w:val="none"/>
        </w:rPr>
        <w:t xml:space="preserve">代理机构</w:t>
      </w:r>
      <w:r>
        <w:rPr>
          <w:rFonts w:hint="eastAsia" w:ascii="宋体" w:hAnsi="宋体" w:eastAsia="宋体" w:cs="宋体"/>
          <w:color w:val="auto"/>
          <w:sz w:val="21"/>
          <w:szCs w:val="21"/>
          <w:highlight w:val="none"/>
          <w:lang w:val="zh-CN"/>
        </w:rPr>
        <w:t xml:space="preserve">加盖备案章</w:t>
      </w:r>
      <w:r>
        <w:rPr>
          <w:rFonts w:hint="eastAsia" w:ascii="宋体" w:hAnsi="宋体" w:eastAsia="宋体" w:cs="宋体"/>
          <w:color w:val="auto"/>
          <w:sz w:val="21"/>
          <w:szCs w:val="21"/>
          <w:highlight w:val="none"/>
        </w:rPr>
        <w:t xml:space="preserve">后生效</w:t>
      </w:r>
      <w:r>
        <w:rPr>
          <w:rFonts w:hint="eastAsia" w:ascii="宋体" w:hAnsi="宋体" w:eastAsia="宋体" w:cs="宋体"/>
          <w:color w:val="auto"/>
          <w:sz w:val="21"/>
          <w:szCs w:val="21"/>
          <w:highlight w:val="none"/>
          <w:lang w:val="zh-CN"/>
        </w:rPr>
        <w:t xml:space="preserve">。</w:t>
      </w:r>
      <w:r/>
    </w:p>
    <w:p>
      <w:pPr>
        <w:ind w:right="0" w:firstLine="420"/>
        <w:keepLines w:val="0"/>
        <w:keepNext w:val="0"/>
        <w:pageBreakBefore w:val="0"/>
        <w:spacing w:line="360" w:lineRule="auto"/>
        <w:tabs>
          <w:tab w:val="left" w:pos="0" w:leader="none"/>
          <w:tab w:val="left" w:pos="9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2．本合同未尽事宜，签约双方应友好协商解决。协商不成，任何一方均可向甲方所在人民法院提起诉讼。</w:t>
      </w:r>
      <w:r/>
    </w:p>
    <w:p>
      <w:pPr>
        <w:ind w:right="0"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982"/>
        <w:ind w:left="0" w:righ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58"/>
        <w:tblW w:w="9499" w:type="dxa"/>
        <w:jc w:val="center"/>
        <w:tblLayout w:type="fixed"/>
        <w:tblCellMar>
          <w:left w:w="108" w:type="dxa"/>
          <w:top w:w="0" w:type="dxa"/>
          <w:right w:w="108" w:type="dxa"/>
          <w:bottom w:w="0" w:type="dxa"/>
        </w:tblCellMar>
        <w:tblLook w:val="04A0" w:firstRow="1" w:lastRow="0" w:firstColumn="1" w:lastColumn="0" w:noHBand="0" w:noVBand="1"/>
      </w:tblPr>
      <w:tblGrid>
        <w:gridCol w:w="5015"/>
        <w:gridCol w:w="4484"/>
      </w:tblGrid>
      <w:tr>
        <w:trPr>
          <w:jc w:val="center"/>
        </w:trPr>
        <w:tc>
          <w:tcPr>
            <w:tcW w:w="5015" w:type="dxa"/>
            <w:vAlign w:val="top"/>
            <w:textDirection w:val="lrTb"/>
            <w:noWrap w:val="false"/>
          </w:tcPr>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w:t>
            </w:r>
            <w:r/>
          </w:p>
        </w:tc>
        <w:tc>
          <w:tcPr>
            <w:tcW w:w="4484" w:type="dxa"/>
            <w:vAlign w:val="top"/>
            <w:textDirection w:val="lrTb"/>
            <w:noWrap w:val="false"/>
          </w:tcPr>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righ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法定代表人</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w:t>
            </w:r>
            <w:r/>
          </w:p>
        </w:tc>
      </w:tr>
      <w:tr>
        <w:trPr>
          <w:jc w:val="center"/>
        </w:trPr>
        <w:tc>
          <w:tcPr>
            <w:tcW w:w="5015" w:type="dxa"/>
            <w:vAlign w:val="top"/>
            <w:textDirection w:val="lrTb"/>
            <w:noWrap w:val="false"/>
          </w:tcPr>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W w:w="4484" w:type="dxa"/>
            <w:vAlign w:val="top"/>
            <w:textDirection w:val="lrTb"/>
            <w:noWrap w:val="false"/>
          </w:tcPr>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r>
    </w:tbl>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9"/>
        <w:ind w:lef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（全文完）</w:t>
      </w:r>
      <w:r/>
    </w:p>
    <w:p>
      <w:pPr>
        <w:pStyle w:val="1049"/>
        <w:ind w:left="0" w:firstLine="0"/>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bookmarkEnd w:id="73"/>
      <w:r/>
      <w:r/>
    </w:p>
    <w:sectPr>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Symbol">
    <w:panose1 w:val="05050102010706020507"/>
  </w:font>
  <w:font w:name="Wingdings">
    <w:panose1 w:val="05000000000000000000"/>
  </w:font>
  <w:font w:name="微软雅黑.">
    <w:panose1 w:val="020B0503020204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2OcuA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5"/>
      </w:rPr>
      <w:framePr w:wrap="around" w:vAnchor="text" w:hAnchor="margin" w:xAlign="center" w:y="2"/>
    </w:pPr>
    <w:r>
      <w:fldChar w:fldCharType="begin"/>
    </w:r>
    <w:r>
      <w:rPr>
        <w:rStyle w:val="985"/>
      </w:rPr>
      <w:instrText xml:space="preserve">PAGE  </w:instrText>
    </w:r>
    <w:r>
      <w:fldChar w:fldCharType="separate"/>
    </w:r>
    <w:r>
      <w:rPr>
        <w:rStyle w:val="985"/>
      </w:rPr>
      <w:t xml:space="preserve">0</w:t>
    </w:r>
    <w:r>
      <w:fldChar w:fldCharType="end"/>
    </w:r>
    <w:r/>
  </w:p>
  <w:p>
    <w:pPr>
      <w:pStyle w:val="96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47</w:t>
    </w:r>
    <w:r>
      <w:fldChar w:fldCharType="end"/>
    </w:r>
    <w:r/>
  </w:p>
  <w:p>
    <w:pPr>
      <w:pStyle w:val="9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1</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JSZC-320585-SZTZ-G2026-0013</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hint="eastAsia"/>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lang w:val="en-US" w:eastAsia="zh-CN"/>
      </w:rPr>
      <w:t xml:space="preserve">                             编号：JSZC-320585-SZTZ-G2026-0013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48"/>
      <w:isLgl w:val="false"/>
      <w:suff w:val="nothing"/>
      <w:lvlText w:val="%1、"/>
      <w:lvlJc w:val="left"/>
      <w:pPr>
        <w:ind w:left="0" w:firstLine="0"/>
      </w:pPr>
      <w:rPr>
        <w:rFonts w:hint="eastAsia"/>
      </w:rPr>
    </w:lvl>
    <w:lvl w:ilvl="1">
      <w:start w:val="1"/>
      <w:numFmt w:val="chineseCounting"/>
      <w:pStyle w:val="949"/>
      <w:isLgl w:val="false"/>
      <w:suff w:val="nothing"/>
      <w:lvlText w:val="（%2）"/>
      <w:lvlJc w:val="left"/>
      <w:pPr>
        <w:ind w:left="0" w:firstLine="0"/>
      </w:pPr>
      <w:rPr>
        <w:rFonts w:hint="eastAsia"/>
      </w:rPr>
    </w:lvl>
    <w:lvl w:ilvl="2">
      <w:start w:val="1"/>
      <w:numFmt w:val="decimal"/>
      <w:pStyle w:val="950"/>
      <w:isLgl w:val="false"/>
      <w:suff w:val="nothing"/>
      <w:lvlText w:val="%3．"/>
      <w:lvlJc w:val="left"/>
      <w:pPr>
        <w:ind w:left="0" w:firstLine="400"/>
      </w:pPr>
      <w:rPr>
        <w:rFonts w:hint="eastAsia"/>
      </w:rPr>
    </w:lvl>
    <w:lvl w:ilvl="3">
      <w:start w:val="1"/>
      <w:numFmt w:val="decimal"/>
      <w:pStyle w:val="951"/>
      <w:isLgl w:val="false"/>
      <w:suff w:val="nothing"/>
      <w:lvlText w:val="（%4）"/>
      <w:lvlJc w:val="left"/>
      <w:pPr>
        <w:ind w:left="0" w:firstLine="402"/>
      </w:pPr>
      <w:rPr>
        <w:rFonts w:hint="eastAsia"/>
      </w:rPr>
    </w:lvl>
    <w:lvl w:ilvl="4">
      <w:start w:val="1"/>
      <w:numFmt w:val="decimalEnclosedCircleChinese"/>
      <w:pStyle w:val="952"/>
      <w:isLgl w:val="false"/>
      <w:suff w:val="nothing"/>
      <w:lvlText w:val="%5"/>
      <w:lvlJc w:val="left"/>
      <w:pPr>
        <w:ind w:left="0" w:firstLine="402"/>
      </w:pPr>
      <w:rPr>
        <w:rFonts w:hint="eastAsia"/>
      </w:rPr>
    </w:lvl>
    <w:lvl w:ilvl="5">
      <w:start w:val="1"/>
      <w:numFmt w:val="decimal"/>
      <w:pStyle w:val="953"/>
      <w:isLgl w:val="false"/>
      <w:suff w:val="nothing"/>
      <w:lvlText w:val="%6）"/>
      <w:lvlJc w:val="left"/>
      <w:pPr>
        <w:ind w:left="0" w:firstLine="402"/>
      </w:pPr>
      <w:rPr>
        <w:rFonts w:hint="eastAsia"/>
      </w:rPr>
    </w:lvl>
    <w:lvl w:ilvl="6">
      <w:start w:val="1"/>
      <w:numFmt w:val="lowerLetter"/>
      <w:pStyle w:val="954"/>
      <w:isLgl w:val="false"/>
      <w:suff w:val="nothing"/>
      <w:lvlText w:val="%7．"/>
      <w:lvlJc w:val="left"/>
      <w:pPr>
        <w:ind w:left="0" w:firstLine="402"/>
      </w:pPr>
      <w:rPr>
        <w:rFonts w:hint="eastAsia"/>
      </w:rPr>
    </w:lvl>
    <w:lvl w:ilvl="7">
      <w:start w:val="1"/>
      <w:numFmt w:val="lowerLetter"/>
      <w:pStyle w:val="955"/>
      <w:isLgl w:val="false"/>
      <w:suff w:val="nothing"/>
      <w:lvlText w:val="%8）"/>
      <w:lvlJc w:val="left"/>
      <w:pPr>
        <w:ind w:left="0" w:firstLine="402"/>
      </w:pPr>
      <w:rPr>
        <w:rFonts w:hint="eastAsia"/>
      </w:rPr>
    </w:lvl>
    <w:lvl w:ilvl="8">
      <w:start w:val="1"/>
      <w:numFmt w:val="lowerRoman"/>
      <w:pStyle w:val="956"/>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pStyle w:val="1047"/>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5">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6">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27"/>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960" w:hanging="420"/>
        <w:tabs>
          <w:tab w:val="left" w:pos="960" w:leader="none"/>
        </w:tabs>
      </w:pPr>
    </w:lvl>
    <w:lvl w:ilvl="1">
      <w:start w:val="1"/>
      <w:numFmt w:val="decimal"/>
      <w:isLgl w:val="false"/>
      <w:suff w:val="tab"/>
      <w:lvlText w:val="%2、"/>
      <w:lvlJc w:val="left"/>
      <w:pPr>
        <w:ind w:left="1320" w:hanging="360"/>
        <w:tabs>
          <w:tab w:val="left" w:pos="1320" w:leader="none"/>
        </w:tabs>
      </w:pPr>
      <w:rPr>
        <w:rFonts w:hint="default"/>
      </w:rPr>
    </w:lvl>
    <w:lvl w:ilvl="2">
      <w:start w:val="1"/>
      <w:numFmt w:val="lowerRoman"/>
      <w:isLgl w:val="false"/>
      <w:suff w:val="tab"/>
      <w:lvlText w:val="%3."/>
      <w:lvlJc w:val="right"/>
      <w:pPr>
        <w:ind w:left="1800" w:hanging="420"/>
        <w:tabs>
          <w:tab w:val="left" w:pos="1800" w:leader="none"/>
        </w:tabs>
      </w:pPr>
    </w:lvl>
    <w:lvl w:ilvl="3">
      <w:start w:val="1"/>
      <w:numFmt w:val="decimal"/>
      <w:isLgl w:val="false"/>
      <w:suff w:val="tab"/>
      <w:lvlText w:val="%4."/>
      <w:lvlJc w:val="left"/>
      <w:pPr>
        <w:ind w:left="2220" w:hanging="420"/>
        <w:tabs>
          <w:tab w:val="left" w:pos="2220" w:leader="none"/>
        </w:tabs>
      </w:pPr>
    </w:lvl>
    <w:lvl w:ilvl="4">
      <w:start w:val="1"/>
      <w:numFmt w:val="lowerLetter"/>
      <w:isLgl w:val="false"/>
      <w:suff w:val="tab"/>
      <w:lvlText w:val="%5)"/>
      <w:lvlJc w:val="left"/>
      <w:pPr>
        <w:ind w:left="2640" w:hanging="420"/>
        <w:tabs>
          <w:tab w:val="left" w:pos="2640" w:leader="none"/>
        </w:tabs>
      </w:pPr>
    </w:lvl>
    <w:lvl w:ilvl="5">
      <w:start w:val="1"/>
      <w:numFmt w:val="lowerRoman"/>
      <w:isLgl w:val="false"/>
      <w:suff w:val="tab"/>
      <w:lvlText w:val="%6."/>
      <w:lvlJc w:val="right"/>
      <w:pPr>
        <w:ind w:left="3060" w:hanging="420"/>
        <w:tabs>
          <w:tab w:val="left" w:pos="3060" w:leader="none"/>
        </w:tabs>
      </w:pPr>
    </w:lvl>
    <w:lvl w:ilvl="6">
      <w:start w:val="1"/>
      <w:numFmt w:val="decimal"/>
      <w:isLgl w:val="false"/>
      <w:suff w:val="tab"/>
      <w:lvlText w:val="%7."/>
      <w:lvlJc w:val="left"/>
      <w:pPr>
        <w:ind w:left="3480" w:hanging="420"/>
        <w:tabs>
          <w:tab w:val="left" w:pos="3480" w:leader="none"/>
        </w:tabs>
      </w:pPr>
    </w:lvl>
    <w:lvl w:ilvl="7">
      <w:start w:val="1"/>
      <w:numFmt w:val="lowerLetter"/>
      <w:isLgl w:val="false"/>
      <w:suff w:val="tab"/>
      <w:lvlText w:val="%8)"/>
      <w:lvlJc w:val="left"/>
      <w:pPr>
        <w:ind w:left="3900" w:hanging="420"/>
        <w:tabs>
          <w:tab w:val="left" w:pos="3900" w:leader="none"/>
        </w:tabs>
      </w:pPr>
    </w:lvl>
    <w:lvl w:ilvl="8">
      <w:start w:val="1"/>
      <w:numFmt w:val="lowerRoman"/>
      <w:isLgl w:val="false"/>
      <w:suff w:val="tab"/>
      <w:lvlText w:val="%9."/>
      <w:lvlJc w:val="right"/>
      <w:pPr>
        <w:ind w:left="4320" w:hanging="420"/>
        <w:tabs>
          <w:tab w:val="left" w:pos="4320" w:leader="none"/>
        </w:tabs>
      </w:pPr>
    </w:lvl>
  </w:abstractNum>
  <w:abstractNum w:abstractNumId="1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60" w:hanging="420"/>
        <w:tabs>
          <w:tab w:val="left" w:pos="960" w:leader="none"/>
        </w:tabs>
      </w:pPr>
    </w:lvl>
    <w:lvl w:ilvl="1">
      <w:start w:val="1"/>
      <w:numFmt w:val="decimal"/>
      <w:isLgl w:val="false"/>
      <w:suff w:val="tab"/>
      <w:lvlText w:val="%2、"/>
      <w:lvlJc w:val="left"/>
      <w:pPr>
        <w:ind w:left="1320" w:hanging="360"/>
        <w:tabs>
          <w:tab w:val="left" w:pos="1320" w:leader="none"/>
        </w:tabs>
      </w:pPr>
      <w:rPr>
        <w:rFonts w:hint="default"/>
      </w:rPr>
    </w:lvl>
    <w:lvl w:ilvl="2">
      <w:start w:val="1"/>
      <w:numFmt w:val="lowerRoman"/>
      <w:isLgl w:val="false"/>
      <w:suff w:val="tab"/>
      <w:lvlText w:val="%3."/>
      <w:lvlJc w:val="right"/>
      <w:pPr>
        <w:ind w:left="1800" w:hanging="420"/>
        <w:tabs>
          <w:tab w:val="left" w:pos="1800" w:leader="none"/>
        </w:tabs>
      </w:pPr>
    </w:lvl>
    <w:lvl w:ilvl="3">
      <w:start w:val="1"/>
      <w:numFmt w:val="decimal"/>
      <w:isLgl w:val="false"/>
      <w:suff w:val="tab"/>
      <w:lvlText w:val="%4."/>
      <w:lvlJc w:val="left"/>
      <w:pPr>
        <w:ind w:left="2220" w:hanging="420"/>
        <w:tabs>
          <w:tab w:val="left" w:pos="2220" w:leader="none"/>
        </w:tabs>
      </w:pPr>
    </w:lvl>
    <w:lvl w:ilvl="4">
      <w:start w:val="1"/>
      <w:numFmt w:val="lowerLetter"/>
      <w:isLgl w:val="false"/>
      <w:suff w:val="tab"/>
      <w:lvlText w:val="%5)"/>
      <w:lvlJc w:val="left"/>
      <w:pPr>
        <w:ind w:left="2640" w:hanging="420"/>
        <w:tabs>
          <w:tab w:val="left" w:pos="2640" w:leader="none"/>
        </w:tabs>
      </w:pPr>
    </w:lvl>
    <w:lvl w:ilvl="5">
      <w:start w:val="1"/>
      <w:numFmt w:val="lowerRoman"/>
      <w:isLgl w:val="false"/>
      <w:suff w:val="tab"/>
      <w:lvlText w:val="%6."/>
      <w:lvlJc w:val="right"/>
      <w:pPr>
        <w:ind w:left="3060" w:hanging="420"/>
        <w:tabs>
          <w:tab w:val="left" w:pos="3060" w:leader="none"/>
        </w:tabs>
      </w:pPr>
    </w:lvl>
    <w:lvl w:ilvl="6">
      <w:start w:val="1"/>
      <w:numFmt w:val="decimal"/>
      <w:isLgl w:val="false"/>
      <w:suff w:val="tab"/>
      <w:lvlText w:val="%7."/>
      <w:lvlJc w:val="left"/>
      <w:pPr>
        <w:ind w:left="3480" w:hanging="420"/>
        <w:tabs>
          <w:tab w:val="left" w:pos="3480" w:leader="none"/>
        </w:tabs>
      </w:pPr>
    </w:lvl>
    <w:lvl w:ilvl="7">
      <w:start w:val="1"/>
      <w:numFmt w:val="lowerLetter"/>
      <w:isLgl w:val="false"/>
      <w:suff w:val="tab"/>
      <w:lvlText w:val="%8)"/>
      <w:lvlJc w:val="left"/>
      <w:pPr>
        <w:ind w:left="3900" w:hanging="420"/>
        <w:tabs>
          <w:tab w:val="left" w:pos="3900" w:leader="none"/>
        </w:tabs>
      </w:pPr>
    </w:lvl>
    <w:lvl w:ilvl="8">
      <w:start w:val="1"/>
      <w:numFmt w:val="lowerRoman"/>
      <w:isLgl w:val="false"/>
      <w:suff w:val="tab"/>
      <w:lvlText w:val="%9."/>
      <w:lvlJc w:val="right"/>
      <w:pPr>
        <w:ind w:left="4320" w:hanging="420"/>
        <w:tabs>
          <w:tab w:val="left" w:pos="4320" w:leader="none"/>
        </w:tabs>
      </w:pPr>
    </w:lvl>
  </w:abstractNum>
  <w:abstractNum w:abstractNumId="16">
    <w:multiLevelType w:val="hybridMultilevel"/>
    <w:lvl w:ilvl="0">
      <w:start w:val="1"/>
      <w:numFmt w:val="bullet"/>
      <w:isLgl w:val="false"/>
      <w:suff w:val="tab"/>
      <w:lvlText w:val=""/>
      <w:lvlJc w:val="left"/>
      <w:pPr>
        <w:ind w:left="620" w:hanging="420"/>
      </w:pPr>
      <w:rPr>
        <w:rFonts w:hint="default" w:ascii="Wingdings" w:hAnsi="Wingdings"/>
      </w:rPr>
    </w:lvl>
    <w:lvl w:ilvl="1">
      <w:start w:val="1"/>
      <w:numFmt w:val="bullet"/>
      <w:isLgl w:val="false"/>
      <w:suff w:val="tab"/>
      <w:lvlText w:val=""/>
      <w:lvlJc w:val="left"/>
      <w:pPr>
        <w:ind w:left="1040" w:hanging="420"/>
      </w:pPr>
      <w:rPr>
        <w:rFonts w:hint="default" w:ascii="Wingdings" w:hAnsi="Wingdings"/>
      </w:rPr>
    </w:lvl>
    <w:lvl w:ilvl="2">
      <w:start w:val="1"/>
      <w:numFmt w:val="bullet"/>
      <w:isLgl w:val="false"/>
      <w:suff w:val="tab"/>
      <w:lvlText w:val=""/>
      <w:lvlJc w:val="left"/>
      <w:pPr>
        <w:ind w:left="1460" w:hanging="420"/>
      </w:pPr>
      <w:rPr>
        <w:rFonts w:hint="default" w:ascii="Wingdings" w:hAnsi="Wingdings"/>
      </w:rPr>
    </w:lvl>
    <w:lvl w:ilvl="3">
      <w:start w:val="1"/>
      <w:numFmt w:val="bullet"/>
      <w:isLgl w:val="false"/>
      <w:suff w:val="tab"/>
      <w:lvlText w:val=""/>
      <w:lvlJc w:val="left"/>
      <w:pPr>
        <w:ind w:left="1880" w:hanging="420"/>
      </w:pPr>
      <w:rPr>
        <w:rFonts w:hint="default" w:ascii="Wingdings" w:hAnsi="Wingdings"/>
      </w:rPr>
    </w:lvl>
    <w:lvl w:ilvl="4">
      <w:start w:val="1"/>
      <w:numFmt w:val="bullet"/>
      <w:isLgl w:val="false"/>
      <w:suff w:val="tab"/>
      <w:lvlText w:val=""/>
      <w:lvlJc w:val="left"/>
      <w:pPr>
        <w:ind w:left="2300" w:hanging="420"/>
      </w:pPr>
      <w:rPr>
        <w:rFonts w:hint="default" w:ascii="Wingdings" w:hAnsi="Wingdings"/>
      </w:rPr>
    </w:lvl>
    <w:lvl w:ilvl="5">
      <w:start w:val="1"/>
      <w:numFmt w:val="bullet"/>
      <w:isLgl w:val="false"/>
      <w:suff w:val="tab"/>
      <w:lvlText w:val=""/>
      <w:lvlJc w:val="left"/>
      <w:pPr>
        <w:ind w:left="2720" w:hanging="420"/>
      </w:pPr>
      <w:rPr>
        <w:rFonts w:hint="default" w:ascii="Wingdings" w:hAnsi="Wingdings"/>
      </w:rPr>
    </w:lvl>
    <w:lvl w:ilvl="6">
      <w:start w:val="1"/>
      <w:numFmt w:val="bullet"/>
      <w:isLgl w:val="false"/>
      <w:suff w:val="tab"/>
      <w:lvlText w:val=""/>
      <w:lvlJc w:val="left"/>
      <w:pPr>
        <w:ind w:left="3140" w:hanging="420"/>
      </w:pPr>
      <w:rPr>
        <w:rFonts w:hint="default" w:ascii="Wingdings" w:hAnsi="Wingdings"/>
      </w:rPr>
    </w:lvl>
    <w:lvl w:ilvl="7">
      <w:start w:val="1"/>
      <w:numFmt w:val="bullet"/>
      <w:isLgl w:val="false"/>
      <w:suff w:val="tab"/>
      <w:lvlText w:val=""/>
      <w:lvlJc w:val="left"/>
      <w:pPr>
        <w:ind w:left="3560" w:hanging="420"/>
      </w:pPr>
      <w:rPr>
        <w:rFonts w:hint="default" w:ascii="Wingdings" w:hAnsi="Wingdings"/>
      </w:rPr>
    </w:lvl>
    <w:lvl w:ilvl="8">
      <w:start w:val="1"/>
      <w:numFmt w:val="bullet"/>
      <w:isLgl w:val="false"/>
      <w:suff w:val="tab"/>
      <w:lvlText w:val=""/>
      <w:lvlJc w:val="left"/>
      <w:pPr>
        <w:ind w:left="3980" w:hanging="420"/>
      </w:pPr>
      <w:rPr>
        <w:rFonts w:hint="default" w:ascii="Wingdings" w:hAnsi="Wingdings"/>
      </w:rPr>
    </w:lvl>
  </w:abstractNum>
  <w:abstractNum w:abstractNumId="17">
    <w:multiLevelType w:val="hybridMultilevel"/>
    <w:lvl w:ilvl="0">
      <w:start w:val="1"/>
      <w:numFmt w:val="bullet"/>
      <w:isLgl w:val="false"/>
      <w:suff w:val="tab"/>
      <w:lvlText w:val=""/>
      <w:lvlJc w:val="left"/>
      <w:pPr>
        <w:ind w:left="840" w:hanging="420"/>
      </w:pPr>
      <w:rPr>
        <w:rFonts w:hint="default" w:ascii="Wingdings" w:hAnsi="Wingdings"/>
        <w:color w:val="auto"/>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4"/>
  </w:num>
  <w:num w:numId="4">
    <w:abstractNumId w:val="12"/>
  </w:num>
  <w:num w:numId="5">
    <w:abstractNumId w:val="10"/>
  </w:num>
  <w:num w:numId="6">
    <w:abstractNumId w:val="17"/>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9"/>
  </w:num>
  <w:num w:numId="9">
    <w:abstractNumId w:val="15"/>
  </w:num>
  <w:num w:numId="10">
    <w:abstractNumId w:val="11"/>
  </w:num>
  <w:num w:numId="11">
    <w:abstractNumId w:val="7"/>
  </w:num>
  <w:num w:numId="12">
    <w:abstractNumId w:val="8"/>
  </w:num>
  <w:num w:numId="13">
    <w:abstractNumId w:val="5"/>
  </w:num>
  <w:num w:numId="14">
    <w:abstractNumId w:val="16"/>
  </w:num>
  <w:num w:numId="15">
    <w:abstractNumId w:val="1"/>
  </w:num>
  <w:num w:numId="16">
    <w:abstractNumId w:val="13"/>
  </w:num>
  <w:num w:numId="17">
    <w:abstractNumId w:val="0"/>
  </w:num>
  <w:num w:numId="18">
    <w:abstractNumId w:val="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7"/>
    <w:link w:val="948"/>
    <w:uiPriority w:val="9"/>
    <w:rPr>
      <w:rFonts w:ascii="Arial" w:hAnsi="Arial" w:eastAsia="Arial" w:cs="Arial"/>
      <w:sz w:val="40"/>
      <w:szCs w:val="40"/>
    </w:rPr>
  </w:style>
  <w:style w:type="character" w:styleId="789">
    <w:name w:val="Heading 2 Char"/>
    <w:basedOn w:val="957"/>
    <w:link w:val="949"/>
    <w:uiPriority w:val="9"/>
    <w:rPr>
      <w:rFonts w:ascii="Arial" w:hAnsi="Arial" w:eastAsia="Arial" w:cs="Arial"/>
      <w:sz w:val="34"/>
    </w:rPr>
  </w:style>
  <w:style w:type="character" w:styleId="790">
    <w:name w:val="Heading 3 Char"/>
    <w:basedOn w:val="957"/>
    <w:link w:val="950"/>
    <w:uiPriority w:val="9"/>
    <w:rPr>
      <w:rFonts w:ascii="Arial" w:hAnsi="Arial" w:eastAsia="Arial" w:cs="Arial"/>
      <w:sz w:val="30"/>
      <w:szCs w:val="30"/>
    </w:rPr>
  </w:style>
  <w:style w:type="character" w:styleId="791">
    <w:name w:val="Heading 4 Char"/>
    <w:basedOn w:val="957"/>
    <w:link w:val="951"/>
    <w:uiPriority w:val="9"/>
    <w:rPr>
      <w:rFonts w:ascii="Arial" w:hAnsi="Arial" w:eastAsia="Arial" w:cs="Arial"/>
      <w:b/>
      <w:bCs/>
      <w:sz w:val="26"/>
      <w:szCs w:val="26"/>
    </w:rPr>
  </w:style>
  <w:style w:type="character" w:styleId="792">
    <w:name w:val="Heading 5 Char"/>
    <w:basedOn w:val="957"/>
    <w:link w:val="952"/>
    <w:uiPriority w:val="9"/>
    <w:rPr>
      <w:rFonts w:ascii="Arial" w:hAnsi="Arial" w:eastAsia="Arial" w:cs="Arial"/>
      <w:b/>
      <w:bCs/>
      <w:sz w:val="24"/>
      <w:szCs w:val="24"/>
    </w:rPr>
  </w:style>
  <w:style w:type="character" w:styleId="793">
    <w:name w:val="Heading 6 Char"/>
    <w:basedOn w:val="957"/>
    <w:link w:val="953"/>
    <w:uiPriority w:val="9"/>
    <w:rPr>
      <w:rFonts w:ascii="Arial" w:hAnsi="Arial" w:eastAsia="Arial" w:cs="Arial"/>
      <w:b/>
      <w:bCs/>
      <w:sz w:val="22"/>
      <w:szCs w:val="22"/>
    </w:rPr>
  </w:style>
  <w:style w:type="character" w:styleId="794">
    <w:name w:val="Heading 7 Char"/>
    <w:basedOn w:val="957"/>
    <w:link w:val="954"/>
    <w:uiPriority w:val="9"/>
    <w:rPr>
      <w:rFonts w:ascii="Arial" w:hAnsi="Arial" w:eastAsia="Arial" w:cs="Arial"/>
      <w:b/>
      <w:bCs/>
      <w:i/>
      <w:iCs/>
      <w:sz w:val="22"/>
      <w:szCs w:val="22"/>
    </w:rPr>
  </w:style>
  <w:style w:type="character" w:styleId="795">
    <w:name w:val="Heading 8 Char"/>
    <w:basedOn w:val="957"/>
    <w:link w:val="955"/>
    <w:uiPriority w:val="9"/>
    <w:rPr>
      <w:rFonts w:ascii="Arial" w:hAnsi="Arial" w:eastAsia="Arial" w:cs="Arial"/>
      <w:i/>
      <w:iCs/>
      <w:sz w:val="22"/>
      <w:szCs w:val="22"/>
    </w:rPr>
  </w:style>
  <w:style w:type="character" w:styleId="796">
    <w:name w:val="Heading 9 Char"/>
    <w:basedOn w:val="957"/>
    <w:link w:val="956"/>
    <w:uiPriority w:val="9"/>
    <w:rPr>
      <w:rFonts w:ascii="Arial" w:hAnsi="Arial" w:eastAsia="Arial" w:cs="Arial"/>
      <w:i/>
      <w:iCs/>
      <w:sz w:val="21"/>
      <w:szCs w:val="21"/>
    </w:rPr>
  </w:style>
  <w:style w:type="character" w:styleId="797">
    <w:name w:val="Title Char"/>
    <w:basedOn w:val="957"/>
    <w:link w:val="979"/>
    <w:uiPriority w:val="10"/>
    <w:rPr>
      <w:sz w:val="48"/>
      <w:szCs w:val="48"/>
    </w:rPr>
  </w:style>
  <w:style w:type="character" w:styleId="798">
    <w:name w:val="Subtitle Char"/>
    <w:basedOn w:val="957"/>
    <w:link w:val="974"/>
    <w:uiPriority w:val="11"/>
    <w:rPr>
      <w:sz w:val="24"/>
      <w:szCs w:val="24"/>
    </w:rPr>
  </w:style>
  <w:style w:type="paragraph" w:styleId="799">
    <w:name w:val="Quote"/>
    <w:basedOn w:val="947"/>
    <w:next w:val="947"/>
    <w:link w:val="800"/>
    <w:uiPriority w:val="29"/>
    <w:qFormat/>
    <w:pPr>
      <w:ind w:left="720" w:right="720"/>
    </w:pPr>
    <w:rPr>
      <w:i/>
    </w:rPr>
  </w:style>
  <w:style w:type="character" w:styleId="800">
    <w:name w:val="Quote Char"/>
    <w:link w:val="799"/>
    <w:uiPriority w:val="29"/>
    <w:rPr>
      <w:i/>
    </w:rPr>
  </w:style>
  <w:style w:type="paragraph" w:styleId="801">
    <w:name w:val="Intense Quote"/>
    <w:basedOn w:val="947"/>
    <w:next w:val="947"/>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7"/>
    <w:link w:val="971"/>
    <w:uiPriority w:val="99"/>
  </w:style>
  <w:style w:type="character" w:styleId="804">
    <w:name w:val="Footer Char"/>
    <w:basedOn w:val="957"/>
    <w:link w:val="969"/>
    <w:uiPriority w:val="99"/>
  </w:style>
  <w:style w:type="paragraph" w:styleId="805">
    <w:name w:val="Caption"/>
    <w:basedOn w:val="947"/>
    <w:next w:val="947"/>
    <w:uiPriority w:val="35"/>
    <w:semiHidden/>
    <w:unhideWhenUsed/>
    <w:qFormat/>
    <w:pPr>
      <w:spacing w:line="276" w:lineRule="auto"/>
    </w:pPr>
    <w:rPr>
      <w:b/>
      <w:bCs/>
      <w:color w:val="4f81bd" w:themeColor="accent1"/>
      <w:sz w:val="18"/>
      <w:szCs w:val="18"/>
    </w:rPr>
  </w:style>
  <w:style w:type="character" w:styleId="806">
    <w:name w:val="Caption Char"/>
    <w:basedOn w:val="805"/>
    <w:link w:val="969"/>
    <w:uiPriority w:val="99"/>
  </w:style>
  <w:style w:type="table" w:styleId="807">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7"/>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57"/>
    <w:uiPriority w:val="99"/>
    <w:unhideWhenUsed/>
    <w:rPr>
      <w:vertAlign w:val="superscript"/>
    </w:rPr>
  </w:style>
  <w:style w:type="paragraph" w:styleId="935">
    <w:name w:val="endnote text"/>
    <w:basedOn w:val="947"/>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57"/>
    <w:uiPriority w:val="99"/>
    <w:semiHidden/>
    <w:unhideWhenUsed/>
    <w:rPr>
      <w:vertAlign w:val="superscript"/>
    </w:rPr>
  </w:style>
  <w:style w:type="paragraph" w:styleId="938">
    <w:name w:val="toc 2"/>
    <w:basedOn w:val="947"/>
    <w:next w:val="947"/>
    <w:uiPriority w:val="39"/>
    <w:unhideWhenUsed/>
    <w:pPr>
      <w:ind w:left="283" w:right="0" w:firstLine="0"/>
      <w:spacing w:after="57"/>
    </w:pPr>
  </w:style>
  <w:style w:type="paragraph" w:styleId="939">
    <w:name w:val="toc 3"/>
    <w:basedOn w:val="947"/>
    <w:next w:val="947"/>
    <w:uiPriority w:val="39"/>
    <w:unhideWhenUsed/>
    <w:pPr>
      <w:ind w:left="567"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59"/>
    <w:uiPriority w:val="0"/>
    <w:qFormat/>
    <w:rPr>
      <w:rFonts w:ascii="Times New Roman" w:hAnsi="Times New Roman" w:eastAsia="宋体" w:cs="Times New Roman"/>
      <w:sz w:val="24"/>
      <w:szCs w:val="24"/>
      <w:lang w:val="en-US" w:eastAsia="zh-CN" w:bidi="ar-SA"/>
    </w:rPr>
  </w:style>
  <w:style w:type="paragraph" w:styleId="948">
    <w:name w:val="Heading 1"/>
    <w:basedOn w:val="947"/>
    <w:next w:val="947"/>
    <w:link w:val="992"/>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49">
    <w:name w:val="Heading 2"/>
    <w:basedOn w:val="947"/>
    <w:next w:val="947"/>
    <w:link w:val="993"/>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950">
    <w:name w:val="Heading 3"/>
    <w:basedOn w:val="947"/>
    <w:next w:val="947"/>
    <w:uiPriority w:val="0"/>
    <w:qFormat/>
    <w:pPr>
      <w:numPr>
        <w:ilvl w:val="2"/>
        <w:numId w:val="1"/>
      </w:numPr>
      <w:ind w:firstLine="400"/>
      <w:keepLines/>
      <w:keepNext/>
      <w:spacing w:before="260" w:after="260" w:line="416" w:lineRule="auto"/>
      <w:outlineLvl w:val="2"/>
    </w:pPr>
    <w:rPr>
      <w:b/>
      <w:bCs/>
      <w:sz w:val="32"/>
      <w:szCs w:val="32"/>
    </w:rPr>
  </w:style>
  <w:style w:type="paragraph" w:styleId="951">
    <w:name w:val="Heading 4"/>
    <w:basedOn w:val="947"/>
    <w:next w:val="960"/>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952">
    <w:name w:val="Heading 5"/>
    <w:basedOn w:val="947"/>
    <w:next w:val="947"/>
    <w:uiPriority w:val="0"/>
    <w:qFormat/>
    <w:pPr>
      <w:numPr>
        <w:ilvl w:val="4"/>
        <w:numId w:val="1"/>
      </w:numPr>
      <w:ind w:firstLine="402"/>
      <w:keepLines/>
      <w:keepNext/>
      <w:spacing w:before="280" w:after="290" w:line="376" w:lineRule="auto"/>
      <w:outlineLvl w:val="4"/>
    </w:pPr>
    <w:rPr>
      <w:b/>
      <w:bCs/>
      <w:sz w:val="28"/>
      <w:szCs w:val="28"/>
    </w:rPr>
  </w:style>
  <w:style w:type="paragraph" w:styleId="953">
    <w:name w:val="Heading 6"/>
    <w:basedOn w:val="947"/>
    <w:next w:val="947"/>
    <w:uiPriority w:val="0"/>
    <w:qFormat/>
    <w:pPr>
      <w:numPr>
        <w:ilvl w:val="5"/>
        <w:numId w:val="1"/>
      </w:numPr>
      <w:ind w:firstLine="402"/>
      <w:keepLines/>
      <w:keepNext/>
      <w:spacing w:before="240" w:after="64" w:line="320" w:lineRule="auto"/>
      <w:outlineLvl w:val="5"/>
    </w:pPr>
    <w:rPr>
      <w:rFonts w:ascii="Arial" w:hAnsi="Arial" w:eastAsia="黑体"/>
      <w:b/>
      <w:bCs/>
    </w:rPr>
  </w:style>
  <w:style w:type="paragraph" w:styleId="954">
    <w:name w:val="Heading 7"/>
    <w:basedOn w:val="947"/>
    <w:next w:val="947"/>
    <w:uiPriority w:val="0"/>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955">
    <w:name w:val="Heading 8"/>
    <w:basedOn w:val="954"/>
    <w:next w:val="947"/>
    <w:uiPriority w:val="0"/>
    <w:qFormat/>
    <w:pPr>
      <w:numPr>
        <w:ilvl w:val="7"/>
      </w:numPr>
      <w:keepLines w:val="0"/>
      <w:keepNext w:val="0"/>
      <w:spacing w:before="10" w:after="30"/>
      <w:outlineLvl w:val="7"/>
    </w:pPr>
    <w:rPr>
      <w:sz w:val="24"/>
    </w:rPr>
  </w:style>
  <w:style w:type="paragraph" w:styleId="956">
    <w:name w:val="Heading 9"/>
    <w:basedOn w:val="947"/>
    <w:next w:val="947"/>
    <w:uiPriority w:val="0"/>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957" w:default="1">
    <w:name w:val="Default Paragraph Font"/>
    <w:uiPriority w:val="0"/>
    <w:qFormat/>
  </w:style>
  <w:style w:type="table" w:styleId="958" w:default="1">
    <w:name w:val="Normal Table"/>
    <w:uiPriority w:val="0"/>
    <w:semiHidden/>
    <w:qFormat/>
    <w:tblPr>
      <w:tblCellMar>
        <w:left w:w="108" w:type="dxa"/>
        <w:top w:w="0" w:type="dxa"/>
        <w:right w:w="108" w:type="dxa"/>
        <w:bottom w:w="0" w:type="dxa"/>
      </w:tblCellMar>
    </w:tblPr>
  </w:style>
  <w:style w:type="paragraph" w:styleId="959">
    <w:name w:val="Body Text Indent"/>
    <w:basedOn w:val="947"/>
    <w:next w:val="947"/>
    <w:uiPriority w:val="0"/>
    <w:qFormat/>
    <w:pPr>
      <w:ind w:right="-159" w:firstLine="246"/>
      <w:jc w:val="both"/>
      <w:spacing w:line="240" w:lineRule="atLeast"/>
      <w:widowControl w:val="off"/>
    </w:pPr>
    <w:rPr>
      <w:spacing w:val="20"/>
      <w:sz w:val="21"/>
    </w:rPr>
  </w:style>
  <w:style w:type="paragraph" w:styleId="960">
    <w:name w:val="Normal Indent"/>
    <w:basedOn w:val="947"/>
    <w:uiPriority w:val="0"/>
    <w:qFormat/>
    <w:pPr>
      <w:ind w:firstLine="420"/>
      <w:widowControl w:val="off"/>
    </w:pPr>
    <w:rPr>
      <w:rFonts w:eastAsia="楷体_GB2312"/>
      <w:szCs w:val="20"/>
    </w:rPr>
  </w:style>
  <w:style w:type="paragraph" w:styleId="961">
    <w:name w:val="Document Map"/>
    <w:basedOn w:val="947"/>
    <w:next w:val="947"/>
    <w:link w:val="994"/>
    <w:uiPriority w:val="0"/>
    <w:qFormat/>
    <w:pPr>
      <w:shd w:val="clear" w:color="auto" w:fill="000080"/>
    </w:pPr>
  </w:style>
  <w:style w:type="paragraph" w:styleId="962">
    <w:name w:val="annotation text"/>
    <w:basedOn w:val="947"/>
    <w:uiPriority w:val="0"/>
    <w:qFormat/>
  </w:style>
  <w:style w:type="paragraph" w:styleId="963">
    <w:name w:val="Body Text"/>
    <w:basedOn w:val="947"/>
    <w:uiPriority w:val="0"/>
    <w:qFormat/>
    <w:pPr>
      <w:spacing w:after="120"/>
    </w:pPr>
  </w:style>
  <w:style w:type="paragraph" w:styleId="964">
    <w:name w:val="Block Text"/>
    <w:basedOn w:val="94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5">
    <w:name w:val="Plain Text"/>
    <w:basedOn w:val="947"/>
    <w:link w:val="995"/>
    <w:uiPriority w:val="0"/>
    <w:qFormat/>
    <w:rPr>
      <w:rFonts w:ascii="宋体" w:hAnsi="Courier New" w:eastAsia="楷体_GB2312"/>
      <w:sz w:val="26"/>
      <w:szCs w:val="20"/>
    </w:rPr>
  </w:style>
  <w:style w:type="paragraph" w:styleId="966">
    <w:name w:val="Date"/>
    <w:basedOn w:val="947"/>
    <w:next w:val="947"/>
    <w:link w:val="996"/>
    <w:uiPriority w:val="0"/>
    <w:qFormat/>
    <w:pPr>
      <w:ind w:left="100"/>
      <w:jc w:val="both"/>
      <w:widowControl w:val="off"/>
    </w:pPr>
    <w:rPr>
      <w:b/>
      <w:bCs/>
      <w:spacing w:val="20"/>
      <w:sz w:val="21"/>
    </w:rPr>
  </w:style>
  <w:style w:type="paragraph" w:styleId="967">
    <w:name w:val="Body Text Indent 2"/>
    <w:basedOn w:val="947"/>
    <w:uiPriority w:val="0"/>
    <w:qFormat/>
    <w:pPr>
      <w:ind w:firstLine="460"/>
      <w:spacing w:line="360" w:lineRule="auto"/>
    </w:pPr>
    <w:rPr>
      <w:spacing w:val="20"/>
      <w:sz w:val="21"/>
    </w:rPr>
  </w:style>
  <w:style w:type="paragraph" w:styleId="968">
    <w:name w:val="Balloon Text"/>
    <w:basedOn w:val="947"/>
    <w:uiPriority w:val="0"/>
    <w:qFormat/>
    <w:rPr>
      <w:sz w:val="18"/>
      <w:szCs w:val="18"/>
    </w:rPr>
  </w:style>
  <w:style w:type="paragraph" w:styleId="969">
    <w:name w:val="Footer"/>
    <w:basedOn w:val="947"/>
    <w:link w:val="997"/>
    <w:uiPriority w:val="99"/>
    <w:qFormat/>
    <w:pPr>
      <w:widowControl w:val="off"/>
      <w:tabs>
        <w:tab w:val="center" w:pos="4153" w:leader="none"/>
        <w:tab w:val="right" w:pos="8306" w:leader="none"/>
      </w:tabs>
    </w:pPr>
    <w:rPr>
      <w:sz w:val="18"/>
      <w:szCs w:val="18"/>
    </w:rPr>
  </w:style>
  <w:style w:type="paragraph" w:styleId="970">
    <w:name w:val="envelope return"/>
    <w:basedOn w:val="947"/>
    <w:uiPriority w:val="99"/>
    <w:unhideWhenUsed/>
    <w:qFormat/>
    <w:rPr>
      <w:rFonts w:ascii="Arial" w:hAnsi="Arial"/>
    </w:rPr>
  </w:style>
  <w:style w:type="paragraph" w:styleId="971">
    <w:name w:val="Header"/>
    <w:basedOn w:val="947"/>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72">
    <w:name w:val="toc 1"/>
    <w:basedOn w:val="947"/>
    <w:next w:val="947"/>
    <w:uiPriority w:val="0"/>
    <w:qFormat/>
    <w:pPr>
      <w:widowControl w:val="off"/>
    </w:pPr>
    <w:rPr>
      <w:rFonts w:eastAsia="楷体_GB2312"/>
      <w:szCs w:val="20"/>
    </w:rPr>
  </w:style>
  <w:style w:type="paragraph" w:styleId="973">
    <w:name w:val="toc 4"/>
    <w:basedOn w:val="947"/>
    <w:next w:val="947"/>
    <w:uiPriority w:val="39"/>
    <w:unhideWhenUsed/>
    <w:qFormat/>
    <w:pPr>
      <w:ind w:left="1260"/>
    </w:pPr>
  </w:style>
  <w:style w:type="paragraph" w:styleId="974">
    <w:name w:val="Subtitle"/>
    <w:basedOn w:val="947"/>
    <w:next w:val="947"/>
    <w:uiPriority w:val="0"/>
    <w:qFormat/>
    <w:pPr>
      <w:jc w:val="center"/>
      <w:spacing w:before="240" w:after="60" w:line="312" w:lineRule="auto"/>
      <w:outlineLvl w:val="1"/>
    </w:pPr>
    <w:rPr>
      <w:rFonts w:ascii="宋体" w:hAnsi="Courier New" w:eastAsia="楷体_GB2312"/>
      <w:sz w:val="26"/>
      <w:szCs w:val="20"/>
    </w:rPr>
  </w:style>
  <w:style w:type="paragraph" w:styleId="975">
    <w:name w:val="Body Text Indent 3"/>
    <w:basedOn w:val="947"/>
    <w:link w:val="998"/>
    <w:uiPriority w:val="0"/>
    <w:qFormat/>
    <w:pPr>
      <w:ind w:firstLine="480"/>
      <w:spacing w:line="300" w:lineRule="auto"/>
      <w:widowControl w:val="off"/>
    </w:pPr>
  </w:style>
  <w:style w:type="paragraph" w:styleId="976">
    <w:name w:val="Body Text 2"/>
    <w:basedOn w:val="947"/>
    <w:uiPriority w:val="0"/>
    <w:qFormat/>
    <w:pPr>
      <w:spacing w:after="120" w:line="480" w:lineRule="auto"/>
    </w:pPr>
  </w:style>
  <w:style w:type="paragraph" w:styleId="977">
    <w:name w:val="HTML Preformatted"/>
    <w:basedOn w:val="94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978">
    <w:name w:val="Normal (Web)"/>
    <w:basedOn w:val="947"/>
    <w:uiPriority w:val="0"/>
    <w:qFormat/>
    <w:pPr>
      <w:spacing w:before="100" w:beforeAutospacing="1" w:after="100" w:afterAutospacing="1"/>
    </w:pPr>
    <w:rPr>
      <w:rFonts w:ascii="宋体" w:hAnsi="宋体" w:cs="宋体"/>
    </w:rPr>
  </w:style>
  <w:style w:type="paragraph" w:styleId="979">
    <w:name w:val="Title"/>
    <w:basedOn w:val="947"/>
    <w:next w:val="947"/>
    <w:link w:val="999"/>
    <w:uiPriority w:val="0"/>
    <w:qFormat/>
    <w:pPr>
      <w:jc w:val="center"/>
      <w:spacing w:before="240" w:after="60"/>
      <w:outlineLvl w:val="0"/>
    </w:pPr>
    <w:rPr>
      <w:rFonts w:ascii="Cambria" w:hAnsi="Cambria"/>
      <w:b/>
      <w:bCs/>
      <w:sz w:val="32"/>
      <w:szCs w:val="32"/>
    </w:rPr>
  </w:style>
  <w:style w:type="paragraph" w:styleId="980">
    <w:name w:val="annotation subject"/>
    <w:basedOn w:val="962"/>
    <w:next w:val="962"/>
    <w:uiPriority w:val="0"/>
    <w:qFormat/>
    <w:rPr>
      <w:b/>
      <w:bCs/>
    </w:rPr>
  </w:style>
  <w:style w:type="paragraph" w:styleId="981">
    <w:name w:val="Body Text First Indent"/>
    <w:basedOn w:val="963"/>
    <w:uiPriority w:val="0"/>
    <w:qFormat/>
    <w:pPr>
      <w:ind w:firstLine="420"/>
      <w:tabs>
        <w:tab w:val="left" w:pos="5250" w:leader="none"/>
      </w:tabs>
    </w:pPr>
    <w:rPr>
      <w:sz w:val="24"/>
    </w:rPr>
  </w:style>
  <w:style w:type="paragraph" w:styleId="982">
    <w:name w:val="Body Text First Indent 2"/>
    <w:basedOn w:val="959"/>
    <w:uiPriority w:val="99"/>
    <w:qFormat/>
    <w:pPr>
      <w:ind w:firstLine="420"/>
    </w:pPr>
  </w:style>
  <w:style w:type="table" w:styleId="983">
    <w:name w:val="Table Grid"/>
    <w:basedOn w:val="9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0"/>
    <w:qFormat/>
    <w:rPr>
      <w:b/>
      <w:bCs/>
    </w:rPr>
  </w:style>
  <w:style w:type="character" w:styleId="985">
    <w:name w:val="page number"/>
    <w:uiPriority w:val="0"/>
    <w:qFormat/>
  </w:style>
  <w:style w:type="character" w:styleId="986">
    <w:name w:val="FollowedHyperlink"/>
    <w:uiPriority w:val="0"/>
    <w:qFormat/>
    <w:rPr>
      <w:color w:val="333333"/>
      <w:u w:val="none"/>
    </w:rPr>
  </w:style>
  <w:style w:type="character" w:styleId="987">
    <w:name w:val="HTML Typewriter"/>
    <w:uiPriority w:val="0"/>
    <w:qFormat/>
    <w:rPr>
      <w:rFonts w:ascii="黑体" w:hAnsi="Courier New" w:eastAsia="黑体" w:cs="Courier New"/>
      <w:sz w:val="14"/>
      <w:szCs w:val="14"/>
      <w:lang w:val="en-US" w:eastAsia="zh-CN" w:bidi="ar-SA"/>
    </w:rPr>
  </w:style>
  <w:style w:type="character" w:styleId="988">
    <w:name w:val="Hyperlink"/>
    <w:uiPriority w:val="0"/>
    <w:qFormat/>
    <w:rPr>
      <w:color w:val="333333"/>
      <w:u w:val="none"/>
    </w:rPr>
  </w:style>
  <w:style w:type="character" w:styleId="989">
    <w:name w:val="annotation reference"/>
    <w:uiPriority w:val="0"/>
    <w:qFormat/>
    <w:rPr>
      <w:sz w:val="21"/>
      <w:szCs w:val="21"/>
    </w:rPr>
  </w:style>
  <w:style w:type="paragraph" w:styleId="990" w:customStyle="1">
    <w:name w:val="首行缩进"/>
    <w:basedOn w:val="947"/>
    <w:uiPriority w:val="0"/>
    <w:qFormat/>
    <w:pPr>
      <w:ind w:firstLine="480"/>
    </w:pPr>
    <w:rPr>
      <w:rFonts w:ascii="Times New Roman" w:hAnsi="Times New Roman" w:eastAsia="楷体_GB2312"/>
      <w:sz w:val="26"/>
      <w:szCs w:val="20"/>
      <w:lang w:val="zh-CN"/>
    </w:rPr>
  </w:style>
  <w:style w:type="paragraph" w:styleId="991" w:customStyle="1">
    <w:name w:val="正文1"/>
    <w:basedOn w:val="947"/>
    <w:next w:val="947"/>
    <w:uiPriority w:val="0"/>
    <w:qFormat/>
    <w:pPr>
      <w:ind w:firstLine="540"/>
    </w:pPr>
    <w:rPr>
      <w:rFonts w:ascii="Times New Roman" w:hAnsi="Times New Roman"/>
      <w:szCs w:val="20"/>
    </w:rPr>
  </w:style>
  <w:style w:type="character" w:styleId="992" w:customStyle="1">
    <w:name w:val="标题 1 Char"/>
    <w:link w:val="948"/>
    <w:uiPriority w:val="0"/>
    <w:qFormat/>
    <w:rPr>
      <w:rFonts w:eastAsia="楷体_GB2312"/>
      <w:b/>
      <w:sz w:val="44"/>
      <w:szCs w:val="20"/>
    </w:rPr>
  </w:style>
  <w:style w:type="character" w:styleId="993" w:customStyle="1">
    <w:name w:val="标题 2 字符"/>
    <w:basedOn w:val="957"/>
    <w:link w:val="949"/>
    <w:uiPriority w:val="9"/>
    <w:qFormat/>
    <w:rPr>
      <w:rFonts w:ascii="Cambria" w:hAnsi="Cambria" w:eastAsia="宋体" w:cs="Times New Roman"/>
      <w:b/>
      <w:bCs/>
      <w:sz w:val="32"/>
      <w:szCs w:val="32"/>
    </w:rPr>
  </w:style>
  <w:style w:type="character" w:styleId="994" w:customStyle="1">
    <w:name w:val="文档结构图 Char"/>
    <w:link w:val="961"/>
    <w:uiPriority w:val="0"/>
    <w:qFormat/>
    <w:rPr>
      <w:sz w:val="24"/>
      <w:szCs w:val="24"/>
      <w:shd w:val="clear" w:color="auto" w:fill="000080"/>
    </w:rPr>
  </w:style>
  <w:style w:type="character" w:styleId="995" w:customStyle="1">
    <w:name w:val="纯文本 Char"/>
    <w:link w:val="965"/>
    <w:uiPriority w:val="0"/>
    <w:qFormat/>
    <w:rPr>
      <w:rFonts w:ascii="宋体" w:hAnsi="Courier New" w:eastAsia="楷体_GB2312"/>
      <w:sz w:val="26"/>
    </w:rPr>
  </w:style>
  <w:style w:type="character" w:styleId="996" w:customStyle="1">
    <w:name w:val="日期 Char"/>
    <w:link w:val="966"/>
    <w:uiPriority w:val="0"/>
    <w:qFormat/>
    <w:rPr>
      <w:b/>
      <w:bCs/>
      <w:spacing w:val="20"/>
      <w:sz w:val="21"/>
      <w:szCs w:val="24"/>
    </w:rPr>
  </w:style>
  <w:style w:type="character" w:styleId="997" w:customStyle="1">
    <w:name w:val="页脚 Char"/>
    <w:link w:val="969"/>
    <w:uiPriority w:val="99"/>
    <w:qFormat/>
    <w:rPr>
      <w:sz w:val="18"/>
      <w:szCs w:val="18"/>
    </w:rPr>
  </w:style>
  <w:style w:type="character" w:styleId="998" w:customStyle="1">
    <w:name w:val="正文文本缩进 3 Char"/>
    <w:link w:val="975"/>
    <w:uiPriority w:val="0"/>
    <w:qFormat/>
    <w:rPr>
      <w:sz w:val="24"/>
      <w:szCs w:val="24"/>
    </w:rPr>
  </w:style>
  <w:style w:type="character" w:styleId="999" w:customStyle="1">
    <w:name w:val="标题 Char"/>
    <w:link w:val="979"/>
    <w:uiPriority w:val="0"/>
    <w:qFormat/>
    <w:rPr>
      <w:rFonts w:ascii="Cambria" w:hAnsi="Cambria" w:cs="Times New Roman"/>
      <w:b/>
      <w:bCs/>
      <w:sz w:val="32"/>
      <w:szCs w:val="32"/>
    </w:rPr>
  </w:style>
  <w:style w:type="character" w:styleId="1000" w:customStyle="1">
    <w:name w:val="font31"/>
    <w:basedOn w:val="957"/>
    <w:uiPriority w:val="0"/>
    <w:qFormat/>
    <w:rPr>
      <w:rFonts w:hint="eastAsia" w:ascii="宋体" w:hAnsi="宋体" w:eastAsia="宋体" w:cs="宋体"/>
      <w:color w:val="000000"/>
      <w:sz w:val="21"/>
      <w:szCs w:val="21"/>
      <w:u w:val="none"/>
    </w:rPr>
  </w:style>
  <w:style w:type="character" w:styleId="1001" w:customStyle="1">
    <w:name w:val="无"/>
    <w:uiPriority w:val="0"/>
    <w:qFormat/>
  </w:style>
  <w:style w:type="character" w:styleId="1002" w:customStyle="1">
    <w:name w:val="apple-converted-space"/>
    <w:uiPriority w:val="0"/>
    <w:qFormat/>
  </w:style>
  <w:style w:type="character" w:styleId="1003" w:customStyle="1">
    <w:name w:val="font21"/>
    <w:basedOn w:val="957"/>
    <w:uiPriority w:val="0"/>
    <w:qFormat/>
    <w:rPr>
      <w:rFonts w:hint="eastAsia" w:ascii="宋体" w:hAnsi="宋体" w:eastAsia="宋体" w:cs="宋体"/>
      <w:color w:val="000000"/>
      <w:sz w:val="24"/>
      <w:szCs w:val="24"/>
      <w:u w:val="none"/>
    </w:rPr>
  </w:style>
  <w:style w:type="character" w:styleId="1004" w:customStyle="1">
    <w:name w:val="NormalCharacter"/>
    <w:uiPriority w:val="0"/>
    <w:qFormat/>
  </w:style>
  <w:style w:type="character" w:styleId="1005" w:customStyle="1">
    <w:name w:val="font11"/>
    <w:uiPriority w:val="0"/>
    <w:qFormat/>
    <w:rPr>
      <w:rFonts w:hint="eastAsia" w:ascii="宋体" w:hAnsi="宋体" w:eastAsia="宋体" w:cs="宋体"/>
      <w:color w:val="000000"/>
      <w:sz w:val="24"/>
      <w:szCs w:val="24"/>
      <w:u w:val="none"/>
    </w:rPr>
  </w:style>
  <w:style w:type="character" w:styleId="1006" w:customStyle="1">
    <w:name w:val="font01"/>
    <w:uiPriority w:val="0"/>
    <w:qFormat/>
    <w:rPr>
      <w:rFonts w:hint="eastAsia" w:ascii="宋体" w:hAnsi="宋体" w:eastAsia="宋体" w:cs="宋体"/>
      <w:color w:val="000000"/>
      <w:sz w:val="24"/>
      <w:szCs w:val="24"/>
      <w:u w:val="none"/>
    </w:rPr>
  </w:style>
  <w:style w:type="character" w:styleId="1007" w:customStyle="1">
    <w:name w:val="font51"/>
    <w:basedOn w:val="957"/>
    <w:uiPriority w:val="0"/>
    <w:qFormat/>
    <w:rPr>
      <w:rFonts w:hint="eastAsia" w:ascii="宋体" w:hAnsi="宋体" w:eastAsia="宋体" w:cs="宋体"/>
      <w:color w:val="000000"/>
      <w:sz w:val="24"/>
      <w:szCs w:val="24"/>
      <w:u w:val="none"/>
    </w:rPr>
  </w:style>
  <w:style w:type="character" w:styleId="1008" w:customStyle="1">
    <w:name w:val="Plain Text Char"/>
    <w:link w:val="1009"/>
    <w:uiPriority w:val="0"/>
    <w:qFormat/>
    <w:rPr>
      <w:rFonts w:ascii="宋体" w:hAnsi="Courier New" w:eastAsia="楷体_GB2312"/>
      <w:sz w:val="26"/>
    </w:rPr>
  </w:style>
  <w:style w:type="paragraph" w:styleId="1009" w:customStyle="1">
    <w:name w:val="Plain Text"/>
    <w:basedOn w:val="947"/>
    <w:link w:val="1008"/>
    <w:uiPriority w:val="0"/>
    <w:qFormat/>
    <w:pPr>
      <w:jc w:val="both"/>
      <w:widowControl w:val="off"/>
    </w:pPr>
    <w:rPr>
      <w:rFonts w:ascii="宋体" w:hAnsi="Courier New" w:eastAsia="楷体_GB2312"/>
      <w:sz w:val="26"/>
      <w:szCs w:val="20"/>
    </w:rPr>
  </w:style>
  <w:style w:type="character" w:styleId="1010" w:customStyle="1">
    <w:name w:val="Andy_正文 Char"/>
    <w:link w:val="1011"/>
    <w:uiPriority w:val="0"/>
    <w:qFormat/>
    <w:rPr>
      <w:rFonts w:ascii="Calibri" w:hAnsi="Calibri"/>
      <w:sz w:val="24"/>
      <w:szCs w:val="24"/>
    </w:rPr>
  </w:style>
  <w:style w:type="paragraph" w:styleId="1011" w:customStyle="1">
    <w:name w:val="Andy_正文"/>
    <w:basedOn w:val="947"/>
    <w:link w:val="1010"/>
    <w:uiPriority w:val="0"/>
    <w:qFormat/>
    <w:pPr>
      <w:ind w:firstLine="480"/>
      <w:jc w:val="both"/>
      <w:spacing w:line="360" w:lineRule="auto"/>
      <w:widowControl w:val="off"/>
    </w:pPr>
    <w:rPr>
      <w:rFonts w:ascii="Calibri" w:hAnsi="Calibri"/>
    </w:rPr>
  </w:style>
  <w:style w:type="paragraph" w:styleId="1012" w:customStyle="1">
    <w:name w:val="H-TextFormat"/>
    <w:uiPriority w:val="0"/>
    <w:qFormat/>
    <w:rPr>
      <w:rFonts w:ascii="Arial" w:hAnsi="Arial" w:eastAsia="宋体" w:cs="Times New Roman"/>
      <w:sz w:val="22"/>
      <w:lang w:val="en-GB" w:eastAsia="en-US" w:bidi="ar-SA"/>
    </w:rPr>
  </w:style>
  <w:style w:type="paragraph" w:styleId="1013" w:customStyle="1">
    <w:name w:val=" Char1"/>
    <w:basedOn w:val="947"/>
    <w:uiPriority w:val="0"/>
    <w:qFormat/>
    <w:pPr>
      <w:jc w:val="both"/>
      <w:widowControl w:val="off"/>
    </w:pPr>
    <w:rPr>
      <w:rFonts w:ascii="Tahoma" w:hAnsi="Tahoma"/>
      <w:szCs w:val="20"/>
    </w:rPr>
  </w:style>
  <w:style w:type="paragraph" w:styleId="1014" w:customStyle="1">
    <w:name w:val="_Style 12"/>
    <w:basedOn w:val="961"/>
    <w:uiPriority w:val="0"/>
    <w:qFormat/>
    <w:pPr>
      <w:spacing w:line="360" w:lineRule="auto"/>
    </w:pPr>
  </w:style>
  <w:style w:type="paragraph" w:styleId="1015" w:customStyle="1">
    <w:name w:val="Table Paragraph"/>
    <w:basedOn w:val="947"/>
    <w:uiPriority w:val="1"/>
    <w:qFormat/>
    <w:pPr>
      <w:widowControl w:val="off"/>
    </w:pPr>
    <w:rPr>
      <w:rFonts w:ascii="宋体" w:hAnsi="宋体" w:cs="宋体"/>
      <w:sz w:val="22"/>
      <w:szCs w:val="22"/>
      <w:lang w:val="zh-CN" w:bidi="zh-CN"/>
    </w:rPr>
  </w:style>
  <w:style w:type="paragraph" w:styleId="1016" w:customStyle="1">
    <w:name w:val="_Style 25"/>
    <w:basedOn w:val="947"/>
    <w:uiPriority w:val="0"/>
    <w:qFormat/>
    <w:pPr>
      <w:spacing w:after="160" w:line="240" w:lineRule="exact"/>
    </w:pPr>
    <w:rPr>
      <w:szCs w:val="20"/>
    </w:rPr>
  </w:style>
  <w:style w:type="paragraph" w:styleId="1017" w:customStyle="1">
    <w:name w:val="纯文本1"/>
    <w:basedOn w:val="947"/>
    <w:next w:val="973"/>
    <w:uiPriority w:val="0"/>
    <w:qFormat/>
    <w:pPr>
      <w:jc w:val="both"/>
      <w:widowControl w:val="off"/>
    </w:pPr>
    <w:rPr>
      <w:rFonts w:ascii="宋体" w:hAnsi="Courier New" w:eastAsia="楷体_GB2312"/>
      <w:sz w:val="28"/>
      <w:szCs w:val="20"/>
    </w:rPr>
  </w:style>
  <w:style w:type="paragraph" w:styleId="1018" w:customStyle="1">
    <w:name w:val="样式1"/>
    <w:basedOn w:val="947"/>
    <w:uiPriority w:val="0"/>
    <w:qFormat/>
    <w:pPr>
      <w:ind w:firstLine="0"/>
      <w:jc w:val="center"/>
      <w:spacing w:line="240" w:lineRule="auto"/>
    </w:pPr>
  </w:style>
  <w:style w:type="paragraph" w:styleId="1019"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20" w:customStyle="1">
    <w:name w:val=" Char Char Char1 Char Char Char Char"/>
    <w:basedOn w:val="947"/>
    <w:uiPriority w:val="0"/>
    <w:qFormat/>
    <w:pPr>
      <w:jc w:val="left"/>
      <w:spacing w:after="160" w:line="240" w:lineRule="exact"/>
      <w:widowControl/>
    </w:pPr>
  </w:style>
  <w:style w:type="paragraph" w:styleId="1021" w:customStyle="1">
    <w:name w:val="表正文"/>
    <w:basedOn w:val="947"/>
    <w:next w:val="959"/>
    <w:uiPriority w:val="0"/>
    <w:qFormat/>
    <w:pPr>
      <w:ind w:left="420"/>
      <w:spacing w:after="120"/>
    </w:pPr>
    <w:rPr>
      <w:rFonts w:eastAsia="宋体"/>
      <w:sz w:val="21"/>
      <w:szCs w:val="24"/>
    </w:rPr>
  </w:style>
  <w:style w:type="paragraph" w:styleId="1022" w:customStyle="1">
    <w:name w:val=" Char Char Char Char Char Char Char Char Char Char"/>
    <w:basedOn w:val="947"/>
    <w:uiPriority w:val="0"/>
    <w:qFormat/>
    <w:pPr>
      <w:ind w:left="795" w:hanging="360"/>
      <w:jc w:val="both"/>
      <w:widowControl w:val="off"/>
      <w:tabs>
        <w:tab w:val="left" w:pos="795" w:leader="none"/>
      </w:tabs>
    </w:pPr>
  </w:style>
  <w:style w:type="paragraph" w:styleId="1023" w:customStyle="1">
    <w:name w:val=" Char1 Char Char Char"/>
    <w:basedOn w:val="947"/>
    <w:uiPriority w:val="0"/>
    <w:qFormat/>
    <w:pPr>
      <w:jc w:val="both"/>
      <w:widowControl w:val="off"/>
    </w:pPr>
    <w:rPr>
      <w:sz w:val="21"/>
    </w:rPr>
  </w:style>
  <w:style w:type="paragraph" w:styleId="102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25">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27" w:customStyle="1">
    <w:name w:val="Andy_2级"/>
    <w:basedOn w:val="947"/>
    <w:uiPriority w:val="0"/>
    <w:qFormat/>
    <w:pPr>
      <w:numPr>
        <w:ilvl w:val="1"/>
        <w:numId w:val="2"/>
      </w:numPr>
      <w:ind w:left="0" w:firstLine="510"/>
      <w:spacing w:line="360" w:lineRule="auto"/>
    </w:pPr>
    <w:rPr>
      <w:rFonts w:ascii="Calibri" w:hAnsi="Calibri"/>
      <w:sz w:val="24"/>
      <w:szCs w:val="20"/>
    </w:rPr>
  </w:style>
  <w:style w:type="paragraph" w:styleId="1028" w:customStyle="1">
    <w:name w:val="p16"/>
    <w:basedOn w:val="947"/>
    <w:uiPriority w:val="0"/>
    <w:qFormat/>
    <w:rPr>
      <w:rFonts w:ascii="宋体" w:hAnsi="宋体" w:cs="宋体"/>
      <w:sz w:val="26"/>
      <w:szCs w:val="26"/>
    </w:rPr>
  </w:style>
  <w:style w:type="paragraph" w:styleId="1029" w:customStyle="1">
    <w:name w:val="纯文本3"/>
    <w:basedOn w:val="947"/>
    <w:uiPriority w:val="0"/>
    <w:qFormat/>
    <w:rPr>
      <w:rFonts w:ascii="宋体" w:hAnsi="Courier New"/>
      <w:sz w:val="26"/>
    </w:rPr>
  </w:style>
  <w:style w:type="paragraph" w:styleId="1030" w:customStyle="1">
    <w:name w:val=" Char Char Char"/>
    <w:basedOn w:val="947"/>
    <w:uiPriority w:val="0"/>
    <w:qFormat/>
    <w:pPr>
      <w:ind w:left="795" w:hanging="360"/>
      <w:jc w:val="both"/>
      <w:widowControl w:val="off"/>
      <w:tabs>
        <w:tab w:val="left" w:pos="795" w:leader="none"/>
      </w:tabs>
    </w:pPr>
  </w:style>
  <w:style w:type="paragraph" w:styleId="1031" w:customStyle="1">
    <w:name w:val="样式2"/>
    <w:basedOn w:val="1018"/>
    <w:uiPriority w:val="0"/>
    <w:qFormat/>
    <w:rPr>
      <w:sz w:val="21"/>
    </w:rPr>
  </w:style>
  <w:style w:type="paragraph" w:styleId="1032" w:customStyle="1">
    <w:name w:val="f正文"/>
    <w:basedOn w:val="947"/>
    <w:uiPriority w:val="0"/>
    <w:qFormat/>
    <w:pPr>
      <w:ind w:firstLine="200"/>
      <w:widowControl/>
    </w:pPr>
  </w:style>
  <w:style w:type="paragraph" w:styleId="1033" w:customStyle="1">
    <w:name w:val="_Style 3"/>
    <w:basedOn w:val="947"/>
    <w:uiPriority w:val="0"/>
    <w:qFormat/>
    <w:pPr>
      <w:ind w:left="795" w:hanging="360"/>
      <w:jc w:val="both"/>
      <w:widowControl w:val="off"/>
      <w:tabs>
        <w:tab w:val="left" w:pos="540" w:leader="none"/>
      </w:tabs>
    </w:pPr>
  </w:style>
  <w:style w:type="paragraph" w:styleId="1034" w:customStyle="1">
    <w:name w:val=" Char Char Char Char Char Char Char Char Char1 Char"/>
    <w:basedOn w:val="961"/>
    <w:uiPriority w:val="0"/>
    <w:qFormat/>
    <w:pPr>
      <w:jc w:val="both"/>
      <w:spacing w:line="360" w:lineRule="auto"/>
      <w:widowControl w:val="off"/>
    </w:pPr>
    <w:rPr>
      <w:rFonts w:ascii="Tahoma" w:hAnsi="Tahoma"/>
    </w:rPr>
  </w:style>
  <w:style w:type="paragraph" w:styleId="1035" w:customStyle="1">
    <w:name w:val="纯文本5"/>
    <w:basedOn w:val="947"/>
    <w:uiPriority w:val="0"/>
    <w:qFormat/>
    <w:rPr>
      <w:rFonts w:ascii="宋体" w:hAnsi="Courier New" w:eastAsia="楷体_GB2312"/>
      <w:sz w:val="28"/>
      <w:szCs w:val="20"/>
    </w:rPr>
  </w:style>
  <w:style w:type="paragraph" w:styleId="1036" w:customStyle="1">
    <w:name w:val="p18"/>
    <w:basedOn w:val="947"/>
    <w:uiPriority w:val="0"/>
    <w:qFormat/>
    <w:pPr>
      <w:ind w:firstLine="420"/>
    </w:pPr>
  </w:style>
  <w:style w:type="paragraph" w:styleId="1037" w:customStyle="1">
    <w:name w:val="纯文本2"/>
    <w:basedOn w:val="947"/>
    <w:uiPriority w:val="0"/>
    <w:qFormat/>
    <w:rPr>
      <w:rFonts w:ascii="宋体" w:hAnsi="Courier New"/>
    </w:rPr>
  </w:style>
  <w:style w:type="paragraph" w:styleId="1038" w:customStyle="1">
    <w:name w:val=" Char Char2"/>
    <w:basedOn w:val="961"/>
    <w:uiPriority w:val="0"/>
    <w:qFormat/>
    <w:pPr>
      <w:spacing w:line="360" w:lineRule="auto"/>
    </w:pPr>
  </w:style>
  <w:style w:type="paragraph" w:styleId="1039" w:customStyle="1">
    <w:name w:val="_Style 5"/>
    <w:basedOn w:val="947"/>
    <w:uiPriority w:val="0"/>
    <w:qFormat/>
    <w:pPr>
      <w:spacing w:after="160" w:line="240" w:lineRule="exact"/>
    </w:pPr>
    <w:rPr>
      <w:szCs w:val="20"/>
    </w:rPr>
  </w:style>
  <w:style w:type="paragraph" w:styleId="1040" w:customStyle="1">
    <w:name w:val="段"/>
    <w:next w:val="947"/>
    <w:uiPriority w:val="0"/>
    <w:qFormat/>
    <w:pPr>
      <w:ind w:firstLine="200"/>
      <w:jc w:val="both"/>
    </w:pPr>
    <w:rPr>
      <w:rFonts w:ascii="宋体" w:hAnsi="Times New Roman" w:eastAsia="宋体" w:cs="Times New Roman"/>
      <w:sz w:val="21"/>
      <w:szCs w:val="22"/>
      <w:lang w:val="en-US" w:eastAsia="zh-CN" w:bidi="ar-SA"/>
    </w:rPr>
  </w:style>
  <w:style w:type="paragraph" w:styleId="1041" w:customStyle="1">
    <w:name w:val="Char Char Char Char"/>
    <w:basedOn w:val="961"/>
    <w:uiPriority w:val="0"/>
    <w:qFormat/>
    <w:pPr>
      <w:jc w:val="both"/>
      <w:spacing w:line="360" w:lineRule="auto"/>
      <w:widowControl w:val="off"/>
    </w:pPr>
    <w:rPr>
      <w:szCs w:val="20"/>
    </w:rPr>
  </w:style>
  <w:style w:type="paragraph" w:styleId="1042" w:customStyle="1">
    <w:name w:val="p0"/>
    <w:basedOn w:val="947"/>
    <w:uiPriority w:val="0"/>
    <w:qFormat/>
  </w:style>
  <w:style w:type="paragraph" w:styleId="1043" w:customStyle="1">
    <w:name w:val="Char Char Char Char Char Char Char Char Char1 Char"/>
    <w:basedOn w:val="961"/>
    <w:uiPriority w:val="0"/>
    <w:qFormat/>
    <w:pPr>
      <w:jc w:val="both"/>
      <w:spacing w:line="360" w:lineRule="auto"/>
      <w:widowControl w:val="off"/>
    </w:pPr>
    <w:rPr>
      <w:rFonts w:ascii="Tahoma" w:hAnsi="Tahoma"/>
    </w:rPr>
  </w:style>
  <w:style w:type="paragraph" w:styleId="1044" w:customStyle="1">
    <w:name w:val="列出段落1"/>
    <w:basedOn w:val="947"/>
    <w:uiPriority w:val="1723"/>
    <w:qFormat/>
    <w:pPr>
      <w:ind w:firstLine="420"/>
    </w:pPr>
    <w:rPr>
      <w:rFonts w:ascii="Calibri" w:hAnsi="Calibri" w:cs="Calibri"/>
      <w:szCs w:val="22"/>
    </w:rPr>
  </w:style>
  <w:style w:type="paragraph" w:styleId="1045" w:customStyle="1">
    <w:name w:val="纯文本111"/>
    <w:basedOn w:val="947"/>
    <w:uiPriority w:val="0"/>
    <w:qFormat/>
    <w:rPr>
      <w:rFonts w:ascii="宋体" w:hAnsi="Courier New"/>
    </w:rPr>
  </w:style>
  <w:style w:type="paragraph" w:styleId="1046" w:customStyle="1">
    <w:name w:val="List Paragraph"/>
    <w:basedOn w:val="947"/>
    <w:uiPriority w:val="0"/>
    <w:qFormat/>
    <w:pPr>
      <w:ind w:firstLine="420"/>
      <w:jc w:val="both"/>
      <w:widowControl w:val="off"/>
    </w:pPr>
    <w:rPr>
      <w:rFonts w:ascii="Calibri" w:hAnsi="Calibri"/>
      <w:sz w:val="21"/>
      <w:szCs w:val="22"/>
    </w:rPr>
  </w:style>
  <w:style w:type="paragraph" w:styleId="1047" w:customStyle="1">
    <w:name w:val=" Char Char3"/>
    <w:basedOn w:val="947"/>
    <w:uiPriority w:val="0"/>
    <w:qFormat/>
    <w:pPr>
      <w:numPr>
        <w:ilvl w:val="0"/>
        <w:numId w:val="3"/>
      </w:numPr>
      <w:jc w:val="both"/>
      <w:widowControl w:val="off"/>
    </w:pPr>
  </w:style>
  <w:style w:type="paragraph" w:styleId="1048" w:customStyle="1">
    <w:name w:val="Char"/>
    <w:basedOn w:val="947"/>
    <w:uiPriority w:val="0"/>
    <w:qFormat/>
    <w:pPr>
      <w:jc w:val="both"/>
      <w:widowControl w:val="off"/>
    </w:pPr>
    <w:rPr>
      <w:rFonts w:ascii="Tahoma" w:hAnsi="Tahoma" w:cs="Tahoma"/>
    </w:rPr>
  </w:style>
  <w:style w:type="paragraph" w:styleId="1049" w:customStyle="1">
    <w:name w:val="01 章标"/>
    <w:basedOn w:val="947"/>
    <w:uiPriority w:val="0"/>
    <w:qFormat/>
    <w:pPr>
      <w:ind w:firstLine="883"/>
      <w:jc w:val="center"/>
      <w:outlineLvl w:val="0"/>
    </w:pPr>
    <w:rPr>
      <w:b/>
      <w:sz w:val="44"/>
      <w:szCs w:val="44"/>
    </w:rPr>
  </w:style>
  <w:style w:type="paragraph" w:styleId="1050" w:customStyle="1">
    <w:name w:val="Other|1"/>
    <w:basedOn w:val="947"/>
    <w:uiPriority w:val="0"/>
    <w:qFormat/>
    <w:pPr>
      <w:spacing w:line="306" w:lineRule="exact"/>
    </w:pPr>
    <w:rPr>
      <w:rFonts w:ascii="宋体" w:hAnsi="宋体" w:cs="宋体"/>
      <w:sz w:val="20"/>
      <w:szCs w:val="20"/>
      <w:lang w:val="zh-TW" w:eastAsia="zh-TW" w:bidi="zh-TW"/>
    </w:rPr>
  </w:style>
  <w:style w:type="paragraph" w:styleId="1051" w:customStyle="1">
    <w:name w:val="Plain Text1"/>
    <w:basedOn w:val="947"/>
    <w:uiPriority w:val="0"/>
    <w:qFormat/>
    <w:rPr>
      <w:rFonts w:hint="eastAsia" w:ascii="宋体" w:hAnsi="Courier New"/>
    </w:rPr>
  </w:style>
  <w:style w:type="paragraph" w:styleId="1052" w:customStyle="1">
    <w:name w:val="正文2"/>
    <w:basedOn w:val="947"/>
    <w:uiPriority w:val="0"/>
    <w:qFormat/>
    <w:pPr>
      <w:ind w:firstLine="200"/>
      <w:spacing w:after="160" w:line="360" w:lineRule="auto"/>
    </w:pPr>
    <w:rPr>
      <w:rFonts w:ascii="Verdana" w:hAnsi="Verdana" w:eastAsia="黑体"/>
      <w:sz w:val="21"/>
      <w:szCs w:val="20"/>
      <w:lang w:eastAsia="en-US"/>
    </w:rPr>
  </w:style>
  <w:style w:type="paragraph" w:styleId="1053" w:customStyle="1">
    <w:name w:val="图片格式"/>
    <w:basedOn w:val="947"/>
    <w:uiPriority w:val="0"/>
    <w:qFormat/>
    <w:pPr>
      <w:jc w:val="center"/>
      <w:tabs>
        <w:tab w:val="center" w:pos="4153" w:leader="none"/>
        <w:tab w:val="right" w:pos="8306" w:leader="none"/>
      </w:tabs>
    </w:pPr>
    <w:rPr>
      <w:rFonts w:eastAsia="宋体" w:cs="宋体"/>
      <w:szCs w:val="20"/>
    </w:rPr>
  </w:style>
  <w:style w:type="paragraph" w:styleId="1054" w:customStyle="1">
    <w:name w:val="p17"/>
    <w:basedOn w:val="947"/>
    <w:uiPriority w:val="0"/>
    <w:qFormat/>
    <w:pPr>
      <w:jc w:val="both"/>
    </w:pPr>
    <w:rPr>
      <w:rFonts w:ascii="宋体" w:hAnsi="宋体" w:cs="宋体"/>
      <w:sz w:val="26"/>
      <w:szCs w:val="26"/>
    </w:rPr>
  </w:style>
  <w:style w:type="paragraph" w:styleId="1055" w:customStyle="1">
    <w:name w:val=" Char"/>
    <w:basedOn w:val="961"/>
    <w:uiPriority w:val="0"/>
    <w:qFormat/>
    <w:pPr>
      <w:jc w:val="both"/>
      <w:spacing w:line="360" w:lineRule="auto"/>
      <w:widowControl w:val="off"/>
    </w:pPr>
    <w:rPr>
      <w:sz w:val="21"/>
    </w:rPr>
  </w:style>
  <w:style w:type="paragraph" w:styleId="1056" w:customStyle="1">
    <w:name w:val="无间隔1"/>
    <w:uiPriority w:val="1"/>
    <w:qFormat/>
    <w:rPr>
      <w:rFonts w:ascii="微软雅黑." w:hAnsi="微软雅黑." w:eastAsia="宋体" w:cs="Times New Roman"/>
      <w:sz w:val="22"/>
      <w:szCs w:val="22"/>
      <w:lang w:val="en-US" w:eastAsia="zh-CN" w:bidi="ar-SA"/>
    </w:rPr>
  </w:style>
  <w:style w:type="paragraph" w:styleId="1057" w:customStyle="1">
    <w:name w:val="方案正文"/>
    <w:basedOn w:val="947"/>
    <w:uiPriority w:val="0"/>
    <w:qFormat/>
    <w:pPr>
      <w:spacing w:line="440" w:lineRule="atLeast"/>
    </w:pPr>
    <w:rPr>
      <w:sz w:val="24"/>
    </w:rPr>
  </w:style>
  <w:style w:type="paragraph" w:styleId="1058" w:customStyle="1">
    <w:name w:val="*正文"/>
    <w:basedOn w:val="947"/>
    <w:uiPriority w:val="0"/>
    <w:qFormat/>
    <w:rPr>
      <w:rFonts w:ascii="宋体" w:hAnsi="宋体" w:eastAsia="宋体" w:cs="Times New Roman"/>
      <w:sz w:val="24"/>
      <w:szCs w:val="24"/>
      <w:lang w:val="zh-CN"/>
    </w:rPr>
  </w:style>
  <w:style w:type="paragraph" w:styleId="1059" w:customStyle="1">
    <w:name w:val="正文首行缩进 21"/>
    <w:basedOn w:val="959"/>
    <w:uiPriority w:val="99"/>
    <w:qFormat/>
    <w:pPr>
      <w:ind w:firstLine="420"/>
    </w:pPr>
  </w:style>
  <w:style w:type="paragraph" w:styleId="1060" w:customStyle="1">
    <w:name w:val="普通正文"/>
    <w:basedOn w:val="947"/>
    <w:uiPriority w:val="0"/>
    <w:qFormat/>
    <w:pPr>
      <w:ind w:firstLine="480"/>
      <w:jc w:val="left"/>
      <w:spacing w:before="120" w:after="120" w:line="360" w:lineRule="auto"/>
    </w:pPr>
    <w:rPr>
      <w:rFonts w:ascii="Arial" w:hAnsi="Arial" w:cs="Arial"/>
      <w:sz w:val="24"/>
      <w:szCs w:val="24"/>
    </w:rPr>
  </w:style>
  <w:style w:type="paragraph" w:styleId="1061" w:customStyle="1">
    <w:name w:val="_Style 7"/>
    <w:basedOn w:val="963"/>
    <w:next w:val="981"/>
    <w:uiPriority w:val="0"/>
    <w:qFormat/>
    <w:pPr>
      <w:ind w:firstLine="420"/>
    </w:pPr>
    <w:rPr>
      <w:rFonts w:ascii="Calibri" w:hAnsi="Calibri" w:cs="Times New Roman"/>
    </w:rPr>
  </w:style>
  <w:style w:type="paragraph" w:styleId="1062" w:customStyle="1">
    <w:name w:val="List Paragraph1"/>
    <w:basedOn w:val="947"/>
    <w:uiPriority w:val="34"/>
    <w:qFormat/>
    <w:pPr>
      <w:ind w:firstLine="420"/>
    </w:pPr>
    <w:rPr>
      <w:rFonts w:cs="Times New Roman"/>
    </w:rPr>
  </w:style>
  <w:style w:type="paragraph" w:styleId="1063" w:customStyle="1">
    <w:name w:val="招标书正文"/>
    <w:basedOn w:val="947"/>
    <w:uiPriority w:val="0"/>
    <w:qFormat/>
    <w:pPr>
      <w:jc w:val="left"/>
      <w:spacing w:line="300" w:lineRule="auto"/>
      <w:widowControl/>
    </w:pPr>
    <w:rPr>
      <w:sz w:val="24"/>
      <w:szCs w:val="24"/>
    </w:rPr>
  </w:style>
  <w:style w:type="paragraph" w:styleId="1064" w:customStyle="1">
    <w:name w:val="Plain Text2"/>
    <w:basedOn w:val="947"/>
    <w:uiPriority w:val="99"/>
    <w:qFormat/>
    <w:rPr>
      <w:rFonts w:hAnsi="Verdana" w:eastAsia="2OcuAe" w:cs="Times New Roman"/>
      <w:sz w:val="28"/>
    </w:rPr>
  </w:style>
  <w:style w:type="paragraph" w:styleId="1065" w:customStyle="1">
    <w:name w:val="_Style 622"/>
    <w:basedOn w:val="947"/>
    <w:next w:val="1046"/>
    <w:uiPriority w:val="99"/>
    <w:qFormat/>
    <w:pPr>
      <w:ind w:firstLine="420"/>
    </w:pPr>
    <w:rPr>
      <w:rFonts w:ascii="Times New Roman" w:hAnsi="Times New Roman" w:cs="Times New Roman"/>
    </w:rPr>
  </w:style>
  <w:style w:type="paragraph" w:styleId="1066" w:customStyle="1">
    <w:name w:val="my正文"/>
    <w:basedOn w:val="947"/>
    <w:uiPriority w:val="0"/>
    <w:qFormat/>
    <w:pPr>
      <w:ind w:firstLine="480"/>
      <w:spacing w:line="360" w:lineRule="auto"/>
    </w:pPr>
    <w:rPr>
      <w:rFonts w:ascii="Times New Roman" w:hAnsi="Times New Roman" w:cs="Times New Roman"/>
      <w:sz w:val="24"/>
    </w:rPr>
  </w:style>
  <w:style w:type="paragraph" w:styleId="1067" w:customStyle="1">
    <w:name w:val="纯文本4"/>
    <w:basedOn w:val="947"/>
    <w:uiPriority w:val="0"/>
    <w:qFormat/>
    <w:rPr>
      <w:rFonts w:ascii="宋体" w:hAnsi="Courier New" w:cs="Times New Roman"/>
      <w:sz w:val="26"/>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wmf"/><Relationship Id="rId21" Type="http://schemas.openxmlformats.org/officeDocument/2006/relationships/oleObject" Target="embeddings/oleObject1.bin"/><Relationship Id="rId22" Type="http://schemas.openxmlformats.org/officeDocument/2006/relationships/image" Target="media/image7.png"/><Relationship Id="rId23" Type="http://schemas.openxmlformats.org/officeDocument/2006/relationships/image" Target="media/image8.jpg"/><Relationship Id="rId24" Type="http://schemas.openxmlformats.org/officeDocument/2006/relationships/image" Target="media/image9.png"/><Relationship Id="rId25" Type="http://schemas.openxmlformats.org/officeDocument/2006/relationships/image" Target="media/image10.jpg"/><Relationship Id="rId26" Type="http://schemas.openxmlformats.org/officeDocument/2006/relationships/image" Target="media/image11.jpg"/><Relationship Id="rId27" Type="http://schemas.openxmlformats.org/officeDocument/2006/relationships/image" Target="media/image12.jpg"/><Relationship Id="rId28"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6</cp:revision>
  <dcterms:created xsi:type="dcterms:W3CDTF">2020-10-19T23:57:00Z</dcterms:created>
  <dcterms:modified xsi:type="dcterms:W3CDTF">2026-07-22T07:48:42Z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405C6312A65D4B48B27C21756EA0B9B7_13</vt:lpwstr>
  </property>
  <property fmtid="{D5CDD505-2E9C-101B-9397-08002B2CF9AE}" pid="4" name="KSOTemplateDocerSaveRecord">
    <vt:lpwstr>eyJoZGlkIjoiNWI1MzFhYjQwMzQ3OWQwYzYxMTRhZmIwOThhMjJmYjUiLCJ1c2VySWQiOiI1NTg4NTI5ODUifQ==</vt:lpwstr>
  </property>
</Properties>
</file>