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footer6.xml" ContentType="application/vnd.openxmlformats-officedocument.wordprocessingml.footer+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199" w:firstLine="199"/>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372"/>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372"/>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0" w:right="0" w:firstLine="0"/>
        <w:jc w:val="center"/>
        <w:spacing w:before="100" w:after="100" w:line="360" w:lineRule="auto"/>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南京市儿童医院鲜肉及肉制品等食材采购项目</w:t>
      </w:r>
      <w:r/>
    </w:p>
    <w:p>
      <w:pPr>
        <w:ind w:left="-2" w:right="-1459" w:hanging="416"/>
        <w:jc w:val="center"/>
        <w:spacing w:before="100" w:after="100" w:line="360" w:lineRule="auto"/>
        <w:tabs>
          <w:tab w:val="left" w:pos="168" w:leader="none"/>
          <w:tab w:val="center" w:pos="4422" w:leader="none"/>
        </w:tabs>
        <w:rPr>
          <w:rFonts w:ascii="宋体" w:hAnsi="宋体" w:cs="宋体"/>
          <w:b/>
          <w:color w:val="000000" w:themeColor="text1"/>
          <w:sz w:val="56"/>
          <w:szCs w:val="56"/>
          <w:highlight w:val="none"/>
          <w14:textFill>
            <w14:solidFill>
              <w14:schemeClr w14:val="tx1"/>
            </w14:solidFill>
          </w14:textFill>
        </w:rPr>
      </w:pPr>
      <w:r>
        <w:rPr>
          <w:rFonts w:ascii="宋体" w:hAnsi="宋体" w:cs="宋体"/>
          <w:b/>
          <w:color w:val="000000" w:themeColor="text1"/>
          <w:sz w:val="56"/>
          <w:szCs w:val="56"/>
          <w:highlight w:val="none"/>
          <w14:textFill>
            <w14:solidFill>
              <w14:schemeClr w14:val="tx1"/>
            </w14:solidFill>
          </w14:textFill>
        </w:rPr>
      </w:r>
      <w:r/>
    </w:p>
    <w:p>
      <w:pPr>
        <w:pStyle w:val="821"/>
        <w:ind w:left="0" w:firstLine="0"/>
        <w:jc w:val="center"/>
        <w:spacing w:line="360" w:lineRule="auto"/>
        <w:rPr>
          <w:rFonts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360" w:lineRule="auto"/>
        <w:rPr>
          <w:rFonts w:ascii="宋体" w:hAnsi="宋体" w:cs="宋体"/>
          <w:b/>
          <w:color w:val="000000" w:themeColor="text1"/>
          <w:sz w:val="96"/>
          <w:highlight w:val="none"/>
          <w14:textFill>
            <w14:solidFill>
              <w14:schemeClr w14:val="tx1"/>
            </w14:solidFill>
          </w14:textFill>
        </w:rPr>
      </w:pPr>
      <w:r>
        <w:rPr>
          <w:rFonts w:ascii="宋体" w:hAnsi="宋体" w:cs="宋体"/>
          <w:b/>
          <w:color w:val="000000" w:themeColor="text1"/>
          <w:sz w:val="96"/>
          <w:highlight w:val="none"/>
          <w14:textFill>
            <w14:solidFill>
              <w14:schemeClr w14:val="tx1"/>
            </w14:solidFill>
          </w14:textFill>
        </w:rPr>
      </w:r>
      <w:r/>
    </w:p>
    <w:p>
      <w:pPr>
        <w:ind w:right="640"/>
        <w:jc w:val="center"/>
        <w:spacing w:line="360" w:lineRule="auto"/>
        <w:rPr>
          <w:rFonts w:hint="default" w:ascii="宋体" w:hAnsi="宋体" w:cs="宋体"/>
          <w:color w:val="000000" w:themeColor="text1"/>
          <w:sz w:val="32"/>
          <w:highlight w:val="none"/>
          <w:lang w:val="en-US"/>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JSZC-320100-JITC-G2026-0204</w:t>
      </w:r>
      <w:r/>
    </w:p>
    <w:p>
      <w:pPr>
        <w:ind w:right="640" w:firstLine="566"/>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right="640" w:firstLine="566"/>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right="640" w:firstLine="566"/>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right="640" w:firstLine="566"/>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采购人：南京市儿童医院</w:t>
      </w:r>
      <w:r/>
    </w:p>
    <w:p>
      <w:pPr>
        <w:ind w:firstLine="569"/>
        <w:jc w:val="center"/>
        <w:spacing w:line="360" w:lineRule="auto"/>
        <w:tabs>
          <w:tab w:val="left" w:pos="360" w:leader="none"/>
        </w:tabs>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spacing w:line="360" w:lineRule="auto"/>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〇</w:t>
      </w: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360" w:lineRule="auto"/>
        <w:rPr>
          <w:rFonts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1"/>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80264696"/>
      <w:r/>
      <w:bookmarkStart w:id="1" w:name="_Toc531620161"/>
      <w:r/>
      <w:r/>
    </w:p>
    <w:p>
      <w:pPr>
        <w:ind w:firstLine="569"/>
        <w:jc w:val="center"/>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1049"/>
        <w:ind w:firstLine="426"/>
        <w:spacing w:line="360" w:lineRule="auto"/>
        <w:tabs>
          <w:tab w:val="right" w:pos="8834" w:leader="dot"/>
        </w:tabs>
        <w:rPr>
          <w:rFonts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1049"/>
        <w:spacing w:line="360" w:lineRule="auto"/>
        <w:tabs>
          <w:tab w:val="left" w:pos="780" w:leader="none"/>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w:instrText>
      </w:r>
      <w:r>
        <w:rPr>
          <w:color w:val="000000" w:themeColor="text1"/>
          <w:highlight w:val="none"/>
          <w14:textFill>
            <w14:solidFill>
              <w14:schemeClr w14:val="tx1"/>
            </w14:solidFill>
          </w14:textFill>
        </w:rPr>
        <w:fldChar w:fldCharType="separate"/>
      </w:r>
      <w:r>
        <w:rPr>
          <w:rStyle w:val="847"/>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847"/>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49"/>
        <w:spacing w:line="360" w:lineRule="auto"/>
        <w:tabs>
          <w:tab w:val="left" w:pos="780" w:leader="none"/>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w:instrText>
      </w:r>
      <w:r>
        <w:rPr>
          <w:color w:val="000000" w:themeColor="text1"/>
          <w:highlight w:val="none"/>
          <w14:textFill>
            <w14:solidFill>
              <w14:schemeClr w14:val="tx1"/>
            </w14:solidFill>
          </w14:textFill>
        </w:rPr>
        <w:fldChar w:fldCharType="separate"/>
      </w:r>
      <w:r>
        <w:rPr>
          <w:rStyle w:val="847"/>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847"/>
          <w:rFonts w:hint="eastAsia" w:ascii="宋体" w:hAnsi="宋体" w:eastAsia="宋体" w:cs="宋体"/>
          <w:b/>
          <w:color w:val="000000" w:themeColor="text1"/>
          <w:highlight w:val="none"/>
          <w14:textFill>
            <w14:solidFill>
              <w14:schemeClr w14:val="tx1"/>
            </w14:solidFill>
          </w14:textFill>
        </w:rPr>
        <w:t xml:space="preserve">供应商须知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4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w:instrText>
      </w:r>
      <w:r>
        <w:rPr>
          <w:color w:val="000000" w:themeColor="text1"/>
          <w:highlight w:val="none"/>
          <w14:textFill>
            <w14:solidFill>
              <w14:schemeClr w14:val="tx1"/>
            </w14:solidFill>
          </w14:textFill>
        </w:rPr>
        <w:fldChar w:fldCharType="separate"/>
      </w:r>
      <w:r>
        <w:rPr>
          <w:rStyle w:val="847"/>
          <w:rFonts w:hint="eastAsia" w:ascii="宋体" w:hAnsi="宋体" w:eastAsia="宋体" w:cs="宋体"/>
          <w:b/>
          <w:color w:val="000000" w:themeColor="text1"/>
          <w:highlight w:val="none"/>
          <w14:textFill>
            <w14:solidFill>
              <w14:schemeClr w14:val="tx1"/>
            </w14:solidFill>
          </w14:textFill>
        </w:rPr>
        <w:t xml:space="preserve">一．总则</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_Toc107246214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4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w:instrText>
      </w:r>
      <w:r>
        <w:rPr>
          <w:color w:val="000000" w:themeColor="text1"/>
          <w:highlight w:val="none"/>
          <w14:textFill>
            <w14:solidFill>
              <w14:schemeClr w14:val="tx1"/>
            </w14:solidFill>
          </w14:textFill>
        </w:rPr>
        <w:fldChar w:fldCharType="separate"/>
      </w:r>
      <w:r>
        <w:rPr>
          <w:rStyle w:val="847"/>
          <w:rFonts w:hint="eastAsia" w:ascii="宋体" w:hAnsi="宋体" w:eastAsia="宋体" w:cs="宋体"/>
          <w:b/>
          <w:color w:val="000000" w:themeColor="text1"/>
          <w:highlight w:val="none"/>
          <w14:textFill>
            <w14:solidFill>
              <w14:schemeClr w14:val="tx1"/>
            </w14:solidFill>
          </w14:textFill>
        </w:rPr>
        <w:t xml:space="preserve">二．招标文件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4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w:instrText>
      </w:r>
      <w:r>
        <w:rPr>
          <w:color w:val="000000" w:themeColor="text1"/>
          <w:highlight w:val="none"/>
          <w14:textFill>
            <w14:solidFill>
              <w14:schemeClr w14:val="tx1"/>
            </w14:solidFill>
          </w14:textFill>
        </w:rPr>
        <w:fldChar w:fldCharType="separate"/>
      </w:r>
      <w:r>
        <w:rPr>
          <w:rStyle w:val="847"/>
          <w:rFonts w:hint="eastAsia" w:ascii="宋体" w:hAnsi="宋体" w:eastAsia="宋体" w:cs="宋体"/>
          <w:b/>
          <w:color w:val="000000" w:themeColor="text1"/>
          <w:highlight w:val="none"/>
          <w14:textFill>
            <w14:solidFill>
              <w14:schemeClr w14:val="tx1"/>
            </w14:solidFill>
          </w14:textFill>
        </w:rPr>
        <w:t xml:space="preserve">三．投标文件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4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w:instrText>
      </w:r>
      <w:r>
        <w:rPr>
          <w:color w:val="000000" w:themeColor="text1"/>
          <w:highlight w:val="none"/>
          <w14:textFill>
            <w14:solidFill>
              <w14:schemeClr w14:val="tx1"/>
            </w14:solidFill>
          </w14:textFill>
        </w:rPr>
        <w:fldChar w:fldCharType="separate"/>
      </w:r>
      <w:r>
        <w:rPr>
          <w:rStyle w:val="847"/>
          <w:rFonts w:hint="eastAsia" w:ascii="宋体" w:hAnsi="宋体" w:eastAsia="宋体" w:cs="宋体"/>
          <w:b/>
          <w:color w:val="000000" w:themeColor="text1"/>
          <w:highlight w:val="none"/>
          <w14:textFill>
            <w14:solidFill>
              <w14:schemeClr w14:val="tx1"/>
            </w14:solidFill>
          </w14:textFill>
        </w:rPr>
        <w:t xml:space="preserve">四．投标文件的递交</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19</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4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w:instrText>
      </w:r>
      <w:r>
        <w:rPr>
          <w:color w:val="000000" w:themeColor="text1"/>
          <w:highlight w:val="none"/>
          <w14:textFill>
            <w14:solidFill>
              <w14:schemeClr w14:val="tx1"/>
            </w14:solidFill>
          </w14:textFill>
        </w:rPr>
        <w:fldChar w:fldCharType="separate"/>
      </w:r>
      <w:r>
        <w:rPr>
          <w:rStyle w:val="847"/>
          <w:rFonts w:hint="eastAsia" w:ascii="宋体" w:hAnsi="宋体" w:eastAsia="宋体" w:cs="宋体"/>
          <w:b/>
          <w:color w:val="000000" w:themeColor="text1"/>
          <w:highlight w:val="none"/>
          <w14:textFill>
            <w14:solidFill>
              <w14:schemeClr w14:val="tx1"/>
            </w14:solidFill>
          </w14:textFill>
        </w:rPr>
        <w:t xml:space="preserve">五．开标和评标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_Toc107246245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4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w:instrText>
      </w:r>
      <w:r>
        <w:rPr>
          <w:color w:val="000000" w:themeColor="text1"/>
          <w:highlight w:val="none"/>
          <w14:textFill>
            <w14:solidFill>
              <w14:schemeClr w14:val="tx1"/>
            </w14:solidFill>
          </w14:textFill>
        </w:rPr>
        <w:fldChar w:fldCharType="separate"/>
      </w:r>
      <w:r>
        <w:rPr>
          <w:rStyle w:val="847"/>
          <w:rFonts w:hint="eastAsia" w:ascii="宋体" w:hAnsi="宋体" w:eastAsia="宋体" w:cs="宋体"/>
          <w:b/>
          <w:color w:val="000000" w:themeColor="text1"/>
          <w:highlight w:val="none"/>
          <w14:textFill>
            <w14:solidFill>
              <w14:schemeClr w14:val="tx1"/>
            </w14:solidFill>
          </w14:textFill>
        </w:rPr>
        <w:t xml:space="preserve">六．确定中标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_Toc107246257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4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w:instrText>
      </w:r>
      <w:r>
        <w:rPr>
          <w:color w:val="000000" w:themeColor="text1"/>
          <w:highlight w:val="none"/>
          <w14:textFill>
            <w14:solidFill>
              <w14:schemeClr w14:val="tx1"/>
            </w14:solidFill>
          </w14:textFill>
        </w:rPr>
        <w:fldChar w:fldCharType="separate"/>
      </w:r>
      <w:r>
        <w:rPr>
          <w:rStyle w:val="847"/>
          <w:rFonts w:hint="eastAsia" w:ascii="宋体" w:hAnsi="宋体" w:eastAsia="宋体" w:cs="宋体"/>
          <w:b/>
          <w:color w:val="000000" w:themeColor="text1"/>
          <w:highlight w:val="none"/>
          <w14:textFill>
            <w14:solidFill>
              <w14:schemeClr w14:val="tx1"/>
            </w14:solidFill>
          </w14:textFill>
        </w:rPr>
        <w:t xml:space="preserve">七．询问与质疑</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4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w:instrText>
      </w:r>
      <w:r>
        <w:rPr>
          <w:color w:val="000000" w:themeColor="text1"/>
          <w:highlight w:val="none"/>
          <w14:textFill>
            <w14:solidFill>
              <w14:schemeClr w14:val="tx1"/>
            </w14:solidFill>
          </w14:textFill>
        </w:rPr>
        <w:fldChar w:fldCharType="separate"/>
      </w:r>
      <w:r>
        <w:rPr>
          <w:rStyle w:val="847"/>
          <w:rFonts w:hint="eastAsia" w:ascii="宋体" w:hAnsi="宋体" w:eastAsia="宋体" w:cs="宋体"/>
          <w:b/>
          <w:color w:val="000000" w:themeColor="text1"/>
          <w:highlight w:val="none"/>
          <w14:textFill>
            <w14:solidFill>
              <w14:schemeClr w14:val="tx1"/>
            </w14:solidFill>
          </w14:textFill>
        </w:rPr>
        <w:t xml:space="preserve">八．其他</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_Toc107246266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4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w:instrText>
      </w:r>
      <w:r>
        <w:rPr>
          <w:color w:val="000000" w:themeColor="text1"/>
          <w:highlight w:val="none"/>
          <w14:textFill>
            <w14:solidFill>
              <w14:schemeClr w14:val="tx1"/>
            </w14:solidFill>
          </w14:textFill>
        </w:rPr>
        <w:fldChar w:fldCharType="separate"/>
      </w:r>
      <w:r>
        <w:rPr>
          <w:rStyle w:val="847"/>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4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w:instrText>
      </w:r>
      <w:r>
        <w:rPr>
          <w:color w:val="000000" w:themeColor="text1"/>
          <w:highlight w:val="none"/>
          <w14:textFill>
            <w14:solidFill>
              <w14:schemeClr w14:val="tx1"/>
            </w14:solidFill>
          </w14:textFill>
        </w:rPr>
        <w:fldChar w:fldCharType="separate"/>
      </w:r>
      <w:r>
        <w:rPr>
          <w:rStyle w:val="847"/>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4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w:instrText>
      </w:r>
      <w:r>
        <w:rPr>
          <w:color w:val="000000" w:themeColor="text1"/>
          <w:highlight w:val="none"/>
          <w14:textFill>
            <w14:solidFill>
              <w14:schemeClr w14:val="tx1"/>
            </w14:solidFill>
          </w14:textFill>
        </w:rPr>
        <w:fldChar w:fldCharType="separate"/>
      </w:r>
      <w:r>
        <w:rPr>
          <w:rStyle w:val="847"/>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49"/>
        <w:spacing w:line="360" w:lineRule="auto"/>
        <w:tabs>
          <w:tab w:val="right" w:pos="8834" w:leader="dot"/>
        </w:tabs>
        <w:rPr>
          <w:rFonts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w:instrText>
      </w:r>
      <w:r>
        <w:rPr>
          <w:color w:val="000000" w:themeColor="text1"/>
          <w:highlight w:val="none"/>
          <w14:textFill>
            <w14:solidFill>
              <w14:schemeClr w14:val="tx1"/>
            </w14:solidFill>
          </w14:textFill>
        </w:rPr>
        <w:fldChar w:fldCharType="separate"/>
      </w:r>
      <w:r>
        <w:rPr>
          <w:rStyle w:val="847"/>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53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bookmarkEnd w:id="0"/>
      <w:r/>
      <w:bookmarkEnd w:id="1"/>
      <w:r/>
      <w:r/>
    </w:p>
    <w:p>
      <w:pPr>
        <w:pStyle w:val="839"/>
        <w:ind w:firstLine="3213"/>
        <w:jc w:val="both"/>
        <w:rPr>
          <w:rFonts w:hint="eastAsia" w:ascii="宋体" w:hAnsi="宋体" w:cs="宋体"/>
          <w:color w:val="000000" w:themeColor="text1"/>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39"/>
        <w:ind w:firstLine="3213"/>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南京市儿童医院鲜肉及肉制品等食材采购项目</w:t>
      </w:r>
      <w:r>
        <w:rPr>
          <w:rFonts w:hint="eastAsia" w:ascii="宋体" w:hAnsi="宋体" w:cs="宋体"/>
          <w:bCs/>
          <w:color w:val="000000" w:themeColor="text1"/>
          <w:szCs w:val="21"/>
          <w:highlight w:val="none"/>
          <w14:textFill>
            <w14:solidFill>
              <w14:schemeClr w14:val="tx1"/>
            </w14:solidFill>
          </w14:textFill>
        </w:rPr>
        <w:t xml:space="preserve">的潜在供应商应在</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江苏政府采购网系统内注册登记成功后下载</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bCs/>
          <w:color w:val="000000" w:themeColor="text1"/>
          <w:szCs w:val="21"/>
          <w:highlight w:val="none"/>
          <w:u w:val="single"/>
          <w14:textFill>
            <w14:solidFill>
              <w14:schemeClr w14:val="tx1"/>
            </w14:solidFill>
          </w14:textFill>
        </w:rPr>
        <w:t xml:space="preserve">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7</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21</w:t>
      </w:r>
      <w:r>
        <w:rPr>
          <w:rFonts w:hint="eastAsia" w:ascii="宋体" w:hAnsi="宋体" w:cs="宋体"/>
          <w:bCs/>
          <w:color w:val="000000" w:themeColor="text1"/>
          <w:szCs w:val="21"/>
          <w:highlight w:val="none"/>
          <w:u w:val="single"/>
          <w14:textFill>
            <w14:solidFill>
              <w14:schemeClr w14:val="tx1"/>
            </w14:solidFill>
          </w14:textFill>
        </w:rPr>
        <w:t xml:space="preserve">日</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bCs/>
          <w:color w:val="000000" w:themeColor="text1"/>
          <w:szCs w:val="21"/>
          <w:highlight w:val="none"/>
          <w:u w:val="single"/>
          <w14:textFill>
            <w14:solidFill>
              <w14:schemeClr w14:val="tx1"/>
            </w14:solidFill>
          </w14:textFill>
        </w:rPr>
        <w:t xml:space="preserve">:</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bCs/>
          <w:color w:val="000000" w:themeColor="text1"/>
          <w:szCs w:val="21"/>
          <w:highlight w:val="none"/>
          <w:u w:val="single"/>
          <w14:textFill>
            <w14:solidFill>
              <w14:schemeClr w14:val="tx1"/>
            </w14:solidFill>
          </w14:textFill>
        </w:rPr>
        <w:t xml:space="preserve">（北京时间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bookmarkStart w:id="7" w:name="_Toc96347851"/>
      <w:r/>
      <w:bookmarkStart w:id="8" w:name="_Toc93909065"/>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JSZC-320100-JITC-G2026-0204</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w:t>
      </w:r>
      <w:r>
        <w:rPr>
          <w:rFonts w:hint="eastAsia" w:ascii="宋体" w:hAnsi="宋体" w:cs="宋体"/>
          <w:bCs/>
          <w:color w:val="000000" w:themeColor="text1"/>
          <w:szCs w:val="21"/>
          <w:highlight w:val="none"/>
          <w:lang w:eastAsia="zh-CN"/>
          <w14:textFill>
            <w14:solidFill>
              <w14:schemeClr w14:val="tx1"/>
            </w14:solidFill>
          </w14:textFill>
        </w:rPr>
        <w:t xml:space="preserve">南京市儿童医院鲜肉及肉制品等食材采购项目</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1.3预算金额：本项目预算</w:t>
      </w:r>
      <w:r>
        <w:rPr>
          <w:rFonts w:hint="eastAsia" w:ascii="宋体" w:hAnsi="宋体" w:cs="宋体"/>
          <w:bCs/>
          <w:color w:val="000000" w:themeColor="text1"/>
          <w:szCs w:val="21"/>
          <w:highlight w:val="none"/>
          <w:lang w:val="en-US" w:eastAsia="zh-CN"/>
          <w14:textFill>
            <w14:solidFill>
              <w14:schemeClr w14:val="tx1"/>
            </w14:solidFill>
          </w14:textFill>
        </w:rPr>
        <w:t xml:space="preserve">495</w:t>
      </w:r>
      <w:r>
        <w:rPr>
          <w:rFonts w:hint="eastAsia" w:ascii="宋体" w:hAnsi="宋体" w:cs="宋体"/>
          <w:bCs/>
          <w:color w:val="000000" w:themeColor="text1"/>
          <w:szCs w:val="21"/>
          <w:highlight w:val="none"/>
          <w14:textFill>
            <w14:solidFill>
              <w14:schemeClr w14:val="tx1"/>
            </w14:solidFill>
          </w14:textFill>
        </w:rPr>
        <w:t xml:space="preserve">万元人民币。</w:t>
      </w:r>
      <w:r/>
    </w:p>
    <w:p>
      <w:pPr>
        <w:ind w:firstLine="422"/>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 xml:space="preserve">★1.4最高限价：</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495</w:t>
      </w:r>
      <w:r>
        <w:rPr>
          <w:rFonts w:hint="eastAsia" w:ascii="宋体" w:hAnsi="宋体" w:eastAsia="宋体" w:cs="宋体"/>
          <w:b/>
          <w:bCs w:val="0"/>
          <w:color w:val="000000" w:themeColor="text1"/>
          <w:szCs w:val="21"/>
          <w:highlight w:val="none"/>
          <w14:textFill>
            <w14:solidFill>
              <w14:schemeClr w14:val="tx1"/>
            </w14:solidFill>
          </w14:textFill>
        </w:rPr>
        <w:t xml:space="preserve">万元人民币。</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1.5采购需求：向南京市儿童医院两院区（广州路院区、河西院区）食堂，供应鲜肉及肉制品等食材，满足供应职工及患者就餐。具体要求详见招标文件第四章《采购需求》。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60"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 xml:space="preserve">★1.7合同履行期限：自合同签订之日起一年，如果前三个月试供货期不合格,采购人有权解除合同。</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1.8本项目是否接受联合体投标：不接受</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1.9本项目是否接受进口产品：不接受</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bookmarkStart w:id="9" w:name="_Toc80264698"/>
      <w:r/>
      <w:bookmarkStart w:id="10" w:name="_Toc80792689"/>
      <w:r/>
      <w:bookmarkStart w:id="11" w:name="_Toc93909066"/>
      <w:r/>
      <w:bookmarkStart w:id="12" w:name="_Toc96347852"/>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3" w:name="_Toc93909067"/>
      <w:r/>
      <w:bookmarkStart w:id="14" w:name="_Toc96347853"/>
      <w:r/>
      <w:bookmarkStart w:id="15" w:name="_Toc80264699"/>
      <w:r/>
      <w:bookmarkStart w:id="16" w:name="_Toc80792690"/>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2.1.1具有独立承担民事责任的能力，投标人提供在有效经营期内的营业执照、法人授权书（法人直接参与投标的可不提供）、法人身份证复印件、投标人代表身份证复印件；</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即2024年度财务报表或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2.1.3具有履行合同所必需的设备和专业技术能力，投标人提供具备履行合同所必需的设备和专业技术能力的书面声明（由供应商根据项目需求提供材料）；</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2.1.4有依法缴纳税收和社会保障资金的良好记录，投标人提供递交投标文件截止时间前六个月内至少一个月依法缴纳税收及缴纳社会保障资金的证明材料。投标人依法享受缓缴、免缴的，提供证明材料；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2.1.5</w:t>
      </w:r>
      <w:r>
        <w:rPr>
          <w:rFonts w:hint="eastAsia" w:ascii="宋体" w:hAnsi="宋体" w:cs="宋体"/>
          <w:bCs/>
          <w:color w:val="000000" w:themeColor="text1"/>
          <w:szCs w:val="21"/>
          <w:highlight w:val="none"/>
          <w14:textFill>
            <w14:solidFill>
              <w14:schemeClr w14:val="tx1"/>
            </w14:solidFill>
          </w14:textFill>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2.1.6法律、行政法规规定的其他条件。</w:t>
      </w:r>
      <w:r/>
    </w:p>
    <w:p>
      <w:pPr>
        <w:ind w:firstLine="21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w:t>
      </w:r>
      <w:bookmarkStart w:id="17" w:name="_Toc35393635"/>
      <w:r/>
      <w:r/>
    </w:p>
    <w:p>
      <w:pPr>
        <w:numPr>
          <w:ilvl w:val="0"/>
          <w:numId w:val="0"/>
        </w:numPr>
        <w:ind w:firstLine="210"/>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 1、</w:t>
      </w:r>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eastAsia" w:ascii="宋体" w:hAnsi="宋体" w:cs="宋体"/>
          <w:bCs/>
          <w:color w:val="000000" w:themeColor="text1"/>
          <w:szCs w:val="21"/>
          <w:highlight w:val="none"/>
          <w14:textFill>
            <w14:solidFill>
              <w14:schemeClr w14:val="tx1"/>
            </w14:solidFill>
          </w14:textFill>
        </w:rPr>
        <w:t xml:space="preserve">。供应商在成交后，应按采购文件要求，将上述由信用承诺书替代的证明材料提交采购人或采购代理机构核验。经核验无误后，由采购人或采购代理机构发出成交通知书。</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其中不适用信用承诺的情形：</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1）供应商被列入严重失信主体名单；</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2）被相关监督部门作出行政处罚且尚处在处罚有效期内；</w:t>
      </w:r>
      <w:r/>
    </w:p>
    <w:p>
      <w:pPr>
        <w:numPr>
          <w:ilvl w:val="0"/>
          <w:numId w:val="0"/>
        </w:numPr>
        <w:ind w:left="0" w:firstLine="420"/>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2.2.1中小企业政策：■本项目不面向中小企业预留采购份额</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2.3.1供应商存在下列情形的不得参加本次招标活动：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2.3.1.1单位负责人为同一人或者存在直接控股、管理关系的不同供应商，不得参加同一合同项下的政府采购活动。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通过“信用中国”网站（http://www.creditchina.gov.cn）、中国政府采购网（www.ccgp.gov.cn）查询供应商在响应截止时间前的信用记录，通过以上查询渠道，供应商未被列入失信被执行人、重大税收违法失信主体、政府采购严重违法失信行为记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2.3.3其他资格要求：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（1）若供应商为食品销售企业</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须具有行业主管部门颁发的《食品经营许可证》（提供证书复印件）；</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（2）若供应商为食品生产企业</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须具有行业主管部门颁发的《食品生产许可证》（提供证书复印件）。</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ascii="宋体" w:hAnsi="宋体" w:cs="宋体"/>
          <w:bCs/>
          <w:color w:val="000000" w:themeColor="text1"/>
          <w:szCs w:val="21"/>
          <w:highlight w:val="none"/>
          <w14:textFill>
            <w14:solidFill>
              <w14:schemeClr w14:val="tx1"/>
            </w14:solidFill>
          </w14:textFill>
        </w:rPr>
      </w:pPr>
      <w:r/>
      <w:bookmarkStart w:id="18" w:name="_Toc80264700"/>
      <w:r>
        <w:rPr>
          <w:rFonts w:hint="eastAsia" w:ascii="宋体" w:hAnsi="宋体" w:cs="宋体"/>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ascii="宋体" w:hAnsi="宋体" w:cs="宋体"/>
          <w:bCs/>
          <w:color w:val="000000" w:themeColor="text1"/>
          <w:szCs w:val="21"/>
          <w:highlight w:val="none"/>
          <w14:textFill>
            <w14:solidFill>
              <w14:schemeClr w14:val="tx1"/>
            </w14:solidFill>
          </w14:textFill>
        </w:rPr>
      </w:pPr>
      <w:r/>
      <w:bookmarkStart w:id="19" w:name="_Toc80792691"/>
      <w:r/>
      <w:bookmarkStart w:id="20" w:name="_Toc93909068"/>
      <w:r/>
      <w:bookmarkStart w:id="21" w:name="_Toc96347854"/>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w:t>
      </w:r>
      <w:r>
        <w:rPr>
          <w:rFonts w:hint="eastAsia" w:ascii="宋体" w:hAnsi="宋体" w:cs="宋体"/>
          <w:bCs/>
          <w:color w:val="000000" w:themeColor="text1"/>
          <w:szCs w:val="21"/>
          <w:highlight w:val="none"/>
          <w14:textFill>
            <w14:solidFill>
              <w14:schemeClr w14:val="tx1"/>
            </w14:solidFill>
          </w14:textFill>
        </w:rPr>
        <w:t xml:space="preserve">。</w:t>
      </w:r>
      <w:r/>
    </w:p>
    <w:p>
      <w:pPr>
        <w:ind w:firstLine="525"/>
        <w:spacing w:after="40" w:line="360" w:lineRule="auto"/>
        <w:rPr>
          <w:rFonts w:ascii="宋体" w:hAnsi="宋体" w:cs="宋体"/>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售价：0元。</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8"/>
      <w:r/>
      <w:bookmarkEnd w:id="19"/>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0"/>
      <w:r/>
      <w:bookmarkEnd w:id="21"/>
      <w:r/>
      <w:r/>
    </w:p>
    <w:p>
      <w:pPr>
        <w:ind w:firstLine="525"/>
        <w:spacing w:after="40" w:line="360" w:lineRule="auto"/>
        <w:rPr>
          <w:rFonts w:ascii="宋体" w:hAnsi="宋体" w:cs="宋体"/>
          <w:bCs/>
          <w:color w:val="000000" w:themeColor="text1"/>
          <w:szCs w:val="21"/>
          <w:highlight w:val="none"/>
          <w14:textFill>
            <w14:solidFill>
              <w14:schemeClr w14:val="tx1"/>
            </w14:solidFill>
          </w14:textFill>
        </w:rPr>
      </w:pPr>
      <w:r/>
      <w:bookmarkStart w:id="22" w:name="_Toc80792693"/>
      <w:r/>
      <w:bookmarkStart w:id="23" w:name="_Toc93909069"/>
      <w:r/>
      <w:bookmarkStart w:id="24" w:name="_Toc96347855"/>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提交投标文件截止时间、开标</w:t>
      </w:r>
      <w:r>
        <w:rPr>
          <w:rFonts w:hint="eastAsia" w:ascii="宋体" w:hAnsi="宋体" w:cs="宋体"/>
          <w:bCs/>
          <w:color w:val="000000" w:themeColor="text1"/>
          <w:szCs w:val="21"/>
          <w:highlight w:val="none"/>
          <w14:textFill>
            <w14:solidFill>
              <w14:schemeClr w14:val="tx1"/>
            </w14:solidFill>
          </w14:textFill>
        </w:rPr>
        <w:t xml:space="preserve">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lang w:val="en-US" w:eastAsia="zh-CN"/>
          <w14:textFill>
            <w14:solidFill>
              <w14:schemeClr w14:val="tx1"/>
            </w14:solidFill>
          </w14:textFill>
        </w:rPr>
        <w:t xml:space="preserve">21</w:t>
      </w:r>
      <w:bookmarkStart w:id="355" w:name="_GoBack"/>
      <w:r/>
      <w:bookmarkEnd w:id="355"/>
      <w:r>
        <w:rPr>
          <w:rFonts w:hint="eastAsia" w:ascii="宋体" w:hAnsi="宋体" w:cs="宋体"/>
          <w:bCs/>
          <w:color w:val="000000" w:themeColor="text1"/>
          <w:szCs w:val="21"/>
          <w:highlight w:val="none"/>
          <w14:textFill>
            <w14:solidFill>
              <w14:schemeClr w14:val="tx1"/>
            </w14:solidFill>
          </w14:textFill>
        </w:rPr>
        <w:t xml:space="preserve">日</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30</w:t>
      </w:r>
      <w:r>
        <w:rPr>
          <w:rFonts w:hint="eastAsia" w:ascii="宋体" w:hAnsi="宋体" w:cs="宋体"/>
          <w:bCs/>
          <w:color w:val="000000" w:themeColor="text1"/>
          <w:szCs w:val="21"/>
          <w:highlight w:val="none"/>
          <w14:textFill>
            <w14:solidFill>
              <w14:schemeClr w14:val="tx1"/>
            </w14:solidFill>
          </w14:textFill>
        </w:rPr>
        <w:t xml:space="preserve">（北京时间）</w:t>
      </w:r>
      <w:r/>
    </w:p>
    <w:p>
      <w:pPr>
        <w:ind w:firstLine="525"/>
        <w:spacing w:after="40"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w:t>
      </w:r>
      <w:r>
        <w:rPr>
          <w:rFonts w:hint="eastAsia" w:ascii="Microsoft New Tai Lue" w:hAnsi="Microsoft New Tai Lue" w:cs="Microsoft New Tai Lue"/>
          <w:bCs/>
          <w:color w:val="000000" w:themeColor="text1"/>
          <w:szCs w:val="21"/>
          <w:highlight w:val="none"/>
          <w14:textFill>
            <w14:solidFill>
              <w14:schemeClr w14:val="tx1"/>
            </w14:solidFill>
          </w14:textFill>
        </w:rPr>
        <w:fldChar w:fldCharType="begin"/>
      </w:r>
      <w:r>
        <w:rPr>
          <w:rFonts w:hint="eastAsia" w:ascii="Microsoft New Tai Lue" w:hAnsi="Microsoft New Tai Lue" w:cs="Microsoft New Tai Lue"/>
          <w:bCs/>
          <w:color w:val="000000" w:themeColor="text1"/>
          <w:szCs w:val="21"/>
          <w:highlight w:val="none"/>
          <w14:textFill>
            <w14:solidFill>
              <w14:schemeClr w14:val="tx1"/>
            </w14:solidFill>
          </w14:textFill>
        </w:rPr>
        <w:instrText xml:space="preserve"> HYPERLINK "http://jszfcg.jsczt.cn/）" </w:instrText>
      </w:r>
      <w:r>
        <w:rPr>
          <w:rFonts w:hint="eastAsia" w:ascii="Microsoft New Tai Lue" w:hAnsi="Microsoft New Tai Lue" w:cs="Microsoft New Tai Lue"/>
          <w:bCs/>
          <w:color w:val="000000" w:themeColor="text1"/>
          <w:szCs w:val="21"/>
          <w:highlight w:val="none"/>
          <w14:textFill>
            <w14:solidFill>
              <w14:schemeClr w14:val="tx1"/>
            </w14:solidFill>
          </w14:textFill>
        </w:rPr>
        <w:fldChar w:fldCharType="separate"/>
      </w:r>
      <w:r>
        <w:rPr>
          <w:rStyle w:val="847"/>
          <w:rFonts w:hint="eastAsia" w:ascii="Microsoft New Tai Lue" w:hAnsi="Microsoft New Tai Lue" w:cs="Microsoft New Tai Lue"/>
          <w:bCs/>
          <w:color w:val="000000" w:themeColor="text1"/>
          <w:szCs w:val="21"/>
          <w:highlight w:val="none"/>
          <w14:textFill>
            <w14:solidFill>
              <w14:schemeClr w14:val="tx1"/>
            </w14:solidFill>
          </w14:textFill>
        </w:rPr>
        <w:t xml:space="preserve">http://jszfcg.jsczt.cn/）</w:t>
      </w:r>
      <w:r>
        <w:rPr>
          <w:rFonts w:hint="eastAsia" w:ascii="Microsoft New Tai Lue" w:hAnsi="Microsoft New Tai Lue" w:cs="Microsoft New Tai Lue"/>
          <w:bCs/>
          <w:color w:val="000000" w:themeColor="text1"/>
          <w:szCs w:val="21"/>
          <w:highlight w:val="none"/>
          <w14:textFill>
            <w14:solidFill>
              <w14:schemeClr w14:val="tx1"/>
            </w14:solidFill>
          </w14:textFill>
        </w:rPr>
        <w:fldChar w:fldCharType="end"/>
      </w:r>
      <w:r/>
    </w:p>
    <w:p>
      <w:pPr>
        <w:ind w:firstLine="525"/>
        <w:spacing w:after="40"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w:t>
      </w:r>
      <w:sdt>
        <w:sdtPr>
          <w15:appearance w15:val="boundingBox"/>
          <w:id w:val="934481194"/>
          <w:placeholder>
            <w:docPart w:val="{97867fe7-5d61-4f1b-9909-88ba0846745a}"/>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“苏采云”网上开标大厅</w:t>
          </w:r>
        </w:sdtContent>
      </w:sd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2"/>
      <w:r>
        <w:rPr>
          <w:rFonts w:hint="eastAsia" w:ascii="宋体" w:hAnsi="宋体" w:cs="宋体"/>
          <w:b/>
          <w:bCs/>
          <w:color w:val="000000" w:themeColor="text1"/>
          <w:szCs w:val="44"/>
          <w:highlight w:val="none"/>
          <w14:textFill>
            <w14:solidFill>
              <w14:schemeClr w14:val="tx1"/>
            </w14:solidFill>
          </w14:textFill>
        </w:rPr>
        <w:t xml:space="preserve">公告期</w:t>
      </w:r>
      <w:bookmarkEnd w:id="23"/>
      <w:r/>
      <w:bookmarkEnd w:id="24"/>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bookmarkStart w:id="25" w:name="_Toc93909070"/>
      <w:r/>
      <w:bookmarkStart w:id="26" w:name="_Toc96347856"/>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5"/>
      <w:r/>
      <w:bookmarkEnd w:id="26"/>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27" w:name="_Toc80792694"/>
      <w:r/>
      <w:bookmarkStart w:id="28" w:name="_Toc80264702"/>
      <w:r/>
      <w:bookmarkStart w:id="29" w:name="_Toc93909071"/>
      <w:r/>
      <w:bookmarkStart w:id="30" w:name="_Toc96347857"/>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2、供应商诚信档案管理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000000" w:themeColor="text1"/>
          <w:szCs w:val="21"/>
          <w:highlight w:val="none"/>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（1）符合国家相关规定的财务状况报告；</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（2）依法缴纳税收的证明材料；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（3）依法缴纳社会保障资金的证明材料；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（5）参加政府采购活动前三年内在经营活动中没有重大违法记录的证明材料；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供应商涉及以下情形的，不适用信用承诺：</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（2）被相关监管部门作出行政处罚且尚在处罚有效期内；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4、潜在供应商访问政府采购管理交易系统（苏采云）的网络地址和方法：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7"/>
      <w:r/>
      <w:bookmarkEnd w:id="28"/>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29"/>
      <w:r/>
      <w:bookmarkEnd w:id="30"/>
      <w:r/>
      <w:r/>
    </w:p>
    <w:p>
      <w:pPr>
        <w:ind w:firstLine="525"/>
        <w:spacing w:line="360" w:lineRule="auto"/>
        <w:rPr>
          <w:rFonts w:ascii="宋体" w:hAnsi="宋体" w:cs="宋体"/>
          <w:color w:val="000000" w:themeColor="text1"/>
          <w:szCs w:val="21"/>
          <w:highlight w:val="none"/>
          <w14:textFill>
            <w14:solidFill>
              <w14:schemeClr w14:val="tx1"/>
            </w14:solidFill>
          </w14:textFill>
        </w:rPr>
      </w:pPr>
      <w:r/>
      <w:bookmarkStart w:id="31"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称：南京市儿童医院</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址：南京市建邺区江东南路8号</w:t>
      </w:r>
      <w:r/>
    </w:p>
    <w:p>
      <w:pPr>
        <w:ind w:firstLine="525"/>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eastAsia="宋体"/>
          <w:color w:val="000000" w:themeColor="text1"/>
          <w:szCs w:val="21"/>
          <w:highlight w:val="none"/>
          <w:lang w:val="en-US" w:eastAsia="zh-CN"/>
          <w14:textFill>
            <w14:solidFill>
              <w14:schemeClr w14:val="tx1"/>
            </w14:solidFill>
          </w14:textFill>
        </w:rPr>
        <w:t xml:space="preserve">黄老师</w:t>
      </w:r>
      <w:r/>
    </w:p>
    <w:p>
      <w:pPr>
        <w:ind w:firstLine="525"/>
        <w:spacing w:line="360" w:lineRule="auto"/>
        <w:rPr>
          <w:rFonts w:hint="eastAsia"/>
          <w:color w:val="000000" w:themeColor="text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eastAsia="宋体"/>
          <w:color w:val="000000" w:themeColor="text1"/>
          <w:szCs w:val="21"/>
          <w:highlight w:val="none"/>
          <w:lang w:val="en-US" w:eastAsia="zh-CN"/>
          <w14:textFill>
            <w14:solidFill>
              <w14:schemeClr w14:val="tx1"/>
            </w14:solidFill>
          </w14:textFill>
        </w:rPr>
        <w:t xml:space="preserve"> </w:t>
      </w:r>
      <w:r>
        <w:rPr>
          <w:rFonts w:hint="eastAsia" w:eastAsia="宋体"/>
          <w:color w:val="000000" w:themeColor="text1"/>
          <w:szCs w:val="21"/>
          <w:highlight w:val="none"/>
          <w14:textFill>
            <w14:solidFill>
              <w14:schemeClr w14:val="tx1"/>
            </w14:solidFill>
          </w14:textFill>
        </w:rPr>
        <w:t xml:space="preserve">025-52862967</w:t>
      </w:r>
      <w:r>
        <w:rPr>
          <w:rFonts w:hint="eastAsia"/>
          <w:color w:val="000000" w:themeColor="text1"/>
          <w:highlight w:val="none"/>
          <w:lang w:val="en-US" w:eastAsia="zh-CN"/>
          <w14:textFill>
            <w14:solidFill>
              <w14:schemeClr w14:val="tx1"/>
            </w14:solidFill>
          </w14:textFill>
        </w:rPr>
        <w:t xml:space="preserve"> </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w:t>
      </w:r>
      <w:r>
        <w:rPr>
          <w:rFonts w:hint="eastAsia"/>
          <w:color w:val="000000" w:themeColor="text1"/>
          <w:szCs w:val="21"/>
          <w:highlight w:val="none"/>
          <w14:textFill>
            <w14:solidFill>
              <w14:schemeClr w14:val="tx1"/>
            </w14:solidFill>
          </w14:textFill>
        </w:rPr>
        <w:t xml:space="preserve">南京市雨花台区宁双路19号云密城C栋3楼305室</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杨小莉</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呼禹、宗超</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val="en-US" w:eastAsia="zh-CN"/>
          <w14:textFill>
            <w14:solidFill>
              <w14:schemeClr w14:val="tx1"/>
            </w14:solidFill>
          </w14:textFill>
        </w:rPr>
        <w:t xml:space="preserve">18021508706</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18761879918、13851876930</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w:t>
      </w:r>
      <w:r>
        <w:rPr>
          <w:rFonts w:hint="eastAsia" w:ascii="宋体" w:hAnsi="宋体" w:cs="宋体"/>
          <w:color w:val="000000" w:themeColor="text1"/>
          <w:szCs w:val="21"/>
          <w:highlight w:val="none"/>
          <w:lang w:val="en-US" w:eastAsia="zh-CN"/>
          <w14:textFill>
            <w14:solidFill>
              <w14:schemeClr w14:val="tx1"/>
            </w14:solidFill>
          </w14:textFill>
        </w:rPr>
        <w:t xml:space="preserve">杨小莉</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呼禹</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lang w:val="en-US" w:eastAsia="zh-CN"/>
          <w14:textFill>
            <w14:solidFill>
              <w14:schemeClr w14:val="tx1"/>
            </w14:solidFill>
          </w14:textFill>
        </w:rPr>
        <w:t xml:space="preserve">18021508706</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1"/>
      <w:r/>
      <w:r/>
    </w:p>
    <w:p>
      <w:pPr>
        <w:pStyle w:val="816"/>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9"/>
        <w:rPr>
          <w:rFonts w:ascii="宋体" w:hAnsi="宋体" w:cs="宋体"/>
          <w:color w:val="000000" w:themeColor="text1"/>
          <w:highlight w:val="none"/>
          <w14:textFill>
            <w14:solidFill>
              <w14:schemeClr w14:val="tx1"/>
            </w14:solidFill>
          </w14:textFill>
        </w:rPr>
      </w:pPr>
      <w:r/>
      <w:bookmarkStart w:id="32" w:name="_Toc107246212"/>
      <w:r>
        <w:rPr>
          <w:rFonts w:hint="eastAsia" w:ascii="宋体" w:hAnsi="宋体" w:cs="宋体"/>
          <w:color w:val="000000" w:themeColor="text1"/>
          <w:highlight w:val="none"/>
          <w14:textFill>
            <w14:solidFill>
              <w14:schemeClr w14:val="tx1"/>
            </w14:solidFill>
          </w14:textFill>
        </w:rPr>
        <w:t xml:space="preserve">第二章  供应商须知</w:t>
      </w:r>
      <w:bookmarkEnd w:id="6"/>
      <w:r/>
      <w:bookmarkEnd w:id="32"/>
      <w:r/>
      <w:r/>
    </w:p>
    <w:p>
      <w:pPr>
        <w:ind w:firstLine="569"/>
        <w:jc w:val="center"/>
        <w:spacing w:line="360" w:lineRule="auto"/>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供应商须知前附表</w:t>
      </w:r>
      <w:r/>
    </w:p>
    <w:p>
      <w:pPr>
        <w:ind w:firstLine="372"/>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本表是对《供应商须知》正文的具体补充和修改，如有矛盾，以本《前附表》为准。</w:t>
      </w:r>
      <w:r/>
    </w:p>
    <w:p>
      <w:pPr>
        <w:ind w:firstLine="372"/>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809"/>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tcPr>
          <w:p>
            <w:pPr>
              <w:pStyle w:val="1071"/>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tcPr>
          <w:p>
            <w:pPr>
              <w:pStyle w:val="1071"/>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tcPr>
          <w:p>
            <w:pPr>
              <w:pStyle w:val="1071"/>
              <w:ind w:firstLine="373"/>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tcPr>
          <w:p>
            <w:pPr>
              <w:pStyle w:val="1071"/>
              <w:ind w:firstLine="373"/>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tcPr>
          <w:p>
            <w:pPr>
              <w:pStyle w:val="1068"/>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采购人</w:t>
            </w:r>
            <w:r/>
          </w:p>
        </w:tc>
        <w:tc>
          <w:tcPr>
            <w:tcW w:w="4982" w:type="dxa"/>
            <w:vAlign w:val="center"/>
            <w:textDirection w:val="lrTb"/>
            <w:noWrap/>
          </w:tcPr>
          <w:p>
            <w:pPr>
              <w:pStyle w:val="1068"/>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名  称：南京市儿童医院</w:t>
            </w:r>
            <w:r/>
          </w:p>
          <w:p>
            <w:pPr>
              <w:pStyle w:val="1068"/>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地 址：</w:t>
            </w:r>
            <w:r>
              <w:rPr>
                <w:rFonts w:hint="eastAsia" w:ascii="宋体" w:hAnsi="宋体" w:cs="宋体"/>
                <w:color w:val="000000" w:themeColor="text1"/>
                <w:szCs w:val="21"/>
                <w:highlight w:val="none"/>
                <w14:textFill>
                  <w14:solidFill>
                    <w14:schemeClr w14:val="tx1"/>
                  </w14:solidFill>
                </w14:textFill>
              </w:rPr>
              <w:t xml:space="preserve">南京市建邺区江东南路8号</w:t>
            </w:r>
            <w:r/>
          </w:p>
          <w:p>
            <w:pPr>
              <w:pStyle w:val="1068"/>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联系人：</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黄老师 </w:t>
            </w:r>
            <w:r/>
          </w:p>
          <w:p>
            <w:pPr>
              <w:pStyle w:val="1068"/>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联系方式：025-52862967</w:t>
            </w:r>
            <w:r/>
          </w:p>
        </w:tc>
      </w:tr>
      <w:tr>
        <w:trPr>
          <w:jc w:val="center"/>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tcPr>
          <w:p>
            <w:pPr>
              <w:pStyle w:val="1068"/>
              <w:spacing w:before="160" w:line="360"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1068"/>
              <w:spacing w:before="160" w:line="360"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：南京市雨花台区宁双路19号云密城C栋3楼305室</w:t>
            </w:r>
            <w:r/>
          </w:p>
          <w:p>
            <w:pPr>
              <w:pStyle w:val="1068"/>
              <w:spacing w:before="160" w:line="360"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杨小莉</w:t>
            </w:r>
            <w:r>
              <w:rPr>
                <w:rFonts w:hint="eastAsia"/>
                <w:color w:val="000000" w:themeColor="text1"/>
                <w:sz w:val="21"/>
                <w:szCs w:val="21"/>
                <w:highlight w:val="none"/>
                <w:lang w:val="en-US" w:bidi="ar-SA"/>
                <w14:textFill>
                  <w14:solidFill>
                    <w14:schemeClr w14:val="tx1"/>
                  </w14:solidFill>
                </w14:textFill>
              </w:rPr>
              <w:t xml:space="preserve">、呼禹、宗超</w:t>
            </w:r>
            <w:r/>
          </w:p>
          <w:p>
            <w:pPr>
              <w:pStyle w:val="1068"/>
              <w:spacing w:before="160" w:line="360"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color w:val="000000" w:themeColor="text1"/>
                <w:sz w:val="21"/>
                <w:szCs w:val="21"/>
                <w:highlight w:val="none"/>
                <w:lang w:val="en-US" w:eastAsia="zh-CN" w:bidi="ar-SA"/>
                <w14:textFill>
                  <w14:solidFill>
                    <w14:schemeClr w14:val="tx1"/>
                  </w14:solidFill>
                </w14:textFill>
              </w:rPr>
              <w:t xml:space="preserve">18021508706</w:t>
            </w:r>
            <w:r>
              <w:rPr>
                <w:rFonts w:hint="eastAsia"/>
                <w:color w:val="000000" w:themeColor="text1"/>
                <w:sz w:val="21"/>
                <w:szCs w:val="21"/>
                <w:highlight w:val="none"/>
                <w:lang w:val="en-US" w:bidi="ar-SA"/>
                <w14:textFill>
                  <w14:solidFill>
                    <w14:schemeClr w14:val="tx1"/>
                  </w14:solidFill>
                </w14:textFill>
              </w:rPr>
              <w:t xml:space="preserve">、18761879918、13851876930</w:t>
            </w:r>
            <w:r/>
          </w:p>
        </w:tc>
      </w:tr>
      <w:tr>
        <w:trPr>
          <w:jc w:val="center"/>
          <w:trHeight w:val="510"/>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tcPr>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tcPr>
          <w:p>
            <w:pPr>
              <w:pStyle w:val="816"/>
              <w:spacing w:line="360" w:lineRule="auto"/>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投标样品递交：■不需要。</w:t>
            </w:r>
            <w:r/>
          </w:p>
        </w:tc>
      </w:tr>
      <w:tr>
        <w:trPr>
          <w:jc w:val="center"/>
          <w:trHeight w:val="734"/>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tcPr>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tcPr>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90"/>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tcPr>
          <w:p>
            <w:pPr>
              <w:pStyle w:val="1071"/>
              <w:jc w:val="left"/>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w:t>
            </w:r>
            <w:r>
              <w:rPr>
                <w:rFonts w:hint="eastAsia" w:hAnsi="宋体" w:cs="宋体"/>
                <w:b/>
                <w:color w:val="000000" w:themeColor="text1"/>
                <w:sz w:val="21"/>
                <w:highlight w:val="none"/>
                <w14:textFill>
                  <w14:solidFill>
                    <w14:schemeClr w14:val="tx1"/>
                  </w14:solidFill>
                </w14:textFill>
              </w:rPr>
              <w:t xml:space="preserve">投标报价</w:t>
            </w:r>
            <w:r/>
          </w:p>
        </w:tc>
        <w:tc>
          <w:tcPr>
            <w:tcW w:w="4982" w:type="dxa"/>
            <w:vAlign w:val="center"/>
            <w:textDirection w:val="lrTb"/>
            <w:noWrap/>
          </w:tcPr>
          <w:p>
            <w:pPr>
              <w:pStyle w:val="1082"/>
              <w:contextualSpacing/>
              <w:ind w:firstLine="0"/>
              <w:jc w:val="left"/>
              <w:spacing w:line="360" w:lineRule="auto"/>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投标报价</w:t>
            </w:r>
            <w:r>
              <w:rPr>
                <w:rFonts w:hint="eastAsia"/>
                <w:b/>
                <w:color w:val="000000" w:themeColor="text1"/>
                <w:highlight w:val="none"/>
                <w14:textFill>
                  <w14:solidFill>
                    <w14:schemeClr w14:val="tx1"/>
                  </w14:solidFill>
                </w14:textFill>
              </w:rPr>
              <w:t xml:space="preserve">要求：详见招标文件第四章</w:t>
            </w:r>
            <w:r>
              <w:rPr>
                <w:rFonts w:hint="eastAsia"/>
                <w:b/>
                <w:color w:val="000000" w:themeColor="text1"/>
                <w:highlight w:val="none"/>
                <w:lang w:eastAsia="zh-CN"/>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采购需求</w:t>
            </w:r>
            <w:r>
              <w:rPr>
                <w:rFonts w:hint="eastAsia"/>
                <w:b/>
                <w:color w:val="000000" w:themeColor="text1"/>
                <w:highlight w:val="none"/>
                <w:lang w:eastAsia="zh-CN"/>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“五、价格核算及结算”。</w:t>
            </w:r>
            <w:r/>
          </w:p>
        </w:tc>
      </w:tr>
      <w:tr>
        <w:trPr>
          <w:jc w:val="center"/>
          <w:trHeight w:val="656"/>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tcPr>
          <w:p>
            <w:pPr>
              <w:pStyle w:val="1071"/>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tcPr>
          <w:p>
            <w:pPr>
              <w:pStyle w:val="1071"/>
              <w:spacing w:line="360" w:lineRule="auto"/>
              <w:rPr>
                <w:rFonts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tcPr>
          <w:p>
            <w:pPr>
              <w:pStyle w:val="1071"/>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tcPr>
          <w:p>
            <w:pPr>
              <w:pStyle w:val="1071"/>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5人及以上单数。</w:t>
            </w:r>
            <w:r/>
          </w:p>
        </w:tc>
      </w:tr>
      <w:tr>
        <w:trPr>
          <w:jc w:val="center"/>
          <w:trHeight w:val="656"/>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tcPr>
          <w:p>
            <w:pPr>
              <w:pStyle w:val="1071"/>
              <w:spacing w:line="360" w:lineRule="auto"/>
              <w:rPr>
                <w:rFonts w:hint="eastAsia" w:hAnsi="宋体" w:eastAsia="宋体" w:cs="宋体"/>
                <w:bCs/>
                <w:color w:val="000000" w:themeColor="text1"/>
                <w:sz w:val="21"/>
                <w:highlight w:val="none"/>
                <w:lang w:val="en-US" w:eastAsia="zh-CN"/>
                <w14:textFill>
                  <w14:solidFill>
                    <w14:schemeClr w14:val="tx1"/>
                  </w14:solidFill>
                </w14:textFill>
              </w:rPr>
            </w:pPr>
            <w:r>
              <w:rPr>
                <w:rFonts w:hint="eastAsia" w:hAnsi="宋体" w:cs="宋体"/>
                <w:bCs/>
                <w:color w:val="000000" w:themeColor="text1"/>
                <w:sz w:val="21"/>
                <w:highlight w:val="none"/>
                <w:lang w:val="en-US" w:eastAsia="zh-CN"/>
                <w14:textFill>
                  <w14:solidFill>
                    <w14:schemeClr w14:val="tx1"/>
                  </w14:solidFill>
                </w14:textFill>
              </w:rPr>
              <w:t xml:space="preserve">无</w:t>
            </w:r>
            <w:r/>
          </w:p>
        </w:tc>
      </w:tr>
      <w:tr>
        <w:trPr>
          <w:jc w:val="center"/>
          <w:trHeight w:val="922"/>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tcPr>
          <w:p>
            <w:pPr>
              <w:pStyle w:val="1071"/>
              <w:jc w:val="center"/>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tcPr>
          <w:p>
            <w:pPr>
              <w:pStyle w:val="1071"/>
              <w:jc w:val="left"/>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tcPr>
          <w:p>
            <w:pPr>
              <w:pStyle w:val="1071"/>
              <w:jc w:val="left"/>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《南京公共采购信息网》（https://njgc.jfh.com/）、《江苏政府采购网》（http://www.ccgp-jiangsu.gov.cn/）</w:t>
            </w:r>
            <w:r/>
          </w:p>
        </w:tc>
      </w:tr>
      <w:tr>
        <w:trPr>
          <w:jc w:val="center"/>
          <w:trHeight w:val="387"/>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tcPr>
          <w:p>
            <w:pPr>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■本项目中标供应商须于合同协议签订后的5个工作日内缴纳履约保证金人民币</w:t>
            </w:r>
            <w:r>
              <w:rPr>
                <w:rFonts w:hint="eastAsia" w:ascii="宋体" w:hAnsi="宋体" w:cs="宋体"/>
                <w:color w:val="000000" w:themeColor="text1"/>
                <w:szCs w:val="21"/>
                <w:highlight w:val="none"/>
                <w:lang w:val="en-US" w:eastAsia="zh-CN"/>
                <w14:textFill>
                  <w14:solidFill>
                    <w14:schemeClr w14:val="tx1"/>
                  </w14:solidFill>
                </w14:textFill>
              </w:rPr>
              <w:t xml:space="preserve">贰</w:t>
            </w:r>
            <w:r>
              <w:rPr>
                <w:rFonts w:hint="eastAsia" w:ascii="宋体" w:hAnsi="宋体" w:cs="宋体"/>
                <w:color w:val="000000" w:themeColor="text1"/>
                <w:szCs w:val="21"/>
                <w:highlight w:val="none"/>
                <w14:textFill>
                  <w14:solidFill>
                    <w14:schemeClr w14:val="tx1"/>
                  </w14:solidFill>
                </w14:textFill>
              </w:rPr>
              <w:t xml:space="preserve">拾万元</w:t>
            </w:r>
            <w:r>
              <w:rPr>
                <w:rFonts w:hint="eastAsia" w:hAnsi="宋体" w:cs="宋体"/>
                <w:bCs/>
                <w:color w:val="000000" w:themeColor="text1"/>
                <w:sz w:val="21"/>
                <w:highlight w:val="none"/>
                <w14:textFill>
                  <w14:solidFill>
                    <w14:schemeClr w14:val="tx1"/>
                  </w14:solidFill>
                </w14:textFill>
              </w:rPr>
              <w:t xml:space="preserve">。</w:t>
            </w:r>
            <w:r/>
          </w:p>
        </w:tc>
      </w:tr>
      <w:tr>
        <w:trPr>
          <w:jc w:val="center"/>
          <w:trHeight w:val="656"/>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tcPr>
          <w:p>
            <w:pPr>
              <w:ind w:left="-533" w:firstLine="533"/>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tcPr>
          <w:p>
            <w:pPr>
              <w:pStyle w:val="821"/>
              <w:spacing w:line="360" w:lineRule="auto"/>
              <w:rPr>
                <w:rFonts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时间：递交投标文件截止时间前15日。</w:t>
            </w:r>
            <w:r/>
          </w:p>
          <w:p>
            <w:pPr>
              <w:pStyle w:val="821"/>
              <w:spacing w:line="360" w:lineRule="auto"/>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lang w:val="en-US" w:eastAsia="zh-CN"/>
                <w14:textFill>
                  <w14:solidFill>
                    <w14:schemeClr w14:val="tx1"/>
                  </w14:solidFill>
                </w14:textFill>
              </w:rPr>
              <w:t xml:space="preserve">18761879918</w:t>
            </w:r>
            <w:r>
              <w:rPr>
                <w:rFonts w:hint="eastAsia" w:hAnsi="宋体" w:cs="宋体"/>
                <w:bCs/>
                <w:color w:val="000000" w:themeColor="text1"/>
                <w:highlight w:val="none"/>
                <w:u w:val="single"/>
                <w14:textFill>
                  <w14:solidFill>
                    <w14:schemeClr w14:val="tx1"/>
                  </w14:solidFill>
                </w14:textFill>
              </w:rPr>
              <w:t xml:space="preserve">@163.com</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1980"/>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tcPr>
          <w:p>
            <w:pPr>
              <w:ind w:left="-533" w:firstLine="533"/>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tcPr>
          <w:p>
            <w:pPr>
              <w:pStyle w:val="821"/>
              <w:spacing w:line="360" w:lineRule="auto"/>
              <w:rPr>
                <w:rFonts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eastAsia" w:hAnsi="宋体" w:cs="宋体"/>
                <w:bCs/>
                <w:color w:val="000000" w:themeColor="text1"/>
                <w:highlight w:val="none"/>
                <w:u w:val="single"/>
                <w:lang w:val="en-US" w:eastAsia="zh-CN"/>
                <w14:textFill>
                  <w14:solidFill>
                    <w14:schemeClr w14:val="tx1"/>
                  </w14:solidFill>
                </w14:textFill>
              </w:rPr>
              <w:t xml:space="preserve">18761879918</w:t>
            </w:r>
            <w:r>
              <w:rPr>
                <w:rFonts w:hint="eastAsia" w:hAnsi="宋体" w:cs="宋体"/>
                <w:bCs/>
                <w:color w:val="000000" w:themeColor="text1"/>
                <w:highlight w:val="none"/>
                <w:u w:val="single"/>
                <w14:textFill>
                  <w14:solidFill>
                    <w14:schemeClr w14:val="tx1"/>
                  </w14:solidFill>
                </w14:textFill>
              </w:rPr>
              <w:t xml:space="preserve">@163.com</w:t>
            </w:r>
            <w:r>
              <w:rPr>
                <w:rFonts w:hint="eastAsia" w:hAnsi="宋体" w:cs="宋体"/>
                <w:bCs/>
                <w:color w:val="000000" w:themeColor="text1"/>
                <w:highlight w:val="none"/>
                <w14:textFill>
                  <w14:solidFill>
                    <w14:schemeClr w14:val="tx1"/>
                  </w14:solidFill>
                </w14:textFill>
              </w:rPr>
              <w:t xml:space="preserve">邮箱）通知，采购代理机构将以邮件形式进行答复。</w:t>
            </w:r>
            <w:r/>
          </w:p>
        </w:tc>
      </w:tr>
      <w:tr>
        <w:trPr>
          <w:jc w:val="center"/>
          <w:trHeight w:val="3272"/>
        </w:trPr>
        <w:tc>
          <w:tcPr>
            <w:tcW w:w="675"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tcPr>
          <w:p>
            <w:pPr>
              <w:jc w:val="left"/>
              <w:spacing w:line="360" w:lineRule="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w:t>
            </w:r>
            <w:r>
              <w:rPr>
                <w:rFonts w:hint="eastAsia" w:hAnsi="宋体" w:cs="宋体"/>
                <w:bCs/>
                <w:color w:val="000000" w:themeColor="text1"/>
                <w:highlight w:val="none"/>
                <w:lang w:val="en-US" w:eastAsia="zh-CN"/>
                <w14:textFill>
                  <w14:solidFill>
                    <w14:schemeClr w14:val="tx1"/>
                  </w14:solidFill>
                </w14:textFill>
              </w:rPr>
              <w:t xml:space="preserve">应</w:t>
            </w:r>
            <w:r>
              <w:rPr>
                <w:rFonts w:hint="eastAsia" w:hAnsi="宋体" w:cs="宋体"/>
                <w:bCs/>
                <w:color w:val="000000" w:themeColor="text1"/>
                <w:highlight w:val="none"/>
                <w14:textFill>
                  <w14:solidFill>
                    <w14:schemeClr w14:val="tx1"/>
                  </w14:solidFill>
                </w14:textFill>
              </w:rPr>
              <w:t xml:space="preserve">向采购代理机构缴纳采购代理服务费。本项目按</w:t>
            </w:r>
            <w:r>
              <w:rPr>
                <w:rFonts w:hint="eastAsia" w:hAnsi="宋体" w:cs="宋体"/>
                <w:bCs/>
                <w:color w:val="000000" w:themeColor="text1"/>
                <w:highlight w:val="none"/>
                <w:lang w:val="en-US" w:eastAsia="zh-CN"/>
                <w14:textFill>
                  <w14:solidFill>
                    <w14:schemeClr w14:val="tx1"/>
                  </w14:solidFill>
                </w14:textFill>
              </w:rPr>
              <w:t xml:space="preserve">项目</w:t>
            </w:r>
            <w:r>
              <w:rPr>
                <w:rFonts w:hint="eastAsia" w:hAnsi="宋体" w:cs="宋体"/>
                <w:bCs/>
                <w:color w:val="000000" w:themeColor="text1"/>
                <w:highlight w:val="none"/>
                <w14:textFill>
                  <w14:solidFill>
                    <w14:schemeClr w14:val="tx1"/>
                  </w14:solidFill>
                </w14:textFill>
              </w:rPr>
              <w:t xml:space="preserve">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p>
            <w:pPr>
              <w:jc w:val="left"/>
              <w:spacing w:line="360" w:lineRule="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投标费用</w:t>
            </w:r>
            <w:r/>
          </w:p>
          <w:p>
            <w:pPr>
              <w:jc w:val="left"/>
              <w:spacing w:line="360" w:lineRule="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1.投标人应自行承担所有与参加投标有关的费用，无论投标过程中的做法和结果如何，江苏省招标中心有限公司（以下简称代理机构）在任何情况下均无义务和责任承担这些费用。</w:t>
            </w:r>
            <w:r/>
          </w:p>
          <w:p>
            <w:pPr>
              <w:jc w:val="left"/>
              <w:spacing w:line="360" w:lineRule="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2.本项目预算已包含本次招标服务费，故服务费由中标人支付。</w:t>
            </w:r>
            <w:r/>
          </w:p>
          <w:p>
            <w:pPr>
              <w:jc w:val="left"/>
              <w:spacing w:line="360" w:lineRule="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3.本次招标采购代理机构不收取标书工本费。</w:t>
            </w:r>
            <w:r/>
          </w:p>
          <w:p>
            <w:pPr>
              <w:pStyle w:val="821"/>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4.招标服务费收费标准：中标人向采购代理机构支付招标服务费，服务费标准按</w:t>
            </w:r>
            <w:r>
              <w:rPr>
                <w:rFonts w:hint="eastAsia" w:hAnsi="宋体" w:cs="宋体"/>
                <w:bCs/>
                <w:color w:val="000000" w:themeColor="text1"/>
                <w:highlight w:val="none"/>
                <w14:textFill>
                  <w14:solidFill>
                    <w14:schemeClr w14:val="tx1"/>
                  </w14:solidFill>
                </w14:textFill>
              </w:rPr>
              <w:t xml:space="preserve">下表中货物类型标准的40%</w:t>
            </w:r>
            <w:r>
              <w:rPr>
                <w:rFonts w:hint="eastAsia" w:hAnsi="宋体" w:cs="宋体"/>
                <w:bCs/>
                <w:color w:val="000000" w:themeColor="text1"/>
                <w:highlight w:val="none"/>
                <w:lang w:val="en-US" w:eastAsia="zh-CN"/>
                <w14:textFill>
                  <w14:solidFill>
                    <w14:schemeClr w14:val="tx1"/>
                  </w14:solidFill>
                </w14:textFill>
              </w:rPr>
              <w:t xml:space="preserve">计取</w:t>
            </w:r>
            <w:r>
              <w:rPr>
                <w:rFonts w:hint="eastAsia" w:hAnsi="宋体" w:cs="宋体"/>
                <w:bCs/>
                <w:color w:val="000000" w:themeColor="text1"/>
                <w:highlight w:val="none"/>
                <w14:textFill>
                  <w14:solidFill>
                    <w14:schemeClr w14:val="tx1"/>
                  </w14:solidFill>
                </w14:textFill>
              </w:rPr>
              <w:t xml:space="preserve">。</w:t>
            </w:r>
            <w:r/>
          </w:p>
          <w:tbl>
            <w:tblPr>
              <w:tblStyle w:val="80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80"/>
              <w:gridCol w:w="992"/>
              <w:gridCol w:w="992"/>
              <w:gridCol w:w="992"/>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jc w:val="left"/>
                    <w:spacing w:line="360" w:lineRule="auto"/>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spacing w:line="360" w:lineRule="auto"/>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spacing w:line="360" w:lineRule="auto"/>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spacing w:line="360" w:lineRule="auto"/>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4757"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说明：招标代理服务收费按差额定律累进法计算。</w:t>
                  </w:r>
                  <w:r/>
                </w:p>
              </w:tc>
            </w:tr>
          </w:tbl>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5.代理服务费汇入账户：</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收款人：江苏省招标中心有限公司</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人民币帐号为：7321810182600023404</w:t>
            </w:r>
            <w:r/>
          </w:p>
          <w:p>
            <w:pPr>
              <w:pStyle w:val="821"/>
              <w:spacing w:line="360" w:lineRule="auto"/>
              <w:rPr>
                <w:rFonts w:hAnsi="宋体" w:cs="宋体"/>
                <w:bCs/>
                <w:color w:val="000000" w:themeColor="text1"/>
                <w:highlight w:val="none"/>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开户银行：中信银行南京江苏路支行</w:t>
            </w:r>
            <w:r/>
          </w:p>
        </w:tc>
      </w:tr>
      <w:tr>
        <w:trPr>
          <w:jc w:val="center"/>
          <w:trHeight w:val="600"/>
        </w:trPr>
        <w:tc>
          <w:tcPr>
            <w:tcW w:w="675" w:type="dxa"/>
            <w:vAlign w:val="center"/>
            <w:vMerge w:val="restart"/>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tcPr>
          <w:p>
            <w:pPr>
              <w:pStyle w:val="107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tcPr>
          <w:p>
            <w:pPr>
              <w:pStyle w:val="107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tcPr>
          <w:p>
            <w:pPr>
              <w:pStyle w:val="821"/>
              <w:spacing w:line="360" w:lineRule="auto"/>
              <w:rPr>
                <w:rFonts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采购项目类型：货物</w:t>
            </w:r>
            <w:r/>
          </w:p>
        </w:tc>
      </w:tr>
      <w:tr>
        <w:trPr>
          <w:jc w:val="center"/>
          <w:trHeight w:val="552"/>
        </w:trPr>
        <w:tc>
          <w:tcPr>
            <w:tcW w:w="675" w:type="dxa"/>
            <w:vAlign w:val="center"/>
            <w:vMerge w:val="continue"/>
            <w:textDirection w:val="lrTb"/>
            <w:noWrap/>
          </w:tcPr>
          <w:p>
            <w:pPr>
              <w:pStyle w:val="1071"/>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1071"/>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1071"/>
              <w:ind w:firstLine="372"/>
              <w:jc w:val="left"/>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821"/>
              <w:spacing w:line="360" w:lineRule="auto"/>
              <w:rPr>
                <w:rFonts w:hint="eastAsia" w:hAnsi="宋体" w:eastAsia="宋体" w:cs="宋体"/>
                <w:bCs/>
                <w:color w:val="000000" w:themeColor="text1"/>
                <w:highlight w:val="none"/>
                <w:lang w:val="en-US" w:eastAsia="zh-CN"/>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w:t>
            </w:r>
            <w:r>
              <w:rPr>
                <w:rFonts w:hint="eastAsia" w:hAnsi="宋体" w:cs="宋体"/>
                <w:color w:val="000000" w:themeColor="text1"/>
                <w:highlight w:val="none"/>
                <w:lang w:val="en-US" w:eastAsia="zh-CN"/>
                <w14:textFill>
                  <w14:solidFill>
                    <w14:schemeClr w14:val="tx1"/>
                  </w14:solidFill>
                </w14:textFill>
              </w:rPr>
              <w:t xml:space="preserve">农、林、牧、渔业</w:t>
            </w:r>
            <w:r/>
          </w:p>
        </w:tc>
      </w:tr>
      <w:tr>
        <w:trPr>
          <w:jc w:val="center"/>
          <w:trHeight w:val="656"/>
        </w:trPr>
        <w:tc>
          <w:tcPr>
            <w:tcW w:w="675" w:type="dxa"/>
            <w:vAlign w:val="center"/>
            <w:vMerge w:val="continue"/>
            <w:textDirection w:val="lrTb"/>
            <w:noWrap/>
          </w:tcPr>
          <w:p>
            <w:pPr>
              <w:pStyle w:val="1071"/>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1071"/>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1071"/>
              <w:ind w:firstLine="372"/>
              <w:jc w:val="left"/>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1071"/>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tcPr>
          <w:p>
            <w:pPr>
              <w:pStyle w:val="1071"/>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1071"/>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1071"/>
              <w:ind w:firstLine="372"/>
              <w:jc w:val="left"/>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1071"/>
              <w:numPr>
                <w:ilvl w:val="0"/>
                <w:numId w:val="0"/>
              </w:numPr>
              <w:spacing w:line="360" w:lineRule="auto"/>
              <w:rPr>
                <w:rFonts w:hint="eastAsia" w:hAnsi="宋体" w:cs="Courier New"/>
                <w:b/>
                <w:bCs/>
                <w:color w:val="000000" w:themeColor="text1"/>
                <w:sz w:val="21"/>
                <w:highlight w:val="none"/>
                <w14:textFill>
                  <w14:solidFill>
                    <w14:schemeClr w14:val="tx1"/>
                  </w14:solidFill>
                </w14:textFill>
              </w:rPr>
            </w:pPr>
            <w:r>
              <w:rPr>
                <w:rFonts w:hint="eastAsia" w:hAnsi="宋体" w:cs="Courier New"/>
                <w:b/>
                <w:bCs/>
                <w:color w:val="000000" w:themeColor="text1"/>
                <w:sz w:val="21"/>
                <w:highlight w:val="none"/>
                <w14:textFill>
                  <w14:solidFill>
                    <w14:schemeClr w14:val="tx1"/>
                  </w14:solidFill>
                </w14:textFill>
              </w:rPr>
              <w:t xml:space="preserve">异常低价处理：</w:t>
            </w:r>
            <w:r/>
          </w:p>
          <w:p>
            <w:pPr>
              <w:pStyle w:val="1071"/>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 （一）采购评审中出现下列情形之一的，评审委员会应当启动异常低价投标（响应）审查程序：</w:t>
            </w:r>
            <w:r/>
          </w:p>
          <w:p>
            <w:pPr>
              <w:pStyle w:val="1071"/>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71"/>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71"/>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3.投标（响应）报价低于采购项目最高限价45%的，即投标（响应）报价&lt;采购项目最高限价×45%（未设定最高限价的采购项目，以采购项目预算金额作为最高限价）；</w:t>
            </w:r>
            <w:r/>
          </w:p>
          <w:p>
            <w:pPr>
              <w:pStyle w:val="1071"/>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1071"/>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（二）评审委员会启动异常低价投标（响应）审查后，属于前述第1项至第4项情形的，将要求相关供应商在评审现场合理的时间内</w:t>
            </w:r>
            <w:r>
              <w:rPr>
                <w:rFonts w:hint="eastAsia" w:hAnsi="宋体" w:cs="Courier New"/>
                <w:color w:val="000000" w:themeColor="text1"/>
                <w:sz w:val="21"/>
                <w:highlight w:val="none"/>
                <w:lang w:eastAsia="zh-CN"/>
                <w14:textFill>
                  <w14:solidFill>
                    <w14:schemeClr w14:val="tx1"/>
                  </w14:solidFill>
                </w14:textFill>
              </w:rPr>
              <w:t xml:space="preserve">（</w:t>
            </w:r>
            <w:r>
              <w:rPr>
                <w:rFonts w:hint="eastAsia" w:hAnsi="宋体" w:cs="Courier New"/>
                <w:color w:val="000000" w:themeColor="text1"/>
                <w:sz w:val="21"/>
                <w:highlight w:val="none"/>
                <w:lang w:val="en-US" w:eastAsia="zh-CN"/>
                <w14:textFill>
                  <w14:solidFill>
                    <w14:schemeClr w14:val="tx1"/>
                  </w14:solidFill>
                </w14:textFill>
              </w:rPr>
              <w:t xml:space="preserve">不少于30分钟</w:t>
            </w:r>
            <w:r>
              <w:rPr>
                <w:rFonts w:hint="eastAsia" w:hAnsi="宋体" w:cs="Courier New"/>
                <w:color w:val="000000" w:themeColor="text1"/>
                <w:sz w:val="21"/>
                <w:highlight w:val="none"/>
                <w:lang w:eastAsia="zh-CN"/>
                <w14:textFill>
                  <w14:solidFill>
                    <w14:schemeClr w14:val="tx1"/>
                  </w14:solidFill>
                </w14:textFill>
              </w:rPr>
              <w:t xml:space="preserve">）</w:t>
            </w:r>
            <w:r>
              <w:rPr>
                <w:rFonts w:hint="eastAsia" w:hAnsi="宋体" w:cs="Courier New"/>
                <w:color w:val="000000" w:themeColor="text1"/>
                <w:sz w:val="21"/>
                <w:highlight w:val="none"/>
                <w14:textFill>
                  <w14:solidFill>
                    <w14:schemeClr w14:val="tx1"/>
                  </w14:solidFill>
                </w14:textFill>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71"/>
              <w:spacing w:line="360" w:lineRule="auto"/>
              <w:rPr>
                <w:rFonts w:hAnsi="宋体" w:cs="宋体"/>
                <w:bCs/>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ascii="仿宋" w:hAnsi="仿宋" w:eastAsia="仿宋" w:cs="仿宋"/>
                <w:color w:val="000000" w:themeColor="text1"/>
                <w:sz w:val="21"/>
                <w:highlight w:val="none"/>
                <w14:textFill>
                  <w14:solidFill>
                    <w14:schemeClr w14:val="tx1"/>
                  </w14:solidFill>
                </w14:textFill>
              </w:rPr>
              <w:t xml:space="preserve">★</w:t>
            </w:r>
            <w:r>
              <w:rPr>
                <w:rFonts w:hint="eastAsia" w:hAnsi="宋体" w:cs="Courier New"/>
                <w:b/>
                <w:bCs/>
                <w:color w:val="000000" w:themeColor="text1"/>
                <w:sz w:val="21"/>
                <w:highlight w:val="none"/>
                <w14:textFill>
                  <w14:solidFill>
                    <w14:schemeClr w14:val="tx1"/>
                  </w14:solidFill>
                </w14:textFill>
              </w:rPr>
              <w:t xml:space="preserve">投标（响应）供应商不能提供书面说明、证明材料，或者提供的书面说明、证明材料不能证明其报价合理性的，评审委员会应当将其作为无效投标（响应）处理。</w:t>
            </w:r>
            <w:r/>
          </w:p>
        </w:tc>
      </w:tr>
    </w:tbl>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21"/>
        <w:ind w:firstLine="1633"/>
        <w:spacing w:line="360" w:lineRule="auto"/>
        <w:rPr>
          <w:rFonts w:hAnsi="宋体" w:cs="宋体"/>
          <w:b/>
          <w:bCs/>
          <w:color w:val="000000" w:themeColor="text1"/>
          <w:spacing w:val="100"/>
          <w:sz w:val="72"/>
          <w:highlight w:val="none"/>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pgNumType w:start="1"/>
          <w:cols w:num="1" w:sep="0" w:space="720" w:equalWidth="1"/>
          <w:docGrid w:linePitch="360"/>
        </w:sectPr>
      </w:pPr>
      <w:r>
        <w:rPr>
          <w:rFonts w:hAnsi="宋体" w:cs="宋体"/>
          <w:b/>
          <w:bCs/>
          <w:color w:val="000000" w:themeColor="text1"/>
          <w:spacing w:val="100"/>
          <w:sz w:val="72"/>
          <w:highlight w:val="none"/>
          <w14:textFill>
            <w14:solidFill>
              <w14:schemeClr w14:val="tx1"/>
            </w14:solidFill>
          </w14:textFill>
        </w:rPr>
      </w:r>
      <w:r/>
    </w:p>
    <w:p>
      <w:pPr>
        <w:pStyle w:val="839"/>
        <w:ind w:firstLine="569"/>
        <w:rPr>
          <w:rFonts w:ascii="宋体" w:hAnsi="宋体" w:cs="宋体"/>
          <w:color w:val="000000" w:themeColor="text1"/>
          <w:highlight w:val="none"/>
          <w14:textFill>
            <w14:solidFill>
              <w14:schemeClr w14:val="tx1"/>
            </w14:solidFill>
          </w14:textFill>
        </w:rPr>
      </w:pPr>
      <w:r/>
      <w:bookmarkStart w:id="33" w:name="_Toc104560837"/>
      <w:r/>
      <w:bookmarkStart w:id="34" w:name="_Toc107246213"/>
      <w:r/>
      <w:bookmarkStart w:id="35" w:name="_Toc103848526"/>
      <w:r/>
      <w:bookmarkStart w:id="36" w:name="_Toc100905199"/>
      <w:r>
        <w:rPr>
          <w:rFonts w:hint="eastAsia" w:ascii="宋体" w:hAnsi="宋体" w:cs="宋体"/>
          <w:color w:val="000000" w:themeColor="text1"/>
          <w:highlight w:val="none"/>
          <w14:textFill>
            <w14:solidFill>
              <w14:schemeClr w14:val="tx1"/>
            </w14:solidFill>
          </w14:textFill>
        </w:rPr>
        <w:t xml:space="preserve">供应商须知</w:t>
      </w:r>
      <w:bookmarkEnd w:id="33"/>
      <w:r/>
      <w:bookmarkEnd w:id="34"/>
      <w:r/>
      <w:bookmarkEnd w:id="35"/>
      <w:r/>
      <w:bookmarkEnd w:id="36"/>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37" w:name="_Toc80264706"/>
      <w:r/>
      <w:bookmarkStart w:id="38" w:name="_Toc107246214"/>
      <w:r>
        <w:rPr>
          <w:rFonts w:hint="eastAsia" w:ascii="宋体" w:hAnsi="宋体" w:cs="宋体"/>
          <w:color w:val="000000" w:themeColor="text1"/>
          <w:highlight w:val="none"/>
          <w14:textFill>
            <w14:solidFill>
              <w14:schemeClr w14:val="tx1"/>
            </w14:solidFill>
          </w14:textFill>
        </w:rPr>
        <w:t xml:space="preserve">一．</w:t>
      </w:r>
      <w:bookmarkEnd w:id="37"/>
      <w:r>
        <w:rPr>
          <w:rFonts w:hint="eastAsia" w:ascii="宋体" w:hAnsi="宋体" w:cs="宋体"/>
          <w:color w:val="000000" w:themeColor="text1"/>
          <w:highlight w:val="none"/>
          <w14:textFill>
            <w14:solidFill>
              <w14:schemeClr w14:val="tx1"/>
            </w14:solidFill>
          </w14:textFill>
        </w:rPr>
        <w:t xml:space="preserve">总则</w:t>
      </w:r>
      <w:bookmarkEnd w:id="38"/>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39" w:name="_Toc100905201"/>
      <w:r/>
      <w:bookmarkStart w:id="40" w:name="_Toc103848528"/>
      <w:r/>
      <w:bookmarkStart w:id="41" w:name="_Toc96347862"/>
      <w:r/>
      <w:bookmarkStart w:id="42" w:name="_Toc107246215"/>
      <w:r/>
      <w:bookmarkStart w:id="43" w:name="_Toc104560839"/>
      <w:r>
        <w:rPr>
          <w:rFonts w:hint="eastAsia" w:ascii="宋体" w:hAnsi="宋体" w:cs="宋体"/>
          <w:color w:val="000000" w:themeColor="text1"/>
          <w:highlight w:val="none"/>
          <w14:textFill>
            <w14:solidFill>
              <w14:schemeClr w14:val="tx1"/>
            </w14:solidFill>
          </w14:textFill>
        </w:rPr>
        <w:t xml:space="preserve">1.采购方式</w:t>
      </w:r>
      <w:bookmarkEnd w:id="39"/>
      <w:r/>
      <w:bookmarkEnd w:id="40"/>
      <w:r/>
      <w:bookmarkEnd w:id="41"/>
      <w:r/>
      <w:bookmarkEnd w:id="42"/>
      <w:r/>
      <w:bookmarkEnd w:id="43"/>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44" w:name="_Toc103848529"/>
      <w:r/>
      <w:bookmarkStart w:id="45" w:name="_Toc104560840"/>
      <w:r/>
      <w:bookmarkStart w:id="46" w:name="_Toc100905202"/>
      <w:r/>
      <w:bookmarkStart w:id="47" w:name="_Toc107246216"/>
      <w:r/>
      <w:bookmarkStart w:id="48" w:name="_Toc96347863"/>
      <w:r>
        <w:rPr>
          <w:rFonts w:hint="eastAsia" w:ascii="宋体" w:hAnsi="宋体" w:cs="宋体"/>
          <w:color w:val="000000" w:themeColor="text1"/>
          <w:highlight w:val="none"/>
          <w14:textFill>
            <w14:solidFill>
              <w14:schemeClr w14:val="tx1"/>
            </w14:solidFill>
          </w14:textFill>
        </w:rPr>
        <w:t xml:space="preserve">2.定义</w:t>
      </w:r>
      <w:bookmarkEnd w:id="44"/>
      <w:r/>
      <w:bookmarkEnd w:id="45"/>
      <w:r/>
      <w:bookmarkEnd w:id="46"/>
      <w:r/>
      <w:bookmarkEnd w:id="47"/>
      <w:r/>
      <w:bookmarkEnd w:id="48"/>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49" w:name="_Toc104560841"/>
      <w:r/>
      <w:bookmarkStart w:id="50" w:name="_Toc100905203"/>
      <w:r/>
      <w:bookmarkStart w:id="51" w:name="_Toc107246217"/>
      <w:r/>
      <w:bookmarkStart w:id="52" w:name="_Toc96347864"/>
      <w:r/>
      <w:bookmarkStart w:id="53" w:name="_Toc103848530"/>
      <w:r>
        <w:rPr>
          <w:rFonts w:hint="eastAsia" w:ascii="宋体" w:hAnsi="宋体" w:cs="宋体"/>
          <w:color w:val="000000" w:themeColor="text1"/>
          <w:highlight w:val="none"/>
          <w14:textFill>
            <w14:solidFill>
              <w14:schemeClr w14:val="tx1"/>
            </w14:solidFill>
          </w14:textFill>
        </w:rPr>
        <w:t xml:space="preserve">3.适用法律</w:t>
      </w:r>
      <w:bookmarkEnd w:id="49"/>
      <w:r/>
      <w:bookmarkEnd w:id="50"/>
      <w:r/>
      <w:bookmarkEnd w:id="51"/>
      <w:r/>
      <w:bookmarkEnd w:id="52"/>
      <w:r/>
      <w:bookmarkEnd w:id="53"/>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54"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55" w:name="_Toc103848531"/>
      <w:r/>
      <w:bookmarkStart w:id="56" w:name="_Toc107246218"/>
      <w:r/>
      <w:bookmarkStart w:id="57" w:name="_Toc104560842"/>
      <w:r>
        <w:rPr>
          <w:rFonts w:hint="eastAsia" w:ascii="宋体" w:hAnsi="宋体" w:cs="宋体"/>
          <w:color w:val="000000" w:themeColor="text1"/>
          <w:highlight w:val="none"/>
          <w14:textFill>
            <w14:solidFill>
              <w14:schemeClr w14:val="tx1"/>
            </w14:solidFill>
          </w14:textFill>
        </w:rPr>
        <w:t xml:space="preserve">4.</w:t>
      </w:r>
      <w:bookmarkEnd w:id="55"/>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6"/>
      <w:r/>
      <w:bookmarkEnd w:id="57"/>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4"/>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58" w:name="_Toc96347865"/>
      <w:r/>
      <w:bookmarkStart w:id="59" w:name="_Toc104560843"/>
      <w:r/>
      <w:bookmarkStart w:id="60" w:name="_Toc107246219"/>
      <w:r/>
      <w:bookmarkStart w:id="61" w:name="_Toc103848532"/>
      <w:r/>
      <w:bookmarkStart w:id="62" w:name="_Toc100905205"/>
      <w:r>
        <w:rPr>
          <w:rFonts w:hint="eastAsia" w:ascii="宋体" w:hAnsi="宋体" w:cs="宋体"/>
          <w:color w:val="000000" w:themeColor="text1"/>
          <w:highlight w:val="none"/>
          <w14:textFill>
            <w14:solidFill>
              <w14:schemeClr w14:val="tx1"/>
            </w14:solidFill>
          </w14:textFill>
        </w:rPr>
        <w:t xml:space="preserve">5.相关费用</w:t>
      </w:r>
      <w:bookmarkEnd w:id="58"/>
      <w:r/>
      <w:bookmarkEnd w:id="59"/>
      <w:r/>
      <w:bookmarkEnd w:id="60"/>
      <w:r/>
      <w:bookmarkEnd w:id="61"/>
      <w:r/>
      <w:bookmarkEnd w:id="62"/>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3" w:name="_Toc80264707"/>
      <w:r>
        <w:rPr>
          <w:rFonts w:hint="eastAsia" w:ascii="宋体" w:hAnsi="宋体" w:cs="宋体"/>
          <w:color w:val="000000" w:themeColor="text1"/>
          <w:szCs w:val="21"/>
          <w:highlight w:val="none"/>
          <w14:textFill>
            <w14:solidFill>
              <w14:schemeClr w14:val="tx1"/>
            </w14:solidFill>
          </w14:textFill>
        </w:rPr>
        <w:t xml:space="preserve">参加投标活动的供应商应自行承担所有与参加投标有关的费用，无论投标过程中的做法和结果如何，采购人在任何情况下均无义务和责任承担这些费用。</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64" w:name="_Toc100905206"/>
      <w:r/>
      <w:bookmarkStart w:id="65" w:name="_Toc104560844"/>
      <w:r/>
      <w:bookmarkStart w:id="66" w:name="_Toc96347866"/>
      <w:r/>
      <w:bookmarkStart w:id="67" w:name="_Toc103848533"/>
      <w:r/>
      <w:bookmarkStart w:id="68" w:name="_Toc107246220"/>
      <w:r>
        <w:rPr>
          <w:rFonts w:hint="eastAsia" w:ascii="宋体" w:hAnsi="宋体" w:cs="宋体"/>
          <w:color w:val="000000" w:themeColor="text1"/>
          <w:highlight w:val="none"/>
          <w14:textFill>
            <w14:solidFill>
              <w14:schemeClr w14:val="tx1"/>
            </w14:solidFill>
          </w14:textFill>
        </w:rPr>
        <w:t xml:space="preserve">6.保密</w:t>
      </w:r>
      <w:bookmarkEnd w:id="64"/>
      <w:r/>
      <w:bookmarkEnd w:id="65"/>
      <w:r/>
      <w:bookmarkEnd w:id="66"/>
      <w:r/>
      <w:bookmarkEnd w:id="67"/>
      <w:r/>
      <w:bookmarkEnd w:id="68"/>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69" w:name="_Toc96347867"/>
      <w:r/>
      <w:bookmarkStart w:id="70" w:name="_Toc10090520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71" w:name="_Toc103848534"/>
      <w:r/>
      <w:bookmarkStart w:id="72" w:name="_Toc107246221"/>
      <w:r/>
      <w:bookmarkStart w:id="73" w:name="_Toc104560845"/>
      <w:r>
        <w:rPr>
          <w:rFonts w:hint="eastAsia" w:ascii="宋体" w:hAnsi="宋体" w:cs="宋体"/>
          <w:color w:val="000000" w:themeColor="text1"/>
          <w:highlight w:val="none"/>
          <w14:textFill>
            <w14:solidFill>
              <w14:schemeClr w14:val="tx1"/>
            </w14:solidFill>
          </w14:textFill>
        </w:rPr>
        <w:t xml:space="preserve">7.语言文字、计量单位</w:t>
      </w:r>
      <w:bookmarkEnd w:id="69"/>
      <w:r/>
      <w:bookmarkEnd w:id="70"/>
      <w:r/>
      <w:bookmarkEnd w:id="71"/>
      <w:r/>
      <w:bookmarkEnd w:id="72"/>
      <w:r/>
      <w:bookmarkEnd w:id="73"/>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74" w:name="_Toc103848535"/>
      <w:r/>
      <w:bookmarkStart w:id="75" w:name="_Toc96347868"/>
      <w:r/>
      <w:bookmarkStart w:id="76" w:name="_Toc100905208"/>
      <w:r/>
      <w:bookmarkStart w:id="77" w:name="_Toc104560846"/>
      <w:r/>
      <w:bookmarkStart w:id="78" w:name="_Toc107246222"/>
      <w:r>
        <w:rPr>
          <w:rFonts w:hint="eastAsia" w:ascii="宋体" w:hAnsi="宋体" w:cs="宋体"/>
          <w:color w:val="000000" w:themeColor="text1"/>
          <w:highlight w:val="none"/>
          <w14:textFill>
            <w14:solidFill>
              <w14:schemeClr w14:val="tx1"/>
            </w14:solidFill>
          </w14:textFill>
        </w:rPr>
        <w:t xml:space="preserve">8.现场考察</w:t>
      </w:r>
      <w:bookmarkEnd w:id="74"/>
      <w:r/>
      <w:bookmarkEnd w:id="75"/>
      <w:r/>
      <w:bookmarkEnd w:id="76"/>
      <w:r/>
      <w:bookmarkEnd w:id="77"/>
      <w:r/>
      <w:bookmarkEnd w:id="78"/>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79" w:name="_Toc107246223"/>
      <w:r/>
      <w:bookmarkStart w:id="80" w:name="_Toc102117275"/>
      <w:r>
        <w:rPr>
          <w:rFonts w:hint="eastAsia" w:ascii="宋体" w:hAnsi="宋体" w:cs="宋体"/>
          <w:color w:val="000000" w:themeColor="text1"/>
          <w:highlight w:val="none"/>
          <w14:textFill>
            <w14:solidFill>
              <w14:schemeClr w14:val="tx1"/>
            </w14:solidFill>
          </w14:textFill>
        </w:rPr>
        <w:t xml:space="preserve">9.开标前答疑会</w:t>
      </w:r>
      <w:bookmarkEnd w:id="79"/>
      <w:r/>
      <w:bookmarkEnd w:id="80"/>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81" w:name="_Toc107246224"/>
      <w:r/>
      <w:bookmarkStart w:id="82" w:name="_Toc104560847"/>
      <w:r/>
      <w:bookmarkStart w:id="83" w:name="_Toc103848536"/>
      <w:r/>
      <w:bookmarkStart w:id="84" w:name="_Toc100905210"/>
      <w:r/>
      <w:bookmarkStart w:id="85"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1"/>
      <w:r/>
      <w:bookmarkEnd w:id="82"/>
      <w:r/>
      <w:bookmarkEnd w:id="83"/>
      <w:r/>
      <w:bookmarkEnd w:id="84"/>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86" w:name="_Toc107246225"/>
      <w:r/>
      <w:bookmarkStart w:id="87" w:name="_Toc103848537"/>
      <w:r/>
      <w:bookmarkStart w:id="88" w:name="_Toc104560848"/>
      <w:r/>
      <w:bookmarkStart w:id="89" w:name="_Toc100905213"/>
      <w:r/>
      <w:bookmarkStart w:id="90" w:name="_Toc100905211"/>
      <w:r>
        <w:rPr>
          <w:rFonts w:hint="eastAsia" w:ascii="宋体" w:hAnsi="宋体" w:cs="宋体"/>
          <w:color w:val="000000" w:themeColor="text1"/>
          <w:highlight w:val="none"/>
          <w14:textFill>
            <w14:solidFill>
              <w14:schemeClr w14:val="tx1"/>
            </w14:solidFill>
          </w14:textFill>
        </w:rPr>
        <w:t xml:space="preserve">11.分包</w:t>
      </w:r>
      <w:bookmarkEnd w:id="86"/>
      <w:r/>
      <w:bookmarkEnd w:id="87"/>
      <w:r/>
      <w:bookmarkEnd w:id="88"/>
      <w:r/>
      <w:bookmarkEnd w:id="89"/>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91" w:name="_Toc107246226"/>
      <w:r/>
      <w:bookmarkStart w:id="92" w:name="_Toc104560849"/>
      <w:r>
        <w:rPr>
          <w:rFonts w:hint="eastAsia" w:ascii="宋体" w:hAnsi="宋体" w:cs="宋体"/>
          <w:color w:val="000000" w:themeColor="text1"/>
          <w:highlight w:val="none"/>
          <w14:textFill>
            <w14:solidFill>
              <w14:schemeClr w14:val="tx1"/>
            </w14:solidFill>
          </w14:textFill>
        </w:rPr>
        <w:t xml:space="preserve">12.样品</w:t>
      </w:r>
      <w:bookmarkEnd w:id="91"/>
      <w:r/>
      <w:bookmarkEnd w:id="92"/>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12.1本项目是否要求供应商提供样品，以及样品制作的标准和要求、是否需要随样品提交相关检测报告、样品的提交要求等详见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5"/>
      <w:r/>
      <w:bookmarkEnd w:id="90"/>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93" w:name="_Toc103848538"/>
      <w:r/>
      <w:bookmarkStart w:id="94" w:name="_Toc104560850"/>
      <w:r/>
      <w:bookmarkStart w:id="95" w:name="_Toc100905214"/>
      <w:r/>
      <w:bookmarkStart w:id="96" w:name="_Toc107246227"/>
      <w:r>
        <w:rPr>
          <w:rFonts w:hint="eastAsia" w:ascii="宋体" w:hAnsi="宋体" w:cs="宋体"/>
          <w:color w:val="000000" w:themeColor="text1"/>
          <w:highlight w:val="none"/>
          <w14:textFill>
            <w14:solidFill>
              <w14:schemeClr w14:val="tx1"/>
            </w14:solidFill>
          </w14:textFill>
        </w:rPr>
        <w:t xml:space="preserve">13.采购进口产品</w:t>
      </w:r>
      <w:bookmarkEnd w:id="93"/>
      <w:r/>
      <w:bookmarkEnd w:id="94"/>
      <w:r/>
      <w:bookmarkEnd w:id="95"/>
      <w:r/>
      <w:bookmarkEnd w:id="96"/>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97" w:name="_Toc107246228"/>
      <w:r/>
      <w:bookmarkStart w:id="98" w:name="_Toc104560851"/>
      <w:r>
        <w:rPr>
          <w:rFonts w:hint="eastAsia" w:ascii="宋体" w:hAnsi="宋体" w:cs="宋体"/>
          <w:color w:val="000000" w:themeColor="text1"/>
          <w:highlight w:val="none"/>
          <w14:textFill>
            <w14:solidFill>
              <w14:schemeClr w14:val="tx1"/>
            </w14:solidFill>
          </w14:textFill>
        </w:rPr>
        <w:t xml:space="preserve">14.采购项目预算及最高限价</w:t>
      </w:r>
      <w:bookmarkEnd w:id="97"/>
      <w:r/>
      <w:bookmarkEnd w:id="98"/>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99" w:name="_Toc104560852"/>
      <w:r/>
      <w:bookmarkStart w:id="100" w:name="_Toc107246229"/>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99"/>
      <w:r/>
      <w:bookmarkEnd w:id="100"/>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101" w:name="_Toc107246230"/>
      <w:r>
        <w:rPr>
          <w:rFonts w:hint="eastAsia" w:ascii="宋体" w:hAnsi="宋体" w:cs="宋体"/>
          <w:color w:val="000000" w:themeColor="text1"/>
          <w:highlight w:val="none"/>
          <w14:textFill>
            <w14:solidFill>
              <w14:schemeClr w14:val="tx1"/>
            </w14:solidFill>
          </w14:textFill>
        </w:rPr>
        <w:t xml:space="preserve">二．招标文件</w:t>
      </w:r>
      <w:bookmarkEnd w:id="63"/>
      <w:r/>
      <w:bookmarkEnd w:id="101"/>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102" w:name="_Toc96347871"/>
      <w:r/>
      <w:bookmarkStart w:id="103" w:name="_Toc100905217"/>
      <w:r/>
      <w:bookmarkStart w:id="104" w:name="_Toc103848540"/>
      <w:r/>
      <w:bookmarkStart w:id="105" w:name="_Toc104560854"/>
      <w:r/>
      <w:bookmarkStart w:id="106" w:name="_Toc107246231"/>
      <w:r>
        <w:rPr>
          <w:rFonts w:hint="eastAsia" w:ascii="宋体" w:hAnsi="宋体" w:cs="宋体"/>
          <w:color w:val="000000" w:themeColor="text1"/>
          <w:highlight w:val="none"/>
          <w14:textFill>
            <w14:solidFill>
              <w14:schemeClr w14:val="tx1"/>
            </w14:solidFill>
          </w14:textFill>
        </w:rPr>
        <w:t xml:space="preserve">16.招标文件的构成</w:t>
      </w:r>
      <w:bookmarkEnd w:id="102"/>
      <w:r/>
      <w:bookmarkEnd w:id="103"/>
      <w:r/>
      <w:bookmarkEnd w:id="104"/>
      <w:r/>
      <w:bookmarkEnd w:id="105"/>
      <w:r/>
      <w:bookmarkEnd w:id="106"/>
      <w:r/>
      <w:r/>
    </w:p>
    <w:p>
      <w:pPr>
        <w:pStyle w:val="1071"/>
        <w:ind w:firstLine="420"/>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16.1招标文件各章节的内容如下：</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第二章：供应商须知</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07"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7"/>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108" w:name="_Toc104560855"/>
      <w:r/>
      <w:bookmarkStart w:id="109" w:name="_Toc103848541"/>
      <w:r/>
      <w:bookmarkStart w:id="110" w:name="_Toc107246232"/>
      <w:r/>
      <w:bookmarkStart w:id="111" w:name="_Toc100905218"/>
      <w:r/>
      <w:bookmarkStart w:id="112" w:name="_Toc96347873"/>
      <w:r>
        <w:rPr>
          <w:rFonts w:hint="eastAsia" w:ascii="宋体" w:hAnsi="宋体" w:cs="宋体"/>
          <w:color w:val="000000" w:themeColor="text1"/>
          <w:highlight w:val="none"/>
          <w14:textFill>
            <w14:solidFill>
              <w14:schemeClr w14:val="tx1"/>
            </w14:solidFill>
          </w14:textFill>
        </w:rPr>
        <w:t xml:space="preserve">17.招标文件的澄清或者修改</w:t>
      </w:r>
      <w:bookmarkEnd w:id="108"/>
      <w:r/>
      <w:bookmarkEnd w:id="109"/>
      <w:r/>
      <w:bookmarkEnd w:id="110"/>
      <w:r/>
      <w:bookmarkEnd w:id="111"/>
      <w:r/>
      <w:bookmarkEnd w:id="112"/>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113"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17.3供应商应在提交投标文件截止时间前，关注原公告媒体有关本项目的更正公告，根据更正公告内容自行决定是否需要重新制作和提交投标文件，并承担由此产生的相应责任。</w:t>
      </w:r>
      <w:bookmarkEnd w:id="113"/>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114" w:name="_Toc107246233"/>
      <w:r/>
      <w:bookmarkStart w:id="115" w:name="_Toc104560856"/>
      <w:r/>
      <w:bookmarkStart w:id="116" w:name="_Toc91836558"/>
      <w:r/>
      <w:bookmarkStart w:id="117" w:name="_Toc80264708"/>
      <w:r>
        <w:rPr>
          <w:rFonts w:hint="eastAsia" w:ascii="宋体" w:hAnsi="宋体" w:cs="宋体"/>
          <w:color w:val="000000" w:themeColor="text1"/>
          <w:highlight w:val="none"/>
          <w14:textFill>
            <w14:solidFill>
              <w14:schemeClr w14:val="tx1"/>
            </w14:solidFill>
          </w14:textFill>
        </w:rPr>
        <w:t xml:space="preserve">三．投标文件</w:t>
      </w:r>
      <w:bookmarkEnd w:id="114"/>
      <w:r/>
      <w:bookmarkEnd w:id="115"/>
      <w:r/>
      <w:bookmarkEnd w:id="116"/>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118" w:name="_Toc107246234"/>
      <w:r/>
      <w:bookmarkStart w:id="119" w:name="_Toc103848543"/>
      <w:r/>
      <w:bookmarkStart w:id="120" w:name="_Toc104560857"/>
      <w:r/>
      <w:bookmarkStart w:id="121" w:name="_Toc96347875"/>
      <w:r/>
      <w:bookmarkStart w:id="122" w:name="_Toc100905221"/>
      <w:r>
        <w:rPr>
          <w:rFonts w:hint="eastAsia" w:ascii="宋体" w:hAnsi="宋体" w:cs="宋体"/>
          <w:color w:val="000000" w:themeColor="text1"/>
          <w:highlight w:val="none"/>
          <w14:textFill>
            <w14:solidFill>
              <w14:schemeClr w14:val="tx1"/>
            </w14:solidFill>
          </w14:textFill>
        </w:rPr>
        <w:t xml:space="preserve">18.投标文件的组成</w:t>
      </w:r>
      <w:bookmarkEnd w:id="118"/>
      <w:r/>
      <w:bookmarkEnd w:id="119"/>
      <w:r/>
      <w:bookmarkEnd w:id="120"/>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（7）供应商具备投标资格的证明文件（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如为南京市政府采购项目，则供应商应按照公告要求提供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（a）供应商为企业（包括合伙企业）的，应提供有效的“营业执照”。</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（b）供应商为事业单位的，应提供有效的“事业单位法人证书”。</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（c）供应商是非企业机构的，应提供有效的“执业许可证”、“登记证书”等证明文件。</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（d）供应商是个体工商户的，应提供有效的“个体工商户营业执照”。</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（e）供应商是自然人的，应提供有效的自然人身份证明。</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（7-7）无不良信用记录承诺函（供应商自行查询适用），格式见附件。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（8）《南京市政府采购供应商信用记录表暨信用承诺书》（如需）</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（9）投标保证金（如需），格式见附件。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（10）联合体协议书（如需），格式见附件。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（11）分包意向协议（如需），格式见附件。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（12）公章授权书（如需），格式见附件。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（13）供应商参加远程异地开标仪式须知（如需），格式见附件。</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（3）供应商售后服务承诺（如需）。</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18.4.1投标文件的其他部分由供应商根据编制投标文件需要提供的其他相关文件组成。</w:t>
      </w:r>
      <w:r/>
    </w:p>
    <w:p>
      <w:pPr>
        <w:pStyle w:val="799"/>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123" w:name="_Toc107246235"/>
      <w:r/>
      <w:bookmarkStart w:id="124" w:name="_Toc104560858"/>
      <w:r>
        <w:rPr>
          <w:rFonts w:hint="eastAsia" w:ascii="宋体" w:hAnsi="宋体" w:cs="宋体"/>
          <w:color w:val="000000" w:themeColor="text1"/>
          <w:highlight w:val="none"/>
          <w14:textFill>
            <w14:solidFill>
              <w14:schemeClr w14:val="tx1"/>
            </w14:solidFill>
          </w14:textFill>
        </w:rPr>
        <w:t xml:space="preserve">19.投标文件编制的原则</w:t>
      </w:r>
      <w:bookmarkEnd w:id="123"/>
      <w:r/>
      <w:bookmarkEnd w:id="124"/>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供应商必须保证投标文件所提供的全部资料真实可靠。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799"/>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125" w:name="_Toc107246236"/>
      <w:r>
        <w:rPr>
          <w:rFonts w:hint="eastAsia" w:ascii="宋体" w:hAnsi="宋体" w:cs="宋体"/>
          <w:color w:val="000000" w:themeColor="text1"/>
          <w:highlight w:val="none"/>
          <w14:textFill>
            <w14:solidFill>
              <w14:schemeClr w14:val="tx1"/>
            </w14:solidFill>
          </w14:textFill>
        </w:rPr>
        <w:t xml:space="preserve">20.投标报价</w:t>
      </w:r>
      <w:bookmarkEnd w:id="125"/>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20.4供应商要按开标一览表、分项报价表的内容填写投标报价及其它事项。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bookmarkEnd w:id="121"/>
      <w:r/>
      <w:bookmarkEnd w:id="122"/>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126" w:name="_Toc103848545"/>
      <w:r/>
      <w:bookmarkStart w:id="127" w:name="_Toc104560859"/>
      <w:r/>
      <w:bookmarkStart w:id="128" w:name="_Toc100905224"/>
      <w:r/>
      <w:bookmarkStart w:id="129" w:name="_Toc107246237"/>
      <w:r/>
      <w:bookmarkStart w:id="130" w:name="_Toc103848544"/>
      <w:r/>
      <w:bookmarkStart w:id="131" w:name="_Toc96347878"/>
      <w:r/>
      <w:bookmarkStart w:id="132" w:name="_Toc100905223"/>
      <w:r>
        <w:rPr>
          <w:rFonts w:hint="eastAsia" w:ascii="宋体" w:hAnsi="宋体" w:cs="宋体"/>
          <w:color w:val="000000" w:themeColor="text1"/>
          <w:highlight w:val="none"/>
          <w14:textFill>
            <w14:solidFill>
              <w14:schemeClr w14:val="tx1"/>
            </w14:solidFill>
          </w14:textFill>
        </w:rPr>
        <w:t xml:space="preserve">21.投标有效期</w:t>
      </w:r>
      <w:bookmarkEnd w:id="126"/>
      <w:r/>
      <w:bookmarkEnd w:id="127"/>
      <w:r/>
      <w:bookmarkEnd w:id="128"/>
      <w:r/>
      <w:bookmarkEnd w:id="129"/>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，在此期间投标文件对供应商具有法律约束力，以保证采购人有足够的时间完成评标、定标以及签订合同。投标有效期从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133" w:name="_Toc104560860"/>
      <w:r/>
      <w:bookmarkStart w:id="134" w:name="_Toc107246238"/>
      <w:r>
        <w:rPr>
          <w:rFonts w:hint="eastAsia" w:ascii="宋体" w:hAnsi="宋体" w:cs="宋体"/>
          <w:color w:val="000000" w:themeColor="text1"/>
          <w:highlight w:val="none"/>
          <w14:textFill>
            <w14:solidFill>
              <w14:schemeClr w14:val="tx1"/>
            </w14:solidFill>
          </w14:textFill>
        </w:rPr>
        <w:t xml:space="preserve">22.投标保证金</w:t>
      </w:r>
      <w:bookmarkEnd w:id="130"/>
      <w:r/>
      <w:bookmarkEnd w:id="131"/>
      <w:r/>
      <w:bookmarkEnd w:id="132"/>
      <w:r/>
      <w:bookmarkEnd w:id="133"/>
      <w:r/>
      <w:bookmarkEnd w:id="134"/>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35" w:name="_Toc420657357"/>
      <w:r/>
      <w:bookmarkStart w:id="136" w:name="_Toc420487862"/>
      <w:r/>
      <w:bookmarkStart w:id="137" w:name="_Toc519241651"/>
      <w:r/>
      <w:bookmarkStart w:id="138" w:name="_Toc96347879"/>
      <w:r/>
      <w:bookmarkStart w:id="139" w:name="_Toc68159552"/>
      <w:r/>
      <w:bookmarkStart w:id="140" w:name="_Toc466452044"/>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规定交纳投标保证金的，供应商应以支票、汇票、本票或金融机构、担保机构出具的保函等非现金形式，在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★供应商未按规定缴纳投标保证金的或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22.4未中标的供应商的投标保证金，将在中标通知书发出后5个工作日内退还，但因供应商自身原因导致无法及时退还的除外。</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22.5中标的供应商的投标保证金，将在政府采购合同签订后5个工作日内退还中标人。</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22.6供应商有以下情形之一的，投标保证金可以不予退还（本款仅适用于要求递交投标保证金的项目）：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bookmarkStart w:id="141" w:name="_Toc96347880"/>
      <w:r/>
      <w:bookmarkStart w:id="142" w:name="_Toc104560861"/>
      <w:r/>
      <w:bookmarkStart w:id="143" w:name="_Toc100905225"/>
      <w:r/>
      <w:bookmarkStart w:id="144" w:name="_Toc103848546"/>
      <w:r>
        <w:rPr>
          <w:rFonts w:hint="eastAsia" w:ascii="宋体" w:hAnsi="宋体" w:cs="宋体"/>
          <w:color w:val="000000" w:themeColor="text1"/>
          <w:szCs w:val="21"/>
          <w:highlight w:val="none"/>
          <w14:textFill>
            <w14:solidFill>
              <w14:schemeClr w14:val="tx1"/>
            </w14:solidFill>
          </w14:textFill>
        </w:rPr>
        <w:t xml:space="preserve">（1）供应商在招标文件规定的投标有效期内撤销其投标文件；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（2）供应商在投标文件中提供虚假材料的；</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（3）供应商在本次采购活动中存在恶意串通行为的；</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145"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1"/>
      <w:r/>
      <w:bookmarkEnd w:id="142"/>
      <w:r/>
      <w:bookmarkEnd w:id="143"/>
      <w:r/>
      <w:bookmarkEnd w:id="144"/>
      <w:r/>
      <w:bookmarkEnd w:id="145"/>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6"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hint="eastAsia" w:ascii="Arial" w:hAnsi="Arial" w:cs="Arial"/>
          <w:color w:val="000000" w:themeColor="text1"/>
          <w:szCs w:val="21"/>
          <w:highlight w:val="none"/>
          <w14:textFill>
            <w14:solidFill>
              <w14:schemeClr w14:val="tx1"/>
            </w14:solidFill>
          </w14:textFill>
        </w:rPr>
        <w:t xml:space="preserve">供应商</w:t>
      </w:r>
      <w:r>
        <w:rPr>
          <w:rFonts w:ascii="Arial" w:hAnsi="Arial" w:cs="Arial"/>
          <w:color w:val="000000" w:themeColor="text1"/>
          <w:szCs w:val="21"/>
          <w:highlight w:val="none"/>
          <w14:textFill>
            <w14:solidFill>
              <w14:schemeClr w14:val="tx1"/>
            </w14:solidFill>
          </w14:textFill>
        </w:rPr>
        <w:t xml:space="preserve">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，如供应商为自然人可不加盖公章，仅由本人签字）。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color w:val="000000" w:themeColor="text1"/>
          <w:szCs w:val="21"/>
          <w:highlight w:val="none"/>
          <w14:textFill>
            <w14:solidFill>
              <w14:schemeClr w14:val="tx1"/>
            </w14:solidFill>
          </w14:textFill>
        </w:rPr>
        <w:t xml:space="preserve">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color w:val="000000" w:themeColor="text1"/>
          <w:szCs w:val="21"/>
          <w:highlight w:val="none"/>
          <w14:textFill>
            <w14:solidFill>
              <w14:schemeClr w14:val="tx1"/>
            </w14:solidFill>
          </w14:textFill>
        </w:rPr>
        <w:t xml:space="preserve">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6"/>
      <w:r/>
      <w:r/>
    </w:p>
    <w:p>
      <w:pPr>
        <w:pStyle w:val="799"/>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7" w:name="_Toc103848548"/>
      <w:r/>
      <w:bookmarkStart w:id="148" w:name="_Toc104560863"/>
      <w:r/>
      <w:bookmarkStart w:id="149" w:name="_Toc107246241"/>
      <w:r/>
      <w:bookmarkStart w:id="150" w:name="_Toc100905226"/>
      <w:r/>
      <w:bookmarkStart w:id="151" w:name="_Toc96347881"/>
      <w:r>
        <w:rPr>
          <w:rFonts w:hint="eastAsia" w:ascii="宋体" w:hAnsi="宋体" w:cs="宋体"/>
          <w:color w:val="000000" w:themeColor="text1"/>
          <w:highlight w:val="none"/>
          <w14:textFill>
            <w14:solidFill>
              <w14:schemeClr w14:val="tx1"/>
            </w14:solidFill>
          </w14:textFill>
        </w:rPr>
        <w:t xml:space="preserve">24.</w:t>
      </w:r>
      <w:bookmarkEnd w:id="147"/>
      <w:r/>
      <w:bookmarkEnd w:id="148"/>
      <w:r/>
      <w:bookmarkEnd w:id="149"/>
      <w:r/>
      <w:bookmarkEnd w:id="150"/>
      <w:r/>
      <w:bookmarkEnd w:id="151"/>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2" w:name="_Toc4536"/>
      <w:r/>
      <w:bookmarkStart w:id="153" w:name="_Toc46939510"/>
      <w:r/>
      <w:bookmarkStart w:id="154" w:name="_Toc100905227"/>
      <w:r/>
      <w:bookmarkStart w:id="155" w:name="_Toc38933357"/>
      <w:r/>
      <w:bookmarkStart w:id="156" w:name="_Toc40202948"/>
      <w:r/>
      <w:bookmarkStart w:id="157" w:name="_Toc469850063"/>
      <w:r/>
      <w:bookmarkStart w:id="158" w:name="_Toc38931800"/>
      <w:r/>
      <w:bookmarkStart w:id="159" w:name="_Toc96347882"/>
      <w:r/>
      <w:bookmarkStart w:id="160" w:name="_Toc51928343"/>
      <w:r/>
      <w:bookmarkStart w:id="161" w:name="_Toc48151397"/>
      <w:r/>
      <w:bookmarkStart w:id="162" w:name="_Toc50528805"/>
      <w:r/>
      <w:bookmarkStart w:id="163" w:name="_Toc11952"/>
      <w:r/>
      <w:bookmarkStart w:id="164" w:name="_Toc46960670"/>
      <w:r/>
      <w:bookmarkStart w:id="165" w:name="_Toc89586904"/>
      <w:r/>
      <w:bookmarkStart w:id="166" w:name="_Toc38931614"/>
      <w:r/>
      <w:bookmarkStart w:id="167" w:name="_Toc46219699"/>
      <w:r/>
      <w:bookmarkStart w:id="168" w:name="_Toc11464"/>
      <w:r/>
      <w:bookmarkStart w:id="169" w:name="_Toc91399404"/>
      <w:r/>
      <w:bookmarkStart w:id="170" w:name="_Toc5042"/>
      <w:r/>
      <w:bookmarkStart w:id="171" w:name="_Toc103848549"/>
      <w:r/>
      <w:bookmarkStart w:id="172" w:name="_Toc19963"/>
      <w:r/>
      <w:bookmarkStart w:id="173" w:name="_Toc97561941"/>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174" w:name="_Toc104560864"/>
      <w:r/>
      <w:bookmarkStart w:id="175" w:name="_Toc107246242"/>
      <w:r>
        <w:rPr>
          <w:rFonts w:hint="eastAsia" w:ascii="宋体" w:hAnsi="宋体" w:cs="宋体"/>
          <w:color w:val="000000" w:themeColor="text1"/>
          <w:highlight w:val="none"/>
          <w14:textFill>
            <w14:solidFill>
              <w14:schemeClr w14:val="tx1"/>
            </w14:solidFill>
          </w14:textFill>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76"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25.1供应商</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应充分考虑网络环境、网络带宽等因素可能对投标产生的影响，如因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自身原因造成的电子投标文件解密不成功的，做无效投标处理。</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177" w:name="_Toc104560865"/>
      <w:r/>
      <w:bookmarkStart w:id="178" w:name="_Toc100905228"/>
      <w:r/>
      <w:bookmarkStart w:id="179" w:name="_Toc107246243"/>
      <w:r/>
      <w:bookmarkStart w:id="180" w:name="_Toc103848550"/>
      <w:r>
        <w:rPr>
          <w:rFonts w:hint="eastAsia" w:ascii="宋体" w:hAnsi="宋体" w:cs="宋体"/>
          <w:color w:val="000000" w:themeColor="text1"/>
          <w:highlight w:val="none"/>
          <w14:textFill>
            <w14:solidFill>
              <w14:schemeClr w14:val="tx1"/>
            </w14:solidFill>
          </w14:textFill>
        </w:rPr>
        <w:t xml:space="preserve">26.投标文件的修改和撤回</w:t>
      </w:r>
      <w:bookmarkEnd w:id="117"/>
      <w:r/>
      <w:bookmarkEnd w:id="176"/>
      <w:r/>
      <w:bookmarkEnd w:id="177"/>
      <w:r/>
      <w:bookmarkEnd w:id="178"/>
      <w:r/>
      <w:bookmarkEnd w:id="179"/>
      <w:r/>
      <w:bookmarkEnd w:id="180"/>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81"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26.1供应商在递交投标文件后，可以修改或撤回其投标文件，但这种修改和撤回，必须在规定的投标截止时间前，以书面形式通知采购方。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26.2供应商对投标文件的补充、修改的内容应当按照采购文件要求签署、盖章、密封后，作为投标文件的组成部分。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在投标截止时间之后，供应商不得对其投标文件作任何修改。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在投标截止时间至采购文件中规定的投标有效期满之间的这段时间内，供应商不得撤回其投标。</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182" w:name="_Toc104560866"/>
      <w:r/>
      <w:bookmarkStart w:id="183" w:name="_Toc103848551"/>
      <w:r/>
      <w:bookmarkStart w:id="184" w:name="_Toc107246244"/>
      <w:r>
        <w:rPr>
          <w:rFonts w:hint="eastAsia" w:ascii="宋体" w:hAnsi="宋体" w:cs="宋体"/>
          <w:color w:val="000000" w:themeColor="text1"/>
          <w:highlight w:val="none"/>
          <w14:textFill>
            <w14:solidFill>
              <w14:schemeClr w14:val="tx1"/>
            </w14:solidFill>
          </w14:textFill>
        </w:rPr>
        <w:t xml:space="preserve">27.诚实信用</w:t>
      </w:r>
      <w:bookmarkEnd w:id="182"/>
      <w:r/>
      <w:bookmarkEnd w:id="183"/>
      <w:r/>
      <w:bookmarkEnd w:id="184"/>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27.1供应商应当遵循公平竞争的原则，不得恶意串通，不得妨碍其他供应商的竞争行为，不得损害采购人或者其他供应商的合法权益。</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27.2在评标过程中发现供应商有上述情形的，评标委员会应当认定其投标无效，并书面报告本级财政部门。</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185"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5"/>
      <w:r/>
      <w:bookmarkStart w:id="186" w:name="_Toc96347885"/>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187" w:name="_Toc100905230"/>
      <w:r/>
      <w:bookmarkStart w:id="188" w:name="_Toc103848553"/>
      <w:r/>
      <w:bookmarkStart w:id="189" w:name="_Toc107246246"/>
      <w:r/>
      <w:bookmarkStart w:id="190" w:name="_Toc104560868"/>
      <w:r>
        <w:rPr>
          <w:rFonts w:hint="eastAsia" w:ascii="宋体" w:hAnsi="宋体" w:cs="宋体"/>
          <w:color w:val="000000" w:themeColor="text1"/>
          <w:highlight w:val="none"/>
          <w14:textFill>
            <w14:solidFill>
              <w14:schemeClr w14:val="tx1"/>
            </w14:solidFill>
          </w14:textFill>
        </w:rPr>
        <w:t xml:space="preserve">28.开标</w:t>
      </w:r>
      <w:bookmarkEnd w:id="186"/>
      <w:r/>
      <w:bookmarkEnd w:id="187"/>
      <w:r/>
      <w:bookmarkEnd w:id="188"/>
      <w:r/>
      <w:bookmarkEnd w:id="189"/>
      <w:r/>
      <w:bookmarkEnd w:id="190"/>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91" w:name="_Toc107246247"/>
      <w:r/>
      <w:bookmarkStart w:id="192"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供应商在开标过程中涉及到的投标文件解密、开标结果确认等工作，应按照《操作手册》规定执行。</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28.3供应商不足3家的，不得开标。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28.6供应商未参加开标的，视同认可开标结果。</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1"/>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93" w:name="_Toc103848554"/>
      <w:r/>
      <w:bookmarkStart w:id="194" w:name="_Toc104560869"/>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供应商不具备招标文件规定的供应商资格条件的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29.3已经进行资格预审的，可以不再对供应商资格进行审查，资格预审合格的供应商在评标阶段资格发生变化的，应当通知采购方。</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195" w:name="_Toc107246248"/>
      <w:r>
        <w:rPr>
          <w:rFonts w:hint="eastAsia" w:ascii="宋体" w:hAnsi="宋体" w:cs="宋体"/>
          <w:color w:val="000000" w:themeColor="text1"/>
          <w:highlight w:val="none"/>
          <w14:textFill>
            <w14:solidFill>
              <w14:schemeClr w14:val="tx1"/>
            </w14:solidFill>
          </w14:textFill>
        </w:rPr>
        <w:t xml:space="preserve">30.评标</w:t>
      </w:r>
      <w:bookmarkEnd w:id="193"/>
      <w:r/>
      <w:bookmarkEnd w:id="194"/>
      <w:r/>
      <w:bookmarkEnd w:id="195"/>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196" w:name="_Toc103848555"/>
      <w:r/>
      <w:bookmarkStart w:id="197" w:name="_Toc107246249"/>
      <w:r/>
      <w:bookmarkStart w:id="198" w:name="_Toc104560870"/>
      <w:r>
        <w:rPr>
          <w:rFonts w:hint="eastAsia" w:ascii="宋体" w:hAnsi="宋体" w:cs="宋体"/>
          <w:color w:val="000000" w:themeColor="text1"/>
          <w:highlight w:val="none"/>
          <w14:textFill>
            <w14:solidFill>
              <w14:schemeClr w14:val="tx1"/>
            </w14:solidFill>
          </w14:textFill>
        </w:rPr>
        <w:t xml:space="preserve">30.1评标委员会</w:t>
      </w:r>
      <w:bookmarkEnd w:id="196"/>
      <w:r/>
      <w:bookmarkEnd w:id="197"/>
      <w:r/>
      <w:bookmarkEnd w:id="198"/>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199" w:name="_Toc104560871"/>
      <w:r/>
      <w:bookmarkStart w:id="200" w:name="_Toc103848556"/>
      <w:r/>
      <w:bookmarkStart w:id="201" w:name="_Toc107246250"/>
      <w:r>
        <w:rPr>
          <w:rFonts w:hint="eastAsia" w:ascii="宋体" w:hAnsi="宋体" w:cs="宋体"/>
          <w:color w:val="000000" w:themeColor="text1"/>
          <w:highlight w:val="none"/>
          <w14:textFill>
            <w14:solidFill>
              <w14:schemeClr w14:val="tx1"/>
            </w14:solidFill>
          </w14:textFill>
        </w:rPr>
        <w:t xml:space="preserve">30.2</w:t>
      </w:r>
      <w:bookmarkEnd w:id="199"/>
      <w:r/>
      <w:bookmarkEnd w:id="200"/>
      <w:r>
        <w:rPr>
          <w:rFonts w:hint="eastAsia" w:ascii="宋体" w:hAnsi="宋体" w:cs="宋体"/>
          <w:color w:val="000000" w:themeColor="text1"/>
          <w:highlight w:val="none"/>
          <w14:textFill>
            <w14:solidFill>
              <w14:schemeClr w14:val="tx1"/>
            </w14:solidFill>
          </w14:textFill>
        </w:rPr>
        <w:t xml:space="preserve">符合性审查</w:t>
      </w:r>
      <w:bookmarkEnd w:id="201"/>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2"/>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202" w:name="_Toc103848557"/>
      <w:r/>
      <w:bookmarkStart w:id="203" w:name="_Toc104560872"/>
      <w:r/>
      <w:bookmarkStart w:id="204" w:name="_Toc107246251"/>
      <w:r>
        <w:rPr>
          <w:rFonts w:hint="eastAsia" w:ascii="宋体" w:hAnsi="宋体" w:cs="宋体"/>
          <w:bCs/>
          <w:color w:val="000000" w:themeColor="text1"/>
          <w:szCs w:val="21"/>
          <w:highlight w:val="none"/>
          <w14:textFill>
            <w14:solidFill>
              <w14:schemeClr w14:val="tx1"/>
            </w14:solidFill>
          </w14:textFill>
        </w:rPr>
        <w:t xml:space="preserve">（1）供应商在“苏采云”系统规定的时间内未成功解密电子投标文件的；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（2）供应商未按照招标文件要求上传电子投标文件的；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（3）同一供应商提交两个（含两个）以上不同的投标报价的；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2"/>
      <w:r/>
      <w:bookmarkEnd w:id="203"/>
      <w:r/>
      <w:bookmarkEnd w:id="204"/>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30.3.1对于投标文件中含义不明确、同类问题表述不一致或者有明显文字和计算错误的内容，评标委员会应当以书面形式要求供应商作出必要的澄清、说明或者补正。</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30.3.3评标委员会不接受供应商主动提出的澄清、说明。</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205" w:name="_Toc107246252"/>
      <w:r>
        <w:rPr>
          <w:rFonts w:hint="eastAsia" w:ascii="宋体" w:hAnsi="宋体" w:cs="宋体"/>
          <w:color w:val="000000" w:themeColor="text1"/>
          <w:highlight w:val="none"/>
          <w14:textFill>
            <w14:solidFill>
              <w14:schemeClr w14:val="tx1"/>
            </w14:solidFill>
          </w14:textFill>
        </w:rPr>
        <w:t xml:space="preserve">30.4</w:t>
      </w:r>
      <w:bookmarkEnd w:id="205"/>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同时出现两种以上不一致的，按照前款规定的顺序修正。修正后的报价按照上述规定经供应商确认后产生约束力，供应商不确认的，其投标无效。</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206" w:name="_Toc104560873"/>
      <w:r/>
      <w:bookmarkStart w:id="207" w:name="_Toc103848558"/>
      <w:r/>
      <w:bookmarkStart w:id="208" w:name="_Toc107246253"/>
      <w:r>
        <w:rPr>
          <w:rFonts w:hint="eastAsia" w:ascii="宋体" w:hAnsi="宋体" w:cs="宋体"/>
          <w:color w:val="000000" w:themeColor="text1"/>
          <w:highlight w:val="none"/>
          <w14:textFill>
            <w14:solidFill>
              <w14:schemeClr w14:val="tx1"/>
            </w14:solidFill>
          </w14:textFill>
        </w:rPr>
        <w:t xml:space="preserve">30.5同品牌多家供应商处理原则</w:t>
      </w:r>
      <w:bookmarkEnd w:id="206"/>
      <w:r/>
      <w:bookmarkEnd w:id="207"/>
      <w:r/>
      <w:bookmarkEnd w:id="20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。多家供应商提供的核心产品品牌相同的，按前两款规定处理。</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209" w:name="_Toc104560874"/>
      <w:r/>
      <w:bookmarkStart w:id="210" w:name="_Toc103848559"/>
      <w:r/>
      <w:bookmarkStart w:id="211" w:name="_Toc107246254"/>
      <w:r>
        <w:rPr>
          <w:rFonts w:hint="eastAsia" w:ascii="宋体" w:hAnsi="宋体" w:cs="宋体"/>
          <w:color w:val="000000" w:themeColor="text1"/>
          <w:highlight w:val="none"/>
          <w14:textFill>
            <w14:solidFill>
              <w14:schemeClr w14:val="tx1"/>
            </w14:solidFill>
          </w14:textFill>
        </w:rPr>
        <w:t xml:space="preserve">30.6比较与评价</w:t>
      </w:r>
      <w:bookmarkEnd w:id="209"/>
      <w:r/>
      <w:bookmarkEnd w:id="210"/>
      <w:r/>
      <w:bookmarkEnd w:id="21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212"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799"/>
        <w:ind w:left="0" w:right="210" w:firstLine="373"/>
        <w:spacing w:line="360" w:lineRule="auto"/>
        <w:tabs>
          <w:tab w:val="left" w:pos="5882" w:leader="none"/>
        </w:tabs>
        <w:rPr>
          <w:rFonts w:ascii="宋体" w:hAnsi="宋体" w:cs="宋体"/>
          <w:color w:val="000000" w:themeColor="text1"/>
          <w:highlight w:val="none"/>
          <w14:textFill>
            <w14:solidFill>
              <w14:schemeClr w14:val="tx1"/>
            </w14:solidFill>
          </w14:textFill>
        </w:rPr>
      </w:pPr>
      <w:r/>
      <w:bookmarkStart w:id="213" w:name="_Toc107246256"/>
      <w:r/>
      <w:bookmarkStart w:id="214" w:name="_Toc104560876"/>
      <w:r/>
      <w:bookmarkStart w:id="215" w:name="_Toc103848561"/>
      <w:r>
        <w:rPr>
          <w:rFonts w:hint="eastAsia" w:ascii="宋体" w:hAnsi="宋体" w:cs="宋体"/>
          <w:color w:val="000000" w:themeColor="text1"/>
          <w:highlight w:val="none"/>
          <w14:textFill>
            <w14:solidFill>
              <w14:schemeClr w14:val="tx1"/>
            </w14:solidFill>
          </w14:textFill>
        </w:rPr>
        <w:t xml:space="preserve">30.8评标过程的保密</w:t>
      </w:r>
      <w:bookmarkEnd w:id="213"/>
      <w:r/>
      <w:bookmarkEnd w:id="214"/>
      <w:r/>
      <w:bookmarkEnd w:id="215"/>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216" w:name="_Toc107246257"/>
      <w:r>
        <w:rPr>
          <w:rFonts w:hint="eastAsia" w:ascii="宋体" w:hAnsi="宋体" w:cs="宋体"/>
          <w:color w:val="000000" w:themeColor="text1"/>
          <w:highlight w:val="none"/>
          <w14:textFill>
            <w14:solidFill>
              <w14:schemeClr w14:val="tx1"/>
            </w14:solidFill>
          </w14:textFill>
        </w:rPr>
        <w:t xml:space="preserve">六．确定中标</w:t>
      </w:r>
      <w:bookmarkEnd w:id="216"/>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217" w:name="_Toc104560878"/>
      <w:r/>
      <w:bookmarkStart w:id="218" w:name="_Toc103848563"/>
      <w:r/>
      <w:bookmarkStart w:id="219" w:name="_Toc107246258"/>
      <w:r>
        <w:rPr>
          <w:rFonts w:hint="eastAsia" w:ascii="宋体" w:hAnsi="宋体" w:cs="宋体"/>
          <w:color w:val="000000" w:themeColor="text1"/>
          <w:highlight w:val="none"/>
          <w14:textFill>
            <w14:solidFill>
              <w14:schemeClr w14:val="tx1"/>
            </w14:solidFill>
          </w14:textFill>
        </w:rPr>
        <w:t xml:space="preserve">31.确定中标</w:t>
      </w:r>
      <w:bookmarkEnd w:id="217"/>
      <w:r/>
      <w:bookmarkEnd w:id="218"/>
      <w:r>
        <w:rPr>
          <w:rFonts w:hint="eastAsia" w:ascii="宋体" w:hAnsi="宋体" w:cs="宋体"/>
          <w:color w:val="000000" w:themeColor="text1"/>
          <w:highlight w:val="none"/>
          <w14:textFill>
            <w14:solidFill>
              <w14:schemeClr w14:val="tx1"/>
            </w14:solidFill>
          </w14:textFill>
        </w:rPr>
        <w:t xml:space="preserve">人</w:t>
      </w:r>
      <w:bookmarkEnd w:id="219"/>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lang w:val="zh-CN"/>
          <w14:textFill>
            <w14:solidFill>
              <w14:schemeClr w14:val="tx1"/>
            </w14:solidFill>
          </w14:textFill>
        </w:rPr>
      </w:pPr>
      <w:r/>
      <w:bookmarkStart w:id="220" w:name="_Toc104560879"/>
      <w:r/>
      <w:bookmarkStart w:id="221" w:name="_Toc107246259"/>
      <w:r/>
      <w:bookmarkStart w:id="222" w:name="_Toc103848564"/>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0"/>
      <w:r/>
      <w:bookmarkEnd w:id="221"/>
      <w:r/>
      <w:bookmarkEnd w:id="22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3" w:name="_Toc103848560"/>
      <w:r/>
      <w:bookmarkStart w:id="224" w:name="_Toc104560875"/>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225" w:name="_Toc107246260"/>
      <w:r>
        <w:rPr>
          <w:rFonts w:hint="eastAsia" w:ascii="宋体" w:hAnsi="宋体" w:cs="宋体"/>
          <w:color w:val="000000" w:themeColor="text1"/>
          <w:highlight w:val="none"/>
          <w14:textFill>
            <w14:solidFill>
              <w14:schemeClr w14:val="tx1"/>
            </w14:solidFill>
          </w14:textFill>
        </w:rPr>
        <w:t xml:space="preserve">33.废标</w:t>
      </w:r>
      <w:bookmarkEnd w:id="223"/>
      <w:r/>
      <w:bookmarkEnd w:id="224"/>
      <w:r/>
      <w:bookmarkEnd w:id="225"/>
      <w:r/>
      <w:r/>
    </w:p>
    <w:p>
      <w:pPr>
        <w:ind w:firstLine="316"/>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bookmarkStart w:id="226" w:name="_Toc104560880"/>
      <w:r/>
      <w:bookmarkStart w:id="227" w:name="_Toc107246261"/>
      <w:r/>
      <w:bookmarkStart w:id="228" w:name="_Toc103848565"/>
      <w:r/>
      <w:bookmarkStart w:id="229" w:name="_Toc20823309"/>
      <w:r/>
      <w:bookmarkStart w:id="230" w:name="_Toc513029237"/>
      <w:r/>
      <w:bookmarkStart w:id="231" w:name="_Toc16938553"/>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pStyle w:val="799"/>
        <w:ind w:left="0" w:right="210" w:firstLine="373"/>
        <w:spacing w:line="360" w:lineRule="auto"/>
        <w:rPr>
          <w:rFonts w:hint="eastAsia" w:ascii="宋体" w:hAnsi="宋体" w:cs="宋体"/>
          <w:b w:val="0"/>
          <w:bCs w:val="0"/>
          <w:color w:val="000000" w:themeColor="text1"/>
          <w:szCs w:val="21"/>
          <w:highlight w:val="none"/>
          <w14:textFill>
            <w14:solidFill>
              <w14:schemeClr w14:val="tx1"/>
            </w14:solidFill>
          </w14:textFill>
        </w:rPr>
      </w:pPr>
      <w:r>
        <w:rPr>
          <w:rFonts w:hint="eastAsia" w:ascii="宋体" w:hAnsi="宋体" w:cs="宋体"/>
          <w:b w:val="0"/>
          <w:bCs w:val="0"/>
          <w:color w:val="000000" w:themeColor="text1"/>
          <w:szCs w:val="21"/>
          <w:highlight w:val="none"/>
          <w14:textFill>
            <w14:solidFill>
              <w14:schemeClr w14:val="tx1"/>
            </w14:solidFill>
          </w14:textFill>
        </w:rPr>
        <w:t xml:space="preserve">33.2废标后，采购人将废标理由通知所有投标人。</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34.签订合同</w:t>
      </w:r>
      <w:bookmarkEnd w:id="226"/>
      <w:r/>
      <w:bookmarkEnd w:id="227"/>
      <w:r/>
      <w:bookmarkEnd w:id="22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799"/>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32" w:name="_Toc103848567"/>
      <w:r/>
      <w:bookmarkStart w:id="233" w:name="_Toc107246262"/>
      <w:r/>
      <w:bookmarkStart w:id="234" w:name="_Toc104560881"/>
      <w:r>
        <w:rPr>
          <w:rFonts w:hint="eastAsia" w:ascii="宋体" w:hAnsi="宋体" w:cs="宋体"/>
          <w:color w:val="000000" w:themeColor="text1"/>
          <w:szCs w:val="21"/>
          <w:highlight w:val="none"/>
          <w14:textFill>
            <w14:solidFill>
              <w14:schemeClr w14:val="tx1"/>
            </w14:solidFill>
          </w14:textFill>
        </w:rPr>
        <w:t xml:space="preserve">35.履约保证金</w:t>
      </w:r>
      <w:bookmarkEnd w:id="232"/>
      <w:r/>
      <w:bookmarkEnd w:id="233"/>
      <w:r/>
      <w:bookmarkEnd w:id="234"/>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w:t>
      </w:r>
      <w:r>
        <w:rPr>
          <w:rFonts w:hint="eastAsia" w:hAnsi="宋体" w:cs="宋体"/>
          <w:bCs/>
          <w:color w:val="000000" w:themeColor="text1"/>
          <w:sz w:val="21"/>
          <w:highlight w:val="none"/>
          <w14:textFill>
            <w14:solidFill>
              <w14:schemeClr w14:val="tx1"/>
            </w14:solidFill>
          </w14:textFill>
        </w:rPr>
        <w:t xml:space="preserve">后的5个工作日内</w:t>
      </w:r>
      <w:r>
        <w:rPr>
          <w:rFonts w:hint="eastAsia" w:ascii="宋体" w:hAnsi="宋体" w:cs="宋体"/>
          <w:color w:val="000000" w:themeColor="text1"/>
          <w:szCs w:val="21"/>
          <w:highlight w:val="none"/>
          <w14:textFill>
            <w14:solidFill>
              <w14:schemeClr w14:val="tx1"/>
            </w14:solidFill>
          </w14:textFill>
        </w:rPr>
        <w:t xml:space="preserve">，向采购人提交履约保证金。联合体成交的，履约保证金以联合体各方或联合体中牵头人的名义提交。</w:t>
      </w:r>
      <w:r>
        <w:rPr>
          <w:rFonts w:hint="eastAsia" w:ascii="宋体" w:hAnsi="宋体" w:cs="宋体"/>
          <w:color w:val="000000" w:themeColor="text1"/>
          <w:szCs w:val="21"/>
          <w:highlight w:val="none"/>
          <w:lang w:val="en-US" w:eastAsia="zh-CN"/>
          <w14:textFill>
            <w14:solidFill>
              <w14:schemeClr w14:val="tx1"/>
            </w14:solidFill>
          </w14:textFill>
        </w:rPr>
        <w:t xml:space="preserve">若因乙方致使</w:t>
      </w:r>
      <w:r>
        <w:rPr>
          <w:rFonts w:hint="eastAsia" w:ascii="宋体" w:hAnsi="宋体" w:cs="宋体"/>
          <w:color w:val="000000" w:themeColor="text1"/>
          <w:szCs w:val="21"/>
          <w:highlight w:val="none"/>
          <w14:textFill>
            <w14:solidFill>
              <w14:schemeClr w14:val="tx1"/>
            </w14:solidFill>
          </w14:textFill>
        </w:rPr>
        <w:t xml:space="preserve">甲方</w:t>
      </w:r>
      <w:r>
        <w:rPr>
          <w:rFonts w:hint="eastAsia" w:ascii="宋体" w:hAnsi="宋体" w:cs="宋体"/>
          <w:color w:val="000000" w:themeColor="text1"/>
          <w:szCs w:val="21"/>
          <w:highlight w:val="none"/>
          <w:lang w:val="en-US" w:eastAsia="zh-CN"/>
          <w14:textFill>
            <w14:solidFill>
              <w14:schemeClr w14:val="tx1"/>
            </w14:solidFill>
          </w14:textFill>
        </w:rPr>
        <w:t xml:space="preserve">存在</w:t>
      </w:r>
      <w:r>
        <w:rPr>
          <w:rFonts w:hint="eastAsia" w:ascii="宋体" w:hAnsi="宋体" w:cs="宋体"/>
          <w:color w:val="000000" w:themeColor="text1"/>
          <w:szCs w:val="21"/>
          <w:highlight w:val="none"/>
          <w14:textFill>
            <w14:solidFill>
              <w14:schemeClr w14:val="tx1"/>
            </w14:solidFill>
          </w14:textFill>
        </w:rPr>
        <w:t xml:space="preserve">损失</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损失</w:t>
      </w:r>
      <w:r>
        <w:rPr>
          <w:rFonts w:hint="eastAsia" w:ascii="宋体" w:hAnsi="宋体" w:cs="宋体"/>
          <w:color w:val="000000" w:themeColor="text1"/>
          <w:szCs w:val="21"/>
          <w:highlight w:val="none"/>
          <w14:textFill>
            <w14:solidFill>
              <w14:schemeClr w14:val="tx1"/>
            </w14:solidFill>
          </w14:textFill>
        </w:rPr>
        <w:t xml:space="preserve">优先从履约保证金中直接抵扣，无需乙方同意；保证金不足以覆盖全部损失的，甲方有权在未结货款中直接扣除，货款不足的乙方 7 日内补足差额，逾期加收每日万五资金占用费。合同到期后，保证金暂不退还，留存 6 个月作为食品安全追溯担保期；追溯期内无质量投诉、监管处罚、未结清赔偿，无息全额退还；追溯期出现问题，甲方直接抵扣损失。</w:t>
      </w:r>
      <w:r/>
    </w:p>
    <w:p>
      <w:pPr>
        <w:ind w:firstLine="42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w:t>
      </w:r>
      <w:r>
        <w:rPr>
          <w:rFonts w:hint="eastAsia" w:ascii="宋体" w:hAnsi="宋体" w:cs="宋体"/>
          <w:color w:val="000000" w:themeColor="text1"/>
          <w:szCs w:val="21"/>
          <w:highlight w:val="none"/>
          <w:lang w:val="en-US" w:eastAsia="zh-CN"/>
          <w14:textFill>
            <w14:solidFill>
              <w14:schemeClr w14:val="tx1"/>
            </w14:solidFill>
          </w14:textFill>
        </w:rPr>
        <w:t xml:space="preserve">合同</w:t>
      </w:r>
      <w:r>
        <w:rPr>
          <w:rFonts w:hint="eastAsia" w:ascii="宋体" w:hAnsi="宋体" w:cs="宋体"/>
          <w:color w:val="000000" w:themeColor="text1"/>
          <w:szCs w:val="21"/>
          <w:highlight w:val="none"/>
          <w14:textFill>
            <w14:solidFill>
              <w14:schemeClr w14:val="tx1"/>
            </w14:solidFill>
          </w14:textFill>
        </w:rPr>
        <w:t xml:space="preserve">协议不生效。</w:t>
      </w:r>
      <w:bookmarkEnd w:id="229"/>
      <w:r/>
      <w:bookmarkEnd w:id="230"/>
      <w:r/>
      <w:bookmarkEnd w:id="231"/>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235" w:name="_Toc107246263"/>
      <w:r>
        <w:rPr>
          <w:rFonts w:hint="eastAsia" w:ascii="宋体" w:hAnsi="宋体" w:cs="宋体"/>
          <w:color w:val="000000" w:themeColor="text1"/>
          <w:highlight w:val="none"/>
          <w14:textFill>
            <w14:solidFill>
              <w14:schemeClr w14:val="tx1"/>
            </w14:solidFill>
          </w14:textFill>
        </w:rPr>
        <w:t xml:space="preserve">七．</w:t>
      </w:r>
      <w:bookmarkStart w:id="236" w:name="_Toc103848569"/>
      <w:r>
        <w:rPr>
          <w:rFonts w:hint="eastAsia" w:ascii="宋体" w:hAnsi="宋体" w:cs="宋体"/>
          <w:color w:val="000000" w:themeColor="text1"/>
          <w:highlight w:val="none"/>
          <w14:textFill>
            <w14:solidFill>
              <w14:schemeClr w14:val="tx1"/>
            </w14:solidFill>
          </w14:textFill>
        </w:rPr>
        <w:t xml:space="preserve">询问与质疑</w:t>
      </w:r>
      <w:bookmarkEnd w:id="235"/>
      <w:r/>
      <w:bookmarkEnd w:id="236"/>
      <w:r/>
      <w:r/>
    </w:p>
    <w:p>
      <w:pPr>
        <w:pStyle w:val="799"/>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37" w:name="_Toc107246264"/>
      <w:r/>
      <w:bookmarkStart w:id="238" w:name="_Toc102117305"/>
      <w:r/>
      <w:bookmarkStart w:id="239" w:name="_Toc104560883"/>
      <w:r>
        <w:rPr>
          <w:rFonts w:hint="eastAsia" w:ascii="宋体" w:hAnsi="宋体" w:cs="宋体"/>
          <w:color w:val="000000" w:themeColor="text1"/>
          <w:szCs w:val="21"/>
          <w:highlight w:val="none"/>
          <w14:textFill>
            <w14:solidFill>
              <w14:schemeClr w14:val="tx1"/>
            </w14:solidFill>
          </w14:textFill>
        </w:rPr>
        <w:t xml:space="preserve">36.询问</w:t>
      </w:r>
      <w:bookmarkEnd w:id="237"/>
      <w:r/>
      <w:bookmarkEnd w:id="238"/>
      <w:r/>
      <w:bookmarkEnd w:id="239"/>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799"/>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40" w:name="_Toc102117306"/>
      <w:r/>
      <w:bookmarkStart w:id="241" w:name="_Toc104560884"/>
      <w:r/>
      <w:bookmarkStart w:id="242" w:name="_Toc107246265"/>
      <w:r>
        <w:rPr>
          <w:rFonts w:hint="eastAsia" w:ascii="宋体" w:hAnsi="宋体" w:cs="宋体"/>
          <w:color w:val="000000" w:themeColor="text1"/>
          <w:szCs w:val="21"/>
          <w:highlight w:val="none"/>
          <w14:textFill>
            <w14:solidFill>
              <w14:schemeClr w14:val="tx1"/>
            </w14:solidFill>
          </w14:textFill>
        </w:rPr>
        <w:t xml:space="preserve">37.质疑</w:t>
      </w:r>
      <w:bookmarkEnd w:id="240"/>
      <w:r/>
      <w:bookmarkEnd w:id="241"/>
      <w:r/>
      <w:bookmarkEnd w:id="24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799"/>
        <w:ind w:left="0" w:right="210" w:firstLine="373"/>
        <w:spacing w:line="360" w:lineRule="auto"/>
        <w:rPr>
          <w:rFonts w:ascii="宋体" w:hAnsi="宋体" w:cs="宋体"/>
          <w:color w:val="000000" w:themeColor="text1"/>
          <w:highlight w:val="none"/>
          <w14:textFill>
            <w14:solidFill>
              <w14:schemeClr w14:val="tx1"/>
            </w14:solidFill>
          </w14:textFill>
        </w:rPr>
      </w:pPr>
      <w:r/>
      <w:bookmarkStart w:id="243" w:name="_Toc107246266"/>
      <w:r>
        <w:rPr>
          <w:rFonts w:hint="eastAsia" w:ascii="宋体" w:hAnsi="宋体" w:cs="宋体"/>
          <w:color w:val="000000" w:themeColor="text1"/>
          <w:highlight w:val="none"/>
          <w14:textFill>
            <w14:solidFill>
              <w14:schemeClr w14:val="tx1"/>
            </w14:solidFill>
          </w14:textFill>
        </w:rPr>
        <w:t xml:space="preserve">八．其他</w:t>
      </w:r>
      <w:bookmarkEnd w:id="243"/>
      <w:r/>
      <w:r/>
    </w:p>
    <w:p>
      <w:pPr>
        <w:pStyle w:val="799"/>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44" w:name="_Toc103848572"/>
      <w:r/>
      <w:bookmarkStart w:id="245" w:name="_Toc107246267"/>
      <w:r/>
      <w:bookmarkStart w:id="246" w:name="_Toc104560886"/>
      <w:r>
        <w:rPr>
          <w:rFonts w:hint="eastAsia" w:ascii="宋体" w:hAnsi="宋体" w:cs="宋体"/>
          <w:color w:val="000000" w:themeColor="text1"/>
          <w:szCs w:val="21"/>
          <w:highlight w:val="none"/>
          <w14:textFill>
            <w14:solidFill>
              <w14:schemeClr w14:val="tx1"/>
            </w14:solidFill>
          </w14:textFill>
        </w:rPr>
        <w:t xml:space="preserve">38.招标代理服务费</w:t>
      </w:r>
      <w:bookmarkEnd w:id="244"/>
      <w:r/>
      <w:bookmarkEnd w:id="245"/>
      <w:r/>
      <w:bookmarkEnd w:id="246"/>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38.1中标人是否交纳投招标代理服务费及相关要求见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99"/>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47" w:name="_Toc107246268"/>
      <w:r/>
      <w:bookmarkStart w:id="248" w:name="_Toc104560887"/>
      <w:r/>
      <w:bookmarkStart w:id="249" w:name="_Toc103848573"/>
      <w:r>
        <w:rPr>
          <w:rFonts w:hint="eastAsia" w:ascii="宋体" w:hAnsi="宋体" w:cs="宋体"/>
          <w:color w:val="000000" w:themeColor="text1"/>
          <w:szCs w:val="21"/>
          <w:highlight w:val="none"/>
          <w14:textFill>
            <w14:solidFill>
              <w14:schemeClr w14:val="tx1"/>
            </w14:solidFill>
          </w14:textFill>
        </w:rPr>
        <w:t xml:space="preserve">39.其他规定</w:t>
      </w:r>
      <w:bookmarkEnd w:id="247"/>
      <w:r/>
      <w:bookmarkEnd w:id="248"/>
      <w:r/>
      <w:bookmarkEnd w:id="249"/>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供应商须知前附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799"/>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50" w:name="_Toc107246269"/>
      <w:r/>
      <w:bookmarkStart w:id="251" w:name="_Toc103848574"/>
      <w:r/>
      <w:bookmarkStart w:id="252" w:name="_Toc104560888"/>
      <w:r>
        <w:rPr>
          <w:rFonts w:hint="eastAsia" w:ascii="宋体" w:hAnsi="宋体" w:cs="宋体"/>
          <w:color w:val="000000" w:themeColor="text1"/>
          <w:szCs w:val="21"/>
          <w:highlight w:val="none"/>
          <w14:textFill>
            <w14:solidFill>
              <w14:schemeClr w14:val="tx1"/>
            </w14:solidFill>
          </w14:textFill>
        </w:rPr>
        <w:t xml:space="preserve">40.文件解释权</w:t>
      </w:r>
      <w:bookmarkEnd w:id="250"/>
      <w:r/>
      <w:bookmarkEnd w:id="251"/>
      <w:r/>
      <w:bookmarkEnd w:id="25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1"/>
      <w:r/>
      <w:r/>
    </w:p>
    <w:p>
      <w:pPr>
        <w:pStyle w:val="839"/>
        <w:numPr>
          <w:ilvl w:val="0"/>
          <w:numId w:val="2"/>
        </w:numPr>
        <w:ind w:firstLine="567"/>
        <w:rPr>
          <w:rFonts w:ascii="宋体" w:hAnsi="宋体" w:cs="宋体"/>
          <w:color w:val="000000" w:themeColor="text1"/>
          <w:highlight w:val="none"/>
          <w14:textFill>
            <w14:solidFill>
              <w14:schemeClr w14:val="tx1"/>
            </w14:solidFill>
          </w14:textFill>
        </w:rPr>
      </w:pPr>
      <w:r/>
      <w:bookmarkStart w:id="253" w:name="_Toc91836563"/>
      <w:r>
        <w:rPr>
          <w:rFonts w:hint="eastAsia" w:ascii="宋体" w:hAnsi="宋体" w:cs="宋体"/>
          <w:color w:val="000000" w:themeColor="text1"/>
          <w:highlight w:val="none"/>
          <w14:textFill>
            <w14:solidFill>
              <w14:schemeClr w14:val="tx1"/>
            </w14:solidFill>
          </w14:textFill>
        </w:rPr>
        <w:br w:type="page" w:clear="all"/>
      </w:r>
      <w:bookmarkStart w:id="254"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3"/>
      <w:r>
        <w:rPr>
          <w:rFonts w:hint="eastAsia" w:ascii="宋体" w:hAnsi="宋体" w:cs="宋体"/>
          <w:color w:val="000000" w:themeColor="text1"/>
          <w:highlight w:val="none"/>
          <w14:textFill>
            <w14:solidFill>
              <w14:schemeClr w14:val="tx1"/>
            </w14:solidFill>
          </w14:textFill>
        </w:rPr>
        <w:t xml:space="preserve">及格式</w:t>
      </w:r>
      <w:bookmarkEnd w:id="254"/>
      <w:r>
        <w:rPr>
          <w:rFonts w:hint="eastAsia"/>
          <w:color w:val="000000" w:themeColor="text1"/>
          <w:highlight w:val="none"/>
          <w14:textFill>
            <w14:solidFill>
              <w14:schemeClr w14:val="tx1"/>
            </w14:solidFill>
          </w14:textFill>
        </w:rPr>
        <w:t xml:space="preserve">（参考）</w:t>
      </w:r>
      <w:r/>
    </w:p>
    <w:p>
      <w:pPr>
        <w:jc w:val="center"/>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合同条款</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（注：本合同仅为框架性条款，中标后需按招标文件及投标文件情况进行细化，招标文件、投标文件及本条款均作为合同的重要组成部分）</w:t>
      </w:r>
      <w:r/>
    </w:p>
    <w:p>
      <w:pPr>
        <w:jc w:val="center"/>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南京市儿童医院膳食中心鲜肉及肉制品采购协议</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甲方：南京市儿童医院</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乙方：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中华人民共和国政府采购法》、《中华人民共和国民法典》及南京市儿童医院鲜肉及肉制品等食材的采购项目（采购编号：）的《采购文件》及乙方的《响应文件》及成交通知书，甲乙双方就甲方经营的医院食堂所需要的鲜肉及肉制品</w:t>
      </w:r>
      <w:r>
        <w:rPr>
          <w:rFonts w:hint="eastAsia" w:ascii="宋体" w:hAnsi="宋体" w:cs="宋体"/>
          <w:color w:val="000000" w:themeColor="text1"/>
          <w:highlight w:val="none"/>
          <w14:textFill>
            <w14:solidFill>
              <w14:schemeClr w14:val="tx1"/>
            </w14:solidFill>
          </w14:textFill>
        </w:rPr>
        <w:t xml:space="preserve">等食材</w:t>
      </w:r>
      <w:r>
        <w:rPr>
          <w:rFonts w:hint="eastAsia" w:ascii="宋体" w:hAnsi="宋体" w:cs="宋体"/>
          <w:color w:val="000000" w:themeColor="text1"/>
          <w:szCs w:val="21"/>
          <w:highlight w:val="none"/>
          <w14:textFill>
            <w14:solidFill>
              <w14:schemeClr w14:val="tx1"/>
            </w14:solidFill>
          </w14:textFill>
        </w:rPr>
        <w:t xml:space="preserve">供应配送签订本协议。</w:t>
      </w:r>
      <w:r/>
    </w:p>
    <w:p>
      <w:pPr>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一、品种、规格、价格</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方每日17：00之前出具采购清单，以邮件形式或传真等形式发给乙方，乙方24小时内送至甲方指定地点，生鲜类供货商次日清晨7：00前送达；每日甲方在规定的时间内集中收货、验收一次（乙方需将甲方当日需要的所有食材、商品一次性打包送达</w:t>
      </w:r>
      <w:r>
        <w:rPr>
          <w:rFonts w:hint="eastAsia" w:ascii="宋体" w:hAnsi="宋体" w:cs="宋体"/>
          <w:color w:val="000000" w:themeColor="text1"/>
          <w:highlight w:val="none"/>
          <w14:textFill>
            <w14:solidFill>
              <w14:schemeClr w14:val="tx1"/>
            </w14:solidFill>
          </w14:textFill>
        </w:rPr>
        <w:t xml:space="preserve">，禁止分包给其他供应商，禁止未经同意的送货</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、合同签定后，按如下方式确定核算价格：</w:t>
      </w:r>
      <w:r/>
    </w:p>
    <w:p>
      <w:pPr>
        <w:ind w:firstLine="420"/>
        <w:jc w:val="left"/>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于首次供货前10日报出供货产品价格。甲方以首次供货前10日市场询价：南京市发改委网站（http://fgw.nanjing.gov.cn）价格信息栏“南京市部分农贸市场主副食品周平均价格水平”有相关价格的，以网站最新报价为基准价（市发改委未公布价格的食材产品，甲方将进行市场询价，以甲方周边3个市场价格的零售价均价作为基准价格）；</w:t>
      </w:r>
      <w:r>
        <w:rPr>
          <w:rFonts w:hint="eastAsia" w:ascii="宋体" w:hAnsi="宋体" w:cs="宋体"/>
          <w:color w:val="000000" w:themeColor="text1"/>
          <w:szCs w:val="21"/>
          <w:highlight w:val="none"/>
          <w:lang w:val="en-US" w:eastAsia="zh-CN"/>
          <w14:textFill>
            <w14:solidFill>
              <w14:schemeClr w14:val="tx1"/>
            </w14:solidFill>
          </w14:textFill>
        </w:rPr>
        <w:t xml:space="preserve">供货价格=基准价格×（1-优惠率），供货价格与供货商所报商品的单价“取低”作为最终的核算价格。</w:t>
      </w:r>
      <w:r/>
    </w:p>
    <w:p>
      <w:pPr>
        <w:numPr>
          <w:ilvl w:val="0"/>
          <w:numId w:val="3"/>
        </w:num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期内每三个月允许调价一次，乙方于调整日前10日报下期产品的价格。价格调整时，需提供书面调价申请，甲方以调整日前10日市场询价：南京市发改委网站（http://fgw.nanjing.gov.cn）价格信息栏“南京市部分农贸市场主副食品周平均价格水平”有相关价格的，以网站最新报价为基准价（市发改委未公布价格的食材产品，甲方将进行市场询价，以甲方周边3个市场价格的零售价均价作为基准价格）；</w:t>
      </w:r>
      <w:r>
        <w:rPr>
          <w:rFonts w:hint="eastAsia" w:ascii="宋体" w:hAnsi="宋体" w:cs="宋体"/>
          <w:color w:val="000000" w:themeColor="text1"/>
          <w:szCs w:val="21"/>
          <w:highlight w:val="none"/>
          <w:lang w:val="en-US" w:eastAsia="zh-CN"/>
          <w14:textFill>
            <w14:solidFill>
              <w14:schemeClr w14:val="tx1"/>
            </w14:solidFill>
          </w14:textFill>
        </w:rPr>
        <w:t xml:space="preserve">供货价格=基准价格×（1-优惠率），供货价格与供货商所报商品的单价“取低”作为最终的核算价格</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乙方每 3 个月调价申请，甲方有权根据市场行情直接驳回、下调基准价，无需乙方同意；乙方对价格有异议，不得停止供货，必须按原价格继续履约，争议协商同步进行。若上游屠宰市场单月涨幅超 15%，乙方申请临时调价必须提供完整上游进货合同、付款凭证、屠宰场票据，甲方核验后方可调整；无完整溯源凭证，甲方不予调价。供货价格=基准价格×（1-优惠率）</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永久优先保障甲方采购成本最低；乙方不得通过更换低品质肉类变相涨价，更换品种必须甲方书面同意。甲方可随时独立走访农贸市场、屠宰企业采集均价，若乙方供货价高于市场公允价，甲方有权单方面下调结算价格，并扣除当月对应差价。</w:t>
      </w:r>
      <w:r/>
    </w:p>
    <w:p>
      <w:pPr>
        <w:ind w:firstLine="42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）结算时按核算价格按实结算。</w:t>
      </w:r>
      <w:r/>
    </w:p>
    <w:p>
      <w:pPr>
        <w:ind w:firstLine="420"/>
        <w:jc w:val="left"/>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3、本协议所列采购产品单价包括了包装、运输（送达卸货到甲方指定地点）、上下力、保险、利润、税金、政策性规费等所有费用。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采购产品清单如下表：</w:t>
      </w:r>
      <w:r/>
    </w:p>
    <w:tbl>
      <w:tblPr>
        <w:tblStyle w:val="809"/>
        <w:tblW w:w="878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8"/>
        <w:gridCol w:w="2054"/>
        <w:gridCol w:w="3153"/>
        <w:gridCol w:w="2262"/>
      </w:tblGrid>
      <w:tr>
        <w:trPr>
          <w:trHeight w:val="454"/>
        </w:trPr>
        <w:tc>
          <w:tcPr>
            <w:shd w:val="clear" w:color="auto" w:fill="auto"/>
            <w:tcBorders>
              <w:bottom w:val="single" w:color="auto" w:sz="4" w:space="0"/>
            </w:tcBorders>
            <w:tcW w:w="1318"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序号（子目）</w:t>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jc w:val="cente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品种</w:t>
            </w:r>
            <w:r/>
          </w:p>
        </w:tc>
        <w:tc>
          <w:tcPr>
            <w:shd w:val="clear" w:color="auto" w:fill="auto"/>
            <w:tcBorders>
              <w:top w:val="single" w:color="auto" w:sz="4" w:space="0"/>
              <w:left w:val="none" w:color="000000" w:sz="4" w:space="0"/>
              <w:bottom w:val="single" w:color="auto" w:sz="4" w:space="0"/>
              <w:right w:val="single" w:color="auto" w:sz="4" w:space="0"/>
            </w:tcBorders>
            <w:tcW w:w="3153" w:type="dxa"/>
            <w:vAlign w:val="center"/>
            <w:textDirection w:val="lrTb"/>
            <w:noWrap/>
          </w:tcPr>
          <w:p>
            <w:pPr>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供货</w:t>
            </w:r>
            <w:r>
              <w:rPr>
                <w:rFonts w:hint="eastAsia" w:ascii="宋体" w:hAnsi="宋体" w:cs="宋体"/>
                <w:color w:val="000000" w:themeColor="text1"/>
                <w:szCs w:val="21"/>
                <w:highlight w:val="none"/>
                <w14:textFill>
                  <w14:solidFill>
                    <w14:schemeClr w14:val="tx1"/>
                  </w14:solidFill>
                </w14:textFill>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2262"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规格</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去皮前腿肉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鲜牛腩</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排骨(小排)</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肉丝</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牛腱</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带皮五花肉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牛腩块</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下五花肉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带皮前腿肉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牛里脊肉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猪爪</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大排</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猪龙骨</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精瘦肉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肉片</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牛肉粒（半成品）</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香肠</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去皮五花肉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小酥肉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半熟牛肚</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散装</w:t>
            </w:r>
            <w:r>
              <w:rPr>
                <w:rFonts w:hint="eastAsia"/>
                <w:color w:val="000000" w:themeColor="text1"/>
                <w:sz w:val="22"/>
                <w:szCs w:val="22"/>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仔排</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肥肠</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散装</w:t>
            </w:r>
            <w:r>
              <w:rPr>
                <w:rFonts w:hint="eastAsia"/>
                <w:color w:val="000000" w:themeColor="text1"/>
                <w:sz w:val="22"/>
                <w:szCs w:val="22"/>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脆骨肠</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牛腿肉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去皮后腿肉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猪里脊肉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腊肉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原味鸡丁</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带肉扇子骨</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羊肉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鸽子(乳鸽)</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散装</w:t>
            </w:r>
            <w:r>
              <w:rPr>
                <w:rFonts w:hint="eastAsia"/>
                <w:color w:val="000000" w:themeColor="text1"/>
                <w:sz w:val="22"/>
                <w:szCs w:val="22"/>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只</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鸭肫</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带皮带骨方肉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小公鸡</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半熟猪肚</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散装</w:t>
            </w:r>
            <w:r>
              <w:rPr>
                <w:rFonts w:hint="eastAsia"/>
                <w:color w:val="000000" w:themeColor="text1"/>
                <w:sz w:val="22"/>
                <w:szCs w:val="22"/>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鸭肠</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带肉筒子骨</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牛筋</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散装</w:t>
            </w:r>
            <w:r>
              <w:rPr>
                <w:rFonts w:hint="eastAsia"/>
                <w:color w:val="000000" w:themeColor="text1"/>
                <w:sz w:val="22"/>
                <w:szCs w:val="22"/>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去骨猪头肉</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散装</w:t>
            </w:r>
            <w:r>
              <w:rPr>
                <w:rFonts w:hint="eastAsia"/>
                <w:color w:val="000000" w:themeColor="text1"/>
                <w:sz w:val="22"/>
                <w:szCs w:val="22"/>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肉丁</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猪腰</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红毛鸡</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带皮羊腿肉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羊蝎子</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猪肝</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口条</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精瘦肉片</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叉烧肉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精瘦肉丝</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童子鸡</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牛里脊（黄牛肉）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猪板油</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龙脆骨</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鸭肝</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鸡米花</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老鹅</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迷你牙签肉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猪脆骨</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牛柳</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咸鸭腿</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牛大骨</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护心肉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羊排</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猪棒骨</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牛肋骨</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鲜鸡杂</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鸭带</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带皮带骨五花肉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猪心</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center"/>
            <w:textDirection w:val="lrTb"/>
            <w:noWrap/>
          </w:tcPr>
          <w:p>
            <w:pPr>
              <w:jc w:val="center"/>
              <w:spacing w:line="360" w:lineRule="auto"/>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鸭脖</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center"/>
            <w:textDirection w:val="lrTb"/>
            <w:noWrap/>
          </w:tcPr>
          <w:p>
            <w:pPr>
              <w:jc w:val="center"/>
              <w:spacing w:line="360" w:lineRule="auto"/>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培根</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去皮羊前腿</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肉皮</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老母鸡</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牛杂</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4"/>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后腿精肉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0"/>
              </w:numPr>
              <w:ind w:left="0" w:firstLine="0"/>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c>
          <w:tcPr>
            <w:gridSpan w:val="3"/>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实际采购包含但不限于上述食材，以实际供货品种、数量结算</w:t>
            </w:r>
            <w:r/>
          </w:p>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（以上目录供招标参考）</w:t>
            </w:r>
            <w:r/>
          </w:p>
        </w:tc>
      </w:tr>
      <w:tr>
        <w:trPr>
          <w:trHeight w:val="454"/>
        </w:trPr>
        <w:tc>
          <w:tcPr>
            <w:gridSpan w:val="4"/>
            <w:tcBorders>
              <w:top w:val="single" w:color="auto" w:sz="4" w:space="0"/>
              <w:bottom w:val="single" w:color="auto" w:sz="4" w:space="0"/>
              <w:right w:val="single" w:color="auto" w:sz="4" w:space="0"/>
            </w:tcBorders>
            <w:tcW w:w="8787" w:type="dxa"/>
            <w:vAlign w:val="center"/>
            <w:textDirection w:val="lrTb"/>
            <w:noWrap/>
          </w:tcPr>
          <w:p>
            <w:pPr>
              <w:pStyle w:val="821"/>
              <w:jc w:val="left"/>
              <w:spacing w:line="360" w:lineRule="auto"/>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说明：</w:t>
            </w:r>
            <w:r/>
          </w:p>
          <w:p>
            <w:pPr>
              <w:pStyle w:val="821"/>
              <w:jc w:val="left"/>
              <w:spacing w:line="360" w:lineRule="auto"/>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 xml:space="preserve">★1、肉禽类商品质量验收要求</w:t>
            </w:r>
            <w:r/>
          </w:p>
          <w:p>
            <w:pPr>
              <w:pStyle w:val="821"/>
              <w:jc w:val="left"/>
              <w:spacing w:line="360" w:lineRule="auto"/>
              <w:rPr>
                <w:rFonts w:hAnsi="宋体" w:cs="宋体"/>
                <w:b/>
                <w:bCs/>
                <w:color w:val="000000" w:themeColor="text1"/>
                <w:highlight w:val="none"/>
                <w14:textFill>
                  <w14:solidFill>
                    <w14:schemeClr w14:val="tx1"/>
                  </w14:solidFill>
                </w14:textFill>
              </w:rPr>
            </w:pPr>
            <w:r>
              <w:rPr>
                <w:rFonts w:ascii="Calibri" w:hAnsi="Calibri" w:cs="Calibri"/>
                <w:b/>
                <w:bCs/>
                <w:color w:val="000000" w:themeColor="text1"/>
                <w:highlight w:val="none"/>
                <w14:textFill>
                  <w14:solidFill>
                    <w14:schemeClr w14:val="tx1"/>
                  </w14:solidFill>
                </w14:textFill>
              </w:rPr>
              <w:t xml:space="preserve">①</w:t>
            </w:r>
            <w:r>
              <w:rPr>
                <w:rFonts w:hint="eastAsia" w:hAnsi="宋体" w:cs="宋体"/>
                <w:b/>
                <w:bCs/>
                <w:color w:val="000000" w:themeColor="text1"/>
                <w:highlight w:val="none"/>
                <w14:textFill>
                  <w14:solidFill>
                    <w14:schemeClr w14:val="tx1"/>
                  </w14:solidFill>
                </w14:textFill>
              </w:rPr>
              <w:t xml:space="preserve">新鲜的预冷肉（猪、牛、羊等）：感官正常，表皮无病状，肌肉无积血，体腔内无内脏；肉品表面应带有一层微干的外膜、有光泽，表面应微干或湿润、但不粘手，按压后凹陷立即恢复，无异味；应放血完全，肉质色泽光润，有弹性；应卫生、干净，不得沾染毛、污血或其他污染物。</w:t>
            </w:r>
            <w:r/>
          </w:p>
          <w:p>
            <w:pPr>
              <w:pStyle w:val="821"/>
              <w:jc w:val="left"/>
              <w:spacing w:line="360" w:lineRule="auto"/>
              <w:rPr>
                <w:rFonts w:hAnsi="宋体" w:cs="宋体"/>
                <w:b/>
                <w:bCs/>
                <w:color w:val="000000" w:themeColor="text1"/>
                <w:highlight w:val="none"/>
                <w14:textFill>
                  <w14:solidFill>
                    <w14:schemeClr w14:val="tx1"/>
                  </w14:solidFill>
                </w14:textFill>
              </w:rPr>
            </w:pPr>
            <w:r>
              <w:rPr>
                <w:rFonts w:ascii="Calibri" w:hAnsi="Calibri" w:cs="Calibri"/>
                <w:b/>
                <w:bCs/>
                <w:color w:val="000000" w:themeColor="text1"/>
                <w:highlight w:val="none"/>
                <w14:textFill>
                  <w14:solidFill>
                    <w14:schemeClr w14:val="tx1"/>
                  </w14:solidFill>
                </w14:textFill>
              </w:rPr>
              <w:t xml:space="preserve">②</w:t>
            </w:r>
            <w:r>
              <w:rPr>
                <w:rFonts w:hint="eastAsia" w:hAnsi="宋体" w:cs="宋体"/>
                <w:b/>
                <w:bCs/>
                <w:color w:val="000000" w:themeColor="text1"/>
                <w:highlight w:val="none"/>
                <w14:textFill>
                  <w14:solidFill>
                    <w14:schemeClr w14:val="tx1"/>
                  </w14:solidFill>
                </w14:textFill>
              </w:rPr>
              <w:t xml:space="preserve">内脏、头蹄等：应新鲜、卫生、干净，不得有残留毛发、积血、粪便等；外形正常、完整，无不良气味，无淤血、黑斑等异常感官；色泽鲜亮，组织结实有弹性。</w:t>
            </w:r>
            <w:r/>
          </w:p>
          <w:p>
            <w:pPr>
              <w:pStyle w:val="821"/>
              <w:jc w:val="left"/>
              <w:spacing w:line="360" w:lineRule="auto"/>
              <w:rPr>
                <w:rFonts w:hAnsi="宋体" w:cs="宋体"/>
                <w:b/>
                <w:bCs/>
                <w:color w:val="000000" w:themeColor="text1"/>
                <w:highlight w:val="none"/>
                <w14:textFill>
                  <w14:solidFill>
                    <w14:schemeClr w14:val="tx1"/>
                  </w14:solidFill>
                </w14:textFill>
              </w:rPr>
            </w:pPr>
            <w:r>
              <w:rPr>
                <w:rFonts w:ascii="Calibri" w:hAnsi="Calibri" w:cs="Calibri"/>
                <w:b/>
                <w:bCs/>
                <w:color w:val="000000" w:themeColor="text1"/>
                <w:highlight w:val="none"/>
                <w14:textFill>
                  <w14:solidFill>
                    <w14:schemeClr w14:val="tx1"/>
                  </w14:solidFill>
                </w14:textFill>
              </w:rPr>
              <w:t xml:space="preserve">③</w:t>
            </w:r>
            <w:r>
              <w:rPr>
                <w:rFonts w:hint="eastAsia" w:hAnsi="宋体" w:cs="宋体"/>
                <w:b/>
                <w:bCs/>
                <w:color w:val="000000" w:themeColor="text1"/>
                <w:highlight w:val="none"/>
                <w14:textFill>
                  <w14:solidFill>
                    <w14:schemeClr w14:val="tx1"/>
                  </w14:solidFill>
                </w14:textFill>
              </w:rPr>
              <w:t xml:space="preserve">禽类（鸡、鸭、鹅等）：所有禽体必须开膛，应是新鲜的预冷肉，感官正常，表皮无病状，肌肉无积血，体腔内无内脏、无喉管及任何填充物；应剔毛干净，表面有光泽，应卫生、干净，不得沾染毛、污血或其他污染物。</w:t>
            </w:r>
            <w:r/>
          </w:p>
          <w:p>
            <w:pPr>
              <w:pStyle w:val="821"/>
              <w:jc w:val="left"/>
              <w:spacing w:line="360" w:lineRule="auto"/>
              <w:rPr>
                <w:rFonts w:hAnsi="宋体" w:cs="宋体"/>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 xml:space="preserve">④调味肉制品：切面肉馅有光泽，瘦肉呈枣红色或玫瑰色，脂肪呈乳白色或微带红色，色泽分明；肠衣干燥且紧贴肉馅，无粘液及霉点，表面感受呈收缩后的自然皱纹，切面坚实有弹性，红白相间均匀。咸甜适中，具有相应产品应有的气味，无其他任何不良气味。不允许有碎骨、软骨、血块、淋巴结、肌腱、筋膜等杂质和正常视力可见杂质。</w:t>
            </w:r>
            <w:r/>
          </w:p>
        </w:tc>
      </w:tr>
    </w:tbl>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w:t>
      </w:r>
      <w:r>
        <w:rPr>
          <w:rFonts w:hint="eastAsia" w:ascii="宋体" w:hAnsi="宋体" w:cs="宋体"/>
          <w:b/>
          <w:bCs/>
          <w:color w:val="000000" w:themeColor="text1"/>
          <w:szCs w:val="21"/>
          <w:highlight w:val="none"/>
          <w14:textFill>
            <w14:solidFill>
              <w14:schemeClr w14:val="tx1"/>
            </w14:solidFill>
          </w14:textFill>
        </w:rPr>
        <w:t xml:space="preserve">质量标准</w:t>
      </w:r>
      <w:r/>
    </w:p>
    <w:p>
      <w:pPr>
        <w:ind w:firstLine="420"/>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乙方所供应配送的肉类质量必须达到国家规定的最新标准，猪肉均要求为冰鲜猪肉，色泽正常，无异味，无注水，规格按甲方使用规格提供。每批次有检验、检疫证明，药残及瘦肉精检测报关随货同行，不得以次充好。如因乙方原因，未按照要求履行合同的，每发生一次，甲方扣除履约保证金的</w:t>
      </w:r>
      <w:r>
        <w:rPr>
          <w:rFonts w:ascii="宋体" w:hAnsi="宋体" w:cs="宋体"/>
          <w:color w:val="000000" w:themeColor="text1"/>
          <w:highlight w:val="none"/>
          <w14:textFill>
            <w14:solidFill>
              <w14:schemeClr w14:val="tx1"/>
            </w14:solidFill>
          </w14:textFill>
        </w:rPr>
        <w:t xml:space="preserve">10％作为违约金，发生三次甲方有权终止本协议，并扣除全部履约保证金。</w:t>
      </w:r>
      <w:r/>
    </w:p>
    <w:p>
      <w:pPr>
        <w:ind w:firstLine="420"/>
        <w:jc w:val="left"/>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如果乙方交付的货品违反本条关于食品安全的约定，如病死猪肉、进口猪肉等，甲方有权拒收相应货品并有权解除本协议。如果甲方用餐者因乙方交付的货品不符合食品安全约定而遭受任何损失，乙方应当承担全部经济和法律责任，甲方有权在货款中优先予以扣除。</w:t>
      </w:r>
      <w:r/>
    </w:p>
    <w:p>
      <w:pPr>
        <w:ind w:firstLine="420"/>
        <w:jc w:val="left"/>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3、为确保商品质量安全，乙方应向甲方提供以下材料，如不提供，甲方有权解除本协议：</w:t>
      </w:r>
      <w:r/>
    </w:p>
    <w:p>
      <w:pPr>
        <w:ind w:left="240"/>
        <w:jc w:val="left"/>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（1）营业执照等公司资质材料；</w:t>
      </w:r>
      <w:r/>
    </w:p>
    <w:p>
      <w:pPr>
        <w:ind w:left="240"/>
        <w:jc w:val="left"/>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（2）所供产品质量合格证明等质量证明材料；</w:t>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（3）原厂授权资料。</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三、服务内容</w:t>
      </w:r>
      <w:r/>
    </w:p>
    <w:p>
      <w:pPr>
        <w:ind w:firstLine="420"/>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1、甲方根据实际需要每日17:30以前向乙方提交订单，订单内容包括品名、价格、数量、规格、计量单位、送货时间和地点等内容。</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2、肉类品种按照甲方要求现场加工，加工费免收。如未按照甲方要求进行加工，每发生一次，甲方扣除履约保证金的</w:t>
      </w:r>
      <w:r>
        <w:rPr>
          <w:rFonts w:ascii="宋体" w:hAnsi="宋体" w:cs="宋体"/>
          <w:color w:val="000000" w:themeColor="text1"/>
          <w:highlight w:val="none"/>
          <w14:textFill>
            <w14:solidFill>
              <w14:schemeClr w14:val="tx1"/>
            </w14:solidFill>
          </w14:textFill>
        </w:rPr>
        <w:t xml:space="preserve">10％作为违约金，发生三次甲方有权终止本协议，并扣除全部</w:t>
      </w:r>
      <w:r>
        <w:rPr>
          <w:rFonts w:hint="eastAsia" w:ascii="宋体" w:hAnsi="宋体" w:cs="宋体"/>
          <w:color w:val="000000" w:themeColor="text1"/>
          <w:highlight w:val="none"/>
          <w14:textFill>
            <w14:solidFill>
              <w14:schemeClr w14:val="tx1"/>
            </w14:solidFill>
          </w14:textFill>
        </w:rPr>
        <w:t xml:space="preserve">履约保证金。</w:t>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四、交货时间、地点和运输方式</w:t>
      </w:r>
      <w:r/>
    </w:p>
    <w:p>
      <w:pPr>
        <w:ind w:firstLine="420"/>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1、交货时间、地点：乙方应根据甲方每日订单，将所订货物于次日7时前或按指定时间免费（包括免除配送费、运输费、上力费、卸车费、过路过桥费等）</w:t>
      </w:r>
      <w:r>
        <w:rPr>
          <w:rFonts w:hAnsi="宋体"/>
          <w:color w:val="000000" w:themeColor="text1"/>
          <w:highlight w:val="none"/>
          <w14:textFill>
            <w14:solidFill>
              <w14:schemeClr w14:val="tx1"/>
            </w14:solidFill>
          </w14:textFill>
        </w:rPr>
        <w:t xml:space="preserve">送至</w:t>
      </w:r>
      <w:r>
        <w:rPr>
          <w:rFonts w:hint="eastAsia" w:hAnsi="宋体"/>
          <w:color w:val="000000" w:themeColor="text1"/>
          <w:highlight w:val="none"/>
          <w14:textFill>
            <w14:solidFill>
              <w14:schemeClr w14:val="tx1"/>
            </w14:solidFill>
          </w14:textFill>
        </w:rPr>
        <w:t xml:space="preserve">甲方（</w:t>
      </w:r>
      <w:r>
        <w:rPr>
          <w:rFonts w:hint="eastAsia" w:ascii="宋体" w:hAnsi="宋体" w:cs="宋体"/>
          <w:color w:val="000000" w:themeColor="text1"/>
          <w:highlight w:val="none"/>
          <w14:textFill>
            <w14:solidFill>
              <w14:schemeClr w14:val="tx1"/>
            </w14:solidFill>
          </w14:textFill>
        </w:rPr>
        <w:t xml:space="preserve">南京市广州路72号、江东南路8号）指定地点，</w:t>
      </w:r>
      <w:r>
        <w:rPr>
          <w:rFonts w:hAnsi="宋体"/>
          <w:color w:val="000000" w:themeColor="text1"/>
          <w:highlight w:val="none"/>
          <w14:textFill>
            <w14:solidFill>
              <w14:schemeClr w14:val="tx1"/>
            </w14:solidFill>
          </w14:textFill>
        </w:rPr>
        <w:t xml:space="preserve">运输过程中</w:t>
      </w:r>
      <w:r>
        <w:rPr>
          <w:rFonts w:hint="eastAsia" w:hAnsi="宋体"/>
          <w:color w:val="000000" w:themeColor="text1"/>
          <w:highlight w:val="none"/>
          <w14:textFill>
            <w14:solidFill>
              <w14:schemeClr w14:val="tx1"/>
            </w14:solidFill>
          </w14:textFill>
        </w:rPr>
        <w:t xml:space="preserve">（甲方接收货物前）</w:t>
      </w:r>
      <w:r>
        <w:rPr>
          <w:rFonts w:hAnsi="宋体"/>
          <w:color w:val="000000" w:themeColor="text1"/>
          <w:highlight w:val="none"/>
          <w14:textFill>
            <w14:solidFill>
              <w14:schemeClr w14:val="tx1"/>
            </w14:solidFill>
          </w14:textFill>
        </w:rPr>
        <w:t xml:space="preserve">如发生货物丢失、毁损、交通事故或其它意外事故的，乙方负责赔偿，相关损失由乙方自行承担。</w:t>
      </w:r>
      <w:r>
        <w:rPr>
          <w:rFonts w:hint="eastAsia" w:ascii="宋体" w:hAnsi="宋体" w:cs="宋体"/>
          <w:color w:val="000000" w:themeColor="text1"/>
          <w:highlight w:val="none"/>
          <w14:textFill>
            <w14:solidFill>
              <w14:schemeClr w14:val="tx1"/>
            </w14:solidFill>
          </w14:textFill>
        </w:rPr>
        <w:t xml:space="preserve">乙方运输车辆为冷链运输，进入医院，必须接受甲方的统一管理。如乙方送货时间晚于次日上午7点或甲方指定时间的，视为送货延迟，乙方取得甲方同意的延迟送货除外。</w:t>
      </w:r>
      <w:r/>
    </w:p>
    <w:p>
      <w:pPr>
        <w:ind w:firstLine="420"/>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运输容器：框、箱、袋等要求清洁、干燥、牢固、透气、无污染、无异味等问题，每个品种单独包装，不得使用泡沫箱。禁止金属丝、生熟混装，必须按《中华人民共和国食品安全法》的相关规定执行。散装食品应分类包装并做好密封措施，不能直接外露，防止交叉污染及环境污染。</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运输载具：须符合《中华人民共和国食品安全法》的相关规定。所有货物运输必须是封闭式的运输工具，运输工具应清洁卫生无污染，商品运输必须采用符合卫生标准的运输载具，并且要保持清洁和定期消毒。运输车厢的内仓，包括地面、墙面和顶，应使用抗腐蚀、防潮、易清洁消毒的材料。车厢内无不良气味、异味；运输途中严防日晒、雨淋，注意通风散热。商品堆放科学合理，避免造成商品的交叉污染；如对温度有要求的食品，应使用冷链运输，并确定食品的温度，记录送货车辆温度，并记录存档。</w:t>
      </w:r>
      <w:r/>
    </w:p>
    <w:p>
      <w:pPr>
        <w:ind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4、如因乙方原因，未按照上述约定履行合同的，每发生一次，甲方扣除履约保证金的10％作为违约金，发生三次甲方有权终止本协议，并扣除全部履约保证金。</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5、如因运输过程中（甲方接受货物前）发生短少事件以及安全事故等，由乙方负责处理，甲方不承担任何责任。</w:t>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五、验收标准</w:t>
      </w:r>
      <w:r/>
    </w:p>
    <w:p>
      <w:pPr>
        <w:ind w:firstLine="420"/>
        <w:spacing w:line="360" w:lineRule="auto"/>
        <w:widowControl/>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产品送至指定地点，并经甲方指派人员点验、计量、签字后作为结算依据。双方共同对该批次产品的数量进行清点，确认产品数量与乙方送货单数量一致、无误差；双方共同对该批次产品质量进行验收。经检验产品数量与质量均无异议，双方共同在验收单上签字确认(验收单仅代表交接时抽检的数量与质量符合标准）。对于不合格货物，甲方可拒收，并只支付合格货物的货款，乙方需对不合格产品进行更换，不得耽误甲方使用。</w:t>
      </w:r>
      <w:r>
        <w:rPr>
          <w:rFonts w:hint="eastAsia" w:ascii="宋体" w:hAnsi="宋体" w:cs="宋体"/>
          <w:color w:val="000000" w:themeColor="text1"/>
          <w:highlight w:val="none"/>
          <w:lang w:val="en-US" w:eastAsia="zh-CN"/>
          <w14:textFill>
            <w14:solidFill>
              <w14:schemeClr w14:val="tx1"/>
            </w14:solidFill>
          </w14:textFill>
        </w:rPr>
        <w:t xml:space="preserve">乙方</w:t>
      </w:r>
      <w:r>
        <w:rPr>
          <w:rFonts w:hint="eastAsia" w:ascii="宋体" w:hAnsi="宋体" w:cs="宋体"/>
          <w:color w:val="000000" w:themeColor="text1"/>
          <w:szCs w:val="21"/>
          <w:highlight w:val="none"/>
          <w14:textFill>
            <w14:solidFill>
              <w14:schemeClr w14:val="tx1"/>
            </w14:solidFill>
          </w14:textFill>
        </w:rPr>
        <w:t xml:space="preserve">必须当日更换合格货品，产生的食堂停工损失由</w:t>
      </w:r>
      <w:r>
        <w:rPr>
          <w:rFonts w:hint="eastAsia" w:ascii="宋体" w:hAnsi="宋体" w:cs="宋体"/>
          <w:color w:val="000000" w:themeColor="text1"/>
          <w:szCs w:val="21"/>
          <w:highlight w:val="none"/>
          <w:lang w:val="en-US" w:eastAsia="zh-CN"/>
          <w14:textFill>
            <w14:solidFill>
              <w14:schemeClr w14:val="tx1"/>
            </w14:solidFill>
          </w14:textFill>
        </w:rPr>
        <w:t xml:space="preserve">乙方</w:t>
      </w:r>
      <w:r>
        <w:rPr>
          <w:rFonts w:hint="eastAsia" w:ascii="宋体" w:hAnsi="宋体" w:cs="宋体"/>
          <w:color w:val="000000" w:themeColor="text1"/>
          <w:szCs w:val="21"/>
          <w:highlight w:val="none"/>
          <w14:textFill>
            <w14:solidFill>
              <w14:schemeClr w14:val="tx1"/>
            </w14:solidFill>
          </w14:textFill>
        </w:rPr>
        <w:t xml:space="preserve">承担；甲方可随时委托第三方检测，只要检测不合格，全部检测费、应急采购费由</w:t>
      </w:r>
      <w:r>
        <w:rPr>
          <w:rFonts w:hint="eastAsia" w:ascii="宋体" w:hAnsi="宋体" w:cs="宋体"/>
          <w:color w:val="000000" w:themeColor="text1"/>
          <w:szCs w:val="21"/>
          <w:highlight w:val="none"/>
          <w:lang w:val="en-US" w:eastAsia="zh-CN"/>
          <w14:textFill>
            <w14:solidFill>
              <w14:schemeClr w14:val="tx1"/>
            </w14:solidFill>
          </w14:textFill>
        </w:rPr>
        <w:t xml:space="preserve">乙方</w:t>
      </w:r>
      <w:r>
        <w:rPr>
          <w:rFonts w:hint="eastAsia" w:ascii="宋体" w:hAnsi="宋体" w:cs="宋体"/>
          <w:color w:val="000000" w:themeColor="text1"/>
          <w:szCs w:val="21"/>
          <w:highlight w:val="none"/>
          <w14:textFill>
            <w14:solidFill>
              <w14:schemeClr w14:val="tx1"/>
            </w14:solidFill>
          </w14:textFill>
        </w:rPr>
        <w:t xml:space="preserve">承担。</w:t>
      </w:r>
      <w:r>
        <w:rPr>
          <w:rFonts w:hint="eastAsia" w:ascii="宋体" w:hAnsi="宋体" w:cs="宋体"/>
          <w:color w:val="000000" w:themeColor="text1"/>
          <w:szCs w:val="21"/>
          <w:highlight w:val="none"/>
          <w:lang w:val="en-US" w:eastAsia="zh-CN"/>
          <w14:textFill>
            <w14:solidFill>
              <w14:schemeClr w14:val="tx1"/>
            </w14:solidFill>
          </w14:textFill>
        </w:rPr>
        <w:t xml:space="preserve">若乙方</w:t>
      </w:r>
      <w:r>
        <w:rPr>
          <w:rFonts w:hint="eastAsia" w:ascii="宋体" w:hAnsi="宋体" w:cs="宋体"/>
          <w:color w:val="000000" w:themeColor="text1"/>
          <w:szCs w:val="21"/>
          <w:highlight w:val="none"/>
          <w14:textFill>
            <w14:solidFill>
              <w14:schemeClr w14:val="tx1"/>
            </w14:solidFill>
          </w14:textFill>
        </w:rPr>
        <w:t xml:space="preserve">无法满足订单，必须提前 12 小时书面告知甲方并提供同等品质替代食材，替代食材价格不得高于原供货价；未提前告知导致食堂断供，按当日订单金额 20% 支付违约金。所有食材必须一次性送达，严禁分多次送货、委托第三方无报备配送；一经发现视为转包，直接没收保证金并</w:t>
      </w:r>
      <w:r>
        <w:rPr>
          <w:rFonts w:hint="eastAsia" w:ascii="宋体" w:hAnsi="宋体" w:cs="宋体"/>
          <w:color w:val="000000" w:themeColor="text1"/>
          <w:szCs w:val="21"/>
          <w:highlight w:val="none"/>
          <w:lang w:val="en-US" w:eastAsia="zh-CN"/>
          <w14:textFill>
            <w14:solidFill>
              <w14:schemeClr w14:val="tx1"/>
            </w14:solidFill>
          </w14:textFill>
        </w:rPr>
        <w:t xml:space="preserve">甲方有权</w:t>
      </w:r>
      <w:r>
        <w:rPr>
          <w:rFonts w:hint="eastAsia" w:ascii="宋体" w:hAnsi="宋体" w:cs="宋体"/>
          <w:color w:val="000000" w:themeColor="text1"/>
          <w:szCs w:val="21"/>
          <w:highlight w:val="none"/>
          <w14:textFill>
            <w14:solidFill>
              <w14:schemeClr w14:val="tx1"/>
            </w14:solidFill>
          </w14:textFill>
        </w:rPr>
        <w:t xml:space="preserve">解除合同。</w:t>
      </w:r>
      <w:r/>
    </w:p>
    <w:p>
      <w:pPr>
        <w:ind w:firstLine="420"/>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2、甲方在收到物资后，如发现损耗偏高、质量不达标以及其他有关非正常情况，应及时向乙方提出，乙方应负责解决问题，第一时间弥补或更换。</w:t>
      </w:r>
      <w:r/>
    </w:p>
    <w:p>
      <w:pPr>
        <w:ind w:firstLine="420"/>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3、随货提供相应的检测检疫合格证明，该证明作为验收内容一部分。</w:t>
      </w:r>
      <w:r/>
    </w:p>
    <w:p>
      <w:pPr>
        <w:ind w:firstLine="420"/>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4、明确质保期产品验收：要求剩余保存期不少于原有保质期的三分之二，超过日期视为验收不合格。</w:t>
      </w:r>
      <w:r/>
    </w:p>
    <w:p>
      <w:pPr>
        <w:ind w:firstLine="420"/>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5、验收标准、方法及提出异议期限：在交货地点当场验收；甲方可以在质量保证期内的合理期限内，提出异议，乙方负责解决。</w:t>
      </w:r>
      <w:r/>
    </w:p>
    <w:p>
      <w:pPr>
        <w:ind w:firstLine="420"/>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6、如因乙方原因，未按照上述约定履行合同的，每发生一次，甲方扣除履约保证金的10％作为违约金，发生三次甲方有权终止本协议，并扣除全部履约保证金。</w:t>
      </w:r>
      <w:r/>
    </w:p>
    <w:p>
      <w:pPr>
        <w:ind w:firstLine="420"/>
        <w:spacing w:line="360" w:lineRule="auto"/>
        <w:rPr>
          <w:color w:val="000000" w:themeColor="text1"/>
          <w:sz w:val="44"/>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甲方有权对物资进行抽检送检，检测不合格的，乙方承担检测费用，并扣除保证金的</w:t>
      </w:r>
      <w:r>
        <w:rPr>
          <w:rFonts w:ascii="宋体" w:hAnsi="宋体" w:cs="宋体"/>
          <w:color w:val="000000" w:themeColor="text1"/>
          <w:highlight w:val="none"/>
          <w14:textFill>
            <w14:solidFill>
              <w14:schemeClr w14:val="tx1"/>
            </w14:solidFill>
          </w14:textFill>
        </w:rPr>
        <w:t xml:space="preserve">10％作为违约金，必要时甲方有权解除本协议。</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六、付款及保证金</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1、甲方只对经甲方授权的联系人书面确认的货款单负有付款义务。</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货款结算方式为月结，乙方需于次月2日前向甲方提供正式发票及结算清单，在收到乙方根据双方书面确认的数额（销售明细清单及验收入库单）出具的符合规定的发票后30日前甲方应当支付货款。如果乙方违反本协议约定，甲方有权拒绝或延迟付款。</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3、本</w:t>
      </w:r>
      <w:r>
        <w:rPr>
          <w:rFonts w:hint="eastAsia" w:hAnsi="宋体" w:cs="宋体"/>
          <w:bCs/>
          <w:color w:val="000000" w:themeColor="text1"/>
          <w:sz w:val="21"/>
          <w:highlight w:val="none"/>
          <w14:textFill>
            <w14:solidFill>
              <w14:schemeClr w14:val="tx1"/>
            </w14:solidFill>
          </w14:textFill>
        </w:rPr>
        <w:t xml:space="preserve">协议签订后的5个工作日内</w:t>
      </w:r>
      <w:r>
        <w:rPr>
          <w:rFonts w:hint="eastAsia" w:ascii="宋体" w:hAnsi="宋体" w:cs="宋体"/>
          <w:color w:val="000000" w:themeColor="text1"/>
          <w:highlight w:val="none"/>
          <w14:textFill>
            <w14:solidFill>
              <w14:schemeClr w14:val="tx1"/>
            </w14:solidFill>
          </w14:textFill>
        </w:rPr>
        <w:t xml:space="preserve">，乙方交纳履约保证金</w:t>
      </w:r>
      <w:r>
        <w:rPr>
          <w:rFonts w:hint="eastAsia" w:ascii="宋体" w:hAnsi="宋体" w:cs="宋体"/>
          <w:color w:val="000000" w:themeColor="text1"/>
          <w:highlight w:val="none"/>
          <w:lang w:val="en-US" w:eastAsia="zh-CN"/>
          <w14:textFill>
            <w14:solidFill>
              <w14:schemeClr w14:val="tx1"/>
            </w14:solidFill>
          </w14:textFill>
        </w:rPr>
        <w:t xml:space="preserve">贰</w:t>
      </w:r>
      <w:r>
        <w:rPr>
          <w:rFonts w:hint="eastAsia" w:ascii="宋体" w:hAnsi="宋体" w:cs="宋体"/>
          <w:color w:val="000000" w:themeColor="text1"/>
          <w:highlight w:val="none"/>
          <w14:textFill>
            <w14:solidFill>
              <w14:schemeClr w14:val="tx1"/>
            </w14:solidFill>
          </w14:textFill>
        </w:rPr>
        <w:t xml:space="preserve">拾万元，协议到期甲方无息退还保证金。乙方不支付履约保证金的，本协议不生效。</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若因乙方致使</w:t>
      </w:r>
      <w:r>
        <w:rPr>
          <w:rFonts w:hint="eastAsia" w:ascii="宋体" w:hAnsi="宋体" w:cs="宋体"/>
          <w:color w:val="000000" w:themeColor="text1"/>
          <w:szCs w:val="21"/>
          <w:highlight w:val="none"/>
          <w14:textFill>
            <w14:solidFill>
              <w14:schemeClr w14:val="tx1"/>
            </w14:solidFill>
          </w14:textFill>
        </w:rPr>
        <w:t xml:space="preserve">甲方</w:t>
      </w:r>
      <w:r>
        <w:rPr>
          <w:rFonts w:hint="eastAsia" w:ascii="宋体" w:hAnsi="宋体" w:cs="宋体"/>
          <w:color w:val="000000" w:themeColor="text1"/>
          <w:szCs w:val="21"/>
          <w:highlight w:val="none"/>
          <w:lang w:val="en-US" w:eastAsia="zh-CN"/>
          <w14:textFill>
            <w14:solidFill>
              <w14:schemeClr w14:val="tx1"/>
            </w14:solidFill>
          </w14:textFill>
        </w:rPr>
        <w:t xml:space="preserve">存在</w:t>
      </w:r>
      <w:r>
        <w:rPr>
          <w:rFonts w:hint="eastAsia" w:ascii="宋体" w:hAnsi="宋体" w:cs="宋体"/>
          <w:color w:val="000000" w:themeColor="text1"/>
          <w:szCs w:val="21"/>
          <w:highlight w:val="none"/>
          <w14:textFill>
            <w14:solidFill>
              <w14:schemeClr w14:val="tx1"/>
            </w14:solidFill>
          </w14:textFill>
        </w:rPr>
        <w:t xml:space="preserve">损失</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损失</w:t>
      </w:r>
      <w:r>
        <w:rPr>
          <w:rFonts w:hint="eastAsia" w:ascii="宋体" w:hAnsi="宋体" w:cs="宋体"/>
          <w:color w:val="000000" w:themeColor="text1"/>
          <w:szCs w:val="21"/>
          <w:highlight w:val="none"/>
          <w14:textFill>
            <w14:solidFill>
              <w14:schemeClr w14:val="tx1"/>
            </w14:solidFill>
          </w14:textFill>
        </w:rPr>
        <w:t xml:space="preserve">优先从履约保证金中直接抵扣，无需乙方同意；保证金不足以覆盖全部损失的，甲方有权在未结货款中直接扣除，货款不足的乙方 7 日内补足差额，逾期加收每日万五资金占用费。合同到期后，保证金暂不退还，留存 6 个月作为食品安全追溯担保期；追溯期内无质量投诉、监管处罚、未结清赔偿，无息全额退还；追溯期出现问题，甲方直接抵扣损失。</w:t>
      </w:r>
      <w:r/>
    </w:p>
    <w:p>
      <w:pPr>
        <w:pStyle w:val="1108"/>
        <w:ind w:left="0"/>
        <w:spacing w:before="156"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七、违约责任</w:t>
      </w:r>
      <w:r/>
    </w:p>
    <w:p>
      <w:pPr>
        <w:pStyle w:val="817"/>
        <w:spacing w:line="360" w:lineRule="auto"/>
        <w:rPr>
          <w:rFonts w:hAnsi="宋体" w:cs="宋体"/>
          <w:color w:val="000000" w:themeColor="text1"/>
          <w:sz w:val="21"/>
          <w:szCs w:val="24"/>
          <w:highlight w:val="none"/>
          <w:lang w:val="en-US" w:eastAsia="zh-CN"/>
          <w14:textFill>
            <w14:solidFill>
              <w14:schemeClr w14:val="tx1"/>
            </w14:solidFill>
          </w14:textFill>
        </w:rPr>
      </w:pPr>
      <w:r>
        <w:rPr>
          <w:rFonts w:hint="eastAsia" w:hAnsi="宋体" w:cs="宋体"/>
          <w:color w:val="000000" w:themeColor="text1"/>
          <w:sz w:val="21"/>
          <w:szCs w:val="24"/>
          <w:highlight w:val="none"/>
          <w:lang w:val="en-US" w:eastAsia="zh-CN"/>
          <w14:textFill>
            <w14:solidFill>
              <w14:schemeClr w14:val="tx1"/>
            </w14:solidFill>
          </w14:textFill>
        </w:rPr>
        <w:t xml:space="preserve">1、甲方临时增加用餐人数，需要临时补充原料，乙方应在约定时间内无条件送达指定地点，否则视为违约，甲方可一次性扣除保证金的10％作为违约金，发生三次甲方有权终止本协议，并扣除全部履约保证金。</w:t>
      </w:r>
      <w:r/>
    </w:p>
    <w:p>
      <w:pPr>
        <w:pStyle w:val="817"/>
        <w:spacing w:line="360" w:lineRule="auto"/>
        <w:rPr>
          <w:rFonts w:hAnsi="宋体" w:cs="宋体"/>
          <w:color w:val="000000" w:themeColor="text1"/>
          <w:sz w:val="21"/>
          <w:szCs w:val="24"/>
          <w:highlight w:val="none"/>
          <w:lang w:val="en-US" w:eastAsia="zh-CN"/>
          <w14:textFill>
            <w14:solidFill>
              <w14:schemeClr w14:val="tx1"/>
            </w14:solidFill>
          </w14:textFill>
        </w:rPr>
      </w:pPr>
      <w:r>
        <w:rPr>
          <w:rFonts w:hint="eastAsia" w:hAnsi="宋体" w:cs="宋体"/>
          <w:color w:val="000000" w:themeColor="text1"/>
          <w:sz w:val="21"/>
          <w:szCs w:val="24"/>
          <w:highlight w:val="none"/>
          <w:lang w:val="en-US" w:eastAsia="zh-CN"/>
          <w14:textFill>
            <w14:solidFill>
              <w14:schemeClr w14:val="tx1"/>
            </w14:solidFill>
          </w14:textFill>
        </w:rPr>
        <w:t xml:space="preserve">2、若因食品质量问题导致的食品安全和食物中毒等事故，由此造成的全部经济损失和法律责任由乙方承担全部责任，主要包括食物中毒人员医疗费、误工费、事故处理费、律师费用、行政处罚的罚款等，直至追究刑事责任通过法律途径解决。同时甲方有权取消其供应资格。</w:t>
      </w:r>
      <w:r/>
    </w:p>
    <w:p>
      <w:pPr>
        <w:pStyle w:val="817"/>
        <w:spacing w:line="360" w:lineRule="auto"/>
        <w:rPr>
          <w:rFonts w:hAnsi="宋体" w:cs="宋体"/>
          <w:color w:val="000000" w:themeColor="text1"/>
          <w:sz w:val="21"/>
          <w:szCs w:val="24"/>
          <w:highlight w:val="none"/>
          <w:lang w:val="en-US" w:eastAsia="zh-CN"/>
          <w14:textFill>
            <w14:solidFill>
              <w14:schemeClr w14:val="tx1"/>
            </w14:solidFill>
          </w14:textFill>
        </w:rPr>
      </w:pPr>
      <w:r>
        <w:rPr>
          <w:rFonts w:hint="eastAsia" w:hAnsi="宋体" w:cs="宋体"/>
          <w:color w:val="000000" w:themeColor="text1"/>
          <w:sz w:val="21"/>
          <w:szCs w:val="24"/>
          <w:highlight w:val="none"/>
          <w:lang w:val="en-US" w:eastAsia="zh-CN"/>
          <w14:textFill>
            <w14:solidFill>
              <w14:schemeClr w14:val="tx1"/>
            </w14:solidFill>
          </w14:textFill>
        </w:rPr>
        <w:t xml:space="preserve">3、乙方提供假冒伪劣产品的，乙方按该批次所购商品或服务金额的10倍向甲方支付违约金。</w:t>
      </w:r>
      <w:r/>
    </w:p>
    <w:p>
      <w:pPr>
        <w:pStyle w:val="817"/>
        <w:spacing w:line="360" w:lineRule="auto"/>
        <w:rPr>
          <w:rFonts w:hAnsi="宋体" w:cs="宋体"/>
          <w:color w:val="000000" w:themeColor="text1"/>
          <w:sz w:val="21"/>
          <w:szCs w:val="24"/>
          <w:highlight w:val="none"/>
          <w:lang w:val="en-US" w:eastAsia="zh-CN"/>
          <w14:textFill>
            <w14:solidFill>
              <w14:schemeClr w14:val="tx1"/>
            </w14:solidFill>
          </w14:textFill>
        </w:rPr>
      </w:pPr>
      <w:r>
        <w:rPr>
          <w:rFonts w:hint="eastAsia" w:hAnsi="宋体" w:cs="宋体"/>
          <w:color w:val="000000" w:themeColor="text1"/>
          <w:sz w:val="21"/>
          <w:szCs w:val="24"/>
          <w:highlight w:val="none"/>
          <w:lang w:val="en-US" w:eastAsia="zh-CN"/>
          <w14:textFill>
            <w14:solidFill>
              <w14:schemeClr w14:val="tx1"/>
            </w14:solidFill>
          </w14:textFill>
        </w:rPr>
        <w:t xml:space="preserve">4、乙方分包、转包或交由他人履行的，甲方有权解除本协议。</w:t>
      </w:r>
      <w:r/>
    </w:p>
    <w:p>
      <w:pPr>
        <w:pStyle w:val="817"/>
        <w:spacing w:line="360" w:lineRule="auto"/>
        <w:rPr>
          <w:rFonts w:hint="eastAsia" w:hAnsi="宋体" w:cs="宋体"/>
          <w:color w:val="000000" w:themeColor="text1"/>
          <w:sz w:val="21"/>
          <w:szCs w:val="24"/>
          <w:highlight w:val="none"/>
          <w:lang w:val="en-US" w:eastAsia="zh-CN"/>
          <w14:textFill>
            <w14:solidFill>
              <w14:schemeClr w14:val="tx1"/>
            </w14:solidFill>
          </w14:textFill>
        </w:rPr>
      </w:pPr>
      <w:r>
        <w:rPr>
          <w:rFonts w:hint="eastAsia" w:hAnsi="宋体" w:cs="宋体"/>
          <w:color w:val="000000" w:themeColor="text1"/>
          <w:sz w:val="21"/>
          <w:szCs w:val="24"/>
          <w:highlight w:val="none"/>
          <w:lang w:val="en-US" w:eastAsia="zh-CN"/>
          <w14:textFill>
            <w14:solidFill>
              <w14:schemeClr w14:val="tx1"/>
            </w14:solidFill>
          </w14:textFill>
        </w:rPr>
        <w:t xml:space="preserve">5、本协议因乙方违约甲方解除的，履约保证金全额没收，造成损失的另行赔偿。</w:t>
      </w:r>
      <w:r/>
    </w:p>
    <w:p>
      <w:pPr>
        <w:pStyle w:val="1108"/>
        <w:ind w:left="0" w:firstLine="422"/>
        <w:spacing w:before="156"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八、争议解决</w:t>
      </w:r>
      <w:r/>
    </w:p>
    <w:p>
      <w:pPr>
        <w:pStyle w:val="817"/>
        <w:spacing w:line="360" w:lineRule="auto"/>
        <w:rPr>
          <w:rFonts w:hAnsi="宋体" w:cs="宋体"/>
          <w:color w:val="000000" w:themeColor="text1"/>
          <w:sz w:val="21"/>
          <w:szCs w:val="24"/>
          <w:highlight w:val="none"/>
          <w:lang w:val="en-US" w:eastAsia="zh-CN"/>
          <w14:textFill>
            <w14:solidFill>
              <w14:schemeClr w14:val="tx1"/>
            </w14:solidFill>
          </w14:textFill>
        </w:rPr>
      </w:pPr>
      <w:r>
        <w:rPr>
          <w:rFonts w:hint="eastAsia" w:hAnsi="宋体" w:cs="宋体"/>
          <w:color w:val="000000" w:themeColor="text1"/>
          <w:sz w:val="21"/>
          <w:szCs w:val="24"/>
          <w:highlight w:val="none"/>
          <w:lang w:val="en-US" w:eastAsia="zh-CN"/>
          <w14:textFill>
            <w14:solidFill>
              <w14:schemeClr w14:val="tx1"/>
            </w14:solidFill>
          </w14:textFill>
        </w:rPr>
        <w:t xml:space="preserve">1、因货物质量问题发生争议的，应当邀请国家认可的质检机构对货物质量进行检测，经检测符合标准的，检测费由甲方承担，不符合标准的，检测费由乙方承担，并根据违约责任进行处罚。</w:t>
      </w:r>
      <w:r/>
    </w:p>
    <w:p>
      <w:pPr>
        <w:pStyle w:val="817"/>
        <w:spacing w:line="360" w:lineRule="auto"/>
        <w:rPr>
          <w:rFonts w:hint="eastAsia" w:hAnsi="宋体" w:cs="宋体"/>
          <w:color w:val="000000" w:themeColor="text1"/>
          <w:sz w:val="21"/>
          <w:szCs w:val="24"/>
          <w:highlight w:val="none"/>
          <w:lang w:val="en-US" w:eastAsia="zh-CN"/>
          <w14:textFill>
            <w14:solidFill>
              <w14:schemeClr w14:val="tx1"/>
            </w14:solidFill>
          </w14:textFill>
        </w:rPr>
      </w:pPr>
      <w:r>
        <w:rPr>
          <w:rFonts w:hint="eastAsia" w:hAnsi="宋体" w:cs="宋体"/>
          <w:color w:val="000000" w:themeColor="text1"/>
          <w:sz w:val="21"/>
          <w:szCs w:val="24"/>
          <w:highlight w:val="none"/>
          <w:lang w:val="en-US" w:eastAsia="zh-CN"/>
          <w14:textFill>
            <w14:solidFill>
              <w14:schemeClr w14:val="tx1"/>
            </w14:solidFill>
          </w14:textFill>
        </w:rPr>
        <w:t xml:space="preserve">2、因履行本协议引起的或与本协议有关的争议，甲乙双方应首先通过友好协商解决，如果协商不能解决争议，则采取以下方式解决争议：向甲方所在地人民法院提起诉讼。</w:t>
      </w:r>
      <w:r/>
    </w:p>
    <w:p>
      <w:pPr>
        <w:pStyle w:val="1108"/>
        <w:ind w:left="0" w:firstLine="422"/>
        <w:spacing w:before="156" w:line="360" w:lineRule="auto"/>
        <w:rPr>
          <w:rFonts w:cs="宋体"/>
          <w:b w:val="0"/>
          <w:color w:val="000000" w:themeColor="text1"/>
          <w:sz w:val="24"/>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九、</w:t>
      </w:r>
      <w:r>
        <w:rPr>
          <w:rFonts w:hint="eastAsia" w:cs="宋体"/>
          <w:color w:val="000000" w:themeColor="text1"/>
          <w:sz w:val="24"/>
          <w:highlight w:val="none"/>
          <w14:textFill>
            <w14:solidFill>
              <w14:schemeClr w14:val="tx1"/>
            </w14:solidFill>
          </w14:textFill>
        </w:rPr>
        <w:t xml:space="preserve">协议生效及其他</w:t>
      </w:r>
      <w:r/>
    </w:p>
    <w:p>
      <w:pPr>
        <w:pStyle w:val="817"/>
        <w:spacing w:line="360" w:lineRule="auto"/>
        <w:rPr>
          <w:rFonts w:hAnsi="宋体" w:cs="宋体"/>
          <w:color w:val="000000" w:themeColor="text1"/>
          <w:sz w:val="21"/>
          <w:szCs w:val="24"/>
          <w:highlight w:val="none"/>
          <w:lang w:val="en-US" w:eastAsia="zh-CN"/>
          <w14:textFill>
            <w14:solidFill>
              <w14:schemeClr w14:val="tx1"/>
            </w14:solidFill>
          </w14:textFill>
        </w:rPr>
      </w:pPr>
      <w:r>
        <w:rPr>
          <w:rFonts w:hint="eastAsia" w:hAnsi="宋体" w:cs="宋体"/>
          <w:color w:val="000000" w:themeColor="text1"/>
          <w:sz w:val="21"/>
          <w:szCs w:val="24"/>
          <w:highlight w:val="none"/>
          <w:lang w:val="en-US" w:eastAsia="zh-CN"/>
          <w14:textFill>
            <w14:solidFill>
              <w14:schemeClr w14:val="tx1"/>
            </w14:solidFill>
          </w14:textFill>
        </w:rPr>
        <w:t xml:space="preserve">本协议壹式伍份，甲方执肆份，乙方执壹份，合同期限为壹年，三个月试用期，如试用期考评得分低于80分或出现累计两次送货延迟、一次质量抽检不合格等客观违约情形的，视为考评不合格，如试用期考评不合格，甲方有权终止合同。协议期限：     年    月    日至     年    月     日。</w:t>
      </w:r>
      <w:r/>
    </w:p>
    <w:p>
      <w:pPr>
        <w:ind w:left="5590" w:hanging="5565"/>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5590" w:hanging="556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甲方（盖章）： 南京市儿童医院               乙方（盖章）：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法定代表人：</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户名：南京市儿童医院                        户名：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开户行：中国农业银行南京市广州路支行        开户行：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账号：10100301040000177                     账号：  </w:t>
      </w:r>
      <w:r/>
    </w:p>
    <w:p>
      <w:pPr>
        <w:ind w:firstLine="840"/>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年     月     日                           年     月     日</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附件：</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评价表</w:t>
      </w:r>
      <w:r/>
    </w:p>
    <w:p>
      <w:pPr>
        <w:jc w:val="left"/>
        <w:spacing w:line="360" w:lineRule="auto"/>
        <w:rPr>
          <w:rFonts w:hint="eastAsia" w:ascii="宋体" w:hAnsi="宋体"/>
          <w:b/>
          <w:color w:val="000000" w:themeColor="text1"/>
          <w:sz w:val="28"/>
          <w:szCs w:val="28"/>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2、医疗卫生机构廉洁购销合同</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jc w:val="left"/>
        <w:spacing w:line="360" w:lineRule="auto"/>
        <w:rPr>
          <w:rFonts w:ascii="宋体" w:hAnsi="宋体"/>
          <w:color w:val="000000" w:themeColor="text1"/>
          <w:sz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附件：考核评价表</w:t>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南京市儿童医院膳食中心食堂物资供应商评价表</w:t>
      </w:r>
      <w:r/>
    </w:p>
    <w:tbl>
      <w:tblPr>
        <w:tblStyle w:val="809"/>
        <w:tblpPr w:horzAnchor="margin" w:tblpX="-459" w:vertAnchor="text" w:tblpY="179" w:leftFromText="180" w:topFromText="0" w:rightFromText="180" w:bottomFromText="0"/>
        <w:tblW w:w="92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47"/>
        <w:gridCol w:w="4706"/>
        <w:gridCol w:w="1146"/>
        <w:gridCol w:w="1321"/>
      </w:tblGrid>
      <w:tr>
        <w:trPr>
          <w:trHeight w:val="378"/>
        </w:trPr>
        <w:tc>
          <w:tcPr>
            <w:tcW w:w="2047" w:type="dxa"/>
            <w:vAlign w:val="top"/>
            <w:textDirection w:val="lrTb"/>
            <w:noWrap/>
          </w:tcPr>
          <w:p>
            <w:pPr>
              <w:jc w:val="center"/>
              <w:spacing w:line="360" w:lineRule="auto"/>
              <w:rPr>
                <w:rFonts w:ascii="宋体" w:hAnsi="宋体"/>
                <w:b/>
                <w:color w:val="000000" w:themeColor="text1"/>
                <w:szCs w:val="18"/>
                <w:highlight w:val="none"/>
                <w14:textFill>
                  <w14:solidFill>
                    <w14:schemeClr w14:val="tx1"/>
                  </w14:solidFill>
                </w14:textFill>
              </w:rPr>
            </w:pPr>
            <w:r>
              <w:rPr>
                <w:rFonts w:hint="eastAsia" w:ascii="宋体" w:hAnsi="宋体" w:cs="Yu Gothic Light"/>
                <w:b/>
                <w:color w:val="000000" w:themeColor="text1"/>
                <w:szCs w:val="18"/>
                <w:highlight w:val="none"/>
                <w14:textFill>
                  <w14:solidFill>
                    <w14:schemeClr w14:val="tx1"/>
                  </w14:solidFill>
                </w14:textFill>
              </w:rPr>
              <w:t xml:space="preserve">供应商名称</w:t>
            </w:r>
            <w:r/>
          </w:p>
        </w:tc>
        <w:tc>
          <w:tcPr>
            <w:tcW w:w="4706"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46"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Yu Gothic Light"/>
                <w:b/>
                <w:color w:val="000000" w:themeColor="text1"/>
                <w:sz w:val="22"/>
                <w:szCs w:val="20"/>
                <w:highlight w:val="none"/>
                <w14:textFill>
                  <w14:solidFill>
                    <w14:schemeClr w14:val="tx1"/>
                  </w14:solidFill>
                </w14:textFill>
              </w:rPr>
              <w:t xml:space="preserve">考核期限</w:t>
            </w:r>
            <w:r/>
          </w:p>
        </w:tc>
        <w:tc>
          <w:tcPr>
            <w:tcW w:w="1321"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78"/>
        </w:trPr>
        <w:tc>
          <w:tcPr>
            <w:tcW w:w="2047" w:type="dxa"/>
            <w:vAlign w:val="top"/>
            <w:textDirection w:val="lrTb"/>
            <w:noWrap/>
          </w:tcPr>
          <w:p>
            <w:pPr>
              <w:jc w:val="center"/>
              <w:spacing w:line="360" w:lineRule="auto"/>
              <w:rPr>
                <w:rFonts w:ascii="宋体" w:hAnsi="宋体" w:cs="Yu Gothic Light"/>
                <w:b/>
                <w:color w:val="000000" w:themeColor="text1"/>
                <w:szCs w:val="18"/>
                <w:highlight w:val="none"/>
                <w14:textFill>
                  <w14:solidFill>
                    <w14:schemeClr w14:val="tx1"/>
                  </w14:solidFill>
                </w14:textFill>
              </w:rPr>
            </w:pPr>
            <w:r>
              <w:rPr>
                <w:rFonts w:hint="eastAsia" w:ascii="宋体" w:hAnsi="宋体" w:cs="Yu Gothic Light"/>
                <w:b/>
                <w:color w:val="000000" w:themeColor="text1"/>
                <w:szCs w:val="18"/>
                <w:highlight w:val="none"/>
                <w14:textFill>
                  <w14:solidFill>
                    <w14:schemeClr w14:val="tx1"/>
                  </w14:solidFill>
                </w14:textFill>
              </w:rPr>
              <w:t xml:space="preserve">供应货品</w:t>
            </w:r>
            <w:r/>
          </w:p>
        </w:tc>
        <w:tc>
          <w:tcPr>
            <w:tcW w:w="4706"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46"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Yu Gothic Light"/>
                <w:b/>
                <w:color w:val="000000" w:themeColor="text1"/>
                <w:sz w:val="22"/>
                <w:szCs w:val="20"/>
                <w:highlight w:val="none"/>
                <w14:textFill>
                  <w14:solidFill>
                    <w14:schemeClr w14:val="tx1"/>
                  </w14:solidFill>
                </w14:textFill>
              </w:rPr>
              <w:t xml:space="preserve">总分</w:t>
            </w:r>
            <w:r/>
          </w:p>
        </w:tc>
        <w:tc>
          <w:tcPr>
            <w:tcW w:w="1321"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60"/>
        </w:trPr>
        <w:tc>
          <w:tcPr>
            <w:tcW w:w="2047" w:type="dxa"/>
            <w:vAlign w:val="center"/>
            <w:textDirection w:val="lrTb"/>
            <w:noWrap/>
          </w:tcPr>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cs="Yu Gothic Light"/>
                <w:b/>
                <w:color w:val="000000" w:themeColor="text1"/>
                <w:szCs w:val="21"/>
                <w:highlight w:val="none"/>
                <w14:textFill>
                  <w14:solidFill>
                    <w14:schemeClr w14:val="tx1"/>
                  </w14:solidFill>
                </w14:textFill>
              </w:rPr>
              <w:t xml:space="preserve">指  标</w:t>
            </w:r>
            <w:r/>
          </w:p>
        </w:tc>
        <w:tc>
          <w:tcPr>
            <w:tcW w:w="4706" w:type="dxa"/>
            <w:vAlign w:val="center"/>
            <w:textDirection w:val="lrTb"/>
            <w:noWrap/>
          </w:tcPr>
          <w:p>
            <w:pPr>
              <w:ind w:firstLine="560"/>
              <w:jc w:val="center"/>
              <w:spacing w:line="360" w:lineRule="auto"/>
              <w:rPr>
                <w:rFonts w:ascii="宋体" w:hAnsi="宋体"/>
                <w:b/>
                <w:color w:val="000000" w:themeColor="text1"/>
                <w:sz w:val="22"/>
                <w:highlight w:val="none"/>
                <w14:textFill>
                  <w14:solidFill>
                    <w14:schemeClr w14:val="tx1"/>
                  </w14:solidFill>
                </w14:textFill>
              </w:rPr>
            </w:pPr>
            <w:r>
              <w:rPr>
                <w:rFonts w:hint="eastAsia" w:ascii="宋体" w:hAnsi="宋体" w:cs="Yu Gothic Light"/>
                <w:b/>
                <w:color w:val="000000" w:themeColor="text1"/>
                <w:sz w:val="22"/>
                <w:highlight w:val="none"/>
                <w14:textFill>
                  <w14:solidFill>
                    <w14:schemeClr w14:val="tx1"/>
                  </w14:solidFill>
                </w14:textFill>
              </w:rPr>
              <w:t xml:space="preserve">评价描述说明</w:t>
            </w:r>
            <w:r/>
          </w:p>
        </w:tc>
        <w:tc>
          <w:tcPr>
            <w:tcW w:w="1146" w:type="dxa"/>
            <w:vAlign w:val="center"/>
            <w:textDirection w:val="lrTb"/>
            <w:noWrap/>
          </w:tcPr>
          <w:p>
            <w:pPr>
              <w:ind w:firstLine="221"/>
              <w:spacing w:line="360" w:lineRule="auto"/>
              <w:rPr>
                <w:rFonts w:ascii="宋体" w:hAnsi="宋体"/>
                <w:b/>
                <w:color w:val="000000" w:themeColor="text1"/>
                <w:sz w:val="22"/>
                <w:highlight w:val="none"/>
                <w14:textFill>
                  <w14:solidFill>
                    <w14:schemeClr w14:val="tx1"/>
                  </w14:solidFill>
                </w14:textFill>
              </w:rPr>
            </w:pPr>
            <w:r>
              <w:rPr>
                <w:rFonts w:hint="eastAsia" w:ascii="宋体" w:hAnsi="宋体" w:cs="Yu Gothic Light"/>
                <w:b/>
                <w:color w:val="000000" w:themeColor="text1"/>
                <w:sz w:val="22"/>
                <w:highlight w:val="none"/>
                <w14:textFill>
                  <w14:solidFill>
                    <w14:schemeClr w14:val="tx1"/>
                  </w14:solidFill>
                </w14:textFill>
              </w:rPr>
              <w:t xml:space="preserve">得 分</w:t>
            </w:r>
            <w:r/>
          </w:p>
        </w:tc>
        <w:tc>
          <w:tcPr>
            <w:tcW w:w="1321" w:type="dxa"/>
            <w:vAlign w:val="center"/>
            <w:textDirection w:val="lrTb"/>
            <w:noWrap/>
          </w:tcPr>
          <w:p>
            <w:pPr>
              <w:ind w:firstLine="221"/>
              <w:spacing w:line="360" w:lineRule="auto"/>
              <w:rPr>
                <w:rFonts w:ascii="宋体" w:hAnsi="宋体"/>
                <w:color w:val="000000" w:themeColor="text1"/>
                <w:sz w:val="22"/>
                <w:highlight w:val="none"/>
                <w14:textFill>
                  <w14:solidFill>
                    <w14:schemeClr w14:val="tx1"/>
                  </w14:solidFill>
                </w14:textFill>
              </w:rPr>
            </w:pPr>
            <w:r>
              <w:rPr>
                <w:rFonts w:hint="eastAsia" w:ascii="宋体" w:hAnsi="宋体" w:cs="Yu Gothic Light"/>
                <w:b/>
                <w:color w:val="000000" w:themeColor="text1"/>
                <w:sz w:val="22"/>
                <w:highlight w:val="none"/>
                <w14:textFill>
                  <w14:solidFill>
                    <w14:schemeClr w14:val="tx1"/>
                  </w14:solidFill>
                </w14:textFill>
              </w:rPr>
              <w:t xml:space="preserve">备 注</w:t>
            </w:r>
            <w:r/>
          </w:p>
        </w:tc>
      </w:tr>
      <w:tr>
        <w:trPr>
          <w:trHeight w:val="974"/>
        </w:trPr>
        <w:tc>
          <w:tcPr>
            <w:tcW w:w="2047" w:type="dxa"/>
            <w:vAlign w:val="center"/>
            <w:textDirection w:val="lrTb"/>
            <w:noWrap/>
          </w:tcPr>
          <w:p>
            <w:pPr>
              <w:jc w:val="center"/>
              <w:spacing w:line="360" w:lineRule="auto"/>
              <w:rPr>
                <w:rFonts w:ascii="宋体" w:hAnsi="宋体" w:cs="Yu Gothic Light"/>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送货及时性评价</w:t>
            </w:r>
            <w:r/>
          </w:p>
          <w:p>
            <w:pPr>
              <w:jc w:val="center"/>
              <w:spacing w:line="360" w:lineRule="auto"/>
              <w:rPr>
                <w:rFonts w:ascii="宋体" w:hAnsi="宋体"/>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（20分）</w:t>
            </w:r>
            <w:r/>
          </w:p>
        </w:tc>
        <w:tc>
          <w:tcPr>
            <w:tcW w:w="4706" w:type="dxa"/>
            <w:vAlign w:val="top"/>
            <w:textDirection w:val="lrTb"/>
            <w:noWrap/>
          </w:tcPr>
          <w:p>
            <w:pPr>
              <w:spacing w:line="360" w:lineRule="auto"/>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1.几乎总是早于约定时间或在约定时间及时送到，得18-20分；</w:t>
            </w:r>
            <w:r/>
          </w:p>
          <w:p>
            <w:pPr>
              <w:spacing w:line="360" w:lineRule="auto"/>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2.偶尔比约定时间晚，但不耽误食堂工作，得16-17分；</w:t>
            </w:r>
            <w:r/>
          </w:p>
          <w:p>
            <w:pPr>
              <w:spacing w:line="360" w:lineRule="auto"/>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3.送货经常不守时，耽误食堂工作，得15分以下。</w:t>
            </w:r>
            <w:r/>
          </w:p>
        </w:tc>
        <w:tc>
          <w:tcPr>
            <w:tcW w:w="1146" w:type="dxa"/>
            <w:vAlign w:val="top"/>
            <w:textDirection w:val="lrTb"/>
            <w:noWrap/>
          </w:tcPr>
          <w:p>
            <w:pPr>
              <w:ind w:firstLine="360"/>
              <w:spacing w:line="360" w:lineRule="auto"/>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c>
          <w:tcPr>
            <w:tcW w:w="1321" w:type="dxa"/>
            <w:vAlign w:val="top"/>
            <w:textDirection w:val="lrTb"/>
            <w:noWrap/>
          </w:tcPr>
          <w:p>
            <w:pPr>
              <w:ind w:firstLine="360"/>
              <w:spacing w:line="360" w:lineRule="auto"/>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r>
      <w:tr>
        <w:trPr>
          <w:trHeight w:val="1258"/>
        </w:trPr>
        <w:tc>
          <w:tcPr>
            <w:tcW w:w="2047" w:type="dxa"/>
            <w:vAlign w:val="center"/>
            <w:textDirection w:val="lrTb"/>
            <w:noWrap/>
          </w:tcPr>
          <w:p>
            <w:pPr>
              <w:jc w:val="center"/>
              <w:spacing w:line="360" w:lineRule="auto"/>
              <w:rPr>
                <w:rFonts w:ascii="宋体" w:hAnsi="宋体" w:cs="Yu Gothic Light"/>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物资质量评价</w:t>
            </w:r>
            <w:r/>
          </w:p>
          <w:p>
            <w:pPr>
              <w:jc w:val="center"/>
              <w:spacing w:line="360" w:lineRule="auto"/>
              <w:rPr>
                <w:rFonts w:ascii="宋体" w:hAnsi="宋体" w:cs="Yu Gothic Light"/>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（20分）</w:t>
            </w:r>
            <w:r/>
          </w:p>
        </w:tc>
        <w:tc>
          <w:tcPr>
            <w:tcW w:w="4706" w:type="dxa"/>
            <w:vAlign w:val="top"/>
            <w:textDirection w:val="lrTb"/>
            <w:noWrap/>
          </w:tcPr>
          <w:p>
            <w:pPr>
              <w:spacing w:line="360" w:lineRule="auto"/>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1.物资新鲜，所有物资均能按要求提供质检报告，得18-20分；</w:t>
            </w:r>
            <w:r/>
          </w:p>
          <w:p>
            <w:pPr>
              <w:spacing w:line="360" w:lineRule="auto"/>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2.经常送存货来，但都可使用，未变质，影响口感，质检报告提供不及时或有缺项，得16-17分；</w:t>
            </w:r>
            <w:r/>
          </w:p>
          <w:p>
            <w:pPr>
              <w:spacing w:line="360" w:lineRule="auto"/>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3.时常送变质食品，经常不能提供质检报告，得15分以下。</w:t>
            </w:r>
            <w:r/>
          </w:p>
        </w:tc>
        <w:tc>
          <w:tcPr>
            <w:tcW w:w="1146" w:type="dxa"/>
            <w:vAlign w:val="top"/>
            <w:textDirection w:val="lrTb"/>
            <w:noWrap/>
          </w:tcPr>
          <w:p>
            <w:pPr>
              <w:ind w:firstLine="360"/>
              <w:spacing w:line="360" w:lineRule="auto"/>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c>
          <w:tcPr>
            <w:tcW w:w="1321" w:type="dxa"/>
            <w:vAlign w:val="top"/>
            <w:textDirection w:val="lrTb"/>
            <w:noWrap/>
          </w:tcPr>
          <w:p>
            <w:pPr>
              <w:ind w:firstLine="360"/>
              <w:spacing w:line="360" w:lineRule="auto"/>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r>
      <w:tr>
        <w:trPr>
          <w:trHeight w:val="973"/>
        </w:trPr>
        <w:tc>
          <w:tcPr>
            <w:tcW w:w="2047" w:type="dxa"/>
            <w:vAlign w:val="center"/>
            <w:textDirection w:val="lrTb"/>
            <w:noWrap/>
          </w:tcPr>
          <w:p>
            <w:pPr>
              <w:jc w:val="center"/>
              <w:spacing w:line="360" w:lineRule="auto"/>
              <w:rPr>
                <w:rFonts w:ascii="宋体" w:hAnsi="宋体" w:cs="Yu Gothic Light"/>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物品数量符合评价</w:t>
            </w:r>
            <w:r/>
          </w:p>
          <w:p>
            <w:pPr>
              <w:jc w:val="center"/>
              <w:spacing w:line="360" w:lineRule="auto"/>
              <w:rPr>
                <w:rFonts w:ascii="宋体" w:hAnsi="宋体" w:cs="Yu Gothic Light"/>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（20分）</w:t>
            </w:r>
            <w:r/>
          </w:p>
        </w:tc>
        <w:tc>
          <w:tcPr>
            <w:tcW w:w="4706" w:type="dxa"/>
            <w:vAlign w:val="top"/>
            <w:textDirection w:val="lrTb"/>
            <w:noWrap/>
          </w:tcPr>
          <w:p>
            <w:pPr>
              <w:spacing w:line="360" w:lineRule="auto"/>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1.重量总是足称，不缺斤少两，得18-20分；</w:t>
            </w:r>
            <w:r/>
          </w:p>
          <w:p>
            <w:pPr>
              <w:spacing w:line="360" w:lineRule="auto"/>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2.偶尔有重量不合格现象，但有证据显示不是有意的，得16-17分；</w:t>
            </w:r>
            <w:r/>
          </w:p>
          <w:p>
            <w:pPr>
              <w:spacing w:line="360" w:lineRule="auto"/>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3.重量经常不达标，有意缺斤短两者，得15分以下。</w:t>
            </w:r>
            <w:r/>
          </w:p>
        </w:tc>
        <w:tc>
          <w:tcPr>
            <w:tcW w:w="1146" w:type="dxa"/>
            <w:vAlign w:val="top"/>
            <w:textDirection w:val="lrTb"/>
            <w:noWrap/>
          </w:tcPr>
          <w:p>
            <w:pPr>
              <w:ind w:firstLine="360"/>
              <w:spacing w:line="360" w:lineRule="auto"/>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c>
          <w:tcPr>
            <w:tcW w:w="1321" w:type="dxa"/>
            <w:vAlign w:val="top"/>
            <w:textDirection w:val="lrTb"/>
            <w:noWrap/>
          </w:tcPr>
          <w:p>
            <w:pPr>
              <w:ind w:firstLine="360"/>
              <w:spacing w:line="360" w:lineRule="auto"/>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r>
      <w:tr>
        <w:trPr>
          <w:trHeight w:val="972"/>
        </w:trPr>
        <w:tc>
          <w:tcPr>
            <w:tcW w:w="2047" w:type="dxa"/>
            <w:vAlign w:val="center"/>
            <w:textDirection w:val="lrTb"/>
            <w:noWrap/>
          </w:tcPr>
          <w:p>
            <w:pPr>
              <w:jc w:val="center"/>
              <w:spacing w:line="360" w:lineRule="auto"/>
              <w:rPr>
                <w:rFonts w:ascii="宋体" w:hAnsi="宋体" w:cs="Yu Gothic Light"/>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现场卫生整洁维护</w:t>
            </w:r>
            <w:r/>
          </w:p>
          <w:p>
            <w:pPr>
              <w:jc w:val="center"/>
              <w:spacing w:line="360" w:lineRule="auto"/>
              <w:rPr>
                <w:rFonts w:ascii="宋体" w:hAnsi="宋体" w:cs="Yu Gothic Light"/>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（20分）</w:t>
            </w:r>
            <w:r/>
          </w:p>
        </w:tc>
        <w:tc>
          <w:tcPr>
            <w:tcW w:w="4706" w:type="dxa"/>
            <w:vAlign w:val="top"/>
            <w:textDirection w:val="lrTb"/>
            <w:noWrap/>
          </w:tcPr>
          <w:p>
            <w:pPr>
              <w:numPr>
                <w:ilvl w:val="0"/>
                <w:numId w:val="5"/>
              </w:numPr>
              <w:spacing w:line="360" w:lineRule="auto"/>
              <w:rPr>
                <w:rFonts w:ascii="宋体" w:hAnsi="宋体" w:cs="Yu Gothic Light"/>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送货现场卫生干净、送货后外包装及时清理、车辆按照规定停放、送货或加工完成后，对现场使用的工具能清洗并按规定摆放。得18-20分；</w:t>
            </w:r>
            <w:r/>
          </w:p>
          <w:p>
            <w:pPr>
              <w:numPr>
                <w:ilvl w:val="0"/>
                <w:numId w:val="5"/>
              </w:numPr>
              <w:spacing w:line="360" w:lineRule="auto"/>
              <w:rPr>
                <w:rFonts w:ascii="宋体" w:hAnsi="宋体" w:cs="Yu Gothic Light"/>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送货现场卫生较差、送货后外包装清理不及时、车辆未按照规定停放，影响其他车辆的出入、送货或加工完成后，对现场使用的工具清洗不及时。得16-17分；</w:t>
            </w:r>
            <w:r/>
          </w:p>
          <w:p>
            <w:pPr>
              <w:numPr>
                <w:ilvl w:val="0"/>
                <w:numId w:val="5"/>
              </w:numPr>
              <w:spacing w:line="360" w:lineRule="auto"/>
              <w:rPr>
                <w:rFonts w:ascii="宋体" w:hAnsi="宋体" w:cs="Yu Gothic Light"/>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送货现场卫生很差、送货后外包装清理很不及时、车辆经常未按照规定停放、送货或加工完成后，对现场使用的工具总是不能及时清洗和按规定摆放。得15分以下.</w:t>
            </w:r>
            <w:r/>
          </w:p>
        </w:tc>
        <w:tc>
          <w:tcPr>
            <w:tcW w:w="1146" w:type="dxa"/>
            <w:vAlign w:val="top"/>
            <w:textDirection w:val="lrTb"/>
            <w:noWrap/>
          </w:tcPr>
          <w:p>
            <w:pPr>
              <w:ind w:firstLine="360"/>
              <w:spacing w:line="360" w:lineRule="auto"/>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c>
          <w:tcPr>
            <w:tcW w:w="1321" w:type="dxa"/>
            <w:vAlign w:val="top"/>
            <w:textDirection w:val="lrTb"/>
            <w:noWrap/>
          </w:tcPr>
          <w:p>
            <w:pPr>
              <w:ind w:firstLine="360"/>
              <w:spacing w:line="360" w:lineRule="auto"/>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r>
      <w:tr>
        <w:trPr>
          <w:trHeight w:val="1498"/>
        </w:trPr>
        <w:tc>
          <w:tcPr>
            <w:tcW w:w="2047" w:type="dxa"/>
            <w:vAlign w:val="center"/>
            <w:textDirection w:val="lrTb"/>
            <w:noWrap/>
          </w:tcPr>
          <w:p>
            <w:pPr>
              <w:jc w:val="center"/>
              <w:spacing w:line="360" w:lineRule="auto"/>
              <w:rPr>
                <w:rFonts w:ascii="宋体" w:hAnsi="宋体" w:cs="Yu Gothic Light"/>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服务态度评价</w:t>
            </w:r>
            <w:r/>
          </w:p>
          <w:p>
            <w:pPr>
              <w:jc w:val="center"/>
              <w:spacing w:line="360" w:lineRule="auto"/>
              <w:rPr>
                <w:rFonts w:ascii="宋体" w:hAnsi="宋体" w:cs="Yu Gothic Light"/>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（20分）</w:t>
            </w:r>
            <w:r/>
          </w:p>
        </w:tc>
        <w:tc>
          <w:tcPr>
            <w:tcW w:w="4706" w:type="dxa"/>
            <w:vAlign w:val="top"/>
            <w:textDirection w:val="lrTb"/>
            <w:noWrap/>
          </w:tcPr>
          <w:p>
            <w:pPr>
              <w:spacing w:line="360" w:lineRule="auto"/>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1.</w:t>
            </w:r>
            <w:r>
              <w:rPr>
                <w:rFonts w:hint="eastAsia" w:ascii="宋体" w:hAnsi="宋体" w:cs="Yu Gothic Light"/>
                <w:color w:val="000000" w:themeColor="text1"/>
                <w:sz w:val="18"/>
                <w:szCs w:val="16"/>
                <w:highlight w:val="none"/>
                <w:lang w:val="en-US" w:eastAsia="zh-CN"/>
                <w14:textFill>
                  <w14:solidFill>
                    <w14:schemeClr w14:val="tx1"/>
                  </w14:solidFill>
                </w14:textFill>
              </w:rPr>
              <w:t xml:space="preserve">乙方</w:t>
            </w:r>
            <w:r>
              <w:rPr>
                <w:rFonts w:hint="eastAsia" w:ascii="宋体" w:hAnsi="宋体" w:cs="Yu Gothic Light"/>
                <w:color w:val="000000" w:themeColor="text1"/>
                <w:sz w:val="18"/>
                <w:szCs w:val="16"/>
                <w:highlight w:val="none"/>
                <w14:textFill>
                  <w14:solidFill>
                    <w14:schemeClr w14:val="tx1"/>
                  </w14:solidFill>
                </w14:textFill>
              </w:rPr>
              <w:t xml:space="preserve">与甲方能及时沟通，态度良好、诚恳，有问题能及时改正，得18-20分；</w:t>
            </w:r>
            <w:r/>
          </w:p>
          <w:p>
            <w:pPr>
              <w:spacing w:line="360" w:lineRule="auto"/>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2.态度一般，但与之合作基本不影响食堂工作，有问题整改稍有拖延，得16-17分；</w:t>
            </w:r>
            <w:r/>
          </w:p>
          <w:p>
            <w:pPr>
              <w:spacing w:line="360" w:lineRule="auto"/>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3.态度恶劣，有欺诈、怠慢行为，影响食堂工作，有问题严重拖延整改，得15分以下。</w:t>
            </w:r>
            <w:r/>
          </w:p>
        </w:tc>
        <w:tc>
          <w:tcPr>
            <w:tcW w:w="1146" w:type="dxa"/>
            <w:vAlign w:val="top"/>
            <w:textDirection w:val="lrTb"/>
            <w:noWrap/>
          </w:tcPr>
          <w:p>
            <w:pPr>
              <w:ind w:firstLine="360"/>
              <w:spacing w:line="360" w:lineRule="auto"/>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c>
          <w:tcPr>
            <w:tcW w:w="1321" w:type="dxa"/>
            <w:vAlign w:val="top"/>
            <w:textDirection w:val="lrTb"/>
            <w:noWrap/>
          </w:tcPr>
          <w:p>
            <w:pPr>
              <w:ind w:firstLine="360"/>
              <w:spacing w:line="360" w:lineRule="auto"/>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r>
      <w:tr>
        <w:trPr>
          <w:trHeight w:val="1505"/>
        </w:trPr>
        <w:tc>
          <w:tcPr>
            <w:tcW w:w="2047" w:type="dxa"/>
            <w:vAlign w:val="center"/>
            <w:textDirection w:val="lrTb"/>
            <w:noWrap/>
          </w:tcPr>
          <w:p>
            <w:pPr>
              <w:ind w:firstLine="480"/>
              <w:spacing w:line="360" w:lineRule="auto"/>
              <w:rPr>
                <w:rFonts w:ascii="宋体" w:hAnsi="宋体"/>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评价说明</w:t>
            </w:r>
            <w:r/>
          </w:p>
        </w:tc>
        <w:tc>
          <w:tcPr>
            <w:gridSpan w:val="3"/>
            <w:tcW w:w="7173" w:type="dxa"/>
            <w:vAlign w:val="top"/>
            <w:textDirection w:val="lrTb"/>
            <w:noWrap/>
          </w:tcPr>
          <w:p>
            <w:pPr>
              <w:spacing w:line="360" w:lineRule="auto"/>
              <w:rPr>
                <w:rFonts w:ascii="宋体" w:hAnsi="宋体"/>
                <w:b/>
                <w:bCs/>
                <w:color w:val="000000" w:themeColor="text1"/>
                <w:sz w:val="18"/>
                <w:szCs w:val="18"/>
                <w:highlight w:val="none"/>
                <w14:textFill>
                  <w14:solidFill>
                    <w14:schemeClr w14:val="tx1"/>
                  </w14:solidFill>
                </w14:textFill>
              </w:rPr>
            </w:pPr>
            <w:r>
              <w:rPr>
                <w:rFonts w:ascii="Wingdings 2" w:hAnsi="Wingdings 2" w:eastAsia="Wingdings 2" w:cs="Wingdings 2"/>
                <w:b/>
                <w:bCs/>
                <w:color w:val="000000" w:themeColor="text1"/>
                <w:sz w:val="18"/>
                <w:szCs w:val="18"/>
                <w:highlight w:val="none"/>
                <w14:textFill>
                  <w14:solidFill>
                    <w14:schemeClr w14:val="tx1"/>
                  </w14:solidFill>
                </w14:textFill>
              </w:rPr>
              <w:t xml:space="preserve">£</w:t>
            </w:r>
            <w:r>
              <w:rPr>
                <w:rFonts w:hint="eastAsia" w:ascii="宋体" w:hAnsi="宋体"/>
                <w:b/>
                <w:bCs/>
                <w:color w:val="000000" w:themeColor="text1"/>
                <w:sz w:val="18"/>
                <w:szCs w:val="18"/>
                <w:highlight w:val="none"/>
                <w14:textFill>
                  <w14:solidFill>
                    <w14:schemeClr w14:val="tx1"/>
                  </w14:solidFill>
                </w14:textFill>
              </w:rPr>
              <w:t xml:space="preserve">优秀：90-100分；</w:t>
            </w:r>
            <w:r/>
          </w:p>
          <w:p>
            <w:pPr>
              <w:spacing w:line="360" w:lineRule="auto"/>
              <w:rPr>
                <w:rFonts w:ascii="宋体" w:hAnsi="宋体"/>
                <w:b/>
                <w:bCs/>
                <w:color w:val="000000" w:themeColor="text1"/>
                <w:sz w:val="18"/>
                <w:szCs w:val="18"/>
                <w:highlight w:val="none"/>
                <w14:textFill>
                  <w14:solidFill>
                    <w14:schemeClr w14:val="tx1"/>
                  </w14:solidFill>
                </w14:textFill>
              </w:rPr>
            </w:pPr>
            <w:r>
              <w:rPr>
                <w:rFonts w:ascii="Wingdings 2" w:hAnsi="Wingdings 2" w:eastAsia="Wingdings 2" w:cs="Wingdings 2"/>
                <w:b/>
                <w:bCs/>
                <w:color w:val="000000" w:themeColor="text1"/>
                <w:sz w:val="18"/>
                <w:szCs w:val="18"/>
                <w:highlight w:val="none"/>
                <w14:textFill>
                  <w14:solidFill>
                    <w14:schemeClr w14:val="tx1"/>
                  </w14:solidFill>
                </w14:textFill>
              </w:rPr>
              <w:t xml:space="preserve">£</w:t>
            </w:r>
            <w:r>
              <w:rPr>
                <w:rFonts w:hint="eastAsia" w:ascii="宋体" w:hAnsi="宋体"/>
                <w:b/>
                <w:bCs/>
                <w:color w:val="000000" w:themeColor="text1"/>
                <w:sz w:val="18"/>
                <w:szCs w:val="18"/>
                <w:highlight w:val="none"/>
                <w14:textFill>
                  <w14:solidFill>
                    <w14:schemeClr w14:val="tx1"/>
                  </w14:solidFill>
                </w14:textFill>
              </w:rPr>
              <w:t xml:space="preserve">良好：80-89分；</w:t>
            </w:r>
            <w:r/>
          </w:p>
          <w:p>
            <w:pPr>
              <w:spacing w:line="360" w:lineRule="auto"/>
              <w:rPr>
                <w:rFonts w:ascii="宋体" w:hAnsi="宋体"/>
                <w:b/>
                <w:bCs/>
                <w:color w:val="000000" w:themeColor="text1"/>
                <w:sz w:val="18"/>
                <w:szCs w:val="18"/>
                <w:highlight w:val="none"/>
                <w14:textFill>
                  <w14:solidFill>
                    <w14:schemeClr w14:val="tx1"/>
                  </w14:solidFill>
                </w14:textFill>
              </w:rPr>
            </w:pPr>
            <w:r>
              <w:rPr>
                <w:rFonts w:ascii="Wingdings 2" w:hAnsi="Wingdings 2" w:eastAsia="Wingdings 2" w:cs="Wingdings 2"/>
                <w:b/>
                <w:bCs/>
                <w:color w:val="000000" w:themeColor="text1"/>
                <w:sz w:val="18"/>
                <w:szCs w:val="18"/>
                <w:highlight w:val="none"/>
                <w14:textFill>
                  <w14:solidFill>
                    <w14:schemeClr w14:val="tx1"/>
                  </w14:solidFill>
                </w14:textFill>
              </w:rPr>
              <w:t xml:space="preserve">£</w:t>
            </w:r>
            <w:r>
              <w:rPr>
                <w:rFonts w:hint="eastAsia" w:ascii="宋体" w:hAnsi="宋体"/>
                <w:b/>
                <w:bCs/>
                <w:color w:val="000000" w:themeColor="text1"/>
                <w:sz w:val="18"/>
                <w:szCs w:val="18"/>
                <w:highlight w:val="none"/>
                <w14:textFill>
                  <w14:solidFill>
                    <w14:schemeClr w14:val="tx1"/>
                  </w14:solidFill>
                </w14:textFill>
              </w:rPr>
              <w:t xml:space="preserve">不合格：0-79分。</w:t>
            </w:r>
            <w:r/>
          </w:p>
          <w:p>
            <w:pPr>
              <w:ind w:firstLine="361"/>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 xml:space="preserve">本项目采取三个月试用期，如试用期考评不合格，甲方有权无条件解除协议。</w:t>
            </w:r>
            <w:r/>
          </w:p>
        </w:tc>
      </w:tr>
    </w:tbl>
    <w:p>
      <w:pPr>
        <w:spacing w:line="360" w:lineRule="auto"/>
        <w:rPr>
          <w:rFonts w:ascii="宋体" w:hAnsi="宋体" w:cs="Yu Gothic Light"/>
          <w:b/>
          <w:color w:val="000000" w:themeColor="text1"/>
          <w:szCs w:val="20"/>
          <w:highlight w:val="none"/>
          <w14:textFill>
            <w14:solidFill>
              <w14:schemeClr w14:val="tx1"/>
            </w14:solidFill>
          </w14:textFill>
        </w:rPr>
      </w:pPr>
      <w:r>
        <w:rPr>
          <w:rFonts w:ascii="宋体" w:hAnsi="宋体" w:cs="Yu Gothic Light"/>
          <w:b/>
          <w:color w:val="000000" w:themeColor="text1"/>
          <w:szCs w:val="20"/>
          <w:highlight w:val="none"/>
          <w14:textFill>
            <w14:solidFill>
              <w14:schemeClr w14:val="tx1"/>
            </w14:solidFill>
          </w14:textFill>
        </w:rPr>
      </w:r>
      <w:r/>
    </w:p>
    <w:p>
      <w:pPr>
        <w:spacing w:line="360" w:lineRule="auto"/>
        <w:rPr>
          <w:rFonts w:ascii="宋体" w:hAnsi="宋体" w:cs="Yu Gothic Light"/>
          <w:color w:val="000000" w:themeColor="text1"/>
          <w:sz w:val="18"/>
          <w:szCs w:val="20"/>
          <w:highlight w:val="none"/>
          <w14:textFill>
            <w14:solidFill>
              <w14:schemeClr w14:val="tx1"/>
            </w14:solidFill>
          </w14:textFill>
        </w:rPr>
      </w:pPr>
      <w:r>
        <w:rPr>
          <w:rFonts w:hint="eastAsia" w:ascii="宋体" w:hAnsi="宋体" w:cs="Yu Gothic Light"/>
          <w:b/>
          <w:color w:val="000000" w:themeColor="text1"/>
          <w:szCs w:val="20"/>
          <w:highlight w:val="none"/>
          <w14:textFill>
            <w14:solidFill>
              <w14:schemeClr w14:val="tx1"/>
            </w14:solidFill>
          </w14:textFill>
        </w:rPr>
        <w:t xml:space="preserve">甲方盖章：                             乙方盖章：</w:t>
      </w:r>
      <w:r/>
    </w:p>
    <w:p>
      <w:pP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14:textFill>
            <w14:solidFill>
              <w14:schemeClr w14:val="tx1"/>
            </w14:solidFill>
          </w14:textFill>
        </w:rPr>
        <w:outlineLvl w:val="1"/>
      </w:pPr>
      <w:r/>
      <w:bookmarkStart w:id="255" w:name="_Toc6629"/>
      <w:r/>
      <w:r/>
    </w:p>
    <w:p>
      <w:pPr>
        <w:jc w:val="center"/>
        <w:spacing w:line="360" w:lineRule="auto"/>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both"/>
        <w:spacing w:line="360" w:lineRule="auto"/>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rPr>
          <w:rFonts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t xml:space="preserve">医疗卫生机构廉洁购销合同</w:t>
      </w:r>
      <w:bookmarkEnd w:id="255"/>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甲方（医疗卫生机构）：南京市儿童医院</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乙方（企业及其代理人）：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为进一步加强医疗卫生行风建设，规范医疗卫生机构购销行为，有效防范商业贿赂行为，营造公平交易、诚实守信的购销环境，经甲、乙双方协商，同意签订本合同，并共同遵守：</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一、甲乙双方按照《中华人民共和国民法典》及购销合同约定发生购销行为。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二、甲方应当严格执行购销合同项目的验收、入库制度，对产品及发票进行查验，不得违反有关规定合同外采购、违价采购、从非规定渠道采购。</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四、乙方不得以回扣、宴请等方式影响甲方及甲方工作人员采购货物、服务的选择权，不得在学术和公务活动中提供旅游、超标准支付食宿费用。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五、乙方指定 </w:t>
      </w:r>
      <w:r>
        <w:rPr>
          <w:rFonts w:hint="eastAsia" w:ascii="宋体" w:hAnsi="宋体" w:cs="宋体"/>
          <w:color w:val="000000" w:themeColor="text1"/>
          <w:szCs w:val="21"/>
          <w:highlight w:val="none"/>
          <w:u w:val="single"/>
          <w14:textFill>
            <w14:solidFill>
              <w14:schemeClr w14:val="tx1"/>
            </w14:solidFill>
          </w14:textFill>
        </w:rPr>
        <w:t xml:space="preserve">    (身份证号：    手机号：   )</w:t>
      </w:r>
      <w:r>
        <w:rPr>
          <w:rFonts w:hint="eastAsia" w:ascii="宋体" w:hAnsi="宋体" w:cs="宋体"/>
          <w:color w:val="000000" w:themeColor="text1"/>
          <w:szCs w:val="21"/>
          <w:highlight w:val="none"/>
          <w14:textFill>
            <w14:solidFill>
              <w14:schemeClr w14:val="tx1"/>
            </w14:solidFill>
          </w14:textFill>
        </w:rPr>
        <w:t xml:space="preserve">作为销售代表洽谈业务。销售代表发生变更的，应一个月内书面通知甲方。销售代表必须在工作时间到甲方指定地点联系商谈，不得借故到甲方相关领导、部门负责人及相关工作人员家中访谈并提供任何好处费。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六、乙方如违反本合同，一经发现，甲方有权终止购销合同，并参照《国家卫生计生委关于建立医药购销领域商业贿赂不良记录的规定》（国卫法制发〔2013〕50号）相关规定予以惩戒。</w:t>
      </w:r>
      <w:r/>
    </w:p>
    <w:p>
      <w:pPr>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七、本合同作为采购项目：</w:t>
      </w:r>
      <w:r>
        <w:rPr>
          <w:rFonts w:hint="eastAsia" w:ascii="宋体" w:hAnsi="宋体" w:cs="宋体"/>
          <w:color w:val="000000" w:themeColor="text1"/>
          <w:szCs w:val="21"/>
          <w:highlight w:val="none"/>
          <w:u w:val="single"/>
          <w14:textFill>
            <w14:solidFill>
              <w14:schemeClr w14:val="tx1"/>
            </w14:solidFill>
          </w14:textFill>
        </w:rPr>
        <w:t xml:space="preserve">    采购项目（     ）</w:t>
      </w:r>
      <w:r>
        <w:rPr>
          <w:rFonts w:hint="eastAsia" w:ascii="宋体" w:hAnsi="宋体" w:cs="宋体"/>
          <w:color w:val="000000" w:themeColor="text1"/>
          <w:szCs w:val="21"/>
          <w:highlight w:val="none"/>
          <w14:textFill>
            <w14:solidFill>
              <w14:schemeClr w14:val="tx1"/>
            </w14:solidFill>
          </w14:textFill>
        </w:rPr>
        <w:t xml:space="preserve">购销合同的重要组成部分。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八、本合同自签订之日起生效；本合同一式三份，甲方两份（甲方纪律监督部门执一份）、乙方一份，具有同等法律效力。</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甲方（盖章）：                              乙方（盖章）：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法定代表人（负责人）：                      法定代表人（负责人）：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经办人签名：                               经办人签名：</w:t>
      </w:r>
      <w:r/>
    </w:p>
    <w:p>
      <w:pPr>
        <w:ind w:firstLine="945"/>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年    月    日                             年     月     日</w:t>
      </w:r>
      <w:r/>
    </w:p>
    <w:p>
      <w:pPr>
        <w:pStyle w:val="821"/>
        <w:spacing w:line="360" w:lineRule="auto"/>
        <w:rPr>
          <w:rFonts w:hint="eastAsia" w:hAnsi="宋体" w:cs="宋体"/>
          <w:b/>
          <w:bCs/>
          <w:color w:val="000000" w:themeColor="text1"/>
          <w:sz w:val="24"/>
          <w:szCs w:val="24"/>
          <w:highlight w:val="none"/>
          <w:lang w:eastAsia="zh-CN"/>
          <w14:textFill>
            <w14:solidFill>
              <w14:schemeClr w14:val="tx1"/>
            </w14:solidFill>
          </w14:textFill>
        </w:rPr>
      </w:pPr>
      <w:r>
        <w:rPr>
          <w:rFonts w:hint="eastAsia" w:hAnsi="宋体" w:cs="宋体"/>
          <w:b/>
          <w:bCs/>
          <w:color w:val="000000" w:themeColor="text1"/>
          <w:sz w:val="24"/>
          <w:szCs w:val="24"/>
          <w:highlight w:val="none"/>
          <w:lang w:eastAsia="zh-CN"/>
          <w14:textFill>
            <w14:solidFill>
              <w14:schemeClr w14:val="tx1"/>
            </w14:solidFill>
          </w14:textFill>
        </w:rPr>
      </w:r>
      <w:r/>
    </w:p>
    <w:p>
      <w:pPr>
        <w:pStyle w:val="821"/>
        <w:spacing w:line="360" w:lineRule="auto"/>
        <w:rPr>
          <w:rFonts w:hint="eastAsia" w:hAnsi="宋体" w:cs="宋体"/>
          <w:b/>
          <w:bCs/>
          <w:color w:val="000000" w:themeColor="text1"/>
          <w:sz w:val="24"/>
          <w:szCs w:val="24"/>
          <w:highlight w:val="none"/>
          <w:lang w:eastAsia="zh-CN"/>
          <w14:textFill>
            <w14:solidFill>
              <w14:schemeClr w14:val="tx1"/>
            </w14:solidFill>
          </w14:textFill>
        </w:rPr>
      </w:pPr>
      <w:r>
        <w:rPr>
          <w:rFonts w:hint="eastAsia" w:hAnsi="宋体" w:cs="宋体"/>
          <w:b/>
          <w:bCs/>
          <w:color w:val="000000" w:themeColor="text1"/>
          <w:sz w:val="24"/>
          <w:szCs w:val="24"/>
          <w:highlight w:val="none"/>
          <w:lang w:eastAsia="zh-CN"/>
          <w14:textFill>
            <w14:solidFill>
              <w14:schemeClr w14:val="tx1"/>
            </w14:solidFill>
          </w14:textFill>
        </w:rPr>
      </w:r>
      <w:r/>
    </w:p>
    <w:p>
      <w:pPr>
        <w:pStyle w:val="821"/>
        <w:spacing w:line="360" w:lineRule="auto"/>
        <w:rPr>
          <w:rFonts w:hint="eastAsia" w:hAnsi="宋体" w:cs="宋体"/>
          <w:b/>
          <w:bCs/>
          <w:color w:val="000000" w:themeColor="text1"/>
          <w:sz w:val="24"/>
          <w:szCs w:val="24"/>
          <w:highlight w:val="none"/>
          <w:lang w:eastAsia="zh-CN"/>
          <w14:textFill>
            <w14:solidFill>
              <w14:schemeClr w14:val="tx1"/>
            </w14:solidFill>
          </w14:textFill>
        </w:rPr>
      </w:pPr>
      <w:r>
        <w:rPr>
          <w:rFonts w:hint="eastAsia" w:hAnsi="宋体" w:cs="宋体"/>
          <w:b/>
          <w:bCs/>
          <w:color w:val="000000" w:themeColor="text1"/>
          <w:sz w:val="24"/>
          <w:szCs w:val="24"/>
          <w:highlight w:val="none"/>
          <w:lang w:eastAsia="zh-CN"/>
          <w14:textFill>
            <w14:solidFill>
              <w14:schemeClr w14:val="tx1"/>
            </w14:solidFill>
          </w14:textFill>
        </w:rPr>
      </w:r>
      <w:r/>
    </w:p>
    <w:p>
      <w:pPr>
        <w:jc w:val="both"/>
        <w:spacing w:line="360" w:lineRule="auto"/>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pStyle w:val="839"/>
        <w:numPr>
          <w:ilvl w:val="0"/>
          <w:numId w:val="2"/>
        </w:numPr>
        <w:ind w:firstLine="567"/>
        <w:rPr>
          <w:rFonts w:ascii="宋体" w:hAnsi="宋体" w:cs="宋体"/>
          <w:color w:val="000000" w:themeColor="text1"/>
          <w:highlight w:val="none"/>
          <w14:textFill>
            <w14:solidFill>
              <w14:schemeClr w14:val="tx1"/>
            </w14:solidFill>
          </w14:textFill>
        </w:rPr>
      </w:pPr>
      <w:r/>
      <w:bookmarkStart w:id="256" w:name="_Toc107246271"/>
      <w:r/>
      <w:bookmarkStart w:id="257" w:name="_Toc91836564"/>
      <w:r/>
      <w:bookmarkStart w:id="258" w:name="_Toc107246272"/>
      <w:r>
        <w:rPr>
          <w:rFonts w:hint="eastAsia" w:ascii="宋体" w:hAnsi="宋体" w:cs="宋体"/>
          <w:color w:val="000000" w:themeColor="text1"/>
          <w:highlight w:val="none"/>
          <w14:textFill>
            <w14:solidFill>
              <w14:schemeClr w14:val="tx1"/>
            </w14:solidFill>
          </w14:textFill>
        </w:rPr>
        <w:t xml:space="preserve">采购需求</w:t>
      </w:r>
      <w:bookmarkEnd w:id="256"/>
      <w:r/>
      <w:bookmarkEnd w:id="257"/>
      <w:r/>
      <w:r/>
    </w:p>
    <w:p>
      <w:pPr>
        <w:pStyle w:val="1108"/>
        <w:numPr>
          <w:ilvl w:val="0"/>
          <w:numId w:val="0"/>
        </w:numPr>
        <w:ind w:firstLine="211"/>
        <w:jc w:val="left"/>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一、</w:t>
      </w:r>
      <w:r>
        <w:rPr>
          <w:rFonts w:hint="eastAsia" w:ascii="宋体" w:hAnsi="宋体" w:eastAsia="宋体" w:cs="宋体"/>
          <w:bCs/>
          <w:color w:val="000000" w:themeColor="text1"/>
          <w:highlight w:val="none"/>
          <w14:textFill>
            <w14:solidFill>
              <w14:schemeClr w14:val="tx1"/>
            </w14:solidFill>
          </w14:textFill>
        </w:rPr>
        <w:t xml:space="preserve">项目概况</w:t>
      </w:r>
      <w:r/>
    </w:p>
    <w:p>
      <w:pPr>
        <w:pStyle w:val="1108"/>
        <w:numPr>
          <w:ilvl w:val="0"/>
          <w:numId w:val="6"/>
        </w:numPr>
        <w:keepLines w:val="0"/>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南京市儿童医院两院区（广州路院区、河西院区）食堂，供应职工及患者就餐，现遴选鲜肉及肉制品等食材供应商，入围投标供应商</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sz w:val="24"/>
          <w:szCs w:val="24"/>
          <w:highlight w:val="none"/>
          <w14:textFill>
            <w14:solidFill>
              <w14:schemeClr w14:val="tx1"/>
            </w14:solidFill>
          </w14:textFill>
        </w:rPr>
        <w:t xml:space="preserve">家，供应广州路院区、河西院区上述食材。</w:t>
      </w:r>
      <w:r/>
    </w:p>
    <w:p>
      <w:pPr>
        <w:pStyle w:val="1108"/>
        <w:numPr>
          <w:ilvl w:val="0"/>
          <w:numId w:val="6"/>
        </w:numPr>
        <w:keepLines w:val="0"/>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合同期内，如果中标人放弃履行合同，需提前3个月告之采购人并保供至采购人寻得新的供应商。采购人保留追究原供应商责任的权力。对于拒不履行合同或恶意放弃合同的中标人，采购人将向相应部门反映相关情况。</w:t>
      </w:r>
      <w:r/>
    </w:p>
    <w:p>
      <w:pPr>
        <w:pStyle w:val="1108"/>
        <w:numPr>
          <w:ilvl w:val="0"/>
          <w:numId w:val="6"/>
        </w:numPr>
        <w:spacing w:line="360" w:lineRule="auto"/>
        <w:rPr>
          <w:rFonts w:cs="宋体"/>
          <w:b w:val="0"/>
          <w:color w:val="000000" w:themeColor="text1"/>
          <w:sz w:val="24"/>
          <w:szCs w:val="24"/>
          <w:highlight w:val="none"/>
          <w14:textFill>
            <w14:solidFill>
              <w14:schemeClr w14:val="tx1"/>
            </w14:solidFill>
          </w14:textFill>
        </w:rPr>
      </w:pPr>
      <w:r>
        <w:rPr>
          <w:rFonts w:hint="eastAsia" w:cs="宋体"/>
          <w:b w:val="0"/>
          <w:color w:val="000000" w:themeColor="text1"/>
          <w:sz w:val="24"/>
          <w:szCs w:val="24"/>
          <w:highlight w:val="none"/>
          <w14:textFill>
            <w14:solidFill>
              <w14:schemeClr w14:val="tx1"/>
            </w14:solidFill>
          </w14:textFill>
        </w:rPr>
        <w:t xml:space="preserve">采购需求：</w:t>
      </w:r>
      <w:r/>
    </w:p>
    <w:tbl>
      <w:tblPr>
        <w:tblStyle w:val="809"/>
        <w:tblW w:w="8839"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4711"/>
        <w:gridCol w:w="1806"/>
        <w:gridCol w:w="1655"/>
      </w:tblGrid>
      <w:tr>
        <w:trPr>
          <w:trHeight w:val="921"/>
        </w:trPr>
        <w:tc>
          <w:tcPr>
            <w:tcW w:w="667" w:type="dxa"/>
            <w:vAlign w:val="center"/>
            <w:textDirection w:val="lrTb"/>
            <w:noWrap/>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W w:w="4711" w:type="dxa"/>
            <w:vAlign w:val="center"/>
            <w:textDirection w:val="lrTb"/>
            <w:noWrap/>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项目内容</w:t>
            </w:r>
            <w:r/>
          </w:p>
        </w:tc>
        <w:tc>
          <w:tcPr>
            <w:tcW w:w="1806" w:type="dxa"/>
            <w:vAlign w:val="center"/>
            <w:textDirection w:val="lrTb"/>
            <w:noWrap/>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预计采购预算</w:t>
            </w:r>
            <w:r/>
          </w:p>
          <w:p>
            <w:pPr>
              <w:jc w:val="center"/>
              <w:spacing w:line="360" w:lineRule="auto"/>
              <w:widowControl/>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（万元人民币）</w:t>
            </w:r>
            <w:r/>
          </w:p>
        </w:tc>
        <w:tc>
          <w:tcPr>
            <w:tcW w:w="1655" w:type="dxa"/>
            <w:vAlign w:val="center"/>
            <w:textDirection w:val="lrTb"/>
            <w:noWrap/>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w:t>
            </w:r>
            <w:r/>
          </w:p>
        </w:tc>
      </w:tr>
      <w:tr>
        <w:trPr>
          <w:trHeight w:val="930"/>
        </w:trPr>
        <w:tc>
          <w:tcPr>
            <w:tcW w:w="667" w:type="dxa"/>
            <w:vAlign w:val="center"/>
            <w:textDirection w:val="lrTb"/>
            <w:noWrap/>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4711" w:type="dxa"/>
            <w:vAlign w:val="center"/>
            <w:textDirection w:val="lrTb"/>
            <w:noWrap/>
          </w:tcPr>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向南京市儿童医院两院区（广州路院区、河西院区）食堂，供应鲜肉及肉制品等食材，满足供应职工及患者就餐</w:t>
            </w:r>
            <w:r/>
          </w:p>
        </w:tc>
        <w:tc>
          <w:tcPr>
            <w:tcW w:w="1806" w:type="dxa"/>
            <w:vAlign w:val="center"/>
            <w:textDirection w:val="lrTb"/>
            <w:noWrap/>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495</w:t>
            </w:r>
            <w:r/>
          </w:p>
        </w:tc>
        <w:tc>
          <w:tcPr>
            <w:tcW w:w="1655" w:type="dxa"/>
            <w:vAlign w:val="center"/>
            <w:textDirection w:val="lrTb"/>
            <w:noWrap/>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结算时按实际供货数量结算</w:t>
            </w:r>
            <w:r/>
          </w:p>
        </w:tc>
      </w:tr>
    </w:tbl>
    <w:p>
      <w:pPr>
        <w:pStyle w:val="1108"/>
        <w:ind w:left="0" w:firstLine="480"/>
        <w:spacing w:line="360" w:lineRule="auto"/>
        <w:rPr>
          <w:rFonts w:hint="eastAsia" w:cs="宋体"/>
          <w:b w:val="0"/>
          <w:color w:val="000000" w:themeColor="text1"/>
          <w:sz w:val="24"/>
          <w:szCs w:val="24"/>
          <w:highlight w:val="none"/>
          <w:lang w:eastAsia="zh-CN"/>
          <w14:textFill>
            <w14:solidFill>
              <w14:schemeClr w14:val="tx1"/>
            </w14:solidFill>
          </w14:textFill>
        </w:rPr>
      </w:pPr>
      <w:r>
        <w:rPr>
          <w:rFonts w:hint="eastAsia" w:cs="宋体"/>
          <w:b w:val="0"/>
          <w:color w:val="000000" w:themeColor="text1"/>
          <w:sz w:val="24"/>
          <w:szCs w:val="24"/>
          <w:highlight w:val="none"/>
          <w:lang w:val="en-US" w:eastAsia="zh-CN"/>
          <w14:textFill>
            <w14:solidFill>
              <w14:schemeClr w14:val="tx1"/>
            </w14:solidFill>
          </w14:textFill>
        </w:rPr>
        <w:t xml:space="preserve">4</w:t>
      </w:r>
      <w:r>
        <w:rPr>
          <w:rFonts w:hint="eastAsia" w:cs="宋体"/>
          <w:b w:val="0"/>
          <w:color w:val="000000" w:themeColor="text1"/>
          <w:sz w:val="24"/>
          <w:szCs w:val="24"/>
          <w:highlight w:val="none"/>
          <w14:textFill>
            <w14:solidFill>
              <w14:schemeClr w14:val="tx1"/>
            </w14:solidFill>
          </w14:textFill>
        </w:rPr>
        <w:t xml:space="preserve">、采购产品清单</w:t>
      </w:r>
      <w:r/>
    </w:p>
    <w:tbl>
      <w:tblPr>
        <w:tblStyle w:val="809"/>
        <w:tblW w:w="878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8"/>
        <w:gridCol w:w="2054"/>
        <w:gridCol w:w="3153"/>
        <w:gridCol w:w="1114"/>
        <w:gridCol w:w="1148"/>
      </w:tblGrid>
      <w:tr>
        <w:trPr>
          <w:trHeight w:val="454"/>
        </w:trPr>
        <w:tc>
          <w:tcPr>
            <w:shd w:val="clear" w:color="auto" w:fill="auto"/>
            <w:tcBorders>
              <w:bottom w:val="single" w:color="auto" w:sz="4" w:space="0"/>
            </w:tcBorders>
            <w:tcW w:w="1318"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序号（子目）</w:t>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jc w:val="cente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品种</w:t>
            </w:r>
            <w:r/>
          </w:p>
        </w:tc>
        <w:tc>
          <w:tcPr>
            <w:shd w:val="clear" w:color="auto" w:fill="auto"/>
            <w:tcBorders>
              <w:top w:val="single" w:color="auto" w:sz="4" w:space="0"/>
              <w:left w:val="none" w:color="000000" w:sz="4" w:space="0"/>
              <w:bottom w:val="single" w:color="auto" w:sz="4" w:space="0"/>
              <w:right w:val="single" w:color="auto" w:sz="4" w:space="0"/>
            </w:tcBorders>
            <w:tcW w:w="3153" w:type="dxa"/>
            <w:vAlign w:val="center"/>
            <w:textDirection w:val="lrTb"/>
            <w:noWrap/>
          </w:tcPr>
          <w:p>
            <w:pPr>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参考品牌</w:t>
            </w:r>
            <w:r/>
          </w:p>
        </w:tc>
        <w:tc>
          <w:tcPr>
            <w:shd w:val="clear" w:color="auto" w:fill="auto"/>
            <w:tcBorders>
              <w:top w:val="single" w:color="auto" w:sz="4" w:space="0"/>
              <w:left w:val="none" w:color="000000" w:sz="4" w:space="0"/>
              <w:bottom w:val="single" w:color="auto" w:sz="4" w:space="0"/>
              <w:right w:val="single" w:color="auto" w:sz="4" w:space="0"/>
            </w:tcBorders>
            <w:tcW w:w="1114"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规格</w:t>
            </w:r>
            <w:r/>
          </w:p>
        </w:tc>
        <w:tc>
          <w:tcPr>
            <w:tcBorders>
              <w:top w:val="single" w:color="auto" w:sz="4" w:space="0"/>
              <w:left w:val="none" w:color="000000" w:sz="4" w:space="0"/>
              <w:bottom w:val="single" w:color="auto" w:sz="4" w:space="0"/>
              <w:right w:val="single" w:color="auto" w:sz="4" w:space="0"/>
            </w:tcBorders>
            <w:tcW w:w="1148" w:type="dxa"/>
            <w:vAlign w:val="top"/>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预估</w:t>
            </w:r>
            <w:r>
              <w:rPr>
                <w:rFonts w:hint="eastAsia" w:ascii="宋体" w:hAnsi="宋体" w:cs="宋体"/>
                <w:color w:val="000000" w:themeColor="text1"/>
                <w:szCs w:val="21"/>
                <w:highlight w:val="none"/>
                <w14:textFill>
                  <w14:solidFill>
                    <w14:schemeClr w14:val="tx1"/>
                  </w14:solidFill>
                </w14:textFill>
              </w:rPr>
              <w:t xml:space="preserve">采购权重（%）</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去皮前腿肉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15.00%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鲜牛腩</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8.00%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排骨(小排)</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7.00%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肉丝</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6.00%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牛腱</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5.00%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带皮五花肉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5.00%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牛腩块</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4.00%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下五花肉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4.00%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带皮前腿肉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4.00%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牛里脊肉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4.00%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猪爪</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3.00%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大排</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3.00%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猪龙骨</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3.00%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精瘦肉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2.50%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肉片</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2.50%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牛肉粒（半成品）</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2.16%</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香肠</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1.68%</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去皮五花肉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1.61%</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小酥肉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1.49%</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半熟牛肚</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散装</w:t>
            </w:r>
            <w:r>
              <w:rPr>
                <w:rFonts w:hint="eastAsia"/>
                <w:color w:val="000000" w:themeColor="text1"/>
                <w:sz w:val="22"/>
                <w:szCs w:val="22"/>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1.44%</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仔排</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1.16%</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肥肠</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散装</w:t>
            </w:r>
            <w:r>
              <w:rPr>
                <w:rFonts w:hint="eastAsia"/>
                <w:color w:val="000000" w:themeColor="text1"/>
                <w:sz w:val="22"/>
                <w:szCs w:val="22"/>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1.10%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脆骨肠</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0.92%</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牛腿肉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0.83%</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去皮后腿肉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0.82%</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猪里脊肉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0.82%</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腊肉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0.73%</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原味鸡丁</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0.62%</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带肉扇子骨</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0.59%</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羊肉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0.54%</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鸽子(乳鸽)</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散装</w:t>
            </w:r>
            <w:r>
              <w:rPr>
                <w:rFonts w:hint="eastAsia"/>
                <w:color w:val="000000" w:themeColor="text1"/>
                <w:sz w:val="22"/>
                <w:szCs w:val="22"/>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只</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0.47%</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鸭肫</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0.43%</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带皮带骨方肉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0.38%</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小公鸡</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0.38%</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半熟猪肚</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散装</w:t>
            </w:r>
            <w:r>
              <w:rPr>
                <w:rFonts w:hint="eastAsia"/>
                <w:color w:val="000000" w:themeColor="text1"/>
                <w:sz w:val="22"/>
                <w:szCs w:val="22"/>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0.38%</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鸭肠</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0.37%</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带肉筒子骨</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0.38%</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牛筋</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散装</w:t>
            </w:r>
            <w:r>
              <w:rPr>
                <w:rFonts w:hint="eastAsia"/>
                <w:color w:val="000000" w:themeColor="text1"/>
                <w:sz w:val="22"/>
                <w:szCs w:val="22"/>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0.33%</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去骨猪头肉</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散装</w:t>
            </w:r>
            <w:r>
              <w:rPr>
                <w:rFonts w:hint="eastAsia"/>
                <w:color w:val="000000" w:themeColor="text1"/>
                <w:sz w:val="22"/>
                <w:szCs w:val="22"/>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0.31%</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肉丁</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0.29%</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猪腰</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0.24%</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红毛鸡</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0.24%</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带皮羊腿肉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0.24%</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羊蝎子</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0.23%</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猪肝</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0.20%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口条</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0.20%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精瘦肉片</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0.17%</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叉烧肉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0.16%</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精瘦肉丝</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0.15%</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童子鸡</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0.14%</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牛里脊（黄牛肉）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0.14%</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猪板油</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0.13%</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龙脆骨</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0.17%</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鸭肝</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0.11%</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鸡米花</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0.10%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老鹅</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0.09%</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迷你牙签肉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0.14%</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猪脆骨</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0.10%</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牛柳</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0.07%</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咸鸭腿</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0.07%</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牛大骨</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0.07%</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护心肉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0.06%</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羊排</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0.06%</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猪棒骨</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0.05%</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牛肋骨</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0.05%</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鲜鸡杂</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0.05%</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鸭带</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0.05%</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带皮带骨五花肉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0.04%</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猪心</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center"/>
            <w:textDirection w:val="lrTb"/>
            <w:noWrap/>
          </w:tcPr>
          <w:p>
            <w:pPr>
              <w:jc w:val="center"/>
              <w:spacing w:line="360" w:lineRule="auto"/>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0.04%</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鸭脖</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center"/>
            <w:textDirection w:val="lrTb"/>
            <w:noWrap/>
          </w:tcPr>
          <w:p>
            <w:pPr>
              <w:jc w:val="center"/>
              <w:spacing w:line="360" w:lineRule="auto"/>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0.04%</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培根</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0.06%</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去皮羊前腿</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0.03%</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肉皮</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0.02%</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老母鸡</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0.02%</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牛杂</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0.02%</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7"/>
              </w:num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后腿精肉</w:t>
            </w:r>
            <w:r/>
          </w:p>
        </w:tc>
        <w:tc>
          <w:tcPr>
            <w:shd w:val="clear" w:color="auto" w:fill="auto"/>
            <w:tcBorders>
              <w:top w:val="single" w:color="auto" w:sz="4" w:space="0"/>
              <w:left w:val="single" w:color="auto" w:sz="4" w:space="0"/>
              <w:bottom w:val="single" w:color="auto" w:sz="4" w:space="0"/>
              <w:right w:val="single" w:color="auto" w:sz="4" w:space="0"/>
            </w:tcBorders>
            <w:tcW w:w="315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等同或相当于</w:t>
            </w:r>
            <w:r>
              <w:rPr>
                <w:rFonts w:hint="eastAsia" w:ascii="宋体" w:hAnsi="宋体" w:cs="宋体"/>
                <w:color w:val="000000" w:themeColor="text1"/>
                <w:szCs w:val="21"/>
                <w:highlight w:val="none"/>
                <w14:textFill>
                  <w14:solidFill>
                    <w14:schemeClr w14:val="tx1"/>
                  </w14:solidFill>
                </w14:textFill>
              </w:rPr>
              <w:t xml:space="preserve">双汇、金锣、雨润、苏食</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tcPr>
          <w:p>
            <w:pPr>
              <w:jc w:val="right"/>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0.02%</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0"/>
              </w:numPr>
              <w:ind w:left="0" w:firstLine="0"/>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c>
          <w:tcPr>
            <w:gridSpan w:val="4"/>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实际采购包含但不限于上述食材，以实际供货品种、数量结算</w:t>
            </w:r>
            <w:r/>
          </w:p>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（以上目录供招标参考）</w:t>
            </w:r>
            <w:r/>
          </w:p>
        </w:tc>
      </w:tr>
      <w:tr>
        <w:trPr>
          <w:trHeight w:val="454"/>
        </w:trPr>
        <w:tc>
          <w:tcPr>
            <w:gridSpan w:val="5"/>
            <w:tcBorders>
              <w:top w:val="single" w:color="auto" w:sz="4" w:space="0"/>
              <w:bottom w:val="single" w:color="auto" w:sz="4" w:space="0"/>
              <w:right w:val="single" w:color="auto" w:sz="4" w:space="0"/>
            </w:tcBorders>
            <w:tcW w:w="8787" w:type="dxa"/>
            <w:vAlign w:val="center"/>
            <w:textDirection w:val="lrTb"/>
            <w:noWrap/>
          </w:tcPr>
          <w:p>
            <w:pPr>
              <w:pStyle w:val="821"/>
              <w:jc w:val="left"/>
              <w:spacing w:line="360" w:lineRule="auto"/>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说明：</w:t>
            </w:r>
            <w:r/>
          </w:p>
          <w:p>
            <w:pPr>
              <w:pStyle w:val="821"/>
              <w:jc w:val="left"/>
              <w:spacing w:line="360" w:lineRule="auto"/>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 xml:space="preserve">★1、肉禽类商品质量验收要求</w:t>
            </w:r>
            <w:r/>
          </w:p>
          <w:p>
            <w:pPr>
              <w:pStyle w:val="821"/>
              <w:jc w:val="left"/>
              <w:spacing w:line="360" w:lineRule="auto"/>
              <w:rPr>
                <w:rFonts w:hAnsi="宋体" w:cs="宋体"/>
                <w:b/>
                <w:bCs/>
                <w:color w:val="000000" w:themeColor="text1"/>
                <w:highlight w:val="none"/>
                <w14:textFill>
                  <w14:solidFill>
                    <w14:schemeClr w14:val="tx1"/>
                  </w14:solidFill>
                </w14:textFill>
              </w:rPr>
            </w:pPr>
            <w:r>
              <w:rPr>
                <w:rFonts w:ascii="Calibri" w:hAnsi="Calibri" w:cs="Calibri"/>
                <w:b/>
                <w:bCs/>
                <w:color w:val="000000" w:themeColor="text1"/>
                <w:highlight w:val="none"/>
                <w14:textFill>
                  <w14:solidFill>
                    <w14:schemeClr w14:val="tx1"/>
                  </w14:solidFill>
                </w14:textFill>
              </w:rPr>
              <w:t xml:space="preserve">①</w:t>
            </w:r>
            <w:r>
              <w:rPr>
                <w:rFonts w:hint="eastAsia" w:hAnsi="宋体" w:cs="宋体"/>
                <w:b/>
                <w:bCs/>
                <w:color w:val="000000" w:themeColor="text1"/>
                <w:highlight w:val="none"/>
                <w14:textFill>
                  <w14:solidFill>
                    <w14:schemeClr w14:val="tx1"/>
                  </w14:solidFill>
                </w14:textFill>
              </w:rPr>
              <w:t xml:space="preserve">新鲜的预冷肉（猪、牛、羊等）：感官正常，表皮无病状，肌肉无积血，体腔内无内脏；肉品表面应带有一层微干的外膜、有光泽，表面应微干或湿润、但不粘手，按压后凹陷立即恢复，无异味；应放血完全，肉质色泽光润，有弹性；应卫生、干净，不得沾染毛、污血或其他污染物。</w:t>
            </w:r>
            <w:r/>
          </w:p>
          <w:p>
            <w:pPr>
              <w:pStyle w:val="821"/>
              <w:jc w:val="left"/>
              <w:spacing w:line="360" w:lineRule="auto"/>
              <w:rPr>
                <w:rFonts w:hAnsi="宋体" w:cs="宋体"/>
                <w:b/>
                <w:bCs/>
                <w:color w:val="000000" w:themeColor="text1"/>
                <w:highlight w:val="none"/>
                <w14:textFill>
                  <w14:solidFill>
                    <w14:schemeClr w14:val="tx1"/>
                  </w14:solidFill>
                </w14:textFill>
              </w:rPr>
            </w:pPr>
            <w:r>
              <w:rPr>
                <w:rFonts w:ascii="Calibri" w:hAnsi="Calibri" w:cs="Calibri"/>
                <w:b/>
                <w:bCs/>
                <w:color w:val="000000" w:themeColor="text1"/>
                <w:highlight w:val="none"/>
                <w14:textFill>
                  <w14:solidFill>
                    <w14:schemeClr w14:val="tx1"/>
                  </w14:solidFill>
                </w14:textFill>
              </w:rPr>
              <w:t xml:space="preserve">②</w:t>
            </w:r>
            <w:r>
              <w:rPr>
                <w:rFonts w:hint="eastAsia" w:hAnsi="宋体" w:cs="宋体"/>
                <w:b/>
                <w:bCs/>
                <w:color w:val="000000" w:themeColor="text1"/>
                <w:highlight w:val="none"/>
                <w14:textFill>
                  <w14:solidFill>
                    <w14:schemeClr w14:val="tx1"/>
                  </w14:solidFill>
                </w14:textFill>
              </w:rPr>
              <w:t xml:space="preserve">内脏、头蹄等：应新鲜、卫生、干净，不得有残留毛发、积血、粪便等；外形正常、完整，无不良气味，无淤血、黑斑等异常感官；色泽鲜亮，组织结实有弹性。</w:t>
            </w:r>
            <w:r/>
          </w:p>
          <w:p>
            <w:pPr>
              <w:pStyle w:val="821"/>
              <w:jc w:val="left"/>
              <w:spacing w:line="360" w:lineRule="auto"/>
              <w:rPr>
                <w:rFonts w:hAnsi="宋体" w:cs="宋体"/>
                <w:b/>
                <w:bCs/>
                <w:color w:val="000000" w:themeColor="text1"/>
                <w:highlight w:val="none"/>
                <w14:textFill>
                  <w14:solidFill>
                    <w14:schemeClr w14:val="tx1"/>
                  </w14:solidFill>
                </w14:textFill>
              </w:rPr>
            </w:pPr>
            <w:r>
              <w:rPr>
                <w:rFonts w:ascii="Calibri" w:hAnsi="Calibri" w:cs="Calibri"/>
                <w:b/>
                <w:bCs/>
                <w:color w:val="000000" w:themeColor="text1"/>
                <w:highlight w:val="none"/>
                <w14:textFill>
                  <w14:solidFill>
                    <w14:schemeClr w14:val="tx1"/>
                  </w14:solidFill>
                </w14:textFill>
              </w:rPr>
              <w:t xml:space="preserve">③</w:t>
            </w:r>
            <w:r>
              <w:rPr>
                <w:rFonts w:hint="eastAsia" w:hAnsi="宋体" w:cs="宋体"/>
                <w:b/>
                <w:bCs/>
                <w:color w:val="000000" w:themeColor="text1"/>
                <w:highlight w:val="none"/>
                <w14:textFill>
                  <w14:solidFill>
                    <w14:schemeClr w14:val="tx1"/>
                  </w14:solidFill>
                </w14:textFill>
              </w:rPr>
              <w:t xml:space="preserve">禽类（鸡、鸭、鹅等）：所有禽体必须开膛，应是新鲜的预冷肉，感官正常，表皮无病状，肌肉无积血，体腔内无内脏、无喉管及任何填充物；应剔毛干净，表面有光泽，应卫生、干净，不得沾染毛、污血或其他污染物。</w:t>
            </w:r>
            <w:r/>
          </w:p>
          <w:p>
            <w:pPr>
              <w:pStyle w:val="821"/>
              <w:jc w:val="left"/>
              <w:spacing w:line="360" w:lineRule="auto"/>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 xml:space="preserve">④调味肉制品：切面肉馅有光泽，瘦肉呈枣红色或玫瑰色，脂肪呈乳白色或微带红色，色泽分明；肠衣干燥且紧贴肉馅，无粘液及霉点，表面感受呈收缩后的自然皱纹，切面坚实有弹性，红白相间均匀。咸甜适中，具有相应产品应有的气味，无其他任何不良气味。不允许有碎骨、软骨、血块、淋巴结、肌腱、筋膜等杂质和正常视力可见杂质。</w:t>
            </w:r>
            <w:r/>
          </w:p>
          <w:p>
            <w:pPr>
              <w:pStyle w:val="821"/>
              <w:jc w:val="left"/>
              <w:spacing w:line="360" w:lineRule="auto"/>
              <w:rPr>
                <w:rFonts w:hAnsi="宋体" w:cs="宋体"/>
                <w:b/>
                <w:bCs/>
                <w:color w:val="000000" w:themeColor="text1"/>
                <w:highlight w:val="none"/>
                <w14:textFill>
                  <w14:solidFill>
                    <w14:schemeClr w14:val="tx1"/>
                  </w14:solidFill>
                </w14:textFill>
              </w:rPr>
            </w:pPr>
            <w:r>
              <w:rPr>
                <w:rFonts w:hint="eastAsia" w:ascii="微软雅黑" w:hAnsi="微软雅黑" w:eastAsia="微软雅黑" w:cs="微软雅黑"/>
                <w:b/>
                <w:bCs/>
                <w:color w:val="000000" w:themeColor="text1"/>
                <w:highlight w:val="none"/>
                <w14:textFill>
                  <w14:solidFill>
                    <w14:schemeClr w14:val="tx1"/>
                  </w14:solidFill>
                </w14:textFill>
              </w:rPr>
              <w:t xml:space="preserve">★</w:t>
            </w:r>
            <w:r>
              <w:rPr>
                <w:rFonts w:hint="eastAsia" w:hAnsi="宋体" w:cs="宋体"/>
                <w:b/>
                <w:bCs/>
                <w:color w:val="000000" w:themeColor="text1"/>
                <w:highlight w:val="none"/>
                <w:lang w:val="en-US" w:eastAsia="zh-CN"/>
                <w14:textFill>
                  <w14:solidFill>
                    <w14:schemeClr w14:val="tx1"/>
                  </w14:solidFill>
                </w14:textFill>
              </w:rPr>
              <w:t xml:space="preserve">2、</w:t>
            </w:r>
            <w:r>
              <w:rPr>
                <w:rFonts w:hint="eastAsia" w:hAnsi="宋体" w:cs="宋体"/>
                <w:b/>
                <w:bCs/>
                <w:color w:val="000000" w:themeColor="text1"/>
                <w:highlight w:val="none"/>
                <w14:textFill>
                  <w14:solidFill>
                    <w14:schemeClr w14:val="tx1"/>
                  </w14:solidFill>
                </w14:textFill>
              </w:rPr>
              <w:t xml:space="preserve">供应商须填报统一优惠率，不得针对单独产品填报优惠率，否则视为无效标</w:t>
            </w:r>
            <w:r>
              <w:rPr>
                <w:rFonts w:hint="eastAsia" w:hAnsi="宋体" w:cs="宋体"/>
                <w:b/>
                <w:bCs/>
                <w:color w:val="000000" w:themeColor="text1"/>
                <w:highlight w:val="none"/>
                <w:lang w:eastAsia="zh-CN"/>
                <w14:textFill>
                  <w14:solidFill>
                    <w14:schemeClr w14:val="tx1"/>
                  </w14:solidFill>
                </w14:textFill>
              </w:rPr>
              <w:t xml:space="preserve">（</w:t>
            </w:r>
            <w:r>
              <w:rPr>
                <w:rFonts w:hint="eastAsia" w:hAnsi="宋体" w:cs="宋体"/>
                <w:b/>
                <w:bCs/>
                <w:color w:val="000000" w:themeColor="text1"/>
                <w:highlight w:val="none"/>
                <w:lang w:val="en-US" w:eastAsia="zh-CN"/>
                <w14:textFill>
                  <w14:solidFill>
                    <w14:schemeClr w14:val="tx1"/>
                  </w14:solidFill>
                </w14:textFill>
              </w:rPr>
              <w:t xml:space="preserve">结算单价=基准价格</w:t>
            </w:r>
            <w:r>
              <w:rPr>
                <w:rFonts w:ascii="Arial" w:hAnsi="Arial" w:cs="Arial"/>
                <w:b/>
                <w:bCs/>
                <w:color w:val="000000" w:themeColor="text1"/>
                <w:highlight w:val="none"/>
                <w:lang w:val="en-US" w:eastAsia="zh-CN"/>
                <w14:textFill>
                  <w14:solidFill>
                    <w14:schemeClr w14:val="tx1"/>
                  </w14:solidFill>
                </w14:textFill>
              </w:rPr>
              <w:t xml:space="preserve">×</w:t>
            </w:r>
            <w:r>
              <w:rPr>
                <w:rFonts w:hint="eastAsia" w:hAnsi="宋体" w:cs="宋体"/>
                <w:b/>
                <w:bCs/>
                <w:color w:val="000000" w:themeColor="text1"/>
                <w:highlight w:val="none"/>
                <w:lang w:val="en-US" w:eastAsia="zh-CN"/>
                <w14:textFill>
                  <w14:solidFill>
                    <w14:schemeClr w14:val="tx1"/>
                  </w14:solidFill>
                </w14:textFill>
              </w:rPr>
              <w:t xml:space="preserve">（1-优惠率）</w:t>
            </w:r>
            <w:r>
              <w:rPr>
                <w:rFonts w:hint="eastAsia" w:hAnsi="宋体" w:cs="宋体"/>
                <w:b/>
                <w:bCs/>
                <w:color w:val="000000" w:themeColor="text1"/>
                <w:highlight w:val="none"/>
                <w:lang w:eastAsia="zh-CN"/>
                <w14:textFill>
                  <w14:solidFill>
                    <w14:schemeClr w14:val="tx1"/>
                  </w14:solidFill>
                </w14:textFill>
              </w:rPr>
              <w:t xml:space="preserve">）</w:t>
            </w:r>
            <w:r>
              <w:rPr>
                <w:rFonts w:hint="eastAsia" w:hAnsi="宋体" w:cs="宋体"/>
                <w:b/>
                <w:bCs/>
                <w:color w:val="000000" w:themeColor="text1"/>
                <w:highlight w:val="none"/>
                <w14:textFill>
                  <w14:solidFill>
                    <w14:schemeClr w14:val="tx1"/>
                  </w14:solidFill>
                </w14:textFill>
              </w:rPr>
              <w:t xml:space="preserve">。</w:t>
            </w:r>
            <w:r/>
          </w:p>
          <w:p>
            <w:pPr>
              <w:pStyle w:val="821"/>
              <w:jc w:val="left"/>
              <w:spacing w:line="360" w:lineRule="auto"/>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lang w:val="en-US" w:eastAsia="zh-CN"/>
                <w14:textFill>
                  <w14:solidFill>
                    <w14:schemeClr w14:val="tx1"/>
                  </w14:solidFill>
                </w14:textFill>
              </w:rPr>
              <w:t xml:space="preserve">3</w:t>
            </w:r>
            <w:r>
              <w:rPr>
                <w:rFonts w:hint="eastAsia" w:hAnsi="宋体" w:cs="宋体"/>
                <w:color w:val="000000" w:themeColor="text1"/>
                <w:highlight w:val="none"/>
                <w14:textFill>
                  <w14:solidFill>
                    <w14:schemeClr w14:val="tx1"/>
                  </w14:solidFill>
                </w14:textFill>
              </w:rPr>
              <w:t xml:space="preserve">、上述清单中的品牌均为参考品牌，供应商有权选择等同于参考品牌的其他品牌产品；</w:t>
            </w:r>
            <w:r/>
          </w:p>
          <w:p>
            <w:pPr>
              <w:pStyle w:val="821"/>
              <w:jc w:val="left"/>
              <w:spacing w:line="360" w:lineRule="auto"/>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lang w:val="en-US" w:eastAsia="zh-CN"/>
                <w14:textFill>
                  <w14:solidFill>
                    <w14:schemeClr w14:val="tx1"/>
                  </w14:solidFill>
                </w14:textFill>
              </w:rPr>
              <w:t xml:space="preserve">4、价格核算方式</w:t>
            </w:r>
            <w:r>
              <w:rPr>
                <w:rFonts w:hint="eastAsia"/>
                <w:color w:val="000000" w:themeColor="text1"/>
                <w:highlight w:val="none"/>
                <w14:textFill>
                  <w14:solidFill>
                    <w14:schemeClr w14:val="tx1"/>
                  </w14:solidFill>
                </w14:textFill>
              </w:rPr>
              <w:t xml:space="preserve">详见招标文件第四章采购需求“五、价格核算及结算”</w:t>
            </w:r>
            <w:r>
              <w:rPr>
                <w:rFonts w:hint="eastAsia"/>
                <w:color w:val="000000" w:themeColor="text1"/>
                <w:highlight w:val="none"/>
                <w:lang w:eastAsia="zh-CN"/>
                <w14:textFill>
                  <w14:solidFill>
                    <w14:schemeClr w14:val="tx1"/>
                  </w14:solidFill>
                </w14:textFill>
              </w:rPr>
              <w:t xml:space="preserve">。</w:t>
            </w:r>
            <w:r/>
          </w:p>
        </w:tc>
      </w:tr>
    </w:tbl>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2"/>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二、质量要求</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1、质量标准</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1.1投标方保证供给招标人的商品符合国家相关质量标准，所有商品均具备应有的资质和检验检疫合格证。</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 产品质量符合《中华人民共和国农产品质量安全法》、《中华人民共和国食品安全法》相关要求。遵守国家和各级主管部门对于食品流通的相关法律法规及国家检验检疫的要求，不得出售假冒伪劣、过期变质的产品，各种产品质量均符合国家有关标准。</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 质量要求、技术标准、供方对质量负责的条件和期限以国家标准为准。</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 通用质量要求 </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1.4.1禁止供应：腐败变质、油脂酸败、霉变、生虫、污秽不洁、混油异物或其他感官性状异常，对人体有害的。</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1.4.2禁止供应：含有毒、有害物质或被有害物质污染，对人身体健康有害的。</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1.4.3禁止供应：含有严重超出标准限量的农药残留、兽药残留、重金属、污染物质以及其他危害人体健康的。</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1.4.4禁止供应：未经动物部门检疫、检验或者检疫、检验不合格的肉类及其制品。</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1.4.5禁止供应：病死、毒死或不明死因的禽、畜、兽、水产动物等及其制品。</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1.4.6禁止供应：用非食品原料加工的，加入非食品用化学物质或将非食品当做食品的。</w:t>
      </w:r>
      <w:r/>
    </w:p>
    <w:p>
      <w:pPr>
        <w:ind w:firstLine="422"/>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三、配送服务要求</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1、包装要求：</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1.1产品包装应符合中华人民共和国有关法律法规的规定及双方的约定，并确保产品安全、卫生地交付给采购人（投标人应当根据产品性质选择合适的运输车辆，确保产品及外包装的清洁卫生、无污染）。</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1.2产品包装应符合中华人民共和国法律、法规等有关标示的说明如产地、原材料、用途、警语、保质期及保质条件、生产日期等规定。包装物由投标人免费提供，并于24小时内回收相关的包装材料或容器。</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运输及仓储条件：投标人承诺拥有合格的无尘冷藏存储场地和无尘冷藏运输设备。具有严格的防鼠、防虫、防潮、卫生、照明、温度、湿度等存储要求和相关设备。如因投标人仓储和运输过程中发生食品安全问题，由投标人承担全部责任。</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1.4投标人承诺运输车辆、运输路线、运输安全，退换货、紧急要货等满足采购人要求。如因投标人原因耽误采购人使用，采购人有权追究投标人违约责任，并要求投标人赔偿相关损失。</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2、交提货时间、方式及地点</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订货时间：招标人至少需在送货前一天下午17:00前将订单以邮件形式或传真等形式发给投标人，投标人核对订单及检查库存，并在每次出货前1天下午19:00前将缺货及替代品项反馈给招标人，在征得招标人同意后修改订单。</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交货时间：依据采购人供货通知所要求的供货时间准时供货，当日订单食材、商品一次性送达，不允许分包给其他供应商及当日多次送货，否则视为违约。订单产品24小时内送至甲方指定地点，生鲜类供货商次日清晨7：00前送达。</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2.3交提货方式、地点及运费：投标人负责将货物送至采购人指定收货地点（南京市鼓楼区广州路72号、江东南路8号</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，并承担所有运输费。</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 招标人如临时增加用餐人员或用餐方式临时调整等原因，需临时补充原料的,投标供应商应在约定时间内无条件把指定的原料送至指定的地点。标供应商应满足采购方特殊情况采购及特定服务要求。</w:t>
      </w:r>
      <w:r/>
    </w:p>
    <w:p>
      <w:pPr>
        <w:ind w:firstLine="422"/>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四、验收要求</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产品送至指定地点，并经甲方指派人员点验、计量、签字后作为结算依据。双方共同对该批次产品的数量进行清点称重，确认产品数量与投标人送货单数量一致、无误差；双方共同对该批次产品质量进行验收。经检验产品数量与质量均无异议，双方共同在验收单上签字确认(验收单仅代表交接时抽检的数量与质量符合标准）。对于不合格货物，采购人可拒收，并只支付合格货物的货款，投标人需对不合格产品进行更换，不得耽误采购人使用，否则采购人有权追究投标人违约责任，并要求投标人赔偿相关损失。</w:t>
      </w:r>
      <w:r>
        <w:rPr>
          <w:rFonts w:hint="eastAsia" w:ascii="宋体" w:hAnsi="宋体" w:cs="宋体"/>
          <w:color w:val="000000" w:themeColor="text1"/>
          <w:szCs w:val="21"/>
          <w:highlight w:val="none"/>
          <w:lang w:val="en-US" w:eastAsia="zh-CN"/>
          <w14:textFill>
            <w14:solidFill>
              <w14:schemeClr w14:val="tx1"/>
            </w14:solidFill>
          </w14:textFill>
        </w:rPr>
        <w:t xml:space="preserve">投标方</w:t>
      </w:r>
      <w:r>
        <w:rPr>
          <w:rFonts w:hint="eastAsia" w:ascii="宋体" w:hAnsi="宋体" w:cs="宋体"/>
          <w:color w:val="000000" w:themeColor="text1"/>
          <w:szCs w:val="21"/>
          <w:highlight w:val="none"/>
          <w14:textFill>
            <w14:solidFill>
              <w14:schemeClr w14:val="tx1"/>
            </w14:solidFill>
          </w14:textFill>
        </w:rPr>
        <w:t xml:space="preserve">必须当日更换合格货品，产生的食堂停工损失由</w:t>
      </w:r>
      <w:r>
        <w:rPr>
          <w:rFonts w:hint="eastAsia" w:ascii="宋体" w:hAnsi="宋体" w:cs="宋体"/>
          <w:color w:val="000000" w:themeColor="text1"/>
          <w:szCs w:val="21"/>
          <w:highlight w:val="none"/>
          <w:lang w:val="en-US" w:eastAsia="zh-CN"/>
          <w14:textFill>
            <w14:solidFill>
              <w14:schemeClr w14:val="tx1"/>
            </w14:solidFill>
          </w14:textFill>
        </w:rPr>
        <w:t xml:space="preserve">投标方</w:t>
      </w:r>
      <w:r>
        <w:rPr>
          <w:rFonts w:hint="eastAsia" w:ascii="宋体" w:hAnsi="宋体" w:cs="宋体"/>
          <w:color w:val="000000" w:themeColor="text1"/>
          <w:szCs w:val="21"/>
          <w:highlight w:val="none"/>
          <w14:textFill>
            <w14:solidFill>
              <w14:schemeClr w14:val="tx1"/>
            </w14:solidFill>
          </w14:textFill>
        </w:rPr>
        <w:t xml:space="preserve">承担；甲方可随时委托第三方检测，只要检测不合格，全部检测费、应急采购费由</w:t>
      </w:r>
      <w:r>
        <w:rPr>
          <w:rFonts w:hint="eastAsia" w:ascii="宋体" w:hAnsi="宋体" w:cs="宋体"/>
          <w:color w:val="000000" w:themeColor="text1"/>
          <w:szCs w:val="21"/>
          <w:highlight w:val="none"/>
          <w:lang w:val="en-US" w:eastAsia="zh-CN"/>
          <w14:textFill>
            <w14:solidFill>
              <w14:schemeClr w14:val="tx1"/>
            </w14:solidFill>
          </w14:textFill>
        </w:rPr>
        <w:t xml:space="preserve">投标方</w:t>
      </w:r>
      <w:r>
        <w:rPr>
          <w:rFonts w:hint="eastAsia" w:ascii="宋体" w:hAnsi="宋体" w:cs="宋体"/>
          <w:color w:val="000000" w:themeColor="text1"/>
          <w:szCs w:val="21"/>
          <w:highlight w:val="none"/>
          <w14:textFill>
            <w14:solidFill>
              <w14:schemeClr w14:val="tx1"/>
            </w14:solidFill>
          </w14:textFill>
        </w:rPr>
        <w:t xml:space="preserve">承担。</w:t>
      </w:r>
      <w:r>
        <w:rPr>
          <w:rFonts w:hint="eastAsia" w:ascii="宋体" w:hAnsi="宋体" w:cs="宋体"/>
          <w:color w:val="000000" w:themeColor="text1"/>
          <w:szCs w:val="21"/>
          <w:highlight w:val="none"/>
          <w:lang w:val="en-US" w:eastAsia="zh-CN"/>
          <w14:textFill>
            <w14:solidFill>
              <w14:schemeClr w14:val="tx1"/>
            </w14:solidFill>
          </w14:textFill>
        </w:rPr>
        <w:t xml:space="preserve">若投标方</w:t>
      </w:r>
      <w:r>
        <w:rPr>
          <w:rFonts w:hint="eastAsia" w:ascii="宋体" w:hAnsi="宋体" w:cs="宋体"/>
          <w:color w:val="000000" w:themeColor="text1"/>
          <w:szCs w:val="21"/>
          <w:highlight w:val="none"/>
          <w14:textFill>
            <w14:solidFill>
              <w14:schemeClr w14:val="tx1"/>
            </w14:solidFill>
          </w14:textFill>
        </w:rPr>
        <w:t xml:space="preserve">无法满足订单，必须提前 12 小时书面告知甲方并提供同等品质替代食材，替代食材价格不得高于原供货价；未提前告知导致食堂断供，按当日订单金额 20% 支付违约金。所有食材必须一次性送达，严禁分多次送货、委托第三方无报备配送；一经发现视为转包，直接没收保证金并解除合同。</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随货提供相应的检测检疫合格证明，该证明作为验收内容一部分。采购猪肉要批批查验并留存“两证一报告”《动物产品检疫合格证明》、《肉品品质检验合格证明》、《非洲猪瘟检测报告》。采购牛肉、羊肉、禽肉等其它畜禽肉要查验并留存《动物产品检疫合格证明》。采购进口肉类或肉制品还应查看《入境货物检验检疫证明》等证明文件。</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3、明确质保期产品验收：要求剩余保存期不少于原有保质期的三分之二，超过日期视为验收不合格。</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4、验收标准、方法及提出异议期限：交货地点当场验收，任何异议提出以双方书面签字为准。</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5、采购方有权对物资进行抽检送检，检测不合格的，乙方承担检测费用及相应的违约责任。</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6、同一种商品在价格参考体系中有不同品牌和规格的，由招标人指定品牌规格进行配送。</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7、投标方需按照招标方提出的加工要求进行产品加工并送达验收，未按要求加工，招标方可视为验收不合格。</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8、采购方在收到物资后，如发现损耗偏高、质量不达标以及其他有关非正常情况，应及时向供应商提出，供应商应负责解决问题， 并在当天上午规定时间前完成更换的配送，同时承担由此造成的各类损失和费用，同时招标人有权扣除履约保证金的5%/次作为处罚。</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9、投标人应及时配送，因投标人不及时配送而造成的各类损失和费用（如招标人自行采购商品的费用以及运输交通等费用）由投标人承担，同时招标人有权扣除履约保证金的5%/次作为处罚。</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五、价格核算及结算</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1、中标时优惠率为中标后供货期内的优惠率。</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2、合同期内每三个月允许调价一次，成交供货商于调整日前10日报下期产品的价格。</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3、合同签定后，按如下方式确定核算价格：</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于首次供货前10日报出供货产品价格。甲方以首次供货前10日市场询价：南京市发改委网站（http://fgw.nanjing.gov.cn）价格信息栏“南京市部分农贸市场主副食品周平均价格水平”有相关价格的，以网站最新报价为基准价（市发改委未公布价格的食材产品，甲方将进行市场询价，以甲方周边3个市场价格的零售价均价作为基准价格）；</w:t>
      </w:r>
      <w:r>
        <w:rPr>
          <w:rFonts w:hint="eastAsia" w:ascii="宋体" w:hAnsi="宋体" w:cs="宋体"/>
          <w:color w:val="000000" w:themeColor="text1"/>
          <w:szCs w:val="21"/>
          <w:highlight w:val="none"/>
          <w:lang w:val="en-US" w:eastAsia="zh-CN"/>
          <w14:textFill>
            <w14:solidFill>
              <w14:schemeClr w14:val="tx1"/>
            </w14:solidFill>
          </w14:textFill>
        </w:rPr>
        <w:t xml:space="preserve">供货价格=基准价格×（1-优惠率），供货价格与供货商所报商品的单价“取低”作为最终的核算价格</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期内每三个月允许调价一次，乙方于调整日前10日报下期产品的价格。价格调整时，需提供书面调价申请，甲方以调整日前10日市场询价：南京市发改委网站（http://fgw.nanjing.gov.cn）价格信息栏“南京市部分农贸市场主副食品周平均价格水平”有相关价格的，以网站最新报价为基准价（市发改委未公布价格的食材产品，甲方将进行市场询价，以甲方周边3个市场价格的零售价均价作为基准价格）；</w:t>
      </w:r>
      <w:r>
        <w:rPr>
          <w:rFonts w:hint="eastAsia" w:ascii="宋体" w:hAnsi="宋体" w:cs="宋体"/>
          <w:color w:val="000000" w:themeColor="text1"/>
          <w:szCs w:val="21"/>
          <w:highlight w:val="none"/>
          <w:lang w:val="en-US" w:eastAsia="zh-CN"/>
          <w14:textFill>
            <w14:solidFill>
              <w14:schemeClr w14:val="tx1"/>
            </w14:solidFill>
          </w14:textFill>
        </w:rPr>
        <w:t xml:space="preserve">供货价格=基准价格×（1-优惠率），供货价格与供货商所报商品的单价“取低”作为最终的核算价格</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乙方每 3 个月调价申请，甲方有权根据市场行情直接驳回、下调基准价，无需乙方同意；乙方对价格有异议，不得停止供货，必须按原价格继续履约，争议协商同步进行。若上游屠宰市场单月涨幅超 15%，乙方申请临时调价必须提供完整上游进货合同、付款凭证、屠宰场票据，甲方核验后方可调整；无完整溯源凭证，甲方不予调价。供货价格=基准价格×（1-优惠率）</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永久优先保障甲方采购成本最低；乙方不得通过更换低品质肉类变相涨价，更换品种必须甲方书面同意。甲方可随时独立走访农贸市场、屠宰企业采集均价，若乙方供货价高于市场公允价，甲方有权单方面下调结算价格，并扣除当月对应差价。</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）结算时按核算价格按实结算。</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4、如价格参考体系中的报价出现异常，明显高于市场价格或无法查询相关报价，招标人有权结合市场调查和临近时间的价格参考体系的价格适时调整报价。</w:t>
      </w:r>
      <w:r/>
    </w:p>
    <w:p>
      <w:pPr>
        <w:ind w:firstLine="422"/>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六、其他要求</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1、投标供应商应认可甲方市场调查、认可甲方采取的同类比较、现场考察和满意度调查等方式的考核，评估其价格合理性、服务及时性和质量稳定性。</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2、签订合同前，投标供应商须提供营业执照（三证合一）、食品经营许可证（或食品生产许可证）、法人代表身份证等原件及涉及配送人员有关资料等供采购方查验，并提供加盖单位公章的复印件一份。</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3、采购渠道：投标供应商所供食材采购渠道应为正规途径采购，招标人有权要求提供供货渠道证明。</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4、提供进货制度，投标供应商与货物生产源头建有合法稳定的供销关系，包括食品质量管理制度（含进货溯源服务、检验证明以及仓储物流对接措施）等，确保所供货物生产、供应链完整、溯源可靠。</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5、投标供应商需制定售后服务方案，售后服务方案包括但不限于服务承诺、响应时间、保障措施以及其他各方面的支持和配合情况等。</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6、投标供应商需制定应急预案，如出现恶劣天气及招标人有特殊需求等情况。</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在供货过程中，如出现质量问题或保质期不足的情况，招标人有权拒绝接受所提供的物品或食品。若因食品质量问题导致的食品安全和食物中毒等事故（经市场监督管理、卫生防疫部门鉴定），由此造成的全部经济损失和法律责任由投标供应商承担全部责任，主要包括食物中毒人员医疗费、误工费、事故处理费等，直至追究刑事责任通过法律途径解决。同时招标人有权取消其供应资格。</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8、投标供应商须建立健全食品安全管理制度和从业人员健康管理制度。需严格遵守采购方的管理规定，工作人员应服从管理，不得私自在加工区域逗留，不得有偷窃、夹带等违规情况，如经发现将严肃处理。</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9、招标人根据国家食品相关法律法规索证索票，投标供应商在服务过程中，应根据招标人要求提供各类票证。</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投标供应商要按照订购单中明确的数量、规格、大小等要求送货。如果确有特殊情况无法满足食堂送货需求，投标供应商应立即将无法送货理由反馈招标人，并提出合理参考意见。未征得招标人同意，投标供应商不得随意调整更改食堂送货需求，否则招标人将退货处理。</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11、在项目的实施中，要明确项目经理1名，具有一定食品安全法律知识及食品管理技能的专职人员，具备较强的沟通能力和临时紧急配送调换的处置能力。整个项目团队的人员要相对稳定。</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12、中标方签订合同之后的5个工作日内须缴</w:t>
      </w:r>
      <w:r>
        <w:rPr>
          <w:rFonts w:hint="eastAsia" w:ascii="宋体" w:hAnsi="宋体" w:cs="宋体"/>
          <w:color w:val="000000" w:themeColor="text1"/>
          <w:szCs w:val="21"/>
          <w:highlight w:val="none"/>
          <w:lang w:val="en-US" w:eastAsia="zh-CN"/>
          <w14:textFill>
            <w14:solidFill>
              <w14:schemeClr w14:val="tx1"/>
            </w14:solidFill>
          </w14:textFill>
        </w:rPr>
        <w:t xml:space="preserve">贰</w:t>
      </w:r>
      <w:r>
        <w:rPr>
          <w:rFonts w:hint="eastAsia" w:ascii="宋体" w:hAnsi="宋体" w:cs="宋体"/>
          <w:color w:val="000000" w:themeColor="text1"/>
          <w:szCs w:val="21"/>
          <w:highlight w:val="none"/>
          <w14:textFill>
            <w14:solidFill>
              <w14:schemeClr w14:val="tx1"/>
            </w14:solidFill>
          </w14:textFill>
        </w:rPr>
        <w:t xml:space="preserve">拾万元履约保证金，合同期满后无息退还。</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13、如中标供应商在项目实施期间出现违背投标时的承诺，或经营异常，或丧失商业信誉，或产品被曝光不合格或被政府部门取缔相关生产经营资格的情况，招标人有权直接解除合同并没收其履约保证金。</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39"/>
        <w:ind w:firstLine="569"/>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第五章 评标方法与评标标准</w:t>
      </w:r>
      <w:bookmarkEnd w:id="258"/>
      <w:r/>
      <w:r/>
    </w:p>
    <w:p>
      <w:pPr>
        <w:jc w:val="left"/>
        <w:spacing w:line="360" w:lineRule="auto"/>
        <w:rPr>
          <w:rFonts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一、评标方法</w:t>
      </w:r>
      <w:r/>
    </w:p>
    <w:p>
      <w:pPr>
        <w:ind w:firstLine="420"/>
        <w:jc w:val="left"/>
        <w:spacing w:line="360" w:lineRule="auto"/>
        <w:rPr>
          <w:rFonts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评委会将对确定为实质性响应采购文件要求的投标文件进行评价和比较，评标采用综合评估法。</w:t>
      </w:r>
      <w:r/>
    </w:p>
    <w:p>
      <w:pPr>
        <w:jc w:val="left"/>
        <w:spacing w:line="360" w:lineRule="auto"/>
        <w:rPr>
          <w:rFonts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二、评标标准</w:t>
      </w:r>
      <w:r/>
    </w:p>
    <w:p>
      <w:pPr>
        <w:ind w:firstLine="420"/>
        <w:jc w:val="left"/>
        <w:spacing w:line="360" w:lineRule="auto"/>
        <w:rPr>
          <w:rFonts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本项目采用综合评估法确定中标候选人。评标委员会将按下列评分办法和标准进行评分，总分值为100分。</w:t>
      </w:r>
      <w:r/>
    </w:p>
    <w:tbl>
      <w:tblPr>
        <w:tblStyle w:val="809"/>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155"/>
        <w:gridCol w:w="6530"/>
        <w:gridCol w:w="726"/>
      </w:tblGrid>
      <w:tr>
        <w:trPr>
          <w:trHeight w:val="817"/>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评分因素</w:t>
            </w:r>
            <w:r/>
          </w:p>
        </w:tc>
        <w:tc>
          <w:tcPr>
            <w:tcBorders>
              <w:top w:val="single" w:color="auto" w:sz="4" w:space="0"/>
              <w:left w:val="none" w:color="000000" w:sz="4" w:space="0"/>
              <w:bottom w:val="single" w:color="auto" w:sz="4" w:space="0"/>
              <w:right w:val="single" w:color="auto" w:sz="4" w:space="0"/>
            </w:tcBorders>
            <w:tcW w:w="6530"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评审标准</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分值</w:t>
            </w:r>
            <w:r/>
          </w:p>
        </w:tc>
      </w:tr>
      <w:tr>
        <w:trPr>
          <w:trHeight w:val="1623"/>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numPr>
                <w:ilvl w:val="0"/>
                <w:numId w:val="8"/>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价格分</w:t>
            </w:r>
            <w:r/>
          </w:p>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（30分）</w:t>
            </w:r>
            <w:r/>
          </w:p>
        </w:tc>
        <w:tc>
          <w:tcPr>
            <w:tcBorders>
              <w:top w:val="single" w:color="auto" w:sz="4" w:space="0"/>
              <w:left w:val="none" w:color="000000" w:sz="4" w:space="0"/>
              <w:bottom w:val="single" w:color="auto" w:sz="4" w:space="0"/>
              <w:right w:val="single" w:color="auto" w:sz="4" w:space="0"/>
            </w:tcBorders>
            <w:tcW w:w="6530" w:type="dxa"/>
            <w:vAlign w:val="center"/>
            <w:textDirection w:val="lrTb"/>
            <w:noWrap w:val="false"/>
          </w:tcPr>
          <w:p>
            <w:pPr>
              <w:contextualSpacing/>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采用低价优先法计算，即满足采购文件要求且优惠率最高的，作为评标基准优惠率，其价格分为满分30分。</w:t>
            </w:r>
            <w:r/>
          </w:p>
          <w:p>
            <w:pPr>
              <w:contextualSpacing/>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其他供应商的价格分统一按照下列公式计算:价格得分=【（1-评标基准优惠率）/（1-评审优惠率）】×30（小数点保留两位）</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w:t>
            </w:r>
            <w:r/>
          </w:p>
        </w:tc>
      </w:tr>
      <w:tr>
        <w:trPr>
          <w:trHeight w:val="2832"/>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numPr>
                <w:ilvl w:val="0"/>
                <w:numId w:val="8"/>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业绩</w:t>
            </w:r>
            <w:r/>
          </w:p>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cs="宋体"/>
                <w:bCs/>
                <w:color w:val="000000" w:themeColor="text1"/>
                <w:szCs w:val="21"/>
                <w:highlight w:val="none"/>
                <w14:textFill>
                  <w14:solidFill>
                    <w14:schemeClr w14:val="tx1"/>
                  </w14:solidFill>
                </w14:textFill>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6530" w:type="dxa"/>
            <w:vAlign w:val="center"/>
            <w:textDirection w:val="lrTb"/>
            <w:noWrap w:val="false"/>
          </w:tcPr>
          <w:p>
            <w:pPr>
              <w:spacing w:line="360" w:lineRule="auto"/>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供应商提供近三年以来（自202</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年1月1日以来）与本项目类似供货业绩（</w:t>
            </w:r>
            <w:r>
              <w:rPr>
                <w:rFonts w:hint="eastAsia" w:ascii="宋体" w:hAnsi="宋体" w:cs="宋体"/>
                <w:b/>
                <w:color w:val="000000" w:themeColor="text1"/>
                <w:szCs w:val="21"/>
                <w:highlight w:val="none"/>
                <w14:textFill>
                  <w14:solidFill>
                    <w14:schemeClr w14:val="tx1"/>
                  </w14:solidFill>
                </w14:textFill>
              </w:rPr>
              <w:t xml:space="preserve">合同供货内容中须</w:t>
            </w:r>
            <w:r>
              <w:rPr>
                <w:rFonts w:hint="eastAsia" w:ascii="宋体" w:hAnsi="宋体" w:cs="宋体"/>
                <w:b/>
                <w:color w:val="000000" w:themeColor="text1"/>
                <w:szCs w:val="21"/>
                <w:highlight w:val="none"/>
                <w:lang w:val="en-US" w:eastAsia="zh-CN"/>
                <w14:textFill>
                  <w14:solidFill>
                    <w14:schemeClr w14:val="tx1"/>
                  </w14:solidFill>
                </w14:textFill>
              </w:rPr>
              <w:t xml:space="preserve">同时</w:t>
            </w:r>
            <w:r>
              <w:rPr>
                <w:rFonts w:hint="eastAsia" w:ascii="宋体" w:hAnsi="宋体" w:cs="宋体"/>
                <w:b/>
                <w:color w:val="000000" w:themeColor="text1"/>
                <w:szCs w:val="21"/>
                <w:highlight w:val="none"/>
                <w14:textFill>
                  <w14:solidFill>
                    <w14:schemeClr w14:val="tx1"/>
                  </w14:solidFill>
                </w14:textFill>
              </w:rPr>
              <w:t xml:space="preserve">包括</w:t>
            </w:r>
            <w:r>
              <w:rPr>
                <w:rFonts w:hint="eastAsia" w:ascii="宋体" w:hAnsi="宋体" w:cs="宋体"/>
                <w:b/>
                <w:color w:val="000000" w:themeColor="text1"/>
                <w:szCs w:val="21"/>
                <w:highlight w:val="none"/>
                <w:lang w:val="en-US" w:eastAsia="zh-CN"/>
                <w14:textFill>
                  <w14:solidFill>
                    <w14:schemeClr w14:val="tx1"/>
                  </w14:solidFill>
                </w14:textFill>
              </w:rPr>
              <w:t xml:space="preserve">猪</w:t>
            </w:r>
            <w:r>
              <w:rPr>
                <w:rFonts w:hint="eastAsia" w:ascii="宋体" w:hAnsi="宋体" w:cs="宋体"/>
                <w:b/>
                <w:color w:val="000000" w:themeColor="text1"/>
                <w:szCs w:val="21"/>
                <w:highlight w:val="none"/>
                <w14:textFill>
                  <w14:solidFill>
                    <w14:schemeClr w14:val="tx1"/>
                  </w14:solidFill>
                </w14:textFill>
              </w:rPr>
              <w:t xml:space="preserve">肉类</w:t>
            </w:r>
            <w:r>
              <w:rPr>
                <w:rFonts w:hint="eastAsia" w:ascii="宋体" w:hAnsi="宋体" w:cs="宋体"/>
                <w:b/>
                <w:color w:val="000000" w:themeColor="text1"/>
                <w:szCs w:val="21"/>
                <w:highlight w:val="none"/>
                <w:lang w:val="en-US" w:eastAsia="zh-CN"/>
                <w14:textFill>
                  <w14:solidFill>
                    <w14:schemeClr w14:val="tx1"/>
                  </w14:solidFill>
                </w14:textFill>
              </w:rPr>
              <w:t xml:space="preserve">和牛肉类</w:t>
            </w:r>
            <w:r>
              <w:rPr>
                <w:rFonts w:hint="eastAsia" w:ascii="宋体" w:hAnsi="宋体" w:cs="宋体"/>
                <w:b/>
                <w:color w:val="000000" w:themeColor="text1"/>
                <w:szCs w:val="21"/>
                <w:highlight w:val="none"/>
                <w14:textFill>
                  <w14:solidFill>
                    <w14:schemeClr w14:val="tx1"/>
                  </w14:solidFill>
                </w14:textFill>
              </w:rPr>
              <w:t xml:space="preserve">产品</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上述供货内容以合同项下的发票明细为准</w:t>
            </w:r>
            <w:r>
              <w:rPr>
                <w:rFonts w:hint="eastAsia" w:ascii="宋体" w:hAnsi="宋体" w:cs="宋体"/>
                <w:bCs/>
                <w:color w:val="000000" w:themeColor="text1"/>
                <w:szCs w:val="21"/>
                <w:highlight w:val="none"/>
                <w14:textFill>
                  <w14:solidFill>
                    <w14:schemeClr w14:val="tx1"/>
                  </w14:solidFill>
                </w14:textFill>
              </w:rPr>
              <w:t xml:space="preserve">），每提供一份得3分，满分9分。</w:t>
            </w:r>
            <w:r/>
          </w:p>
          <w:p>
            <w:pPr>
              <w:spacing w:line="360" w:lineRule="auto"/>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注：本项需提供以下两项证明材料，缺一不得分：</w:t>
            </w:r>
            <w:r/>
          </w:p>
          <w:p>
            <w:pPr>
              <w:numPr>
                <w:ilvl w:val="0"/>
                <w:numId w:val="0"/>
              </w:numPr>
              <w:contextualSpacing/>
              <w:spacing w:line="360" w:lineRule="auto"/>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合同复印件（</w:t>
            </w:r>
            <w:r>
              <w:rPr>
                <w:rFonts w:hint="eastAsia" w:ascii="宋体" w:hAnsi="宋体" w:cs="宋体"/>
                <w:b/>
                <w:color w:val="000000" w:themeColor="text1"/>
                <w:szCs w:val="21"/>
                <w:highlight w:val="none"/>
                <w14:textFill>
                  <w14:solidFill>
                    <w14:schemeClr w14:val="tx1"/>
                  </w14:solidFill>
                </w14:textFill>
              </w:rPr>
              <w:t xml:space="preserve">时间以合同签订时间为准</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服务期须不少于1年</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同一采购单位的多份合同业绩，不重复计分</w:t>
            </w:r>
            <w:r>
              <w:rPr>
                <w:rFonts w:hint="eastAsia" w:ascii="宋体" w:hAnsi="宋体" w:cs="宋体"/>
                <w:bCs/>
                <w:color w:val="000000" w:themeColor="text1"/>
                <w:szCs w:val="21"/>
                <w:highlight w:val="none"/>
                <w14:textFill>
                  <w14:solidFill>
                    <w14:schemeClr w14:val="tx1"/>
                  </w14:solidFill>
                </w14:textFill>
              </w:rPr>
              <w:t xml:space="preserve">）；</w:t>
            </w:r>
            <w:r/>
          </w:p>
          <w:p>
            <w:pPr>
              <w:numPr>
                <w:ilvl w:val="0"/>
                <w:numId w:val="0"/>
              </w:numPr>
              <w:contextualSpacing/>
              <w:spacing w:line="360" w:lineRule="auto"/>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合同期内的供货发票（</w:t>
            </w:r>
            <w:r>
              <w:rPr>
                <w:rFonts w:hint="eastAsia" w:ascii="宋体" w:hAnsi="宋体" w:cs="宋体"/>
                <w:b/>
                <w:color w:val="000000" w:themeColor="text1"/>
                <w:szCs w:val="21"/>
                <w:highlight w:val="none"/>
                <w:lang w:val="en-US" w:eastAsia="zh-CN"/>
                <w14:textFill>
                  <w14:solidFill>
                    <w14:schemeClr w14:val="tx1"/>
                  </w14:solidFill>
                </w14:textFill>
              </w:rPr>
              <w:t xml:space="preserve">含发票明细</w:t>
            </w:r>
            <w:r>
              <w:rPr>
                <w:rFonts w:hint="eastAsia" w:ascii="宋体" w:hAnsi="宋体" w:cs="宋体"/>
                <w:bCs/>
                <w:color w:val="000000" w:themeColor="text1"/>
                <w:szCs w:val="21"/>
                <w:highlight w:val="none"/>
                <w14:textFill>
                  <w14:solidFill>
                    <w14:schemeClr w14:val="tx1"/>
                  </w14:solidFill>
                </w14:textFill>
              </w:rPr>
              <w:t xml:space="preserve">）复印件</w:t>
            </w:r>
            <w:r>
              <w:rPr>
                <w:rFonts w:hint="eastAsia" w:ascii="宋体" w:hAnsi="宋体" w:cs="宋体"/>
                <w:bCs/>
                <w:color w:val="000000" w:themeColor="text1"/>
                <w:szCs w:val="21"/>
                <w:highlight w:val="none"/>
                <w:lang w:eastAsia="zh-CN"/>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p>
        </w:tc>
      </w:tr>
      <w:tr>
        <w:trPr>
          <w:trHeight w:val="2026"/>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numPr>
                <w:ilvl w:val="0"/>
                <w:numId w:val="8"/>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用户评价（3分）</w:t>
            </w:r>
            <w:r/>
          </w:p>
        </w:tc>
        <w:tc>
          <w:tcPr>
            <w:shd w:val="clear" w:color="auto" w:fill="auto"/>
            <w:tcBorders>
              <w:top w:val="single" w:color="auto" w:sz="4" w:space="0"/>
              <w:left w:val="none" w:color="000000" w:sz="4" w:space="0"/>
              <w:bottom w:val="single" w:color="auto" w:sz="4" w:space="0"/>
              <w:right w:val="single" w:color="auto" w:sz="4" w:space="0"/>
            </w:tcBorders>
            <w:tcW w:w="6530" w:type="dxa"/>
            <w:vAlign w:val="center"/>
            <w:textDirection w:val="lrTb"/>
            <w:noWrap w:val="false"/>
          </w:tcPr>
          <w:p>
            <w:pPr>
              <w:contextualSpacing/>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近三年以来（自202</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年1月1日以来）</w:t>
            </w:r>
            <w:r>
              <w:rPr>
                <w:rFonts w:hint="eastAsia" w:ascii="宋体" w:hAnsi="宋体" w:cs="宋体"/>
                <w:bCs/>
                <w:color w:val="000000" w:themeColor="text1"/>
                <w:szCs w:val="21"/>
                <w:highlight w:val="none"/>
                <w:lang w:val="en-US" w:eastAsia="zh-CN"/>
                <w14:textFill>
                  <w14:solidFill>
                    <w14:schemeClr w14:val="tx1"/>
                  </w14:solidFill>
                </w14:textFill>
              </w:rPr>
              <w:t xml:space="preserve">肉制品供货项目</w:t>
            </w:r>
            <w:r>
              <w:rPr>
                <w:rFonts w:hint="eastAsia" w:ascii="宋体" w:hAnsi="宋体" w:cs="宋体"/>
                <w:bCs/>
                <w:color w:val="000000" w:themeColor="text1"/>
                <w:szCs w:val="21"/>
                <w:highlight w:val="none"/>
                <w14:textFill>
                  <w14:solidFill>
                    <w14:schemeClr w14:val="tx1"/>
                  </w14:solidFill>
                </w14:textFill>
              </w:rPr>
              <w:t xml:space="preserve">获得业主评价结果为优秀或满意的评价材料，每提供1份得1分，最高得3分（</w:t>
            </w:r>
            <w:r>
              <w:rPr>
                <w:rFonts w:hint="eastAsia" w:ascii="宋体" w:hAnsi="宋体" w:cs="宋体"/>
                <w:b/>
                <w:color w:val="000000" w:themeColor="text1"/>
                <w:szCs w:val="21"/>
                <w:highlight w:val="none"/>
                <w14:textFill>
                  <w14:solidFill>
                    <w14:schemeClr w14:val="tx1"/>
                  </w14:solidFill>
                </w14:textFill>
              </w:rPr>
              <w:t xml:space="preserve">提供用户盖章的评价材料</w:t>
            </w:r>
            <w:r>
              <w:rPr>
                <w:rFonts w:hint="eastAsia" w:ascii="宋体" w:hAnsi="宋体" w:cs="宋体"/>
                <w:b/>
                <w:color w:val="000000" w:themeColor="text1"/>
                <w:szCs w:val="21"/>
                <w:highlight w:val="none"/>
                <w:lang w:val="en-US" w:eastAsia="zh-CN"/>
                <w14:textFill>
                  <w14:solidFill>
                    <w14:schemeClr w14:val="tx1"/>
                  </w14:solidFill>
                </w14:textFill>
              </w:rPr>
              <w:t xml:space="preserve">复印件</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须体现评价时间、供货内容及评价结果，</w:t>
            </w:r>
            <w:r>
              <w:rPr>
                <w:rFonts w:hint="eastAsia" w:ascii="宋体" w:hAnsi="宋体" w:cs="宋体"/>
                <w:b/>
                <w:color w:val="000000" w:themeColor="text1"/>
                <w:szCs w:val="21"/>
                <w:highlight w:val="none"/>
                <w14:textFill>
                  <w14:solidFill>
                    <w14:schemeClr w14:val="tx1"/>
                  </w14:solidFill>
                </w14:textFill>
              </w:rPr>
              <w:t xml:space="preserve">否则不予认可</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同一</w:t>
            </w:r>
            <w:r>
              <w:rPr>
                <w:rFonts w:hint="eastAsia" w:ascii="宋体" w:hAnsi="宋体" w:cs="宋体"/>
                <w:b/>
                <w:color w:val="000000" w:themeColor="text1"/>
                <w:szCs w:val="21"/>
                <w:highlight w:val="none"/>
                <w:lang w:val="en-US" w:eastAsia="zh-CN"/>
                <w14:textFill>
                  <w14:solidFill>
                    <w14:schemeClr w14:val="tx1"/>
                  </w14:solidFill>
                </w14:textFill>
              </w:rPr>
              <w:t xml:space="preserve">业主单位</w:t>
            </w:r>
            <w:r>
              <w:rPr>
                <w:rFonts w:hint="eastAsia" w:ascii="宋体" w:hAnsi="宋体" w:cs="宋体"/>
                <w:b/>
                <w:color w:val="000000" w:themeColor="text1"/>
                <w:szCs w:val="21"/>
                <w:highlight w:val="none"/>
                <w14:textFill>
                  <w14:solidFill>
                    <w14:schemeClr w14:val="tx1"/>
                  </w14:solidFill>
                </w14:textFill>
              </w:rPr>
              <w:t xml:space="preserve">的多份</w:t>
            </w:r>
            <w:r>
              <w:rPr>
                <w:rFonts w:hint="eastAsia" w:ascii="宋体" w:hAnsi="宋体" w:cs="宋体"/>
                <w:b/>
                <w:color w:val="000000" w:themeColor="text1"/>
                <w:szCs w:val="21"/>
                <w:highlight w:val="none"/>
                <w:lang w:val="en-US" w:eastAsia="zh-CN"/>
                <w14:textFill>
                  <w14:solidFill>
                    <w14:schemeClr w14:val="tx1"/>
                  </w14:solidFill>
                </w14:textFill>
              </w:rPr>
              <w:t xml:space="preserve">评价意见</w:t>
            </w:r>
            <w:r>
              <w:rPr>
                <w:rFonts w:hint="eastAsia" w:ascii="宋体" w:hAnsi="宋体" w:cs="宋体"/>
                <w:b/>
                <w:color w:val="000000" w:themeColor="text1"/>
                <w:szCs w:val="21"/>
                <w:highlight w:val="none"/>
                <w14:textFill>
                  <w14:solidFill>
                    <w14:schemeClr w14:val="tx1"/>
                  </w14:solidFill>
                </w14:textFill>
              </w:rPr>
              <w:t xml:space="preserve">业绩，不重复计分</w:t>
            </w:r>
            <w:r>
              <w:rPr>
                <w:rFonts w:hint="eastAsia" w:ascii="宋体" w:hAnsi="宋体" w:cs="宋体"/>
                <w:bCs/>
                <w:color w:val="000000" w:themeColor="text1"/>
                <w:szCs w:val="21"/>
                <w:highlight w:val="none"/>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r>
      <w:tr>
        <w:trPr>
          <w:trHeight w:val="1219"/>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numPr>
                <w:ilvl w:val="0"/>
                <w:numId w:val="8"/>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right w:val="single" w:color="auto" w:sz="4" w:space="0"/>
            </w:tcBorders>
            <w:tcW w:w="1155" w:type="dxa"/>
            <w:vAlign w:val="center"/>
            <w:vMerge w:val="restart"/>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pStyle w:val="902"/>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02"/>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02"/>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02"/>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02"/>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02"/>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02"/>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02"/>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02"/>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02"/>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02"/>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02"/>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02"/>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02"/>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服务能力</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6530" w:type="dxa"/>
            <w:vAlign w:val="center"/>
            <w:textDirection w:val="lrTb"/>
            <w:noWrap w:val="false"/>
          </w:tcPr>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企业认证（2分）：</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投标人具有有效期内的食品安全管理体系认证(IS022000)，得</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分（</w:t>
            </w:r>
            <w:r>
              <w:rPr>
                <w:rFonts w:hint="eastAsia" w:ascii="宋体" w:hAnsi="宋体" w:cs="宋体"/>
                <w:b/>
                <w:color w:val="000000" w:themeColor="text1"/>
                <w:szCs w:val="21"/>
                <w:highlight w:val="none"/>
                <w14:textFill>
                  <w14:solidFill>
                    <w14:schemeClr w14:val="tx1"/>
                  </w14:solidFill>
                </w14:textFill>
              </w:rPr>
              <w:t xml:space="preserve">须提供证书复印件，未按要求提供的不得分</w:t>
            </w:r>
            <w:r>
              <w:rPr>
                <w:rFonts w:hint="eastAsia" w:ascii="宋体" w:hAnsi="宋体" w:cs="宋体"/>
                <w:bCs/>
                <w:color w:val="000000" w:themeColor="text1"/>
                <w:szCs w:val="21"/>
                <w:highlight w:val="none"/>
                <w14:textFill>
                  <w14:solidFill>
                    <w14:schemeClr w14:val="tx1"/>
                  </w14:solidFill>
                </w14:textFill>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p>
        </w:tc>
      </w:tr>
      <w:tr>
        <w:trPr>
          <w:trHeight w:val="1934"/>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numPr>
                <w:ilvl w:val="0"/>
                <w:numId w:val="8"/>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left w:val="none" w:color="000000" w:sz="4" w:space="0"/>
              <w:right w:val="single" w:color="auto" w:sz="4" w:space="0"/>
            </w:tcBorders>
            <w:tcW w:w="1155" w:type="dxa"/>
            <w:vAlign w:val="center"/>
            <w:vMerge w:val="continue"/>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530" w:type="dxa"/>
            <w:vAlign w:val="center"/>
            <w:textDirection w:val="lrTb"/>
            <w:noWrap w:val="false"/>
          </w:tcPr>
          <w:p>
            <w:pPr>
              <w:numPr>
                <w:ilvl w:val="0"/>
                <w:numId w:val="0"/>
              </w:numPr>
              <w:contextualSpacing/>
              <w:spacing w:line="360" w:lineRule="auto"/>
              <w:rPr>
                <w:rFonts w:ascii="宋体" w:hAnsi="宋体" w:cs="宋体"/>
                <w:b/>
                <w:color w:val="000000" w:themeColor="text1"/>
                <w:szCs w:val="21"/>
                <w:highlight w:val="none"/>
                <w14:textFill>
                  <w14:solidFill>
                    <w14:schemeClr w14:val="tx1"/>
                  </w14:solidFill>
                </w14:textFill>
              </w:rPr>
            </w:pPr>
            <w:r>
              <w:rPr>
                <w:rFonts w:hint="default" w:ascii="宋体" w:hAnsi="宋体" w:eastAsia="宋体" w:cs="宋体"/>
                <w:b/>
                <w:color w:val="000000" w:themeColor="text1"/>
                <w:sz w:val="21"/>
                <w:szCs w:val="21"/>
                <w:lang w:val="en-US" w:eastAsia="zh-CN" w:bidi="ar-SA"/>
                <w14:textFill>
                  <w14:solidFill>
                    <w14:schemeClr w14:val="tx1"/>
                  </w14:solidFill>
                </w14:textFill>
              </w:rPr>
              <w:t xml:space="preserve">1、</w:t>
            </w:r>
            <w:r>
              <w:rPr>
                <w:rFonts w:hint="eastAsia" w:ascii="宋体" w:hAnsi="宋体" w:cs="宋体"/>
                <w:b/>
                <w:color w:val="000000" w:themeColor="text1"/>
                <w:szCs w:val="21"/>
                <w:highlight w:val="none"/>
                <w:lang w:val="en-US" w:eastAsia="zh-CN"/>
                <w14:textFill>
                  <w14:solidFill>
                    <w14:schemeClr w14:val="tx1"/>
                  </w14:solidFill>
                </w14:textFill>
              </w:rPr>
              <w:t xml:space="preserve">普通</w:t>
            </w:r>
            <w:r>
              <w:rPr>
                <w:rFonts w:hint="eastAsia" w:ascii="宋体" w:hAnsi="宋体" w:cs="宋体"/>
                <w:b/>
                <w:color w:val="000000" w:themeColor="text1"/>
                <w:szCs w:val="21"/>
                <w:highlight w:val="none"/>
                <w14:textFill>
                  <w14:solidFill>
                    <w14:schemeClr w14:val="tx1"/>
                  </w14:solidFill>
                </w14:textFill>
              </w:rPr>
              <w:t xml:space="preserve">仓库配备（2分）：</w:t>
            </w:r>
            <w:r/>
          </w:p>
          <w:p>
            <w:pPr>
              <w:contextualSpacing/>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根据各供应商配备</w:t>
            </w:r>
            <w:r>
              <w:rPr>
                <w:rFonts w:hint="eastAsia" w:ascii="宋体" w:hAnsi="宋体" w:cs="宋体"/>
                <w:bCs/>
                <w:color w:val="000000" w:themeColor="text1"/>
                <w:szCs w:val="21"/>
                <w:highlight w:val="none"/>
                <w:lang w:val="en-US" w:eastAsia="zh-CN"/>
                <w14:textFill>
                  <w14:solidFill>
                    <w14:schemeClr w14:val="tx1"/>
                  </w14:solidFill>
                </w14:textFill>
              </w:rPr>
              <w:t xml:space="preserve">普通仓库</w:t>
            </w:r>
            <w:r>
              <w:rPr>
                <w:rFonts w:hint="eastAsia" w:ascii="宋体" w:hAnsi="宋体" w:cs="宋体"/>
                <w:bCs/>
                <w:color w:val="000000" w:themeColor="text1"/>
                <w:szCs w:val="21"/>
                <w:highlight w:val="none"/>
                <w14:textFill>
                  <w14:solidFill>
                    <w14:schemeClr w14:val="tx1"/>
                  </w14:solidFill>
                </w14:textFill>
              </w:rPr>
              <w:t xml:space="preserve">情况进行打分，</w:t>
            </w:r>
            <w:r>
              <w:rPr>
                <w:rFonts w:hint="eastAsia" w:ascii="宋体" w:hAnsi="宋体" w:cs="宋体"/>
                <w:bCs/>
                <w:color w:val="000000" w:themeColor="text1"/>
                <w:szCs w:val="21"/>
                <w:highlight w:val="none"/>
                <w:lang w:val="en-US" w:eastAsia="zh-CN"/>
                <w14:textFill>
                  <w14:solidFill>
                    <w14:schemeClr w14:val="tx1"/>
                  </w14:solidFill>
                </w14:textFill>
              </w:rPr>
              <w:t xml:space="preserve">具备普通仓库</w:t>
            </w:r>
            <w:r>
              <w:rPr>
                <w:rFonts w:hint="eastAsia" w:ascii="宋体" w:hAnsi="宋体" w:cs="宋体"/>
                <w:bCs/>
                <w:color w:val="000000" w:themeColor="text1"/>
                <w:szCs w:val="21"/>
                <w:highlight w:val="none"/>
                <w14:textFill>
                  <w14:solidFill>
                    <w14:schemeClr w14:val="tx1"/>
                  </w14:solidFill>
                </w14:textFill>
              </w:rPr>
              <w:t xml:space="preserve">得2分。</w:t>
            </w:r>
            <w:r/>
          </w:p>
          <w:p>
            <w:pPr>
              <w:contextualSpacing/>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2、保鲜冷冻库配备（2分）:</w:t>
            </w:r>
            <w:r/>
          </w:p>
          <w:p>
            <w:pPr>
              <w:contextualSpacing/>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根据各供应商配备保鲜冷冻库情况进行打分，</w:t>
            </w:r>
            <w:r>
              <w:rPr>
                <w:rFonts w:hint="eastAsia" w:ascii="宋体" w:hAnsi="宋体" w:cs="宋体"/>
                <w:bCs/>
                <w:color w:val="000000" w:themeColor="text1"/>
                <w:szCs w:val="21"/>
                <w:highlight w:val="none"/>
                <w:lang w:val="en-US" w:eastAsia="zh-CN"/>
                <w14:textFill>
                  <w14:solidFill>
                    <w14:schemeClr w14:val="tx1"/>
                  </w14:solidFill>
                </w14:textFill>
              </w:rPr>
              <w:t xml:space="preserve">具</w:t>
            </w:r>
            <w:r>
              <w:rPr>
                <w:rFonts w:hint="eastAsia" w:ascii="宋体" w:hAnsi="宋体" w:cs="宋体"/>
                <w:bCs/>
                <w:color w:val="000000" w:themeColor="text1"/>
                <w:szCs w:val="21"/>
                <w:highlight w:val="none"/>
                <w14:textFill>
                  <w14:solidFill>
                    <w14:schemeClr w14:val="tx1"/>
                  </w14:solidFill>
                </w14:textFill>
              </w:rPr>
              <w:t xml:space="preserve">备保鲜冷冻库得2分。</w:t>
            </w:r>
            <w:r/>
          </w:p>
          <w:p>
            <w:pPr>
              <w:pStyle w:val="902"/>
              <w:rPr>
                <w:rStyle w:val="1080"/>
                <w:rFonts w:hint="default" w:cs="Arial"/>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3、加工车间（2分）：</w:t>
            </w:r>
            <w:r/>
          </w:p>
          <w:p>
            <w:pPr>
              <w:pStyle w:val="902"/>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根据各供应商配备的</w:t>
            </w:r>
            <w:r>
              <w:rPr>
                <w:rFonts w:ascii="宋体" w:hAnsi="宋体" w:cs="宋体"/>
                <w:bCs/>
                <w:color w:val="000000" w:themeColor="text1"/>
                <w:szCs w:val="21"/>
                <w:highlight w:val="none"/>
                <w14:textFill>
                  <w14:solidFill>
                    <w14:schemeClr w14:val="tx1"/>
                  </w14:solidFill>
                </w14:textFill>
              </w:rPr>
              <w:t xml:space="preserve">与本次投标食品品种、数量相适应的食品原料处理和</w:t>
            </w:r>
            <w:bookmarkStart w:id="259" w:name="OLE_LINK12"/>
            <w:r>
              <w:rPr>
                <w:rFonts w:ascii="宋体" w:hAnsi="宋体" w:cs="宋体"/>
                <w:bCs/>
                <w:color w:val="000000" w:themeColor="text1"/>
                <w:szCs w:val="21"/>
                <w:highlight w:val="none"/>
                <w14:textFill>
                  <w14:solidFill>
                    <w14:schemeClr w14:val="tx1"/>
                  </w14:solidFill>
                </w14:textFill>
              </w:rPr>
              <w:t xml:space="preserve">食品加工、包装、贮存</w:t>
            </w:r>
            <w:bookmarkEnd w:id="259"/>
            <w:r>
              <w:rPr>
                <w:rFonts w:ascii="宋体" w:hAnsi="宋体" w:cs="宋体"/>
                <w:bCs/>
                <w:color w:val="000000" w:themeColor="text1"/>
                <w:szCs w:val="21"/>
                <w:highlight w:val="none"/>
                <w14:textFill>
                  <w14:solidFill>
                    <w14:schemeClr w14:val="tx1"/>
                  </w14:solidFill>
                </w14:textFill>
              </w:rPr>
              <w:t xml:space="preserve">等场所</w:t>
            </w:r>
            <w:r>
              <w:rPr>
                <w:rFonts w:hint="eastAsia" w:ascii="宋体" w:hAnsi="宋体" w:cs="宋体"/>
                <w:bCs/>
                <w:color w:val="000000" w:themeColor="text1"/>
                <w:szCs w:val="21"/>
                <w:highlight w:val="none"/>
                <w14:textFill>
                  <w14:solidFill>
                    <w14:schemeClr w14:val="tx1"/>
                  </w14:solidFill>
                </w14:textFill>
              </w:rPr>
              <w:t xml:space="preserve">情况打分（</w:t>
            </w:r>
            <w:r>
              <w:rPr>
                <w:rFonts w:ascii="宋体" w:hAnsi="宋体" w:cs="宋体"/>
                <w:bCs/>
                <w:color w:val="000000" w:themeColor="text1"/>
                <w:szCs w:val="21"/>
                <w:highlight w:val="none"/>
                <w14:textFill>
                  <w14:solidFill>
                    <w14:schemeClr w14:val="tx1"/>
                  </w14:solidFill>
                </w14:textFill>
              </w:rPr>
              <w:t xml:space="preserve">场所</w:t>
            </w:r>
            <w:r>
              <w:rPr>
                <w:rFonts w:hint="eastAsia" w:ascii="宋体" w:hAnsi="宋体" w:cs="宋体"/>
                <w:bCs/>
                <w:color w:val="000000" w:themeColor="text1"/>
                <w:szCs w:val="21"/>
                <w:highlight w:val="none"/>
                <w14:textFill>
                  <w14:solidFill>
                    <w14:schemeClr w14:val="tx1"/>
                  </w14:solidFill>
                </w14:textFill>
              </w:rPr>
              <w:t xml:space="preserve">须</w:t>
            </w:r>
            <w:r>
              <w:rPr>
                <w:rFonts w:ascii="宋体" w:hAnsi="宋体" w:cs="宋体"/>
                <w:bCs/>
                <w:color w:val="000000" w:themeColor="text1"/>
                <w:szCs w:val="21"/>
                <w:highlight w:val="none"/>
                <w14:textFill>
                  <w14:solidFill>
                    <w14:schemeClr w14:val="tx1"/>
                  </w14:solidFill>
                </w14:textFill>
              </w:rPr>
              <w:t xml:space="preserve">符合食品安全</w:t>
            </w:r>
            <w:r>
              <w:rPr>
                <w:rFonts w:hint="eastAsia" w:ascii="宋体" w:hAnsi="宋体" w:cs="宋体"/>
                <w:bCs/>
                <w:color w:val="000000" w:themeColor="text1"/>
                <w:szCs w:val="21"/>
                <w:highlight w:val="none"/>
                <w14:textFill>
                  <w14:solidFill>
                    <w14:schemeClr w14:val="tx1"/>
                  </w14:solidFill>
                </w14:textFill>
              </w:rPr>
              <w:t xml:space="preserve">相关</w:t>
            </w:r>
            <w:r>
              <w:rPr>
                <w:rFonts w:ascii="宋体" w:hAnsi="宋体" w:cs="宋体"/>
                <w:bCs/>
                <w:color w:val="000000" w:themeColor="text1"/>
                <w:szCs w:val="21"/>
                <w:highlight w:val="none"/>
                <w14:textFill>
                  <w14:solidFill>
                    <w14:schemeClr w14:val="tx1"/>
                  </w14:solidFill>
                </w14:textFill>
              </w:rPr>
              <w:t xml:space="preserve">规定</w:t>
            </w:r>
            <w:r>
              <w:rPr>
                <w:rFonts w:hint="eastAsia" w:ascii="宋体" w:hAnsi="宋体" w:cs="宋体"/>
                <w:bCs/>
                <w:color w:val="000000" w:themeColor="text1"/>
                <w:szCs w:val="21"/>
                <w:highlight w:val="none"/>
                <w14:textFill>
                  <w14:solidFill>
                    <w14:schemeClr w14:val="tx1"/>
                  </w14:solidFill>
                </w14:textFill>
              </w:rPr>
              <w:t xml:space="preserve">），有1个得2分，最多得2分</w:t>
            </w:r>
            <w:r/>
          </w:p>
          <w:p>
            <w:pPr>
              <w:contextualSpacing/>
              <w:spacing w:line="360" w:lineRule="auto"/>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说明：须提供如下证明材料，否则不得分：</w:t>
            </w:r>
            <w:r/>
          </w:p>
          <w:p>
            <w:pPr>
              <w:contextualSpacing/>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（1）自有场所的，须提供产权证明的复印件（</w:t>
            </w:r>
            <w:r>
              <w:rPr>
                <w:rFonts w:hint="eastAsia" w:ascii="宋体" w:hAnsi="宋体" w:cs="宋体"/>
                <w:b/>
                <w:color w:val="000000" w:themeColor="text1"/>
                <w:szCs w:val="21"/>
                <w:highlight w:val="none"/>
                <w14:textFill>
                  <w14:solidFill>
                    <w14:schemeClr w14:val="tx1"/>
                  </w14:solidFill>
                </w14:textFill>
              </w:rPr>
              <w:t xml:space="preserve">须体现面积信息</w:t>
            </w:r>
            <w:r>
              <w:rPr>
                <w:rFonts w:hint="eastAsia" w:ascii="宋体" w:hAnsi="宋体" w:cs="宋体"/>
                <w:bCs/>
                <w:color w:val="000000" w:themeColor="text1"/>
                <w:szCs w:val="21"/>
                <w:highlight w:val="none"/>
                <w14:textFill>
                  <w14:solidFill>
                    <w14:schemeClr w14:val="tx1"/>
                  </w14:solidFill>
                </w14:textFill>
              </w:rPr>
              <w:t xml:space="preserve">）、</w:t>
            </w:r>
            <w:bookmarkStart w:id="260" w:name="OLE_LINK16"/>
            <w:r/>
            <w:bookmarkStart w:id="261" w:name="OLE_LINK15"/>
            <w:r/>
            <w:bookmarkStart w:id="262" w:name="OLE_LINK17"/>
            <w:r/>
            <w:bookmarkStart w:id="263" w:name="OLE_LINK18"/>
            <w:r>
              <w:rPr>
                <w:rFonts w:hint="eastAsia" w:ascii="宋体" w:hAnsi="宋体" w:cs="宋体"/>
                <w:bCs/>
                <w:color w:val="000000" w:themeColor="text1"/>
                <w:szCs w:val="21"/>
                <w:highlight w:val="none"/>
                <w14:textFill>
                  <w14:solidFill>
                    <w14:schemeClr w14:val="tx1"/>
                  </w14:solidFill>
                </w14:textFill>
              </w:rPr>
              <w:t xml:space="preserve">并</w:t>
            </w:r>
            <w:r>
              <w:rPr>
                <w:rFonts w:hint="eastAsia" w:ascii="宋体" w:hAnsi="宋体" w:cs="宋体"/>
                <w:bCs/>
                <w:color w:val="000000" w:themeColor="text1"/>
                <w:szCs w:val="21"/>
                <w:highlight w:val="none"/>
                <w:lang w:val="en-US" w:eastAsia="zh-CN"/>
                <w14:textFill>
                  <w14:solidFill>
                    <w14:schemeClr w14:val="tx1"/>
                  </w14:solidFill>
                </w14:textFill>
              </w:rPr>
              <w:t xml:space="preserve">具备</w:t>
            </w:r>
            <w:r>
              <w:rPr>
                <w:rFonts w:hint="eastAsia" w:ascii="宋体" w:hAnsi="宋体" w:cs="宋体"/>
                <w:bCs/>
                <w:color w:val="000000" w:themeColor="text1"/>
                <w:szCs w:val="21"/>
                <w:highlight w:val="none"/>
                <w14:textFill>
                  <w14:solidFill>
                    <w14:schemeClr w14:val="tx1"/>
                  </w14:solidFill>
                </w14:textFill>
              </w:rPr>
              <w:t xml:space="preserve">符合</w:t>
            </w:r>
            <w:r>
              <w:rPr>
                <w:rFonts w:hint="eastAsia" w:ascii="宋体" w:hAnsi="宋体" w:cs="宋体"/>
                <w:bCs/>
                <w:color w:val="000000" w:themeColor="text1"/>
                <w:szCs w:val="21"/>
                <w:highlight w:val="none"/>
                <w:lang w:val="en-US" w:eastAsia="zh-CN"/>
                <w14:textFill>
                  <w14:solidFill>
                    <w14:schemeClr w14:val="tx1"/>
                  </w14:solidFill>
                </w14:textFill>
              </w:rPr>
              <w:t xml:space="preserve">保鲜冷冻或</w:t>
            </w:r>
            <w:r>
              <w:rPr>
                <w:rFonts w:hint="eastAsia" w:ascii="宋体" w:hAnsi="宋体" w:cs="宋体"/>
                <w:bCs/>
                <w:color w:val="000000" w:themeColor="text1"/>
                <w:szCs w:val="21"/>
                <w:highlight w:val="none"/>
                <w14:textFill>
                  <w14:solidFill>
                    <w14:schemeClr w14:val="tx1"/>
                  </w14:solidFill>
                </w14:textFill>
              </w:rPr>
              <w:t xml:space="preserve">鲜肉类</w:t>
            </w:r>
            <w:r>
              <w:rPr>
                <w:rFonts w:ascii="宋体" w:hAnsi="宋体" w:cs="宋体"/>
                <w:bCs/>
                <w:color w:val="000000" w:themeColor="text1"/>
                <w:szCs w:val="21"/>
                <w:highlight w:val="none"/>
                <w14:textFill>
                  <w14:solidFill>
                    <w14:schemeClr w14:val="tx1"/>
                  </w14:solidFill>
                </w14:textFill>
              </w:rPr>
              <w:t xml:space="preserve">食品加工、包装、贮存</w:t>
            </w:r>
            <w:r>
              <w:rPr>
                <w:rFonts w:hint="eastAsia" w:ascii="宋体" w:hAnsi="宋体" w:cs="宋体"/>
                <w:bCs/>
                <w:color w:val="000000" w:themeColor="text1"/>
                <w:szCs w:val="21"/>
                <w:highlight w:val="none"/>
                <w14:textFill>
                  <w14:solidFill>
                    <w14:schemeClr w14:val="tx1"/>
                  </w14:solidFill>
                </w14:textFill>
              </w:rPr>
              <w:t xml:space="preserve">的设备设施</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普通仓库无设备要求</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w:t>
            </w:r>
            <w:bookmarkEnd w:id="260"/>
            <w:r/>
            <w:bookmarkEnd w:id="261"/>
            <w:r>
              <w:rPr>
                <w:rFonts w:hint="eastAsia" w:ascii="宋体" w:hAnsi="宋体" w:cs="宋体"/>
                <w:bCs/>
                <w:color w:val="000000" w:themeColor="text1"/>
                <w:szCs w:val="21"/>
                <w:highlight w:val="none"/>
                <w:lang w:val="en-US" w:eastAsia="zh-CN"/>
                <w14:textFill>
                  <w14:solidFill>
                    <w14:schemeClr w14:val="tx1"/>
                  </w14:solidFill>
                </w14:textFill>
              </w:rPr>
              <w:t xml:space="preserve">提供</w:t>
            </w:r>
            <w:r>
              <w:rPr>
                <w:rFonts w:hint="eastAsia" w:ascii="宋体" w:hAnsi="宋体" w:cs="宋体"/>
                <w:bCs/>
                <w:color w:val="000000" w:themeColor="text1"/>
                <w:szCs w:val="21"/>
                <w:highlight w:val="none"/>
                <w14:textFill>
                  <w14:solidFill>
                    <w14:schemeClr w14:val="tx1"/>
                  </w14:solidFill>
                </w14:textFill>
              </w:rPr>
              <w:t xml:space="preserve">现场照片等相关证明资料；</w:t>
            </w:r>
            <w:bookmarkEnd w:id="262"/>
            <w:r/>
            <w:bookmarkEnd w:id="263"/>
            <w:r>
              <w:rPr>
                <w:rFonts w:hint="eastAsia" w:ascii="宋体" w:hAnsi="宋体" w:cs="宋体"/>
                <w:bCs/>
                <w:color w:val="000000" w:themeColor="text1"/>
                <w:szCs w:val="21"/>
                <w:highlight w:val="none"/>
                <w14:textFill>
                  <w14:solidFill>
                    <w14:schemeClr w14:val="tx1"/>
                  </w14:solidFill>
                </w14:textFill>
              </w:rPr>
              <w:t xml:space="preserve">相关证明资料加盖公章；未提供相关证明资料或资料不全或资料不满足招标文件要求的，不得分。</w:t>
            </w:r>
            <w:r/>
          </w:p>
          <w:p>
            <w:pPr>
              <w:contextualSpacing/>
              <w:spacing w:line="360" w:lineRule="auto"/>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（2）租赁场所的，须提供由投标人或投标人法定代表人签订的在有效期内的场所租赁合同的复印件（</w:t>
            </w:r>
            <w:r>
              <w:rPr>
                <w:rFonts w:hint="eastAsia" w:ascii="宋体" w:hAnsi="宋体" w:cs="宋体"/>
                <w:b/>
                <w:color w:val="000000" w:themeColor="text1"/>
                <w:szCs w:val="21"/>
                <w:highlight w:val="none"/>
                <w14:textFill>
                  <w14:solidFill>
                    <w14:schemeClr w14:val="tx1"/>
                  </w14:solidFill>
                </w14:textFill>
              </w:rPr>
              <w:t xml:space="preserve">须体现面积信息</w:t>
            </w:r>
            <w:r>
              <w:rPr>
                <w:rFonts w:hint="eastAsia" w:ascii="宋体" w:hAnsi="宋体" w:cs="宋体"/>
                <w:bCs/>
                <w:color w:val="000000" w:themeColor="text1"/>
                <w:szCs w:val="21"/>
                <w:highlight w:val="none"/>
                <w14:textFill>
                  <w14:solidFill>
                    <w14:schemeClr w14:val="tx1"/>
                  </w14:solidFill>
                </w14:textFill>
              </w:rPr>
              <w:t xml:space="preserve">）、并</w:t>
            </w:r>
            <w:r>
              <w:rPr>
                <w:rFonts w:hint="eastAsia" w:ascii="宋体" w:hAnsi="宋体" w:cs="宋体"/>
                <w:bCs/>
                <w:color w:val="000000" w:themeColor="text1"/>
                <w:szCs w:val="21"/>
                <w:highlight w:val="none"/>
                <w:lang w:val="en-US" w:eastAsia="zh-CN"/>
                <w14:textFill>
                  <w14:solidFill>
                    <w14:schemeClr w14:val="tx1"/>
                  </w14:solidFill>
                </w14:textFill>
              </w:rPr>
              <w:t xml:space="preserve">具备</w:t>
            </w:r>
            <w:r>
              <w:rPr>
                <w:rFonts w:hint="eastAsia" w:ascii="宋体" w:hAnsi="宋体" w:cs="宋体"/>
                <w:bCs/>
                <w:color w:val="000000" w:themeColor="text1"/>
                <w:szCs w:val="21"/>
                <w:highlight w:val="none"/>
                <w14:textFill>
                  <w14:solidFill>
                    <w14:schemeClr w14:val="tx1"/>
                  </w14:solidFill>
                </w14:textFill>
              </w:rPr>
              <w:t xml:space="preserve">符合</w:t>
            </w:r>
            <w:r>
              <w:rPr>
                <w:rFonts w:hint="eastAsia" w:ascii="宋体" w:hAnsi="宋体" w:cs="宋体"/>
                <w:bCs/>
                <w:color w:val="000000" w:themeColor="text1"/>
                <w:szCs w:val="21"/>
                <w:highlight w:val="none"/>
                <w:lang w:val="en-US" w:eastAsia="zh-CN"/>
                <w14:textFill>
                  <w14:solidFill>
                    <w14:schemeClr w14:val="tx1"/>
                  </w14:solidFill>
                </w14:textFill>
              </w:rPr>
              <w:t xml:space="preserve">保鲜冷冻或</w:t>
            </w:r>
            <w:r>
              <w:rPr>
                <w:rFonts w:hint="eastAsia" w:ascii="宋体" w:hAnsi="宋体" w:cs="宋体"/>
                <w:bCs/>
                <w:color w:val="000000" w:themeColor="text1"/>
                <w:szCs w:val="21"/>
                <w:highlight w:val="none"/>
                <w14:textFill>
                  <w14:solidFill>
                    <w14:schemeClr w14:val="tx1"/>
                  </w14:solidFill>
                </w14:textFill>
              </w:rPr>
              <w:t xml:space="preserve">鲜肉类食品加工、包装、贮存的设备设施</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普通仓库无设备要求</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提供</w:t>
            </w:r>
            <w:r>
              <w:rPr>
                <w:rFonts w:hint="eastAsia" w:ascii="宋体" w:hAnsi="宋体" w:cs="宋体"/>
                <w:bCs/>
                <w:color w:val="000000" w:themeColor="text1"/>
                <w:szCs w:val="21"/>
                <w:highlight w:val="none"/>
                <w14:textFill>
                  <w14:solidFill>
                    <w14:schemeClr w14:val="tx1"/>
                  </w14:solidFill>
                </w14:textFill>
              </w:rPr>
              <w:t xml:space="preserve">现场照片等相关证明资料；</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上述证明材料</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有效期</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须</w:t>
            </w:r>
            <w:r>
              <w:rPr>
                <w:rFonts w:hint="eastAsia" w:ascii="宋体" w:hAnsi="宋体" w:eastAsia="宋体" w:cs="宋体"/>
                <w:bCs/>
                <w:color w:val="000000" w:themeColor="text1"/>
                <w:sz w:val="21"/>
                <w:szCs w:val="21"/>
                <w:highlight w:val="none"/>
                <w:lang w:bidi="ar"/>
                <w14:textFill>
                  <w14:solidFill>
                    <w14:schemeClr w14:val="tx1"/>
                  </w14:solidFill>
                </w14:textFill>
              </w:rPr>
              <w:t xml:space="preserve">涵盖</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履约期限（如有效期涵盖开标当日但不涵盖履约期限的，须同时提供承诺书：承诺到期后，</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原场所使用至</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与采购人合同履约结束,格式自拟</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未提供或有缺漏的，不得分。</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w:t>
            </w:r>
            <w:r/>
          </w:p>
        </w:tc>
      </w:tr>
      <w:tr>
        <w:trPr>
          <w:trHeight w:val="5251"/>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numPr>
                <w:ilvl w:val="0"/>
                <w:numId w:val="8"/>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left w:val="none" w:color="000000" w:sz="4" w:space="0"/>
              <w:right w:val="single" w:color="auto" w:sz="4" w:space="0"/>
            </w:tcBorders>
            <w:tcW w:w="1155" w:type="dxa"/>
            <w:vAlign w:val="center"/>
            <w:vMerge w:val="continue"/>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530" w:type="dxa"/>
            <w:vAlign w:val="center"/>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冷链车辆（4分）</w:t>
            </w:r>
            <w:r>
              <w:rPr>
                <w:rFonts w:hint="eastAsia" w:ascii="宋体" w:hAnsi="宋体" w:cs="宋体"/>
                <w:bCs/>
                <w:color w:val="000000" w:themeColor="text1"/>
                <w:szCs w:val="21"/>
                <w:highlight w:val="none"/>
                <w14:textFill>
                  <w14:solidFill>
                    <w14:schemeClr w14:val="tx1"/>
                  </w14:solidFill>
                </w14:textFill>
              </w:rPr>
              <w:t xml:space="preserve">：</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根据供应商拟投入的食品配送服务冷藏运输车辆进行打分，每投入一辆，得1分，满分4分。需提供以下证明材料：</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1、若为自有车辆，投标文件中必须提供有效期内的车辆行驶证复印件；</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2、若为租赁车辆，投标文件中必须提供有效期内的车辆行驶证复印件及租赁合同复印件；</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3、供应商同时需提供对应车辆车身正面、侧面、车尾照片及运输车辆制冷设备照片，照片需清晰可见，以证明车辆具备制冷功能，照片中须同时能看到车牌号和制冷设备，否则不予认可；</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4、提供以上证明的车辆须承诺为专为本项目送货的车辆，项目服务期内不得随意更换</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提供承诺书及运输车辆清单</w:t>
            </w:r>
            <w:r>
              <w:rPr>
                <w:rFonts w:hint="eastAsia" w:ascii="宋体" w:hAnsi="宋体" w:cs="宋体"/>
                <w:bCs/>
                <w:color w:val="000000" w:themeColor="text1"/>
                <w:szCs w:val="21"/>
                <w:highlight w:val="none"/>
                <w14:textFill>
                  <w14:solidFill>
                    <w14:schemeClr w14:val="tx1"/>
                  </w14:solidFill>
                </w14:textFill>
              </w:rPr>
              <w:t xml:space="preserve">。</w:t>
            </w:r>
            <w:r/>
          </w:p>
          <w:p>
            <w:pPr>
              <w:contextualSpacing/>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 xml:space="preserve">说明</w:t>
            </w:r>
            <w:r>
              <w:rPr>
                <w:rFonts w:hint="eastAsia" w:ascii="宋体" w:hAnsi="宋体" w:cs="宋体"/>
                <w:b/>
                <w:bCs w:val="0"/>
                <w:color w:val="000000" w:themeColor="text1"/>
                <w:szCs w:val="21"/>
                <w:highlight w:val="none"/>
                <w14:textFill>
                  <w14:solidFill>
                    <w14:schemeClr w14:val="tx1"/>
                  </w14:solidFill>
                </w14:textFill>
              </w:rPr>
              <w:t xml:space="preserve">：未按要求提供上述材料的，本项不得分。</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w:t>
            </w:r>
            <w:r/>
          </w:p>
        </w:tc>
      </w:tr>
      <w:tr>
        <w:trPr>
          <w:trHeight w:val="2429"/>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numPr>
                <w:ilvl w:val="0"/>
                <w:numId w:val="8"/>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left w:val="none" w:color="000000" w:sz="4" w:space="0"/>
              <w:bottom w:val="single" w:color="auto" w:sz="4" w:space="0"/>
              <w:right w:val="single" w:color="auto" w:sz="4" w:space="0"/>
            </w:tcBorders>
            <w:tcW w:w="1155" w:type="dxa"/>
            <w:vAlign w:val="center"/>
            <w:vMerge w:val="continue"/>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530" w:type="dxa"/>
            <w:vAlign w:val="center"/>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采购渠道的多样性（3分）</w:t>
            </w:r>
            <w:r>
              <w:rPr>
                <w:rFonts w:hint="eastAsia" w:ascii="宋体" w:hAnsi="宋体" w:cs="宋体"/>
                <w:bCs/>
                <w:color w:val="000000" w:themeColor="text1"/>
                <w:szCs w:val="21"/>
                <w:highlight w:val="none"/>
                <w14:textFill>
                  <w14:solidFill>
                    <w14:schemeClr w14:val="tx1"/>
                  </w14:solidFill>
                </w14:textFill>
              </w:rPr>
              <w:t xml:space="preserve">：</w:t>
            </w:r>
            <w:r/>
          </w:p>
          <w:p>
            <w:pPr>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供应商具有鲜肉（含冷鲜牛羊肉）商品直销证明或地区代理经销商或上游供货商合同的,以下三种商品</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numPr>
                <w:ilvl w:val="0"/>
                <w:numId w:val="0"/>
              </w:num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冷鲜猪肉能提供证明材料的，得1分</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numPr>
                <w:ilvl w:val="0"/>
                <w:numId w:val="0"/>
              </w:numPr>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冷鲜牛肉能提供证明材料的，得1分</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numPr>
                <w:ilvl w:val="0"/>
                <w:numId w:val="0"/>
              </w:numPr>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冷鲜羊肉能提供证明材料的，得1分</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2"/>
              <w:spacing w:line="360" w:lineRule="auto"/>
              <w:widowControl/>
              <w:rPr>
                <w:rFonts w:hint="default"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宋体" w:hAnsi="宋体" w:cs="宋体"/>
                <w:b/>
                <w:bCs w:val="0"/>
                <w:color w:val="000000" w:themeColor="text1"/>
                <w:szCs w:val="21"/>
                <w:highlight w:val="none"/>
                <w:lang w:val="en-US" w:eastAsia="zh-CN" w:bidi="ar"/>
                <w14:textFill>
                  <w14:solidFill>
                    <w14:schemeClr w14:val="tx1"/>
                  </w14:solidFill>
                </w14:textFill>
              </w:rPr>
              <w:t xml:space="preserve">说明：</w:t>
            </w:r>
            <w:r>
              <w:rPr>
                <w:rFonts w:hint="eastAsia" w:ascii="宋体" w:hAnsi="宋体" w:cs="宋体"/>
                <w:b/>
                <w:bCs w:val="0"/>
                <w:color w:val="000000" w:themeColor="text1"/>
                <w:szCs w:val="21"/>
                <w:highlight w:val="none"/>
                <w:lang w:bidi="ar"/>
                <w14:textFill>
                  <w14:solidFill>
                    <w14:schemeClr w14:val="tx1"/>
                  </w14:solidFill>
                </w14:textFill>
              </w:rPr>
              <w:t xml:space="preserve">需提供</w:t>
            </w:r>
            <w:r>
              <w:rPr>
                <w:rFonts w:hint="default" w:ascii="Calibri" w:hAnsi="Calibri" w:cs="Calibri"/>
                <w:b/>
                <w:bCs w:val="0"/>
                <w:color w:val="000000" w:themeColor="text1"/>
                <w:szCs w:val="21"/>
                <w:highlight w:val="none"/>
                <w:lang w:bidi="ar"/>
                <w14:textFill>
                  <w14:solidFill>
                    <w14:schemeClr w14:val="tx1"/>
                  </w14:solidFill>
                </w14:textFill>
              </w:rPr>
              <w:t xml:space="preserve">①</w:t>
            </w:r>
            <w:r>
              <w:rPr>
                <w:rFonts w:hint="eastAsia" w:ascii="宋体" w:hAnsi="宋体" w:cs="宋体"/>
                <w:b/>
                <w:bCs w:val="0"/>
                <w:color w:val="000000" w:themeColor="text1"/>
                <w:szCs w:val="21"/>
                <w:highlight w:val="none"/>
                <w:lang w:bidi="ar"/>
                <w14:textFill>
                  <w14:solidFill>
                    <w14:schemeClr w14:val="tx1"/>
                  </w14:solidFill>
                </w14:textFill>
              </w:rPr>
              <w:t xml:space="preserve">投标人和其上游供应商的购销合同或代理销售合同等</w:t>
            </w:r>
            <w:r>
              <w:rPr>
                <w:rFonts w:hint="eastAsia" w:ascii="宋体" w:hAnsi="宋体" w:cs="宋体"/>
                <w:b/>
                <w:bCs w:val="0"/>
                <w:color w:val="000000" w:themeColor="text1"/>
                <w:szCs w:val="21"/>
                <w:highlight w:val="none"/>
                <w:lang w:val="en-US" w:eastAsia="zh-CN" w:bidi="ar"/>
                <w14:textFill>
                  <w14:solidFill>
                    <w14:schemeClr w14:val="tx1"/>
                  </w14:solidFill>
                </w14:textFill>
              </w:rPr>
              <w:t xml:space="preserve">证明材料复印件</w:t>
            </w:r>
            <w:r>
              <w:rPr>
                <w:rFonts w:hint="eastAsia" w:ascii="宋体" w:hAnsi="宋体" w:cs="宋体"/>
                <w:b/>
                <w:bCs w:val="0"/>
                <w:color w:val="000000" w:themeColor="text1"/>
                <w:szCs w:val="21"/>
                <w:highlight w:val="none"/>
                <w:lang w:bidi="ar"/>
                <w14:textFill>
                  <w14:solidFill>
                    <w14:schemeClr w14:val="tx1"/>
                  </w14:solidFill>
                </w14:textFill>
              </w:rPr>
              <w:t xml:space="preserve">，且合同效期或经销授权期限需涵盖本项目服务期（如合同有效</w:t>
            </w:r>
            <w:r>
              <w:rPr>
                <w:rFonts w:hint="eastAsia" w:ascii="宋体" w:hAnsi="宋体" w:eastAsia="宋体" w:cs="宋体"/>
                <w:b/>
                <w:bCs w:val="0"/>
                <w:color w:val="000000" w:themeColor="text1"/>
                <w:szCs w:val="21"/>
                <w:highlight w:val="none"/>
                <w14:textFill>
                  <w14:solidFill>
                    <w14:schemeClr w14:val="tx1"/>
                  </w14:solidFill>
                </w14:textFill>
              </w:rPr>
              <w:t xml:space="preserve">期涵盖开标当日但不涵盖履约期限的，须同时提供承诺书：承诺到期后，可与原销售渠道合作至与采购人合同履约结束</w:t>
            </w:r>
            <w:r>
              <w:rPr>
                <w:rFonts w:hint="eastAsia" w:ascii="宋体" w:hAnsi="宋体" w:eastAsia="宋体" w:cs="宋体"/>
                <w:b/>
                <w:bCs w:val="0"/>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val="0"/>
                <w:color w:val="000000" w:themeColor="text1"/>
                <w:szCs w:val="21"/>
                <w:highlight w:val="none"/>
                <w14:textFill>
                  <w14:solidFill>
                    <w14:schemeClr w14:val="tx1"/>
                  </w14:solidFill>
                </w14:textFill>
              </w:rPr>
              <w:t xml:space="preserve">格式自拟</w:t>
            </w:r>
            <w:r>
              <w:rPr>
                <w:rFonts w:hint="eastAsia" w:ascii="宋体" w:hAnsi="宋体" w:cs="宋体"/>
                <w:b/>
                <w:bCs w:val="0"/>
                <w:color w:val="000000" w:themeColor="text1"/>
                <w:szCs w:val="21"/>
                <w:highlight w:val="none"/>
                <w:lang w:eastAsia="zh-CN"/>
                <w14:textFill>
                  <w14:solidFill>
                    <w14:schemeClr w14:val="tx1"/>
                  </w14:solidFill>
                </w14:textFill>
              </w:rPr>
              <w:t xml:space="preserve">）。</w:t>
            </w:r>
            <w:r>
              <w:rPr>
                <w:rFonts w:hint="default" w:ascii="Calibri" w:hAnsi="Calibri" w:cs="Calibri"/>
                <w:b/>
                <w:bCs/>
                <w:color w:val="000000" w:themeColor="text1"/>
                <w:highlight w:val="none"/>
                <w14:textFill>
                  <w14:solidFill>
                    <w14:schemeClr w14:val="tx1"/>
                  </w14:solidFill>
                </w14:textFill>
              </w:rPr>
              <w:t xml:space="preserve">②</w:t>
            </w:r>
            <w:r>
              <w:rPr>
                <w:rFonts w:hint="eastAsia"/>
                <w:b/>
                <w:bCs/>
                <w:color w:val="000000" w:themeColor="text1"/>
                <w:highlight w:val="none"/>
                <w:lang w:val="en-US" w:eastAsia="zh-CN"/>
                <w14:textFill>
                  <w14:solidFill>
                    <w14:schemeClr w14:val="tx1"/>
                  </w14:solidFill>
                </w14:textFill>
              </w:rPr>
              <w:t xml:space="preserve">出具产品溯源承诺书，内容须包括：所供应鲜肉(含冷鲜牛羊肉)质量安全合规、产品可追溯至屠宰出厂源头，溯源信息完整、真实可查。否则评审时不予认可。</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p>
        </w:tc>
      </w:tr>
      <w:tr>
        <w:trPr>
          <w:trHeight w:val="4445"/>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numPr>
                <w:ilvl w:val="0"/>
                <w:numId w:val="8"/>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服务团队人员</w:t>
            </w:r>
            <w:r/>
          </w:p>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（5分）</w:t>
            </w:r>
            <w:r/>
          </w:p>
        </w:tc>
        <w:tc>
          <w:tcPr>
            <w:shd w:val="clear" w:color="auto" w:fill="auto"/>
            <w:tcBorders>
              <w:top w:val="single" w:color="auto" w:sz="4" w:space="0"/>
              <w:left w:val="none" w:color="000000" w:sz="4" w:space="0"/>
              <w:bottom w:val="single" w:color="auto" w:sz="4" w:space="0"/>
              <w:right w:val="single" w:color="auto" w:sz="4" w:space="0"/>
            </w:tcBorders>
            <w:tcW w:w="6530" w:type="dxa"/>
            <w:vAlign w:val="center"/>
            <w:textDirection w:val="lrTb"/>
            <w:noWrap w:val="false"/>
          </w:tcPr>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1、供应商拟为本项目配备相关工作岗位人员具有相关食品安全管理人员证书的，每有一人得0.5分，最多得1分。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2、供应商拟为本项目配备相关工作岗位人员具有相关食品检验人员证书的，每有一人得0.5分，最多得1分。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供应商拟为本项目配备相关工作岗位人员（如采购、分拣、出入库、车辆配送等岗位）具有健康证的，每有一人得1分，最多得3分。</w:t>
            </w:r>
            <w:r/>
          </w:p>
          <w:p>
            <w:pPr>
              <w:jc w:val="left"/>
              <w:spacing w:line="360" w:lineRule="auto"/>
              <w:rPr>
                <w:rFonts w:hint="default" w:ascii="Times New Roman" w:hAnsi="Times New Roman" w:cs="Times New Roman"/>
                <w:bCs/>
                <w:color w:val="000000" w:themeColor="text1"/>
                <w:szCs w:val="21"/>
                <w:highlight w:val="none"/>
                <w:lang w:val="en-US"/>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 xml:space="preserve">说明：</w:t>
            </w:r>
            <w:r>
              <w:rPr>
                <w:rFonts w:hint="eastAsia" w:ascii="宋体" w:hAnsi="宋体" w:cs="宋体"/>
                <w:b/>
                <w:bCs w:val="0"/>
                <w:color w:val="000000" w:themeColor="text1"/>
                <w:szCs w:val="21"/>
                <w:highlight w:val="none"/>
                <w14:textFill>
                  <w14:solidFill>
                    <w14:schemeClr w14:val="tx1"/>
                  </w14:solidFill>
                </w14:textFill>
              </w:rPr>
              <w:t xml:space="preserve">提供</w:t>
            </w:r>
            <w:r>
              <w:rPr>
                <w:rFonts w:hint="default" w:ascii="Calibri" w:hAnsi="Calibri" w:cs="Calibri"/>
                <w:b/>
                <w:bCs w:val="0"/>
                <w:color w:val="000000" w:themeColor="text1"/>
                <w:szCs w:val="21"/>
                <w:highlight w:val="none"/>
                <w14:textFill>
                  <w14:solidFill>
                    <w14:schemeClr w14:val="tx1"/>
                  </w14:solidFill>
                </w14:textFill>
              </w:rPr>
              <w:t xml:space="preserve">①</w:t>
            </w:r>
            <w:r>
              <w:rPr>
                <w:rFonts w:hint="eastAsia" w:ascii="宋体" w:hAnsi="宋体" w:cs="宋体"/>
                <w:b/>
                <w:bCs w:val="0"/>
                <w:color w:val="000000" w:themeColor="text1"/>
                <w:szCs w:val="21"/>
                <w:highlight w:val="none"/>
                <w14:textFill>
                  <w14:solidFill>
                    <w14:schemeClr w14:val="tx1"/>
                  </w14:solidFill>
                </w14:textFill>
              </w:rPr>
              <w:t xml:space="preserve">上述人员的证书复印件以及供应商为其在近6个月内（2025年</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12</w:t>
            </w:r>
            <w:r>
              <w:rPr>
                <w:rFonts w:hint="eastAsia" w:ascii="宋体" w:hAnsi="宋体" w:cs="宋体"/>
                <w:b/>
                <w:bCs w:val="0"/>
                <w:color w:val="000000" w:themeColor="text1"/>
                <w:szCs w:val="21"/>
                <w:highlight w:val="none"/>
                <w14:textFill>
                  <w14:solidFill>
                    <w14:schemeClr w14:val="tx1"/>
                  </w14:solidFill>
                </w14:textFill>
              </w:rPr>
              <w:t xml:space="preserve">月（含）以来）任意一个月缴纳社保的证明材料，未提供上述材料的不得分</w:t>
            </w:r>
            <w:r>
              <w:rPr>
                <w:rFonts w:hint="eastAsia" w:ascii="宋体" w:hAnsi="宋体" w:cs="宋体"/>
                <w:b/>
                <w:bCs w:val="0"/>
                <w:color w:val="000000" w:themeColor="text1"/>
                <w:szCs w:val="21"/>
                <w:highlight w:val="none"/>
                <w:lang w:eastAsia="zh-CN"/>
                <w14:textFill>
                  <w14:solidFill>
                    <w14:schemeClr w14:val="tx1"/>
                  </w14:solidFill>
                </w14:textFill>
              </w:rPr>
              <w:t xml:space="preserve">；</w:t>
            </w:r>
            <w:r>
              <w:rPr>
                <w:rFonts w:hint="eastAsia" w:ascii="宋体" w:hAnsi="宋体" w:cs="宋体"/>
                <w:b/>
                <w:bCs w:val="0"/>
                <w:color w:val="000000" w:themeColor="text1"/>
                <w:szCs w:val="21"/>
                <w:highlight w:val="none"/>
                <w14:textFill>
                  <w14:solidFill>
                    <w14:schemeClr w14:val="tx1"/>
                  </w14:solidFill>
                </w14:textFill>
              </w:rPr>
              <w:t xml:space="preserve">如果委托第三方公司代为缴纳社保，需提供供应商和第三方公司委托缴纳社保的证明。</w:t>
            </w:r>
            <w:r>
              <w:rPr>
                <w:rFonts w:hint="default" w:ascii="Calibri" w:hAnsi="Calibri" w:cs="Calibri"/>
                <w:b/>
                <w:bCs w:val="0"/>
                <w:color w:val="000000" w:themeColor="text1"/>
                <w:highlight w:val="none"/>
                <w14:textFill>
                  <w14:solidFill>
                    <w14:schemeClr w14:val="tx1"/>
                  </w14:solidFill>
                </w14:textFill>
              </w:rPr>
              <w:t xml:space="preserve">②</w:t>
            </w:r>
            <w:r>
              <w:rPr>
                <w:rFonts w:hint="eastAsia"/>
                <w:b/>
                <w:bCs w:val="0"/>
                <w:color w:val="000000" w:themeColor="text1"/>
                <w:highlight w:val="none"/>
                <w:lang w:val="en-US" w:eastAsia="zh-CN"/>
                <w14:textFill>
                  <w14:solidFill>
                    <w14:schemeClr w14:val="tx1"/>
                  </w14:solidFill>
                </w14:textFill>
              </w:rPr>
              <w:t xml:space="preserve">提供上述服务团队人员明细清单，清单需列明姓名、联系方式、工作岗位，岗位职责，上述所有岗位人员不得相互兼任，若存在兼任情形，同一人员仅按其中一个岗位计分，不重复累计得分。</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p>
        </w:tc>
      </w:tr>
      <w:tr>
        <w:trPr>
          <w:trHeight w:val="3236"/>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numPr>
                <w:ilvl w:val="0"/>
                <w:numId w:val="8"/>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加工、配送方案</w:t>
            </w:r>
            <w:r/>
          </w:p>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（5分）</w:t>
            </w:r>
            <w:r/>
          </w:p>
        </w:tc>
        <w:tc>
          <w:tcPr>
            <w:shd w:val="clear" w:color="auto" w:fill="auto"/>
            <w:tcBorders>
              <w:top w:val="single" w:color="auto" w:sz="4" w:space="0"/>
              <w:left w:val="none" w:color="000000" w:sz="4" w:space="0"/>
              <w:bottom w:val="single" w:color="auto" w:sz="4" w:space="0"/>
              <w:right w:val="single" w:color="auto" w:sz="4" w:space="0"/>
            </w:tcBorders>
            <w:tcW w:w="6530" w:type="dxa"/>
            <w:vAlign w:val="center"/>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1、方案内容完整、科学合理、切实可行的，得5分；</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2、方案科学合理、切实可行、但内容不完整有欠缺的，得3分；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3、方案内容不完整、方案科学合理及可行性欠缺的，得</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、未提供服务方案的不得分。</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p>
        </w:tc>
      </w:tr>
      <w:tr>
        <w:trPr>
          <w:trHeight w:val="3236"/>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numPr>
                <w:ilvl w:val="0"/>
                <w:numId w:val="8"/>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right w:val="single" w:color="auto" w:sz="4" w:space="0"/>
            </w:tcBorders>
            <w:tcW w:w="1155" w:type="dxa"/>
            <w:vAlign w:val="center"/>
            <w:vMerge w:val="restart"/>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质量管控</w:t>
            </w:r>
            <w:r/>
          </w:p>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15</w:t>
            </w:r>
            <w:r>
              <w:rPr>
                <w:rFonts w:hint="eastAsia" w:ascii="宋体" w:hAnsi="宋体" w:cs="宋体"/>
                <w:bCs/>
                <w:color w:val="000000" w:themeColor="text1"/>
                <w:szCs w:val="21"/>
                <w:highlight w:val="none"/>
                <w14:textFill>
                  <w14:solidFill>
                    <w14:schemeClr w14:val="tx1"/>
                  </w14:solidFill>
                </w14:textFill>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6530" w:type="dxa"/>
            <w:vAlign w:val="center"/>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为保证服务质量以及安全、提供供应商关于保证食品安全的内部管理制度（如生产、仓储、物流各环节的管理规定）、从业人员健康管理制度、以及为保证服务质量的内部考核办法等，根据应答情况评审打分。</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1、方案内容完整、科学合理、切实可行的得5分；</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2、方案科学合理、切实可行、但内容不完整有欠缺的得3分；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3、内容不完整、不科学合理且没有可行性的得</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4、未提供服务方案的不得分。</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p>
        </w:tc>
      </w:tr>
      <w:tr>
        <w:trPr>
          <w:trHeight w:val="2429"/>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numPr>
                <w:ilvl w:val="0"/>
                <w:numId w:val="8"/>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left w:val="none" w:color="000000" w:sz="4" w:space="0"/>
              <w:right w:val="single" w:color="auto" w:sz="4" w:space="0"/>
            </w:tcBorders>
            <w:tcW w:w="1155" w:type="dxa"/>
            <w:vAlign w:val="center"/>
            <w:vMerge w:val="continue"/>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530" w:type="dxa"/>
            <w:vAlign w:val="center"/>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为保障食品安全可追溯，供应商建立食品安全追溯体系，保证食品可追溯（提供文字、图片证明文件，未提供不得分）</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1、体系完善、溯源方式可靠，得5分；</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2、体系较完善、溯源方式较可靠，得3分；</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3、体系不完善、溯源方式可靠性一般，得1分</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4、未提供相关说明不得分。</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p>
        </w:tc>
      </w:tr>
      <w:tr>
        <w:trPr>
          <w:trHeight w:val="3935"/>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numPr>
                <w:ilvl w:val="0"/>
                <w:numId w:val="8"/>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left w:val="none" w:color="000000" w:sz="4" w:space="0"/>
              <w:bottom w:val="single" w:color="auto" w:sz="4" w:space="0"/>
              <w:right w:val="single" w:color="auto" w:sz="4" w:space="0"/>
            </w:tcBorders>
            <w:tcW w:w="1155" w:type="dxa"/>
            <w:vAlign w:val="center"/>
            <w:vMerge w:val="continue"/>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530" w:type="dxa"/>
            <w:vAlign w:val="center"/>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提供自有或租赁食材检验室、检验人员及检测设备证明材料：</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1、提供检验人员信息得2分（</w:t>
            </w:r>
            <w:r>
              <w:rPr>
                <w:rFonts w:hint="eastAsia" w:ascii="宋体" w:hAnsi="宋体" w:cs="宋体"/>
                <w:b/>
                <w:bCs w:val="0"/>
                <w:color w:val="000000" w:themeColor="text1"/>
                <w:szCs w:val="21"/>
                <w:highlight w:val="none"/>
                <w14:textFill>
                  <w14:solidFill>
                    <w14:schemeClr w14:val="tx1"/>
                  </w14:solidFill>
                </w14:textFill>
              </w:rPr>
              <w:t xml:space="preserve">提供上述人员的证书复印件以及供应商为其在近6个月内（2025年</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12</w:t>
            </w:r>
            <w:r>
              <w:rPr>
                <w:rFonts w:hint="eastAsia" w:ascii="宋体" w:hAnsi="宋体" w:cs="宋体"/>
                <w:b/>
                <w:bCs w:val="0"/>
                <w:color w:val="000000" w:themeColor="text1"/>
                <w:szCs w:val="21"/>
                <w:highlight w:val="none"/>
                <w14:textFill>
                  <w14:solidFill>
                    <w14:schemeClr w14:val="tx1"/>
                  </w14:solidFill>
                </w14:textFill>
              </w:rPr>
              <w:t xml:space="preserve">月（含）以来）任意一个月缴纳社保的证明材料，未提供上述材料的不得分，如果委托第三方公司代为缴纳社保，需提供供应商和第三方公司委托缴纳社保的证明</w:t>
            </w:r>
            <w:r>
              <w:rPr>
                <w:rFonts w:hint="eastAsia" w:ascii="宋体" w:hAnsi="宋体" w:cs="宋体"/>
                <w:bCs/>
                <w:color w:val="000000" w:themeColor="text1"/>
                <w:szCs w:val="21"/>
                <w:highlight w:val="none"/>
                <w14:textFill>
                  <w14:solidFill>
                    <w14:schemeClr w14:val="tx1"/>
                  </w14:solidFill>
                </w14:textFill>
              </w:rPr>
              <w:t xml:space="preserve">）；</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lang w:val="en-US" w:eastAsia="zh-CN"/>
                <w14:textFill>
                  <w14:solidFill>
                    <w14:schemeClr w14:val="tx1"/>
                  </w14:solidFill>
                </w14:textFill>
              </w:rPr>
              <w:t xml:space="preserve">同时提供以下证明材料，得3分（缺一不得分）：</w:t>
            </w:r>
            <w:r>
              <w:rPr>
                <w:rFonts w:hint="default" w:ascii="宋体" w:hAnsi="宋体" w:cs="宋体"/>
                <w:bCs/>
                <w:color w:val="000000" w:themeColor="text1"/>
                <w:szCs w:val="21"/>
                <w:highlight w:val="none"/>
                <w:lang w:val="en-US" w:eastAsia="zh-CN"/>
                <w14:textFill>
                  <w14:solidFill>
                    <w14:schemeClr w14:val="tx1"/>
                  </w14:solidFill>
                </w14:textFill>
              </w:rPr>
              <w:t xml:space="preserve">①</w:t>
            </w:r>
            <w:r>
              <w:rPr>
                <w:rFonts w:hint="eastAsia" w:ascii="宋体" w:hAnsi="宋体" w:cs="宋体"/>
                <w:bCs/>
                <w:color w:val="000000" w:themeColor="text1"/>
                <w:szCs w:val="21"/>
                <w:highlight w:val="none"/>
                <w:lang w:val="en-US" w:eastAsia="zh-CN"/>
                <w14:textFill>
                  <w14:solidFill>
                    <w14:schemeClr w14:val="tx1"/>
                  </w14:solidFill>
                </w14:textFill>
              </w:rPr>
              <w:t xml:space="preserve">现场实验室照片；</w:t>
            </w:r>
            <w:r>
              <w:rPr>
                <w:rFonts w:hint="default" w:ascii="宋体" w:hAnsi="宋体" w:cs="宋体"/>
                <w:bCs/>
                <w:color w:val="000000" w:themeColor="text1"/>
                <w:szCs w:val="21"/>
                <w:highlight w:val="none"/>
                <w:lang w:val="en-US" w:eastAsia="zh-CN"/>
                <w14:textFill>
                  <w14:solidFill>
                    <w14:schemeClr w14:val="tx1"/>
                  </w14:solidFill>
                </w14:textFill>
              </w:rPr>
              <w:t xml:space="preserve">②</w:t>
            </w:r>
            <w:r>
              <w:rPr>
                <w:rFonts w:hint="eastAsia" w:ascii="宋体" w:hAnsi="宋体" w:cs="宋体"/>
                <w:bCs/>
                <w:color w:val="000000" w:themeColor="text1"/>
                <w:szCs w:val="21"/>
                <w:highlight w:val="none"/>
                <w:lang w:val="en-US" w:eastAsia="zh-CN"/>
                <w14:textFill>
                  <w14:solidFill>
                    <w14:schemeClr w14:val="tx1"/>
                  </w14:solidFill>
                </w14:textFill>
              </w:rPr>
              <w:t xml:space="preserve">检测设备清单及设备照片，自有设备需提供对应合同及发票，租赁设备需提供租赁合同（检测设备中需包括但不限于可对兽药残留、微生物污染、化学残留物等进行检测的设备）；</w:t>
            </w:r>
            <w:r>
              <w:rPr>
                <w:rFonts w:hint="default" w:ascii="宋体" w:hAnsi="宋体" w:cs="宋体"/>
                <w:bCs/>
                <w:color w:val="000000" w:themeColor="text1"/>
                <w:szCs w:val="21"/>
                <w:highlight w:val="none"/>
                <w:lang w:val="en-US" w:eastAsia="zh-CN"/>
                <w14:textFill>
                  <w14:solidFill>
                    <w14:schemeClr w14:val="tx1"/>
                  </w14:solidFill>
                </w14:textFill>
              </w:rPr>
              <w:t xml:space="preserve">③</w:t>
            </w:r>
            <w:r>
              <w:rPr>
                <w:rFonts w:hint="eastAsia" w:ascii="宋体" w:hAnsi="宋体" w:cs="宋体"/>
                <w:bCs/>
                <w:color w:val="000000" w:themeColor="text1"/>
                <w:szCs w:val="21"/>
                <w:highlight w:val="none"/>
                <w:lang w:val="en-US" w:eastAsia="zh-CN"/>
                <w14:textFill>
                  <w14:solidFill>
                    <w14:schemeClr w14:val="tx1"/>
                  </w14:solidFill>
                </w14:textFill>
              </w:rPr>
              <w:t xml:space="preserve">场地产权或租赁证明：自有</w:t>
            </w:r>
            <w:r>
              <w:rPr>
                <w:rFonts w:hint="eastAsia" w:ascii="宋体" w:hAnsi="宋体" w:cs="宋体"/>
                <w:bCs/>
                <w:color w:val="000000" w:themeColor="text1"/>
                <w:szCs w:val="21"/>
                <w:highlight w:val="none"/>
                <w14:textFill>
                  <w14:solidFill>
                    <w14:schemeClr w14:val="tx1"/>
                  </w14:solidFill>
                </w14:textFill>
              </w:rPr>
              <w:t xml:space="preserve">食材检验室</w:t>
            </w:r>
            <w:r>
              <w:rPr>
                <w:rFonts w:hint="eastAsia" w:ascii="宋体" w:hAnsi="宋体" w:cs="宋体"/>
                <w:bCs/>
                <w:color w:val="000000" w:themeColor="text1"/>
                <w:szCs w:val="21"/>
                <w:highlight w:val="none"/>
                <w:lang w:val="en-US" w:eastAsia="zh-CN"/>
                <w14:textFill>
                  <w14:solidFill>
                    <w14:schemeClr w14:val="tx1"/>
                  </w14:solidFill>
                </w14:textFill>
              </w:rPr>
              <w:t xml:space="preserve">提供产权证明，租赁</w:t>
            </w:r>
            <w:r>
              <w:rPr>
                <w:rFonts w:hint="eastAsia" w:ascii="宋体" w:hAnsi="宋体" w:cs="宋体"/>
                <w:bCs/>
                <w:color w:val="000000" w:themeColor="text1"/>
                <w:szCs w:val="21"/>
                <w:highlight w:val="none"/>
                <w14:textFill>
                  <w14:solidFill>
                    <w14:schemeClr w14:val="tx1"/>
                  </w14:solidFill>
                </w14:textFill>
              </w:rPr>
              <w:t xml:space="preserve">食材检验室</w:t>
            </w:r>
            <w:r>
              <w:rPr>
                <w:rFonts w:hint="eastAsia" w:ascii="宋体" w:hAnsi="宋体" w:cs="宋体"/>
                <w:bCs/>
                <w:color w:val="000000" w:themeColor="text1"/>
                <w:szCs w:val="21"/>
                <w:highlight w:val="none"/>
                <w:lang w:val="en-US" w:eastAsia="zh-CN"/>
                <w14:textFill>
                  <w14:solidFill>
                    <w14:schemeClr w14:val="tx1"/>
                  </w14:solidFill>
                </w14:textFill>
              </w:rPr>
              <w:t xml:space="preserve">提供租赁合同（</w:t>
            </w:r>
            <w:r>
              <w:rPr>
                <w:rFonts w:hint="eastAsia" w:ascii="宋体" w:hAnsi="宋体" w:cs="宋体"/>
                <w:bCs/>
                <w:color w:val="000000" w:themeColor="text1"/>
                <w:szCs w:val="21"/>
                <w:highlight w:val="none"/>
                <w14:textFill>
                  <w14:solidFill>
                    <w14:schemeClr w14:val="tx1"/>
                  </w14:solidFill>
                </w14:textFill>
              </w:rPr>
              <w:t xml:space="preserve">如有效期涵盖开标当日但不涵盖履约期限的，须同时提供承诺书：承诺到期后，</w:t>
            </w:r>
            <w:r>
              <w:rPr>
                <w:rFonts w:hint="eastAsia" w:ascii="宋体" w:hAnsi="宋体" w:cs="宋体"/>
                <w:bCs/>
                <w:color w:val="000000" w:themeColor="text1"/>
                <w:szCs w:val="21"/>
                <w:highlight w:val="none"/>
                <w:lang w:val="en-US" w:eastAsia="zh-CN"/>
                <w14:textFill>
                  <w14:solidFill>
                    <w14:schemeClr w14:val="tx1"/>
                  </w14:solidFill>
                </w14:textFill>
              </w:rPr>
              <w:t xml:space="preserve">原场所使用</w:t>
            </w:r>
            <w:r>
              <w:rPr>
                <w:rFonts w:hint="eastAsia" w:ascii="宋体" w:hAnsi="宋体" w:cs="宋体"/>
                <w:bCs/>
                <w:color w:val="000000" w:themeColor="text1"/>
                <w:szCs w:val="21"/>
                <w:highlight w:val="none"/>
                <w14:textFill>
                  <w14:solidFill>
                    <w14:schemeClr w14:val="tx1"/>
                  </w14:solidFill>
                </w14:textFill>
              </w:rPr>
              <w:t xml:space="preserve">至与采购人合同履约结束</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格式自拟</w:t>
            </w:r>
            <w:r>
              <w:rPr>
                <w:rFonts w:hint="eastAsia" w:ascii="宋体" w:hAnsi="宋体" w:cs="宋体"/>
                <w:bCs/>
                <w:color w:val="000000" w:themeColor="text1"/>
                <w:szCs w:val="21"/>
                <w:highlight w:val="none"/>
                <w:lang w:val="en-US" w:eastAsia="zh-CN"/>
                <w14:textFill>
                  <w14:solidFill>
                    <w14:schemeClr w14:val="tx1"/>
                  </w14:solidFill>
                </w14:textFill>
              </w:rPr>
              <w:t xml:space="preserve">）；④近一个月内（即开标之日前1个月内）自有或租赁食材检验室出具的检测报告复印件。</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p>
        </w:tc>
      </w:tr>
      <w:tr>
        <w:trPr>
          <w:trHeight w:val="3638"/>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numPr>
                <w:ilvl w:val="0"/>
                <w:numId w:val="8"/>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应急预案</w:t>
            </w:r>
            <w:r/>
          </w:p>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(4分)</w:t>
            </w:r>
            <w:r/>
          </w:p>
        </w:tc>
        <w:tc>
          <w:tcPr>
            <w:shd w:val="clear" w:color="auto" w:fill="auto"/>
            <w:tcBorders>
              <w:top w:val="single" w:color="auto" w:sz="4" w:space="0"/>
              <w:left w:val="none" w:color="000000" w:sz="4" w:space="0"/>
              <w:bottom w:val="single" w:color="auto" w:sz="4" w:space="0"/>
              <w:right w:val="single" w:color="auto" w:sz="4" w:space="0"/>
            </w:tcBorders>
            <w:tcW w:w="6530" w:type="dxa"/>
            <w:vAlign w:val="center"/>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须有能力应对突发事件应急预案，包括但不仅限于针对类似市场断货供应保障措施、节假日或非工作时间配送的方案、采购人临时加货要求、如遇特殊突发情况（如雨雪天气等）的配送方案等，根据应答情况评审打分。</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方案内容完整、科学合理、切实可行的，得4分；</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方案科学合理、切实可行、但内容不完整有欠缺的，得3分；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方案内容不完整、方案科学合理及可行性欠缺的，得2分；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内容不完整、不科学合理且没有可行性的，得1分。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未提供服务方案的不得分。</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w:t>
            </w:r>
            <w:r/>
          </w:p>
          <w:p>
            <w:pPr>
              <w:pStyle w:val="90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4042"/>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numPr>
                <w:ilvl w:val="0"/>
                <w:numId w:val="8"/>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响应时间（5分）</w:t>
            </w:r>
            <w:r/>
          </w:p>
        </w:tc>
        <w:tc>
          <w:tcPr>
            <w:shd w:val="clear" w:color="auto" w:fill="auto"/>
            <w:tcBorders>
              <w:top w:val="single" w:color="auto" w:sz="4" w:space="0"/>
              <w:left w:val="none" w:color="000000" w:sz="4" w:space="0"/>
              <w:bottom w:val="single" w:color="auto" w:sz="4" w:space="0"/>
              <w:right w:val="single" w:color="auto" w:sz="4" w:space="0"/>
            </w:tcBorders>
            <w:tcW w:w="6530" w:type="dxa"/>
            <w:vAlign w:val="center"/>
            <w:textDirection w:val="lrTb"/>
            <w:noWrap w:val="false"/>
          </w:tcPr>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根据供应商响应时间进行评审：</w:t>
            </w:r>
            <w:r/>
          </w:p>
          <w:p>
            <w:pPr>
              <w:numPr>
                <w:ilvl w:val="0"/>
                <w:numId w:val="0"/>
              </w:num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供应商承诺日常响应时间为30分钟内的，临时增加采购响应时间为60分钟内的，得5分；</w:t>
            </w:r>
            <w:r/>
          </w:p>
          <w:p>
            <w:pPr>
              <w:numPr>
                <w:ilvl w:val="0"/>
                <w:numId w:val="0"/>
              </w:num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供应商承诺日常响应时间为40分钟内的，临时增加采购响应时间为70分钟内的，得3分；</w:t>
            </w:r>
            <w:r/>
          </w:p>
          <w:p>
            <w:pPr>
              <w:numPr>
                <w:ilvl w:val="0"/>
                <w:numId w:val="0"/>
              </w:num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供应商承诺日常响应时间为50分钟内的，临时增加采购响应时间为90分钟内的，得1分；</w:t>
            </w:r>
            <w:r/>
          </w:p>
          <w:p>
            <w:pPr>
              <w:jc w:val="left"/>
              <w:spacing w:line="360" w:lineRule="auto"/>
              <w:tabs>
                <w:tab w:val="left" w:pos="312" w:leader="none"/>
              </w:tabs>
              <w:rPr>
                <w:rFonts w:hint="eastAsia"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 xml:space="preserve">说明</w:t>
            </w:r>
            <w:r>
              <w:rPr>
                <w:rFonts w:hint="eastAsia" w:ascii="宋体" w:hAnsi="宋体" w:cs="宋体"/>
                <w:b/>
                <w:bCs w:val="0"/>
                <w:color w:val="000000" w:themeColor="text1"/>
                <w:szCs w:val="21"/>
                <w:highlight w:val="none"/>
                <w14:textFill>
                  <w14:solidFill>
                    <w14:schemeClr w14:val="tx1"/>
                  </w14:solidFill>
                </w14:textFill>
              </w:rPr>
              <w:t xml:space="preserve">：</w:t>
            </w:r>
            <w:r/>
          </w:p>
          <w:p>
            <w:pPr>
              <w:jc w:val="left"/>
              <w:spacing w:line="360" w:lineRule="auto"/>
              <w:tabs>
                <w:tab w:val="left" w:pos="312" w:leader="none"/>
              </w:tabs>
              <w:rPr>
                <w:rFonts w:hint="eastAsia" w:ascii="宋体" w:hAnsi="宋体" w:eastAsia="宋体" w:cs="宋体"/>
                <w:b/>
                <w:bCs w:val="0"/>
                <w:color w:val="000000" w:themeColor="text1"/>
                <w:szCs w:val="21"/>
                <w:highlight w:val="none"/>
                <w:lang w:val="en-US" w:eastAsia="zh-CN"/>
                <w14:textFill>
                  <w14:solidFill>
                    <w14:schemeClr w14:val="tx1"/>
                  </w14:solidFill>
                </w14:textFill>
              </w:rPr>
            </w:pPr>
            <w:r>
              <w:rPr>
                <w:rFonts w:hint="eastAsia" w:ascii="宋体" w:hAnsi="宋体" w:cs="宋体"/>
                <w:b/>
                <w:bCs w:val="0"/>
                <w:color w:val="000000" w:themeColor="text1"/>
                <w:szCs w:val="21"/>
                <w:highlight w:val="none"/>
                <w:lang w:eastAsia="zh-CN"/>
                <w14:textFill>
                  <w14:solidFill>
                    <w14:schemeClr w14:val="tx1"/>
                  </w14:solidFill>
                </w14:textFill>
              </w:rPr>
              <w:t xml:space="preserve">（</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1</w:t>
            </w:r>
            <w:r>
              <w:rPr>
                <w:rFonts w:hint="eastAsia" w:ascii="宋体" w:hAnsi="宋体" w:cs="宋体"/>
                <w:b/>
                <w:bCs w:val="0"/>
                <w:color w:val="000000" w:themeColor="text1"/>
                <w:szCs w:val="21"/>
                <w:highlight w:val="none"/>
                <w:lang w:eastAsia="zh-CN"/>
                <w14:textFill>
                  <w14:solidFill>
                    <w14:schemeClr w14:val="tx1"/>
                  </w14:solidFill>
                </w14:textFill>
              </w:rPr>
              <w:t xml:space="preserve">）</w:t>
            </w:r>
            <w:r>
              <w:rPr>
                <w:rFonts w:hint="eastAsia" w:ascii="宋体" w:hAnsi="宋体" w:cs="宋体"/>
                <w:b/>
                <w:bCs w:val="0"/>
                <w:color w:val="000000" w:themeColor="text1"/>
                <w:szCs w:val="21"/>
                <w:highlight w:val="none"/>
                <w14:textFill>
                  <w14:solidFill>
                    <w14:schemeClr w14:val="tx1"/>
                  </w14:solidFill>
                </w14:textFill>
              </w:rPr>
              <w:t xml:space="preserve">本项须在投标文件中提供承诺函，未提供的不得分</w:t>
            </w:r>
            <w:r>
              <w:rPr>
                <w:rFonts w:hint="eastAsia" w:ascii="宋体" w:hAnsi="宋体" w:cs="宋体"/>
                <w:b/>
                <w:bCs w:val="0"/>
                <w:color w:val="000000" w:themeColor="text1"/>
                <w:szCs w:val="21"/>
                <w:highlight w:val="none"/>
                <w:lang w:eastAsia="zh-CN"/>
                <w14:textFill>
                  <w14:solidFill>
                    <w14:schemeClr w14:val="tx1"/>
                  </w14:solidFill>
                </w14:textFill>
              </w:rPr>
              <w:t xml:space="preserve">。</w:t>
            </w:r>
            <w:r/>
          </w:p>
          <w:p>
            <w:pPr>
              <w:numPr>
                <w:ilvl w:val="0"/>
                <w:numId w:val="0"/>
              </w:num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 xml:space="preserve">（2）</w:t>
            </w:r>
            <w:r>
              <w:rPr>
                <w:rFonts w:hint="eastAsia" w:ascii="宋体" w:hAnsi="宋体" w:cs="宋体"/>
                <w:b/>
                <w:bCs w:val="0"/>
                <w:color w:val="000000" w:themeColor="text1"/>
                <w:szCs w:val="21"/>
                <w:highlight w:val="none"/>
                <w14:textFill>
                  <w14:solidFill>
                    <w14:schemeClr w14:val="tx1"/>
                  </w14:solidFill>
                </w14:textFill>
              </w:rPr>
              <w:t xml:space="preserve">供应商承诺将作为合同条款。</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p>
        </w:tc>
      </w:tr>
      <w:tr>
        <w:trPr>
          <w:trHeight w:val="3354"/>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numPr>
                <w:ilvl w:val="0"/>
                <w:numId w:val="8"/>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售后服务</w:t>
            </w:r>
            <w:r/>
          </w:p>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6530"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供应商须有售后服务方案，包括：供应商自行列举可能出现的质量相关问题，以及对应的解决方案与措施、针对食材售后回访方案等，根据供应商提供的具体服务方案进行评分。</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方案内容完整、科学合理、切实可行的得</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分；</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方案科学合理、切实可行、但内容不完整有欠缺的得</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cs="宋体"/>
                <w:bCs/>
                <w:color w:val="000000" w:themeColor="text1"/>
                <w:szCs w:val="21"/>
                <w:highlight w:val="none"/>
                <w14:textFill>
                  <w14:solidFill>
                    <w14:schemeClr w14:val="tx1"/>
                  </w14:solidFill>
                </w14:textFill>
              </w:rPr>
              <w:t xml:space="preserve">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方案内容不完整、方案科学合理及可行性欠缺的得</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内容不完整、不科学合理且没有可行性的得</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分。</w:t>
            </w:r>
            <w:r/>
          </w:p>
          <w:p>
            <w:pPr>
              <w:pStyle w:val="816"/>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未提供服务方案的不得分。</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6</w:t>
            </w:r>
            <w:r/>
          </w:p>
        </w:tc>
      </w:tr>
      <w:tr>
        <w:trPr>
          <w:trHeight w:val="2429"/>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numPr>
                <w:ilvl w:val="0"/>
                <w:numId w:val="8"/>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contextualSpacing/>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食品安全责任险</w:t>
            </w:r>
            <w:r/>
          </w:p>
          <w:p>
            <w:pPr>
              <w:contextualSpacing/>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（3分）</w:t>
            </w:r>
            <w:r/>
          </w:p>
        </w:tc>
        <w:tc>
          <w:tcPr>
            <w:shd w:val="clear" w:color="auto" w:fill="auto"/>
            <w:tcBorders>
              <w:top w:val="single" w:color="auto" w:sz="4" w:space="0"/>
              <w:left w:val="none" w:color="000000" w:sz="4" w:space="0"/>
              <w:bottom w:val="single" w:color="auto" w:sz="4" w:space="0"/>
              <w:right w:val="single" w:color="auto" w:sz="4" w:space="0"/>
            </w:tcBorders>
            <w:tcW w:w="6530" w:type="dxa"/>
            <w:vAlign w:val="center"/>
            <w:textDirection w:val="lrTb"/>
            <w:noWrap w:val="false"/>
          </w:tcPr>
          <w:p>
            <w:pPr>
              <w:contextualSpacing/>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供应商承诺如中标，中标后购买保险保额如下食品安全责任险：</w:t>
            </w:r>
            <w:r/>
          </w:p>
          <w:p>
            <w:pPr>
              <w:contextualSpacing/>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1、保险保额小于800万得1分；</w:t>
            </w:r>
            <w:r/>
          </w:p>
          <w:p>
            <w:pPr>
              <w:contextualSpacing/>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2、保险保额≥800万且＜1200万得2分；</w:t>
            </w:r>
            <w:r/>
          </w:p>
          <w:p>
            <w:pPr>
              <w:contextualSpacing/>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3、保险保额≥1200万得3分。</w:t>
            </w:r>
            <w:r/>
          </w:p>
          <w:p>
            <w:pPr>
              <w:contextualSpacing/>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说明：</w:t>
            </w:r>
            <w:r>
              <w:rPr>
                <w:rFonts w:hint="eastAsia" w:ascii="宋体" w:hAnsi="宋体" w:cs="宋体"/>
                <w:b/>
                <w:bCs/>
                <w:color w:val="000000" w:themeColor="text1"/>
                <w:szCs w:val="21"/>
                <w:highlight w:val="none"/>
                <w14:textFill>
                  <w14:solidFill>
                    <w14:schemeClr w14:val="tx1"/>
                  </w14:solidFill>
                </w14:textFill>
              </w:rPr>
              <w:t xml:space="preserve">本项最多得3分，投标文件中须提供承诺函，未提供不得分。</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contextualSpacing/>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r>
    </w:tbl>
    <w:p>
      <w:pPr>
        <w:ind w:firstLine="373"/>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bookmarkStart w:id="264"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落实政府采购政策的价格调整：符合第二章《供应商须知》4条规定情形的，可以享受中小企业扶持政策，用扣除后的价格参加评审。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jc w:val="left"/>
        <w:spacing w:line="360" w:lineRule="auto"/>
        <w:widowControl/>
        <w:rPr>
          <w:rFonts w:ascii="宋体" w:hAnsi="宋体" w:cs="宋体"/>
          <w:b/>
          <w:bCs/>
          <w:color w:val="000000" w:themeColor="text1"/>
          <w:sz w:val="32"/>
          <w:szCs w:val="32"/>
          <w:highlight w:val="none"/>
          <w14:textFill>
            <w14:solidFill>
              <w14:schemeClr w14:val="tx1"/>
            </w14:solidFill>
          </w14:textFill>
        </w:rPr>
      </w:pPr>
      <w:r/>
      <w:bookmarkStart w:id="265" w:name="_Toc107246273"/>
      <w:r>
        <w:rPr>
          <w:rFonts w:ascii="宋体" w:hAnsi="宋体" w:cs="宋体"/>
          <w:color w:val="000000" w:themeColor="text1"/>
          <w:highlight w:val="none"/>
          <w14:textFill>
            <w14:solidFill>
              <w14:schemeClr w14:val="tx1"/>
            </w14:solidFill>
          </w14:textFill>
        </w:rPr>
        <w:br w:type="page" w:clear="all"/>
      </w:r>
      <w:r/>
    </w:p>
    <w:p>
      <w:pPr>
        <w:pStyle w:val="839"/>
        <w:ind w:firstLine="56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64"/>
      <w:r>
        <w:rPr>
          <w:rFonts w:hint="eastAsia" w:ascii="宋体" w:hAnsi="宋体" w:cs="宋体"/>
          <w:color w:val="000000" w:themeColor="text1"/>
          <w:highlight w:val="none"/>
          <w14:textFill>
            <w14:solidFill>
              <w14:schemeClr w14:val="tx1"/>
            </w14:solidFill>
          </w14:textFill>
        </w:rPr>
        <w:t xml:space="preserve">投标文件格式</w:t>
      </w:r>
      <w:bookmarkEnd w:id="265"/>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注：请供应商按照以下文件的要求格式、内容，顺序制作投标文件，并请编制目录及页码，否则可能将影响对投标文件的评价。</w:t>
      </w:r>
      <w:r/>
    </w:p>
    <w:p>
      <w:pPr>
        <w:pStyle w:val="1073"/>
        <w:ind w:firstLine="0"/>
        <w:spacing w:line="360" w:lineRule="auto"/>
        <w:shd w:val="clear" w:color="auto" w:fill="ffffff"/>
        <w:rPr>
          <w:rFonts w:ascii="宋体" w:hAnsi="宋体" w:eastAsia="宋体" w:cs="宋体"/>
          <w:b/>
          <w:color w:val="000000" w:themeColor="text1"/>
          <w:sz w:val="24"/>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r>
      <w:r/>
    </w:p>
    <w:p>
      <w:pPr>
        <w:jc w:val="left"/>
        <w:spacing w:before="100" w:after="100" w:line="360" w:lineRule="auto"/>
        <w:rPr>
          <w:rFonts w:ascii="宋体" w:hAnsi="宋体" w:cs="宋体"/>
          <w:color w:val="000000" w:themeColor="text1"/>
          <w:sz w:val="24"/>
          <w:highlight w:val="none"/>
          <w14:textFill>
            <w14:solidFill>
              <w14:schemeClr w14:val="tx1"/>
            </w14:solidFill>
          </w14:textFill>
        </w:rPr>
      </w:pPr>
      <w:r/>
      <w:bookmarkStart w:id="266"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821"/>
        <w:ind w:firstLine="995"/>
        <w:jc w:val="center"/>
        <w:spacing w:line="360" w:lineRule="auto"/>
        <w:rPr>
          <w:rFonts w:hAnsi="宋体" w:cs="宋体"/>
          <w:b/>
          <w:color w:val="000000" w:themeColor="text1"/>
          <w:sz w:val="56"/>
          <w:szCs w:val="56"/>
          <w:highlight w:val="none"/>
          <w14:textFill>
            <w14:solidFill>
              <w14:schemeClr w14:val="tx1"/>
            </w14:solidFill>
          </w14:textFill>
        </w:rPr>
      </w:pPr>
      <w:r>
        <w:rPr>
          <w:rFonts w:hAnsi="宋体" w:cs="宋体"/>
          <w:b/>
          <w:color w:val="000000" w:themeColor="text1"/>
          <w:sz w:val="56"/>
          <w:szCs w:val="56"/>
          <w:highlight w:val="none"/>
          <w14:textFill>
            <w14:solidFill>
              <w14:schemeClr w14:val="tx1"/>
            </w14:solidFill>
          </w14:textFill>
        </w:rPr>
      </w:r>
      <w:r/>
    </w:p>
    <w:p>
      <w:pPr>
        <w:pStyle w:val="821"/>
        <w:jc w:val="center"/>
        <w:spacing w:line="360" w:lineRule="auto"/>
        <w:rPr>
          <w:rFonts w:hint="eastAsia" w:hAnsi="宋体" w:eastAsia="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 xml:space="preserve">南京市儿童医院鲜肉及肉制品等食材采购项目</w:t>
      </w:r>
      <w:r/>
    </w:p>
    <w:p>
      <w:pPr>
        <w:pStyle w:val="821"/>
        <w:ind w:firstLine="0"/>
        <w:jc w:val="both"/>
        <w:spacing w:line="360" w:lineRule="auto"/>
        <w:rPr>
          <w:rFonts w:hAnsi="宋体" w:cs="宋体"/>
          <w:b/>
          <w:color w:val="000000" w:themeColor="text1"/>
          <w:sz w:val="84"/>
          <w:szCs w:val="84"/>
          <w:highlight w:val="none"/>
          <w14:textFill>
            <w14:solidFill>
              <w14:schemeClr w14:val="tx1"/>
            </w14:solidFill>
          </w14:textFill>
        </w:rPr>
      </w:pPr>
      <w:r/>
      <w:bookmarkStart w:id="267" w:name="_Toc100905255"/>
      <w:r/>
      <w:r/>
    </w:p>
    <w:p>
      <w:pPr>
        <w:pStyle w:val="821"/>
        <w:ind w:firstLine="420"/>
        <w:jc w:val="center"/>
        <w:spacing w:line="360" w:lineRule="auto"/>
        <w:rPr>
          <w:rFonts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投 标 文 件</w:t>
      </w:r>
      <w:bookmarkEnd w:id="267"/>
      <w:r/>
      <w:r/>
    </w:p>
    <w:p>
      <w:pPr>
        <w:ind w:right="640" w:firstLine="782"/>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821"/>
        <w:ind w:firstLine="496"/>
        <w:spacing w:line="360" w:lineRule="auto"/>
        <w:rPr>
          <w:rFonts w:hint="default" w:hAnsi="宋体" w:eastAsia="宋体" w:cs="宋体"/>
          <w:color w:val="000000" w:themeColor="text1"/>
          <w:sz w:val="28"/>
          <w:szCs w:val="28"/>
          <w:highlight w:val="none"/>
          <w:lang w:val="en-US"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 xml:space="preserve">项目编号：</w:t>
      </w:r>
      <w:r>
        <w:rPr>
          <w:rFonts w:hint="eastAsia" w:hAnsi="宋体" w:cs="宋体"/>
          <w:b/>
          <w:color w:val="000000" w:themeColor="text1"/>
          <w:sz w:val="40"/>
          <w:szCs w:val="40"/>
          <w:highlight w:val="none"/>
          <w:lang w:eastAsia="zh-CN"/>
          <w14:textFill>
            <w14:solidFill>
              <w14:schemeClr w14:val="tx1"/>
            </w14:solidFill>
          </w14:textFill>
        </w:rPr>
        <w:t xml:space="preserve">JSZC-320100-JITC-G2026-0204</w:t>
      </w:r>
      <w:r/>
    </w:p>
    <w:p>
      <w:pPr>
        <w:pStyle w:val="821"/>
        <w:ind w:firstLine="496"/>
        <w:spacing w:line="360" w:lineRule="auto"/>
        <w:rPr>
          <w:rFonts w:hAnsi="宋体" w:cs="宋体"/>
          <w:color w:val="000000" w:themeColor="text1"/>
          <w:sz w:val="28"/>
          <w:szCs w:val="28"/>
          <w:highlight w:val="none"/>
          <w14:textFill>
            <w14:solidFill>
              <w14:schemeClr w14:val="tx1"/>
            </w14:solidFill>
          </w14:textFill>
        </w:rPr>
      </w:pPr>
      <w:r>
        <w:rPr>
          <w:rFonts w:hAnsi="宋体" w:cs="宋体"/>
          <w:color w:val="000000" w:themeColor="text1"/>
          <w:sz w:val="28"/>
          <w:szCs w:val="28"/>
          <w:highlight w:val="none"/>
          <w14:textFill>
            <w14:solidFill>
              <w14:schemeClr w14:val="tx1"/>
            </w14:solidFill>
          </w14:textFill>
        </w:rPr>
      </w:r>
      <w:r/>
    </w:p>
    <w:p>
      <w:pPr>
        <w:pStyle w:val="821"/>
        <w:ind w:firstLine="496"/>
        <w:spacing w:line="360" w:lineRule="auto"/>
        <w:rPr>
          <w:rFonts w:hAnsi="宋体" w:cs="宋体"/>
          <w:color w:val="000000" w:themeColor="text1"/>
          <w:sz w:val="28"/>
          <w:szCs w:val="28"/>
          <w:highlight w:val="none"/>
          <w14:textFill>
            <w14:solidFill>
              <w14:schemeClr w14:val="tx1"/>
            </w14:solidFill>
          </w14:textFill>
        </w:rPr>
      </w:pPr>
      <w:r>
        <w:rPr>
          <w:rFonts w:hAnsi="宋体" w:cs="宋体"/>
          <w:color w:val="000000" w:themeColor="text1"/>
          <w:sz w:val="28"/>
          <w:szCs w:val="28"/>
          <w:highlight w:val="none"/>
          <w14:textFill>
            <w14:solidFill>
              <w14:schemeClr w14:val="tx1"/>
            </w14:solidFill>
          </w14:textFill>
        </w:rPr>
      </w:r>
      <w:r/>
    </w:p>
    <w:p>
      <w:pPr>
        <w:pStyle w:val="821"/>
        <w:ind w:firstLine="496"/>
        <w:spacing w:line="360" w:lineRule="auto"/>
        <w:rPr>
          <w:rFonts w:hAnsi="宋体" w:cs="宋体"/>
          <w:color w:val="000000" w:themeColor="text1"/>
          <w:sz w:val="28"/>
          <w:szCs w:val="28"/>
          <w:highlight w:val="none"/>
          <w14:textFill>
            <w14:solidFill>
              <w14:schemeClr w14:val="tx1"/>
            </w14:solidFill>
          </w14:textFill>
        </w:rPr>
      </w:pPr>
      <w:r>
        <w:rPr>
          <w:rFonts w:hAnsi="宋体" w:cs="宋体"/>
          <w:color w:val="000000" w:themeColor="text1"/>
          <w:sz w:val="28"/>
          <w:szCs w:val="28"/>
          <w:highlight w:val="none"/>
          <w14:textFill>
            <w14:solidFill>
              <w14:schemeClr w14:val="tx1"/>
            </w14:solidFill>
          </w14:textFill>
        </w:rPr>
      </w:r>
      <w:r/>
    </w:p>
    <w:p>
      <w:pPr>
        <w:pStyle w:val="821"/>
        <w:ind w:firstLine="569"/>
        <w:jc w:val="center"/>
        <w:spacing w:line="360" w:lineRule="auto"/>
        <w:rPr>
          <w:rFonts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821"/>
        <w:ind w:firstLine="569"/>
        <w:jc w:val="center"/>
        <w:spacing w:line="360" w:lineRule="auto"/>
        <w:rPr>
          <w:rFonts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821"/>
        <w:ind w:firstLine="569"/>
        <w:jc w:val="center"/>
        <w:spacing w:line="360" w:lineRule="auto"/>
        <w:rPr>
          <w:rFonts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ind w:firstLine="569"/>
        <w:jc w:val="center"/>
        <w:spacing w:line="360" w:lineRule="auto"/>
        <w:rPr>
          <w:rFonts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二O   年  月  日</w:t>
      </w:r>
      <w:r>
        <w:rPr>
          <w:rFonts w:hint="eastAsia" w:ascii="宋体" w:hAnsi="宋体" w:cs="宋体"/>
          <w:b/>
          <w:color w:val="000000" w:themeColor="text1"/>
          <w:highlight w:val="none"/>
          <w14:textFill>
            <w14:solidFill>
              <w14:schemeClr w14:val="tx1"/>
            </w14:solidFill>
          </w14:textFill>
        </w:rPr>
        <w:br w:type="page" w:clear="all"/>
      </w:r>
      <w:r>
        <w:rPr>
          <w:rFonts w:hint="eastAsia" w:ascii="宋体" w:hAnsi="宋体" w:cs="宋体"/>
          <w:b/>
          <w:color w:val="000000" w:themeColor="text1"/>
          <w:sz w:val="32"/>
          <w:highlight w:val="none"/>
          <w14:textFill>
            <w14:solidFill>
              <w14:schemeClr w14:val="tx1"/>
            </w14:solidFill>
          </w14:textFill>
        </w:rPr>
        <w:t xml:space="preserve">目录</w:t>
      </w:r>
      <w:r/>
    </w:p>
    <w:p>
      <w:pPr>
        <w:pStyle w:val="821"/>
        <w:ind w:firstLine="373"/>
        <w:spacing w:line="360" w:lineRule="auto"/>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一、价格及商务部分</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（2）法定代表人（非法人单位负责人）身份证明，格式见附件。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（3）授权委托书，格式见附件。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（5）所投产品情况表，格式见附件。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（6）偏离表。</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（7）供应商具备投标资格的证明文件（如为南京市政府采购项目，按照公告要求提供）：</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（a）供应商为企业（包括合伙企业）的，应提供有效的“营业执照”。</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（b）供应商为事业单位的，应提供有效的“事业单位法人证书”。</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（c）供应商是非企业机构的，应提供有效的“执业许可证”、“登记证书”等证明文件。</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（d）供应商是个体工商户的，应提供有效的“个体工商户营业执照”。</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（e）供应商是自然人的，应提供有效的自然人身份证明。</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（7-2）财务报表等证明文件。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（7-7）无不良信用记录承诺函（供应商自行查询适用），格式见附件。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（9）公章授权书（如需），格式见附件。</w:t>
      </w:r>
      <w:r/>
    </w:p>
    <w:p>
      <w:pPr>
        <w:pStyle w:val="821"/>
        <w:ind w:firstLine="373"/>
        <w:spacing w:line="360" w:lineRule="auto"/>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二、技术部分</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（1）用于本项目产品技术参数证明文件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（2）需求响应方案</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（3）供应商售后服务承诺（如需）</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（5）用于本项目人员表</w:t>
      </w:r>
      <w:r/>
    </w:p>
    <w:p>
      <w:pPr>
        <w:pStyle w:val="821"/>
        <w:ind w:firstLine="373"/>
        <w:spacing w:line="360" w:lineRule="auto"/>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三、其他部分</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（1）要求供应商提交的其他文件材料或证明材料</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（2）供应商认为需提供的其他文件或证明材料</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（3）提供符合政府采购政策的证明材料</w:t>
      </w:r>
      <w:r/>
    </w:p>
    <w:p>
      <w:pPr>
        <w:spacing w:line="360" w:lineRule="auto"/>
        <w:rPr>
          <w:rFonts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66"/>
      <w:r/>
      <w:r/>
    </w:p>
    <w:p>
      <w:pPr>
        <w:pStyle w:val="839"/>
        <w:ind w:left="601" w:firstLine="425"/>
        <w:spacing w:before="0"/>
        <w:rPr>
          <w:rFonts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68" w:name="_Toc104560897"/>
      <w:r/>
      <w:bookmarkStart w:id="269" w:name="_Toc107246274"/>
      <w:r/>
      <w:bookmarkStart w:id="270" w:name="_Toc103848582"/>
      <w:r/>
      <w:bookmarkStart w:id="271"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68"/>
      <w:r/>
      <w:bookmarkEnd w:id="269"/>
      <w:r/>
      <w:bookmarkEnd w:id="270"/>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39"/>
        <w:spacing w:before="0" w:line="360" w:lineRule="auto"/>
        <w:rPr>
          <w:rFonts w:ascii="宋体" w:hAnsi="宋体" w:cs="宋体"/>
          <w:color w:val="000000" w:themeColor="text1"/>
          <w:sz w:val="28"/>
          <w:szCs w:val="24"/>
          <w:highlight w:val="none"/>
          <w14:textFill>
            <w14:solidFill>
              <w14:schemeClr w14:val="tx1"/>
            </w14:solidFill>
          </w14:textFill>
        </w:rPr>
      </w:pPr>
      <w:r/>
      <w:bookmarkStart w:id="272"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71"/>
      <w:r/>
      <w:bookmarkEnd w:id="272"/>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273" w:name="_Toc103848580"/>
      <w:r/>
      <w:bookmarkStart w:id="274" w:name="_Toc96347902"/>
      <w:r>
        <w:rPr>
          <w:rFonts w:hint="eastAsia" w:ascii="宋体" w:hAnsi="宋体" w:cs="宋体"/>
          <w:color w:val="000000" w:themeColor="text1"/>
          <w:szCs w:val="21"/>
          <w:highlight w:val="none"/>
          <w:u w:val="single"/>
          <w14:textFill>
            <w14:solidFill>
              <w14:schemeClr w14:val="tx1"/>
            </w14:solidFill>
          </w14:textFill>
        </w:rPr>
        <w:t xml:space="preserve">南京市儿童医院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(供应商全称)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南京市儿童医院鲜肉及肉制品等食材采购项目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JSZC-320100-JITC-G2026-0204</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837"/>
        <w:ind w:firstLine="420"/>
        <w:jc w:val="left"/>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837"/>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837"/>
        <w:ind w:firstLine="420"/>
        <w:jc w:val="left"/>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837"/>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837"/>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837"/>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837"/>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37"/>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837"/>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837"/>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37"/>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37"/>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37"/>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37"/>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37"/>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37"/>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37"/>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37"/>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816"/>
        <w:spacing w:before="1"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39"/>
        <w:ind w:firstLine="569"/>
        <w:spacing w:before="0"/>
        <w:rPr>
          <w:rFonts w:ascii="宋体" w:hAnsi="宋体" w:cs="宋体"/>
          <w:bCs w:val="0"/>
          <w:color w:val="000000" w:themeColor="text1"/>
          <w:sz w:val="24"/>
          <w:szCs w:val="24"/>
          <w:highlight w:val="none"/>
          <w14:textFill>
            <w14:solidFill>
              <w14:schemeClr w14:val="tx1"/>
            </w14:solidFill>
          </w14:textFill>
        </w:rPr>
      </w:pPr>
      <w:r/>
      <w:bookmarkStart w:id="275" w:name="_Toc103848583"/>
      <w:r/>
      <w:bookmarkStart w:id="276" w:name="_Toc104560898"/>
      <w:r/>
      <w:bookmarkStart w:id="277"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75"/>
      <w:r/>
      <w:bookmarkEnd w:id="276"/>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77"/>
      <w:r/>
      <w:r/>
    </w:p>
    <w:p>
      <w:pPr>
        <w:pStyle w:val="816"/>
        <w:ind w:left="1236" w:firstLine="368"/>
        <w:spacing w:line="360" w:lineRule="auto"/>
        <w:tabs>
          <w:tab w:val="left" w:pos="4228" w:leader="none"/>
        </w:tabs>
        <w:rPr>
          <w:rFonts w:ascii="宋体" w:hAnsi="宋体" w:cs="宋体"/>
          <w:color w:val="000000" w:themeColor="text1"/>
          <w:spacing w:val="-1"/>
          <w:highlight w:val="none"/>
          <w14:textFill>
            <w14:solidFill>
              <w14:schemeClr w14:val="tx1"/>
            </w14:solidFill>
          </w14:textFill>
        </w:rPr>
      </w:pPr>
      <w:r>
        <w:rPr>
          <w:rFonts w:ascii="宋体" w:hAnsi="宋体" w:cs="宋体"/>
          <w:color w:val="000000" w:themeColor="text1"/>
          <w:spacing w:val="-1"/>
          <w:highlight w:val="none"/>
          <w14:textFill>
            <w14:solidFill>
              <w14:schemeClr w14:val="tx1"/>
            </w14:solidFill>
          </w14:textFill>
        </w:rPr>
      </w:r>
      <w:r/>
    </w:p>
    <w:p>
      <w:pPr>
        <w:pStyle w:val="816"/>
        <w:ind w:left="1236" w:firstLine="368"/>
        <w:spacing w:line="360" w:lineRule="auto"/>
        <w:tabs>
          <w:tab w:val="left" w:pos="4228" w:leader="none"/>
        </w:tabs>
        <w:rPr>
          <w:rFonts w:ascii="宋体" w:hAnsi="宋体" w:cs="宋体"/>
          <w:color w:val="000000" w:themeColor="text1"/>
          <w:spacing w:val="-1"/>
          <w:highlight w:val="none"/>
          <w14:textFill>
            <w14:solidFill>
              <w14:schemeClr w14:val="tx1"/>
            </w14:solidFill>
          </w14:textFill>
        </w:rPr>
      </w:pPr>
      <w:r>
        <w:rPr>
          <w:rFonts w:ascii="宋体" w:hAnsi="宋体" w:cs="宋体"/>
          <w:color w:val="000000" w:themeColor="text1"/>
          <w:spacing w:val="-1"/>
          <w:highlight w:val="none"/>
          <w14:textFill>
            <w14:solidFill>
              <w14:schemeClr w14:val="tx1"/>
            </w14:solidFill>
          </w14:textFill>
        </w:rPr>
      </w:r>
      <w:r/>
    </w:p>
    <w:p>
      <w:pPr>
        <w:pStyle w:val="816"/>
        <w:ind w:firstLine="420"/>
        <w:spacing w:line="360" w:lineRule="auto"/>
        <w:tabs>
          <w:tab w:val="left" w:pos="4228"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16"/>
        <w:ind w:firstLine="420"/>
        <w:spacing w:before="170" w:line="360" w:lineRule="auto"/>
        <w:tabs>
          <w:tab w:val="left" w:pos="2712" w:leader="none"/>
          <w:tab w:val="left" w:pos="4183" w:leader="none"/>
          <w:tab w:val="left" w:pos="5652" w:leader="none"/>
          <w:tab w:val="left" w:pos="7169"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16"/>
        <w:ind w:firstLine="420"/>
        <w:spacing w:before="173" w:line="360" w:lineRule="auto"/>
        <w:tabs>
          <w:tab w:val="left" w:pos="3132"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供应商</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816"/>
        <w:ind w:firstLine="420"/>
        <w:spacing w:before="17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816"/>
        <w:ind w:left="1260" w:firstLine="354"/>
        <w:spacing w:line="360" w:lineRule="auto"/>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816"/>
        <w:ind w:left="1260" w:firstLine="478"/>
        <w:spacing w:before="10" w:line="360" w:lineRule="auto"/>
        <w:rPr>
          <w:rFonts w:ascii="宋体" w:hAnsi="宋体" w:cs="宋体"/>
          <w:color w:val="000000" w:themeColor="text1"/>
          <w:sz w:val="27"/>
          <w:highlight w:val="none"/>
          <w14:textFill>
            <w14:solidFill>
              <w14:schemeClr w14:val="tx1"/>
            </w14:solidFill>
          </w14:textFill>
        </w:rPr>
      </w:pPr>
      <w:r>
        <w:rPr>
          <w:rFonts w:ascii="宋体" w:hAnsi="宋体" w:cs="宋体"/>
          <w:color w:val="000000" w:themeColor="text1"/>
          <w:sz w:val="27"/>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bl>
      <w:tblPr>
        <w:tblStyle w:val="80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816"/>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16"/>
        <w:ind w:firstLine="354"/>
        <w:spacing w:line="360" w:lineRule="auto"/>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816"/>
        <w:ind w:firstLine="354"/>
        <w:spacing w:line="360" w:lineRule="auto"/>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816"/>
        <w:ind w:left="1260" w:firstLine="354"/>
        <w:spacing w:line="360" w:lineRule="auto"/>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816"/>
        <w:ind w:left="1260" w:firstLine="389"/>
        <w:spacing w:before="1" w:line="360" w:lineRule="auto"/>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p>
      <w:pPr>
        <w:pStyle w:val="816"/>
        <w:ind w:left="1260" w:firstLine="3060"/>
        <w:spacing w:line="360" w:lineRule="auto"/>
        <w:tabs>
          <w:tab w:val="left" w:pos="7977"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供应商名称（公章）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37"/>
        <w:ind w:firstLine="372"/>
        <w:jc w:val="righ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9"/>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78" w:name="_Toc107246277"/>
      <w:r/>
      <w:bookmarkStart w:id="279" w:name="_Toc104560899"/>
      <w:r/>
      <w:bookmarkStart w:id="280" w:name="_Toc103848584"/>
      <w:r>
        <w:rPr>
          <w:rFonts w:hint="eastAsia" w:ascii="宋体" w:hAnsi="宋体" w:cs="宋体"/>
          <w:bCs w:val="0"/>
          <w:color w:val="000000" w:themeColor="text1"/>
          <w:sz w:val="24"/>
          <w:szCs w:val="24"/>
          <w:highlight w:val="none"/>
          <w14:textFill>
            <w14:solidFill>
              <w14:schemeClr w14:val="tx1"/>
            </w14:solidFill>
          </w14:textFill>
        </w:rPr>
        <w:t xml:space="preserve">（3）授权委托书</w:t>
      </w:r>
      <w:r/>
    </w:p>
    <w:p>
      <w:pPr>
        <w:pStyle w:val="839"/>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（3-1）法定代表人授权委托书</w:t>
      </w:r>
      <w:bookmarkEnd w:id="278"/>
      <w:r/>
      <w:bookmarkEnd w:id="279"/>
      <w:r/>
      <w:bookmarkEnd w:id="280"/>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南京市儿童医院鲜肉及肉制品等食材采购项目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JSZC-320100-JITC-G2026-0204</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供应商名称（公章）：  </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837"/>
        <w:ind w:firstLine="420"/>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37"/>
        <w:ind w:firstLine="420"/>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0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816"/>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80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816"/>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95"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37"/>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837"/>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837"/>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81" w:name="_Toc107246279"/>
      <w:r/>
      <w:bookmarkStart w:id="282" w:name="_Toc104560895"/>
      <w:r/>
      <w:r/>
    </w:p>
    <w:p>
      <w:pPr>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39"/>
        <w:ind w:firstLine="426"/>
        <w:spacing w:before="0"/>
        <w:rPr>
          <w:rFonts w:ascii="宋体" w:hAnsi="宋体" w:cs="宋体"/>
          <w:bCs w:val="0"/>
          <w:color w:val="000000" w:themeColor="text1"/>
          <w:sz w:val="21"/>
          <w:szCs w:val="24"/>
          <w:highlight w:val="none"/>
          <w14:textFill>
            <w14:solidFill>
              <w14:schemeClr w14:val="tx1"/>
            </w14:solidFill>
          </w14:textFill>
        </w:rPr>
      </w:pPr>
      <w:r/>
      <w:bookmarkStart w:id="283" w:name="_Toc107246278"/>
      <w:r/>
      <w:bookmarkStart w:id="284" w:name="_Toc103848585"/>
      <w:r/>
      <w:bookmarkStart w:id="285" w:name="_Toc104560900"/>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83"/>
      <w:r/>
      <w:bookmarkEnd w:id="284"/>
      <w:r/>
      <w:bookmarkEnd w:id="285"/>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南京市儿童医院鲜肉及肉制品等食材采购项目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JSZC-320100-JITC-G2026-0204</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837"/>
        <w:ind w:firstLine="420"/>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37"/>
        <w:ind w:firstLine="420"/>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0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816"/>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37"/>
        <w:ind w:firstLine="37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80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816"/>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95"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37"/>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bookmarkEnd w:id="273"/>
      <w:r/>
      <w:bookmarkEnd w:id="281"/>
      <w:r/>
      <w:bookmarkEnd w:id="282"/>
      <w:r/>
      <w:r/>
    </w:p>
    <w:p>
      <w:pPr>
        <w:pStyle w:val="839"/>
        <w:rPr>
          <w:rFonts w:ascii="宋体" w:hAnsi="宋体" w:cs="宋体"/>
          <w:bCs w:val="0"/>
          <w:color w:val="000000" w:themeColor="text1"/>
          <w:sz w:val="24"/>
          <w:szCs w:val="24"/>
          <w:highlight w:val="none"/>
          <w14:textFill>
            <w14:solidFill>
              <w14:schemeClr w14:val="tx1"/>
            </w14:solidFill>
          </w14:textFill>
        </w:rPr>
      </w:pPr>
      <w:r/>
      <w:bookmarkStart w:id="286" w:name="_Toc103848586"/>
      <w:r/>
      <w:bookmarkStart w:id="287" w:name="_Toc107246281"/>
      <w:r/>
      <w:bookmarkStart w:id="288" w:name="_Toc104560901"/>
      <w:r/>
      <w:bookmarkStart w:id="289" w:name="_Toc102117319"/>
      <w:r>
        <w:rPr>
          <w:rFonts w:hint="eastAsia" w:ascii="宋体" w:hAnsi="宋体" w:cs="宋体"/>
          <w:bCs w:val="0"/>
          <w:color w:val="000000" w:themeColor="text1"/>
          <w:sz w:val="24"/>
          <w:szCs w:val="24"/>
          <w:highlight w:val="none"/>
          <w14:textFill>
            <w14:solidFill>
              <w14:schemeClr w14:val="tx1"/>
            </w14:solidFill>
          </w14:textFill>
        </w:rPr>
        <w:t xml:space="preserve">（4）开标一览表</w:t>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供应商名称（CA公章）：</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南京市儿童医院鲜肉及肉制品等食材采购项目</w:t>
      </w:r>
      <w:r/>
    </w:p>
    <w:p>
      <w:pPr>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90"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JSZC-320100-JITC-G2026-0204</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分包号（如有）：</w:t>
      </w:r>
      <w:r/>
    </w:p>
    <w:tbl>
      <w:tblPr>
        <w:tblStyle w:val="80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80"/>
        <w:gridCol w:w="4949"/>
      </w:tblGrid>
      <w:tr>
        <w:trPr>
          <w:jc w:val="center"/>
          <w:trHeight w:val="1733"/>
        </w:trPr>
        <w:tc>
          <w:tcPr>
            <w:shd w:val="clear" w:color="auto" w:fill="auto"/>
            <w:tcW w:w="2197" w:type="pct"/>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投标货物名称</w:t>
            </w:r>
            <w:r/>
          </w:p>
        </w:tc>
        <w:tc>
          <w:tcPr>
            <w:shd w:val="clear" w:color="auto" w:fill="auto"/>
            <w:tcW w:w="2802" w:type="pct"/>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优惠率</w:t>
            </w:r>
            <w:r/>
          </w:p>
        </w:tc>
      </w:tr>
      <w:tr>
        <w:trPr>
          <w:jc w:val="center"/>
          <w:trHeight w:val="1765"/>
        </w:trPr>
        <w:tc>
          <w:tcPr>
            <w:shd w:val="clear" w:color="auto" w:fill="auto"/>
            <w:tcW w:w="2197" w:type="pct"/>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鲜肉及肉制品等食材</w:t>
            </w:r>
            <w:r/>
          </w:p>
        </w:tc>
        <w:tc>
          <w:tcPr>
            <w:shd w:val="clear" w:color="auto" w:fill="auto"/>
            <w:tcW w:w="2802" w:type="pct"/>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p>
        </w:tc>
      </w:tr>
    </w:tbl>
    <w:p>
      <w:pPr>
        <w:pStyle w:val="873"/>
        <w:ind w:left="422"/>
        <w:spacing w:line="360" w:lineRule="auto"/>
        <w:rPr>
          <w:rFonts w:hint="eastAsia" w:ascii="Times New Roman" w:hAnsi="宋体" w:eastAsia="宋体" w:cs="宋体"/>
          <w:b/>
          <w:bCs/>
          <w:color w:val="000000" w:themeColor="text1"/>
          <w:sz w:val="21"/>
          <w:szCs w:val="24"/>
          <w:highlight w:val="none"/>
          <w:lang w:val="en-US" w:eastAsia="zh-CN" w:bidi="ar-SA"/>
          <w14:textFill>
            <w14:solidFill>
              <w14:schemeClr w14:val="tx1"/>
            </w14:solidFill>
          </w14:textFill>
        </w:rPr>
      </w:pPr>
      <w:r/>
      <w:bookmarkStart w:id="291" w:name="_Toc104560896"/>
      <w:r>
        <w:rPr>
          <w:rFonts w:hint="eastAsia" w:ascii="Times New Roman" w:hAnsi="宋体" w:eastAsia="宋体" w:cs="宋体"/>
          <w:b/>
          <w:bCs/>
          <w:color w:val="000000" w:themeColor="text1"/>
          <w:sz w:val="21"/>
          <w:szCs w:val="24"/>
          <w:highlight w:val="none"/>
          <w:lang w:val="en-US" w:eastAsia="zh-CN" w:bidi="ar-SA"/>
          <w14:textFill>
            <w14:solidFill>
              <w14:schemeClr w14:val="tx1"/>
            </w14:solidFill>
          </w14:textFill>
        </w:rPr>
        <w:t xml:space="preserve">说明：结算单价=基准价格</w:t>
      </w:r>
      <w:r>
        <w:rPr>
          <w:rFonts w:hint="default" w:ascii="Times New Roman" w:hAnsi="宋体" w:eastAsia="宋体" w:cs="宋体"/>
          <w:b/>
          <w:bCs/>
          <w:color w:val="000000" w:themeColor="text1"/>
          <w:sz w:val="21"/>
          <w:szCs w:val="24"/>
          <w:highlight w:val="none"/>
          <w:lang w:val="en-US" w:eastAsia="zh-CN" w:bidi="ar-SA"/>
          <w14:textFill>
            <w14:solidFill>
              <w14:schemeClr w14:val="tx1"/>
            </w14:solidFill>
          </w14:textFill>
        </w:rPr>
        <w:t xml:space="preserve">×</w:t>
      </w:r>
      <w:r>
        <w:rPr>
          <w:rFonts w:hint="eastAsia" w:ascii="Times New Roman" w:hAnsi="宋体" w:eastAsia="宋体" w:cs="宋体"/>
          <w:b/>
          <w:bCs/>
          <w:color w:val="000000" w:themeColor="text1"/>
          <w:sz w:val="21"/>
          <w:szCs w:val="24"/>
          <w:highlight w:val="none"/>
          <w:lang w:val="en-US" w:eastAsia="zh-CN" w:bidi="ar-SA"/>
          <w14:textFill>
            <w14:solidFill>
              <w14:schemeClr w14:val="tx1"/>
            </w14:solidFill>
          </w14:textFill>
        </w:rPr>
        <w:t xml:space="preserve">（1-优惠率）</w:t>
      </w:r>
      <w:r/>
    </w:p>
    <w:p>
      <w:pPr>
        <w:spacing w:line="360" w:lineRule="auto"/>
        <w:rPr>
          <w:rStyle w:val="1085"/>
          <w:rFonts w:hAnsi="宋体"/>
          <w:color w:val="000000" w:themeColor="text1"/>
          <w:highlight w:val="none"/>
          <w14:textFill>
            <w14:solidFill>
              <w14:schemeClr w14:val="tx1"/>
            </w14:solidFill>
          </w14:textFill>
        </w:rPr>
        <w:sectPr>
          <w:footerReference w:type="default" r:id="rId14"/>
          <w:footnotePr/>
          <w:endnotePr/>
          <w:type w:val="nextPage"/>
          <w:pgSz w:w="11906" w:h="16838" w:orient="portrait"/>
          <w:pgMar w:top="1440" w:right="1698" w:bottom="1440" w:left="1588" w:header="851" w:footer="992" w:gutter="0"/>
          <w:cols w:num="1" w:sep="0" w:space="720" w:equalWidth="1"/>
          <w:docGrid w:linePitch="360"/>
        </w:sectPr>
      </w:pPr>
      <w:r>
        <w:rPr>
          <w:rStyle w:val="1085"/>
          <w:rFonts w:hAnsi="宋体"/>
          <w:color w:val="000000" w:themeColor="text1"/>
          <w:highlight w:val="none"/>
          <w14:textFill>
            <w14:solidFill>
              <w14:schemeClr w14:val="tx1"/>
            </w14:solidFill>
          </w14:textFill>
        </w:rPr>
        <w:br w:type="page" w:clear="all"/>
      </w:r>
      <w:bookmarkEnd w:id="290"/>
      <w:r/>
      <w:bookmarkEnd w:id="291"/>
      <w:r/>
      <w:r/>
    </w:p>
    <w:p>
      <w:pPr>
        <w:pStyle w:val="839"/>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（4-1）分项报价表</w:t>
      </w:r>
      <w:r/>
    </w:p>
    <w:tbl>
      <w:tblPr>
        <w:tblStyle w:val="809"/>
        <w:tblW w:w="899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8"/>
        <w:gridCol w:w="2054"/>
        <w:gridCol w:w="1030"/>
        <w:gridCol w:w="925"/>
        <w:gridCol w:w="1191"/>
        <w:gridCol w:w="22"/>
        <w:gridCol w:w="1182"/>
        <w:gridCol w:w="1272"/>
      </w:tblGrid>
      <w:tr>
        <w:trPr>
          <w:trHeight w:val="454"/>
        </w:trPr>
        <w:tc>
          <w:tcPr>
            <w:shd w:val="clear" w:color="auto" w:fill="auto"/>
            <w:tcBorders>
              <w:bottom w:val="single" w:color="auto" w:sz="4" w:space="0"/>
            </w:tcBorders>
            <w:tcW w:w="1318"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序号（子目）</w:t>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jc w:val="cente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品种</w:t>
            </w:r>
            <w:r/>
          </w:p>
        </w:tc>
        <w:tc>
          <w:tcPr>
            <w:shd w:val="clear" w:color="auto" w:fill="auto"/>
            <w:tcBorders>
              <w:top w:val="single" w:color="auto" w:sz="4" w:space="0"/>
              <w:left w:val="none" w:color="000000"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投标产品品牌</w:t>
            </w:r>
            <w:r/>
          </w:p>
        </w:tc>
        <w:tc>
          <w:tcPr>
            <w:shd w:val="clear" w:color="auto" w:fill="auto"/>
            <w:tcBorders>
              <w:top w:val="single" w:color="auto" w:sz="4" w:space="0"/>
              <w:left w:val="none" w:color="000000" w:sz="4" w:space="0"/>
              <w:bottom w:val="single" w:color="auto" w:sz="4" w:space="0"/>
              <w:right w:val="single" w:color="auto" w:sz="4" w:space="0"/>
            </w:tcBorders>
            <w:tcW w:w="925"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规格</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cente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产地</w:t>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both"/>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生产商</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cente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去皮前腿肉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default" w:ascii="宋体" w:hAnsi="宋体" w:eastAsia="宋体" w:cs="宋体"/>
                <w:color w:val="000000" w:themeColor="text1"/>
                <w:szCs w:val="21"/>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鲜牛腩</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排骨(小排)</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肉丝</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牛腱</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带皮五花肉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牛腩块</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下五花肉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带皮前腿肉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牛里脊肉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猪爪</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大排</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猪龙骨</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精瘦肉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肉片</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牛肉粒（半成品）</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香肠</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去皮五花肉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小酥肉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半熟牛肚</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散装</w:t>
            </w:r>
            <w:r>
              <w:rPr>
                <w:rFonts w:hint="eastAsia"/>
                <w:color w:val="000000" w:themeColor="text1"/>
                <w:sz w:val="22"/>
                <w:szCs w:val="22"/>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仔排</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肥肠</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散装</w:t>
            </w:r>
            <w:r>
              <w:rPr>
                <w:rFonts w:hint="eastAsia"/>
                <w:color w:val="000000" w:themeColor="text1"/>
                <w:sz w:val="22"/>
                <w:szCs w:val="22"/>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脆骨肠</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牛腿肉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去皮后腿肉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猪里脊肉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腊肉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原味鸡丁</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带肉扇子骨</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羊肉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鸽子(乳鸽)</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散装</w:t>
            </w:r>
            <w:r>
              <w:rPr>
                <w:rFonts w:hint="eastAsia"/>
                <w:color w:val="000000" w:themeColor="text1"/>
                <w:sz w:val="22"/>
                <w:szCs w:val="22"/>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只</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鸭肫</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带皮带骨方肉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小公鸡</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半熟猪肚</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散装</w:t>
            </w:r>
            <w:r>
              <w:rPr>
                <w:rFonts w:hint="eastAsia"/>
                <w:color w:val="000000" w:themeColor="text1"/>
                <w:sz w:val="22"/>
                <w:szCs w:val="22"/>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鸭肠</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带肉筒子骨</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牛筋</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散装</w:t>
            </w:r>
            <w:r>
              <w:rPr>
                <w:rFonts w:hint="eastAsia"/>
                <w:color w:val="000000" w:themeColor="text1"/>
                <w:sz w:val="22"/>
                <w:szCs w:val="22"/>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去骨猪头肉</w:t>
            </w:r>
            <w:r>
              <w:rPr>
                <w:rFonts w:hint="eastAsia"/>
                <w:color w:val="000000" w:themeColor="text1"/>
                <w:sz w:val="22"/>
                <w:szCs w:val="22"/>
                <w:highlight w:val="none"/>
                <w:lang w:eastAsia="zh-CN"/>
                <w14:textFill>
                  <w14:solidFill>
                    <w14:schemeClr w14:val="tx1"/>
                  </w14:solidFill>
                </w14:textFill>
              </w:rPr>
              <w:t xml:space="preserve">（</w:t>
            </w:r>
            <w:r>
              <w:rPr>
                <w:rFonts w:hint="eastAsia"/>
                <w:color w:val="000000" w:themeColor="text1"/>
                <w:sz w:val="22"/>
                <w:szCs w:val="22"/>
                <w:highlight w:val="none"/>
                <w:lang w:val="en-US" w:eastAsia="zh-CN"/>
                <w14:textFill>
                  <w14:solidFill>
                    <w14:schemeClr w14:val="tx1"/>
                  </w14:solidFill>
                </w14:textFill>
              </w:rPr>
              <w:t xml:space="preserve">散装</w:t>
            </w:r>
            <w:r>
              <w:rPr>
                <w:rFonts w:hint="eastAsia"/>
                <w:color w:val="000000" w:themeColor="text1"/>
                <w:sz w:val="22"/>
                <w:szCs w:val="22"/>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肉丁</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猪腰</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红毛鸡</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带皮羊腿肉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羊蝎子</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猪肝</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口条</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精瘦肉片</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叉烧肉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精瘦肉丝</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童子鸡</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牛里脊（黄牛肉）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猪板油</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龙脆骨</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鸭肝</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鸡米花</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老鹅</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迷你牙签肉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猪脆骨</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牛柳</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咸鸭腿</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牛大骨</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护心肉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羊排</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猪棒骨</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牛肋骨</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鲜鸡杂</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鸭带</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带皮带骨五花肉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猪心</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center"/>
            <w:textDirection w:val="lrTb"/>
            <w:noWrap/>
          </w:tcPr>
          <w:p>
            <w:pPr>
              <w:jc w:val="center"/>
              <w:spacing w:line="360" w:lineRule="auto"/>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鸭脖</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center"/>
            <w:textDirection w:val="lrTb"/>
            <w:noWrap/>
          </w:tcPr>
          <w:p>
            <w:pPr>
              <w:jc w:val="center"/>
              <w:spacing w:line="360" w:lineRule="auto"/>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培根</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去皮羊前腿</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肉皮</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老母鸡</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牛杂</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9"/>
              </w:numPr>
              <w:ind w:left="425" w:hanging="425"/>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054" w:type="dxa"/>
            <w:vAlign w:val="center"/>
            <w:textDirection w:val="lrTb"/>
            <w:noWrap/>
          </w:tcPr>
          <w:p>
            <w:pPr>
              <w:spacing w:line="360" w:lineRule="auto"/>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后腿精肉</w:t>
            </w:r>
            <w:r/>
          </w:p>
        </w:tc>
        <w:tc>
          <w:tcPr>
            <w:shd w:val="clear" w:color="auto" w:fill="auto"/>
            <w:tcBorders>
              <w:top w:val="single" w:color="auto" w:sz="4" w:space="0"/>
              <w:left w:val="single" w:color="auto" w:sz="4" w:space="0"/>
              <w:bottom w:val="single" w:color="auto" w:sz="4" w:space="0"/>
              <w:right w:val="single" w:color="auto" w:sz="4" w:space="0"/>
            </w:tcBorders>
            <w:tcW w:w="103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5" w:type="dxa"/>
            <w:vAlign w:val="bottom"/>
            <w:textDirection w:val="lrTb"/>
            <w:noWrap/>
          </w:tcPr>
          <w:p>
            <w:pPr>
              <w:jc w:val="center"/>
              <w:spacing w:line="360" w:lineRule="auto"/>
              <w:rPr>
                <w:rFonts w:ascii="宋体" w:hAnsi="宋体" w:cs="宋体"/>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斤</w:t>
            </w:r>
            <w:r/>
          </w:p>
        </w:tc>
        <w:tc>
          <w:tcPr>
            <w:gridSpan w:val="2"/>
            <w:tcBorders>
              <w:top w:val="single" w:color="auto" w:sz="4" w:space="0"/>
              <w:left w:val="single" w:color="auto" w:sz="4" w:space="0"/>
              <w:bottom w:val="single" w:color="auto" w:sz="4" w:space="0"/>
              <w:right w:val="single" w:color="auto" w:sz="4" w:space="0"/>
            </w:tcBorders>
            <w:tcW w:w="1213"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right"/>
              <w:spacing w:line="36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p>
        </w:tc>
      </w:tr>
      <w:tr>
        <w:trPr>
          <w:trHeight w:val="454"/>
        </w:trPr>
        <w:tc>
          <w:tcPr>
            <w:shd w:val="clear" w:color="auto" w:fill="auto"/>
            <w:tcBorders>
              <w:top w:val="single" w:color="auto" w:sz="4" w:space="0"/>
              <w:bottom w:val="single" w:color="auto" w:sz="4" w:space="0"/>
              <w:right w:val="single" w:color="auto" w:sz="4" w:space="0"/>
            </w:tcBorders>
            <w:tcW w:w="1318" w:type="dxa"/>
            <w:vAlign w:val="center"/>
            <w:textDirection w:val="lrTb"/>
            <w:noWrap/>
          </w:tcPr>
          <w:p>
            <w:pPr>
              <w:numPr>
                <w:ilvl w:val="0"/>
                <w:numId w:val="0"/>
              </w:numPr>
              <w:ind w:firstLine="210"/>
              <w:jc w:val="both"/>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备注</w:t>
            </w:r>
            <w:r/>
          </w:p>
        </w:tc>
        <w:tc>
          <w:tcPr>
            <w:gridSpan w:val="7"/>
            <w:shd w:val="clear" w:color="auto" w:fill="auto"/>
            <w:tcBorders>
              <w:top w:val="single" w:color="auto" w:sz="4" w:space="0"/>
              <w:left w:val="single" w:color="auto" w:sz="4" w:space="0"/>
              <w:bottom w:val="single" w:color="auto" w:sz="4" w:space="0"/>
              <w:right w:val="single" w:color="auto" w:sz="4" w:space="0"/>
            </w:tcBorders>
            <w:tcW w:w="7676"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实际采购包含但不限于上述食材，以实际供货品种、数量结算</w:t>
            </w:r>
            <w:r/>
          </w:p>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（以上目录供招标参考）</w:t>
            </w:r>
            <w:r/>
          </w:p>
        </w:tc>
      </w:tr>
      <w:tr>
        <w:trPr>
          <w:trHeight w:val="454"/>
        </w:trPr>
        <w:tc>
          <w:tcPr>
            <w:gridSpan w:val="5"/>
            <w:shd w:val="clear" w:color="auto" w:fill="auto"/>
            <w:tcBorders>
              <w:top w:val="single" w:color="auto" w:sz="4" w:space="0"/>
              <w:bottom w:val="single" w:color="auto" w:sz="4" w:space="0"/>
              <w:right w:val="single" w:color="auto" w:sz="4" w:space="0"/>
            </w:tcBorders>
            <w:tcW w:w="6518" w:type="dxa"/>
            <w:vAlign w:val="center"/>
            <w:textDirection w:val="lrTb"/>
            <w:noWrap/>
          </w:tcPr>
          <w:p>
            <w:pPr>
              <w:jc w:val="cente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优惠率</w:t>
            </w:r>
            <w:r/>
          </w:p>
        </w:tc>
        <w:tc>
          <w:tcPr>
            <w:gridSpan w:val="3"/>
            <w:shd w:val="clear" w:color="auto" w:fill="auto"/>
            <w:tcBorders>
              <w:top w:val="single" w:color="auto" w:sz="4" w:space="0"/>
              <w:left w:val="single" w:color="auto" w:sz="4" w:space="0"/>
              <w:bottom w:val="single" w:color="auto" w:sz="4" w:space="0"/>
              <w:right w:val="single" w:color="auto" w:sz="4" w:space="0"/>
            </w:tcBorders>
            <w:tcW w:w="2476" w:type="dxa"/>
            <w:vAlign w:val="center"/>
            <w:textDirection w:val="lrTb"/>
            <w:noWrap/>
          </w:tcPr>
          <w:p>
            <w:pPr>
              <w:jc w:val="cente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p>
        </w:tc>
      </w:tr>
      <w:tr>
        <w:trPr>
          <w:trHeight w:val="454"/>
        </w:trPr>
        <w:tc>
          <w:tcPr>
            <w:gridSpan w:val="8"/>
            <w:tcBorders>
              <w:top w:val="single" w:color="auto" w:sz="4" w:space="0"/>
              <w:bottom w:val="single" w:color="auto" w:sz="4" w:space="0"/>
              <w:right w:val="single" w:color="auto" w:sz="4" w:space="0"/>
            </w:tcBorders>
            <w:tcW w:w="8994" w:type="dxa"/>
            <w:vAlign w:val="center"/>
            <w:textDirection w:val="lrTb"/>
            <w:noWrap/>
          </w:tcPr>
          <w:p>
            <w:pPr>
              <w:pStyle w:val="821"/>
              <w:jc w:val="left"/>
              <w:spacing w:line="360" w:lineRule="auto"/>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说明：</w:t>
            </w:r>
            <w:r/>
          </w:p>
          <w:p>
            <w:pPr>
              <w:pStyle w:val="821"/>
              <w:jc w:val="left"/>
              <w:spacing w:line="360" w:lineRule="auto"/>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 xml:space="preserve">★1、肉禽类商品质量验收要求</w:t>
            </w:r>
            <w:r/>
          </w:p>
          <w:p>
            <w:pPr>
              <w:pStyle w:val="821"/>
              <w:jc w:val="left"/>
              <w:spacing w:line="360" w:lineRule="auto"/>
              <w:rPr>
                <w:rFonts w:hAnsi="宋体" w:cs="宋体"/>
                <w:b/>
                <w:bCs/>
                <w:color w:val="000000" w:themeColor="text1"/>
                <w:highlight w:val="none"/>
                <w14:textFill>
                  <w14:solidFill>
                    <w14:schemeClr w14:val="tx1"/>
                  </w14:solidFill>
                </w14:textFill>
              </w:rPr>
            </w:pPr>
            <w:r>
              <w:rPr>
                <w:rFonts w:ascii="Calibri" w:hAnsi="Calibri" w:cs="Calibri"/>
                <w:b/>
                <w:bCs/>
                <w:color w:val="000000" w:themeColor="text1"/>
                <w:highlight w:val="none"/>
                <w14:textFill>
                  <w14:solidFill>
                    <w14:schemeClr w14:val="tx1"/>
                  </w14:solidFill>
                </w14:textFill>
              </w:rPr>
              <w:t xml:space="preserve">①</w:t>
            </w:r>
            <w:r>
              <w:rPr>
                <w:rFonts w:hint="eastAsia" w:hAnsi="宋体" w:cs="宋体"/>
                <w:b/>
                <w:bCs/>
                <w:color w:val="000000" w:themeColor="text1"/>
                <w:highlight w:val="none"/>
                <w14:textFill>
                  <w14:solidFill>
                    <w14:schemeClr w14:val="tx1"/>
                  </w14:solidFill>
                </w14:textFill>
              </w:rPr>
              <w:t xml:space="preserve">新鲜的预冷肉（猪、牛、羊等）：感官正常，表皮无病状，肌肉无积血，体腔内无内脏；肉品表面应带有一层微干的外膜、有光泽，表面应微干或湿润、但不粘手，按压后凹陷立即恢复，无异味；应放血完全，肉质色泽光润，有弹性；应卫生、干净，不得沾染毛、污血或其他污染物。</w:t>
            </w:r>
            <w:r/>
          </w:p>
          <w:p>
            <w:pPr>
              <w:pStyle w:val="821"/>
              <w:jc w:val="left"/>
              <w:spacing w:line="360" w:lineRule="auto"/>
              <w:rPr>
                <w:rFonts w:hAnsi="宋体" w:cs="宋体"/>
                <w:b/>
                <w:bCs/>
                <w:color w:val="000000" w:themeColor="text1"/>
                <w:highlight w:val="none"/>
                <w14:textFill>
                  <w14:solidFill>
                    <w14:schemeClr w14:val="tx1"/>
                  </w14:solidFill>
                </w14:textFill>
              </w:rPr>
            </w:pPr>
            <w:r>
              <w:rPr>
                <w:rFonts w:ascii="Calibri" w:hAnsi="Calibri" w:cs="Calibri"/>
                <w:b/>
                <w:bCs/>
                <w:color w:val="000000" w:themeColor="text1"/>
                <w:highlight w:val="none"/>
                <w14:textFill>
                  <w14:solidFill>
                    <w14:schemeClr w14:val="tx1"/>
                  </w14:solidFill>
                </w14:textFill>
              </w:rPr>
              <w:t xml:space="preserve">②</w:t>
            </w:r>
            <w:r>
              <w:rPr>
                <w:rFonts w:hint="eastAsia" w:hAnsi="宋体" w:cs="宋体"/>
                <w:b/>
                <w:bCs/>
                <w:color w:val="000000" w:themeColor="text1"/>
                <w:highlight w:val="none"/>
                <w14:textFill>
                  <w14:solidFill>
                    <w14:schemeClr w14:val="tx1"/>
                  </w14:solidFill>
                </w14:textFill>
              </w:rPr>
              <w:t xml:space="preserve">内脏、头蹄等：应新鲜、卫生、干净，不得有残留毛发、积血、粪便等；外形正常、完整，无不良气味，无淤血、黑斑等异常感官；色泽鲜亮，组织结实有弹性。</w:t>
            </w:r>
            <w:r/>
          </w:p>
          <w:p>
            <w:pPr>
              <w:pStyle w:val="821"/>
              <w:jc w:val="left"/>
              <w:spacing w:line="360" w:lineRule="auto"/>
              <w:rPr>
                <w:rFonts w:hAnsi="宋体" w:cs="宋体"/>
                <w:b/>
                <w:bCs/>
                <w:color w:val="000000" w:themeColor="text1"/>
                <w:highlight w:val="none"/>
                <w14:textFill>
                  <w14:solidFill>
                    <w14:schemeClr w14:val="tx1"/>
                  </w14:solidFill>
                </w14:textFill>
              </w:rPr>
            </w:pPr>
            <w:r>
              <w:rPr>
                <w:rFonts w:ascii="Calibri" w:hAnsi="Calibri" w:cs="Calibri"/>
                <w:b/>
                <w:bCs/>
                <w:color w:val="000000" w:themeColor="text1"/>
                <w:highlight w:val="none"/>
                <w14:textFill>
                  <w14:solidFill>
                    <w14:schemeClr w14:val="tx1"/>
                  </w14:solidFill>
                </w14:textFill>
              </w:rPr>
              <w:t xml:space="preserve">③</w:t>
            </w:r>
            <w:r>
              <w:rPr>
                <w:rFonts w:hint="eastAsia" w:hAnsi="宋体" w:cs="宋体"/>
                <w:b/>
                <w:bCs/>
                <w:color w:val="000000" w:themeColor="text1"/>
                <w:highlight w:val="none"/>
                <w14:textFill>
                  <w14:solidFill>
                    <w14:schemeClr w14:val="tx1"/>
                  </w14:solidFill>
                </w14:textFill>
              </w:rPr>
              <w:t xml:space="preserve">禽类（鸡、鸭、鹅等）：所有禽体必须开膛，应是新鲜的预冷肉，感官正常，表皮无病状，肌肉无积血，体腔内无内脏、无喉管及任何填充物；应剔毛干净，表面有光泽，应卫生、干净，不得沾染毛、污血或其他污染物。</w:t>
            </w:r>
            <w:r/>
          </w:p>
          <w:p>
            <w:pPr>
              <w:pStyle w:val="821"/>
              <w:jc w:val="left"/>
              <w:spacing w:line="360" w:lineRule="auto"/>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 xml:space="preserve">④调味肉制品：切面肉馅有光泽，瘦肉呈枣红色或玫瑰色，脂肪呈乳白色或微带红色，色泽分明；肠衣干燥且紧贴肉馅，无粘液及霉点，表面感受呈收缩后的自然皱纹，切面坚实有弹性，红白相间均匀。咸甜适中，具有相应产品应有的气味，无其他任何不良气味。不允许有碎骨、软骨、血块、淋巴结、肌腱、筋膜等杂质和正常视力可见杂质。</w:t>
            </w:r>
            <w:r/>
          </w:p>
          <w:p>
            <w:pPr>
              <w:pStyle w:val="821"/>
              <w:jc w:val="left"/>
              <w:spacing w:line="360" w:lineRule="auto"/>
              <w:rPr>
                <w:rFonts w:hAnsi="宋体" w:cs="宋体"/>
                <w:b/>
                <w:bCs/>
                <w:color w:val="000000" w:themeColor="text1"/>
                <w:highlight w:val="none"/>
                <w14:textFill>
                  <w14:solidFill>
                    <w14:schemeClr w14:val="tx1"/>
                  </w14:solidFill>
                </w14:textFill>
              </w:rPr>
            </w:pPr>
            <w:r>
              <w:rPr>
                <w:rFonts w:hint="eastAsia" w:ascii="微软雅黑" w:hAnsi="微软雅黑" w:eastAsia="微软雅黑" w:cs="微软雅黑"/>
                <w:b/>
                <w:bCs/>
                <w:color w:val="000000" w:themeColor="text1"/>
                <w:highlight w:val="none"/>
                <w14:textFill>
                  <w14:solidFill>
                    <w14:schemeClr w14:val="tx1"/>
                  </w14:solidFill>
                </w14:textFill>
              </w:rPr>
              <w:t xml:space="preserve">★</w:t>
            </w:r>
            <w:r>
              <w:rPr>
                <w:rFonts w:hint="eastAsia" w:hAnsi="宋体" w:cs="宋体"/>
                <w:b/>
                <w:bCs/>
                <w:color w:val="000000" w:themeColor="text1"/>
                <w:highlight w:val="none"/>
                <w:lang w:val="en-US" w:eastAsia="zh-CN"/>
                <w14:textFill>
                  <w14:solidFill>
                    <w14:schemeClr w14:val="tx1"/>
                  </w14:solidFill>
                </w14:textFill>
              </w:rPr>
              <w:t xml:space="preserve">2、</w:t>
            </w:r>
            <w:r>
              <w:rPr>
                <w:rFonts w:hint="eastAsia" w:hAnsi="宋体" w:cs="宋体"/>
                <w:b/>
                <w:bCs/>
                <w:color w:val="000000" w:themeColor="text1"/>
                <w:highlight w:val="none"/>
                <w14:textFill>
                  <w14:solidFill>
                    <w14:schemeClr w14:val="tx1"/>
                  </w14:solidFill>
                </w14:textFill>
              </w:rPr>
              <w:t xml:space="preserve">供应商须填报统一优惠率，不得针对单独产品填报优惠率，否则视为无效标</w:t>
            </w:r>
            <w:r>
              <w:rPr>
                <w:rFonts w:hint="eastAsia" w:hAnsi="宋体" w:cs="宋体"/>
                <w:b/>
                <w:bCs/>
                <w:color w:val="000000" w:themeColor="text1"/>
                <w:highlight w:val="none"/>
                <w:lang w:eastAsia="zh-CN"/>
                <w14:textFill>
                  <w14:solidFill>
                    <w14:schemeClr w14:val="tx1"/>
                  </w14:solidFill>
                </w14:textFill>
              </w:rPr>
              <w:t xml:space="preserve">（</w:t>
            </w:r>
            <w:r>
              <w:rPr>
                <w:rFonts w:hint="eastAsia" w:hAnsi="宋体" w:cs="宋体"/>
                <w:b/>
                <w:bCs/>
                <w:color w:val="000000" w:themeColor="text1"/>
                <w:highlight w:val="none"/>
                <w:lang w:val="en-US" w:eastAsia="zh-CN"/>
                <w14:textFill>
                  <w14:solidFill>
                    <w14:schemeClr w14:val="tx1"/>
                  </w14:solidFill>
                </w14:textFill>
              </w:rPr>
              <w:t xml:space="preserve">结算单价=基准价格</w:t>
            </w:r>
            <w:r>
              <w:rPr>
                <w:rFonts w:ascii="Arial" w:hAnsi="Arial" w:cs="Arial"/>
                <w:b/>
                <w:bCs/>
                <w:color w:val="000000" w:themeColor="text1"/>
                <w:highlight w:val="none"/>
                <w:lang w:val="en-US" w:eastAsia="zh-CN"/>
                <w14:textFill>
                  <w14:solidFill>
                    <w14:schemeClr w14:val="tx1"/>
                  </w14:solidFill>
                </w14:textFill>
              </w:rPr>
              <w:t xml:space="preserve">×</w:t>
            </w:r>
            <w:r>
              <w:rPr>
                <w:rFonts w:hint="eastAsia" w:hAnsi="宋体" w:cs="宋体"/>
                <w:b/>
                <w:bCs/>
                <w:color w:val="000000" w:themeColor="text1"/>
                <w:highlight w:val="none"/>
                <w:lang w:val="en-US" w:eastAsia="zh-CN"/>
                <w14:textFill>
                  <w14:solidFill>
                    <w14:schemeClr w14:val="tx1"/>
                  </w14:solidFill>
                </w14:textFill>
              </w:rPr>
              <w:t xml:space="preserve">（1-优惠率）</w:t>
            </w:r>
            <w:r>
              <w:rPr>
                <w:rFonts w:hint="eastAsia" w:hAnsi="宋体" w:cs="宋体"/>
                <w:b/>
                <w:bCs/>
                <w:color w:val="000000" w:themeColor="text1"/>
                <w:highlight w:val="none"/>
                <w:lang w:eastAsia="zh-CN"/>
                <w14:textFill>
                  <w14:solidFill>
                    <w14:schemeClr w14:val="tx1"/>
                  </w14:solidFill>
                </w14:textFill>
              </w:rPr>
              <w:t xml:space="preserve">）</w:t>
            </w:r>
            <w:r>
              <w:rPr>
                <w:rFonts w:hint="eastAsia" w:hAnsi="宋体" w:cs="宋体"/>
                <w:b/>
                <w:bCs/>
                <w:color w:val="000000" w:themeColor="text1"/>
                <w:highlight w:val="none"/>
                <w14:textFill>
                  <w14:solidFill>
                    <w14:schemeClr w14:val="tx1"/>
                  </w14:solidFill>
                </w14:textFill>
              </w:rPr>
              <w:t xml:space="preserve">。</w:t>
            </w:r>
            <w:r/>
          </w:p>
          <w:p>
            <w:pPr>
              <w:pStyle w:val="821"/>
              <w:jc w:val="left"/>
              <w:spacing w:line="360" w:lineRule="auto"/>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lang w:val="en-US" w:eastAsia="zh-CN"/>
                <w14:textFill>
                  <w14:solidFill>
                    <w14:schemeClr w14:val="tx1"/>
                  </w14:solidFill>
                </w14:textFill>
              </w:rPr>
              <w:t xml:space="preserve">3、价格核算方式</w:t>
            </w:r>
            <w:r>
              <w:rPr>
                <w:rFonts w:hint="eastAsia"/>
                <w:color w:val="000000" w:themeColor="text1"/>
                <w:highlight w:val="none"/>
                <w14:textFill>
                  <w14:solidFill>
                    <w14:schemeClr w14:val="tx1"/>
                  </w14:solidFill>
                </w14:textFill>
              </w:rPr>
              <w:t xml:space="preserve">详见招标文件第四章采购需求“五、价格核算及结算”</w:t>
            </w:r>
            <w:r>
              <w:rPr>
                <w:rFonts w:hint="eastAsia"/>
                <w:color w:val="000000" w:themeColor="text1"/>
                <w:highlight w:val="none"/>
                <w:lang w:eastAsia="zh-CN"/>
                <w14:textFill>
                  <w14:solidFill>
                    <w14:schemeClr w14:val="tx1"/>
                  </w14:solidFill>
                </w14:textFill>
              </w:rPr>
              <w:t xml:space="preserve">。</w:t>
            </w:r>
            <w:r/>
          </w:p>
        </w:tc>
      </w:tr>
    </w:tbl>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372"/>
        <w:jc w:val="center"/>
        <w:spacing w:line="360" w:lineRule="auto"/>
        <w:tabs>
          <w:tab w:val="left" w:pos="6045" w:leader="none"/>
        </w:tabs>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供应商名称（公章）：</w:t>
      </w:r>
      <w:r/>
    </w:p>
    <w:p>
      <w:pPr>
        <w:ind w:right="420" w:firstLine="372"/>
        <w:jc w:val="cente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ascii="宋体" w:hAnsi="宋体" w:cs="宋体"/>
          <w:bCs/>
          <w:color w:val="000000" w:themeColor="text1"/>
          <w:highlight w:val="none"/>
          <w14:textFill>
            <w14:solidFill>
              <w14:schemeClr w14:val="tx1"/>
            </w14:solidFill>
          </w14:textFill>
        </w:rPr>
        <w:sectPr>
          <w:footerReference w:type="default" r:id="rId15"/>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39"/>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（5）偏离表</w:t>
      </w:r>
      <w:r/>
    </w:p>
    <w:p>
      <w:pPr>
        <w:pStyle w:val="839"/>
        <w:ind w:firstLine="426"/>
        <w:spacing w:before="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（5-1）商务要求响应及偏离表</w:t>
      </w:r>
      <w:bookmarkEnd w:id="286"/>
      <w:r/>
      <w:bookmarkEnd w:id="287"/>
      <w:r/>
      <w:bookmarkEnd w:id="288"/>
      <w:r/>
      <w:r/>
    </w:p>
    <w:p>
      <w:pPr>
        <w:pStyle w:val="1075"/>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南京市儿童医院鲜肉及肉制品等食材采购项目</w:t>
      </w:r>
      <w:r/>
    </w:p>
    <w:p>
      <w:pPr>
        <w:pStyle w:val="1075"/>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JSZC-320100-JITC-G2026-0204</w:t>
      </w:r>
      <w:r/>
    </w:p>
    <w:tbl>
      <w:tblPr>
        <w:tblStyle w:val="809"/>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844"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2268"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1134" w:type="dxa"/>
            <w:textDirection w:val="lrTb"/>
            <w:noWrap/>
          </w:tcPr>
          <w:p>
            <w:pPr>
              <w:pStyle w:val="1075"/>
              <w:ind w:firstLine="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781"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797"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bl>
    <w:p>
      <w:pPr>
        <w:pStyle w:val="837"/>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37"/>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供应商须根据招标文件商务条款要求填写此表，作为投标文件的组成部分。</w:t>
      </w:r>
      <w:r/>
    </w:p>
    <w:p>
      <w:pPr>
        <w:pStyle w:val="837"/>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所有偏离必须在本表中列出，未在本偏离表中列出偏离，将视为供应商已完全接受招标文件要求。</w:t>
      </w:r>
      <w:r/>
    </w:p>
    <w:p>
      <w:pPr>
        <w:pStyle w:val="837"/>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偏离包括正、负偏离，正偏离指供应商的响应优于招标文件要求，负偏离指供应商的响应低于招标文件要求。</w:t>
      </w:r>
      <w:r/>
    </w:p>
    <w:p>
      <w:pPr>
        <w:ind w:firstLine="440"/>
        <w:jc w:val="right"/>
        <w:spacing w:line="360" w:lineRule="auto"/>
        <w:rPr>
          <w:rFonts w:ascii="宋体" w:hAnsi="宋体" w:cs="宋体"/>
          <w:color w:val="000000" w:themeColor="text1"/>
          <w:sz w:val="22"/>
          <w:szCs w:val="22"/>
          <w:highlight w:val="none"/>
          <w14:textFill>
            <w14:solidFill>
              <w14:schemeClr w14:val="tx1"/>
            </w14:solidFill>
          </w14:textFill>
        </w:rPr>
      </w:pPr>
      <w:r/>
      <w:bookmarkStart w:id="292" w:name="_Toc103848587"/>
      <w:r/>
      <w:bookmarkStart w:id="293" w:name="_Toc104560902"/>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39"/>
        <w:ind w:firstLine="426"/>
        <w:spacing w:before="0"/>
        <w:rPr>
          <w:rFonts w:ascii="宋体" w:hAnsi="宋体" w:cs="宋体"/>
          <w:bCs w:val="0"/>
          <w:color w:val="000000" w:themeColor="text1"/>
          <w:sz w:val="24"/>
          <w:szCs w:val="24"/>
          <w:highlight w:val="none"/>
          <w14:textFill>
            <w14:solidFill>
              <w14:schemeClr w14:val="tx1"/>
            </w14:solidFill>
          </w14:textFill>
        </w:rPr>
      </w:pPr>
      <w:r/>
      <w:bookmarkStart w:id="294" w:name="_Toc107246282"/>
      <w:r>
        <w:rPr>
          <w:rFonts w:hint="eastAsia" w:ascii="宋体" w:hAnsi="宋体" w:cs="宋体"/>
          <w:bCs w:val="0"/>
          <w:color w:val="000000" w:themeColor="text1"/>
          <w:sz w:val="24"/>
          <w:szCs w:val="24"/>
          <w:highlight w:val="none"/>
          <w14:textFill>
            <w14:solidFill>
              <w14:schemeClr w14:val="tx1"/>
            </w14:solidFill>
          </w14:textFill>
        </w:rPr>
        <w:t xml:space="preserve">（5-2）技术要求响应及偏离表</w:t>
      </w:r>
      <w:r/>
    </w:p>
    <w:p>
      <w:pPr>
        <w:pStyle w:val="107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南京市儿童医院鲜肉及肉制品等食材采购项目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7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JSZC-320100-JITC-G2026-0204</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tbl>
      <w:tblPr>
        <w:tblStyle w:val="809"/>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844"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2268"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招标文件的技术条款</w:t>
            </w:r>
            <w:r/>
          </w:p>
        </w:tc>
        <w:tc>
          <w:tcPr>
            <w:tcW w:w="1134" w:type="dxa"/>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781"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797"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bl>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7"/>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37"/>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供应商须根据招标文件技术条款要求填写此表，作为投标文件的组成部分。</w:t>
      </w:r>
      <w:r/>
    </w:p>
    <w:p>
      <w:pPr>
        <w:pStyle w:val="837"/>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所有偏离必须在本表中列出，未在本偏离表中列出偏离，将视为供应商已完全接受招标文件要求。</w:t>
      </w:r>
      <w:r/>
    </w:p>
    <w:p>
      <w:pPr>
        <w:pStyle w:val="837"/>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偏离包括正、负偏离，正偏离指供应商的响应优于招标文件要求，负偏离指供应商的响应低于招标文件要求。</w:t>
      </w:r>
      <w:r/>
    </w:p>
    <w:p>
      <w:pPr>
        <w:pStyle w:val="816"/>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39"/>
        <w:ind w:firstLine="426"/>
        <w:spacing w:line="360" w:lineRule="auto"/>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（6）供应商具备投标资格的证明文件</w:t>
      </w:r>
      <w:bookmarkEnd w:id="292"/>
      <w:r/>
      <w:bookmarkEnd w:id="293"/>
      <w:r/>
      <w:bookmarkEnd w:id="294"/>
      <w:r/>
      <w:r/>
    </w:p>
    <w:p>
      <w:pPr>
        <w:pStyle w:val="839"/>
        <w:ind w:firstLine="426"/>
        <w:spacing w:line="360" w:lineRule="auto"/>
        <w:rPr>
          <w:rFonts w:ascii="宋体" w:hAnsi="宋体" w:cs="宋体"/>
          <w:bCs w:val="0"/>
          <w:color w:val="000000" w:themeColor="text1"/>
          <w:sz w:val="24"/>
          <w:szCs w:val="24"/>
          <w:highlight w:val="none"/>
          <w14:textFill>
            <w14:solidFill>
              <w14:schemeClr w14:val="tx1"/>
            </w14:solidFill>
          </w14:textFill>
        </w:rPr>
      </w:pPr>
      <w:r/>
      <w:bookmarkStart w:id="295" w:name="_Toc103848588"/>
      <w:r/>
      <w:bookmarkStart w:id="296" w:name="_Toc107246283"/>
      <w:r/>
      <w:bookmarkStart w:id="297" w:name="_Toc104560903"/>
      <w:r>
        <w:rPr>
          <w:rFonts w:hint="eastAsia" w:ascii="宋体" w:hAnsi="宋体" w:cs="宋体"/>
          <w:bCs w:val="0"/>
          <w:color w:val="000000" w:themeColor="text1"/>
          <w:sz w:val="24"/>
          <w:szCs w:val="24"/>
          <w:highlight w:val="none"/>
          <w14:textFill>
            <w14:solidFill>
              <w14:schemeClr w14:val="tx1"/>
            </w14:solidFill>
          </w14:textFill>
        </w:rPr>
        <w:t xml:space="preserve">（6-1-1）营业执照复印件</w:t>
      </w:r>
      <w:bookmarkEnd w:id="289"/>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295"/>
      <w:r/>
      <w:bookmarkEnd w:id="296"/>
      <w:r/>
      <w:bookmarkEnd w:id="297"/>
      <w:r/>
      <w:r/>
    </w:p>
    <w:p>
      <w:pPr>
        <w:ind w:firstLine="373"/>
        <w:spacing w:line="360" w:lineRule="auto"/>
        <w:rPr>
          <w:rFonts w:ascii="宋体" w:hAnsi="宋体" w:cs="宋体"/>
          <w:b/>
          <w:bCs/>
          <w:color w:val="000000" w:themeColor="text1"/>
          <w:highlight w:val="none"/>
          <w14:textFill>
            <w14:solidFill>
              <w14:schemeClr w14:val="tx1"/>
            </w14:solidFill>
          </w14:textFill>
        </w:rPr>
      </w:pPr>
      <w:r/>
      <w:bookmarkStart w:id="298" w:name="_Hlk33717720"/>
      <w:r/>
      <w:bookmarkEnd w:id="298"/>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具有独立承担民事责任的能力，投标人提供在有效经营期内的营业执照、法人授权书（法人直接参与投标的可不提供）、法人身份证复印件、投标人代表身份证复印件；</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注：投标人提供营业执照副本（或具有同等法律效力的证照）复印件。复印件应能清晰显示投标人名称。</w:t>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bookmarkStart w:id="299" w:name="_Toc103848589"/>
      <w:r/>
      <w:bookmarkStart w:id="300" w:name="_Toc102117320"/>
      <w:r>
        <w:rPr>
          <w:rFonts w:hint="eastAsia" w:ascii="宋体" w:hAnsi="宋体" w:cs="宋体"/>
          <w:color w:val="000000" w:themeColor="text1"/>
          <w:highlight w:val="none"/>
          <w14:textFill>
            <w14:solidFill>
              <w14:schemeClr w14:val="tx1"/>
            </w14:solidFill>
          </w14:textFill>
        </w:rPr>
        <w:br w:type="page" w:clear="all"/>
      </w:r>
      <w:bookmarkStart w:id="301" w:name="_Toc107246284"/>
      <w:r/>
      <w:bookmarkStart w:id="302" w:name="_Toc104560904"/>
      <w:r/>
      <w:r/>
    </w:p>
    <w:p>
      <w:pPr>
        <w:pStyle w:val="839"/>
        <w:ind w:firstLine="426"/>
        <w:spacing w:line="360" w:lineRule="auto"/>
        <w:rPr>
          <w:rFonts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（6-1-2）工商变更登记文件（如需）</w:t>
      </w:r>
      <w:bookmarkEnd w:id="299"/>
      <w:r/>
      <w:bookmarkEnd w:id="300"/>
      <w:r/>
      <w:bookmarkEnd w:id="301"/>
      <w:r/>
      <w:bookmarkEnd w:id="302"/>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供应商</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03" w:name="_Toc103848590"/>
      <w:r/>
      <w:bookmarkStart w:id="304" w:name="_Toc102117321"/>
      <w:r/>
      <w:bookmarkStart w:id="305" w:name="_Toc104560905"/>
      <w:r/>
      <w:bookmarkStart w:id="306" w:name="_Toc107246285"/>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号）的规定，适用信用承诺的供应商，对于下列</w:t>
      </w:r>
      <w:r>
        <w:rPr>
          <w:rFonts w:hint="eastAsia" w:ascii="宋体" w:hAnsi="宋体" w:cs="宋体"/>
          <w:b/>
          <w:color w:val="000000" w:themeColor="text1"/>
          <w:highlight w:val="none"/>
          <w:lang w:val="en-US" w:eastAsia="zh-CN"/>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-2至</w:t>
      </w:r>
      <w:r>
        <w:rPr>
          <w:rFonts w:hint="eastAsia" w:ascii="宋体" w:hAnsi="宋体" w:cs="宋体"/>
          <w:b/>
          <w:color w:val="000000" w:themeColor="text1"/>
          <w:highlight w:val="none"/>
          <w:lang w:val="en-US" w:eastAsia="zh-CN"/>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w:t>
      </w:r>
      <w:r>
        <w:rPr>
          <w:rFonts w:hint="eastAsia" w:ascii="宋体" w:hAnsi="宋体" w:cs="宋体"/>
          <w:b/>
          <w:color w:val="000000" w:themeColor="text1"/>
          <w:highlight w:val="none"/>
          <w:lang w:val="en-US" w:eastAsia="zh-CN"/>
          <w14:textFill>
            <w14:solidFill>
              <w14:schemeClr w14:val="tx1"/>
            </w14:solidFill>
          </w14:textFill>
        </w:rPr>
        <w:t xml:space="preserve">5</w:t>
      </w:r>
      <w:r>
        <w:rPr>
          <w:rFonts w:hint="eastAsia" w:ascii="宋体" w:hAnsi="宋体" w:cs="宋体"/>
          <w:b/>
          <w:color w:val="000000" w:themeColor="text1"/>
          <w:highlight w:val="none"/>
          <w14:textFill>
            <w14:solidFill>
              <w14:schemeClr w14:val="tx1"/>
            </w14:solidFill>
          </w14:textFill>
        </w:rPr>
        <w:t xml:space="preserve">款证明材料可使用《南京市政府采购供应商信用记录表暨信用承诺书》替代。</w:t>
      </w:r>
      <w:r/>
    </w:p>
    <w:p>
      <w:pPr>
        <w:pStyle w:val="839"/>
        <w:ind w:firstLine="426"/>
        <w:spacing w:line="360" w:lineRule="auto"/>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（6-2）财务报表</w:t>
      </w:r>
      <w:bookmarkEnd w:id="303"/>
      <w:r/>
      <w:bookmarkEnd w:id="304"/>
      <w:r/>
      <w:bookmarkEnd w:id="305"/>
      <w:r/>
      <w:bookmarkEnd w:id="306"/>
      <w:r>
        <w:rPr>
          <w:rFonts w:hint="eastAsia" w:ascii="宋体" w:hAnsi="宋体" w:cs="宋体"/>
          <w:bCs w:val="0"/>
          <w:color w:val="000000" w:themeColor="text1"/>
          <w:sz w:val="24"/>
          <w:szCs w:val="24"/>
          <w:highlight w:val="none"/>
          <w14:textFill>
            <w14:solidFill>
              <w14:schemeClr w14:val="tx1"/>
            </w14:solidFill>
          </w14:textFill>
        </w:rPr>
        <w:t xml:space="preserve">等证明文件</w:t>
      </w:r>
      <w:r/>
    </w:p>
    <w:p>
      <w:pPr>
        <w:pStyle w:val="839"/>
        <w:jc w:val="left"/>
        <w:rPr>
          <w:rFonts w:hint="eastAsia" w:ascii="宋体" w:hAnsi="宋体" w:cs="宋体"/>
          <w:bCs w:val="0"/>
          <w:color w:val="000000" w:themeColor="text1"/>
          <w:sz w:val="24"/>
          <w:szCs w:val="24"/>
          <w:highlight w:val="none"/>
          <w14:textFill>
            <w14:solidFill>
              <w14:schemeClr w14:val="tx1"/>
            </w14:solidFill>
          </w14:textFill>
        </w:rPr>
      </w:pPr>
      <w:r/>
      <w:bookmarkStart w:id="307" w:name="_Toc102117322"/>
      <w:r/>
      <w:bookmarkStart w:id="308" w:name="_Toc103848593"/>
      <w:r/>
      <w:bookmarkStart w:id="309" w:name="_Toc104560908"/>
      <w:r>
        <w:rPr>
          <w:rFonts w:hint="eastAsia" w:ascii="宋体" w:hAnsi="宋体" w:eastAsia="宋体" w:cs="宋体"/>
          <w:bCs w:val="0"/>
          <w:color w:val="000000" w:themeColor="text1"/>
          <w:sz w:val="21"/>
          <w:szCs w:val="21"/>
          <w:highlight w:val="none"/>
          <w14:textFill>
            <w14:solidFill>
              <w14:schemeClr w14:val="tx1"/>
            </w14:solidFill>
          </w14:textFill>
        </w:rPr>
        <w:t xml:space="preserve">具有良好的商业信誉和健全的财务会计制度，提供上年度财务报表复印件（即2024年度财务报表或2025年度财务报表，如为新成立的公司，应提供公司成立之后的财务报表）或投标截止时间前3个月内，由其基本开户银行出具的资信证明；</w:t>
      </w:r>
      <w:r/>
    </w:p>
    <w:p>
      <w:pPr>
        <w:pStyle w:val="839"/>
        <w:jc w:val="lef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1"/>
          <w:szCs w:val="21"/>
          <w:highlight w:val="none"/>
          <w14:textFill>
            <w14:solidFill>
              <w14:schemeClr w14:val="tx1"/>
            </w14:solidFill>
          </w14:textFill>
        </w:rPr>
        <w:br w:type="page" w:clear="all"/>
      </w:r>
      <w:bookmarkStart w:id="310" w:name="_Toc107246286"/>
      <w:r>
        <w:rPr>
          <w:rFonts w:hint="eastAsia" w:ascii="宋体" w:hAnsi="宋体" w:cs="宋体"/>
          <w:bCs w:val="0"/>
          <w:color w:val="000000" w:themeColor="text1"/>
          <w:sz w:val="24"/>
          <w:szCs w:val="24"/>
          <w:highlight w:val="none"/>
          <w14:textFill>
            <w14:solidFill>
              <w14:schemeClr w14:val="tx1"/>
            </w14:solidFill>
          </w14:textFill>
        </w:rPr>
        <w:t xml:space="preserve">（6-3）</w:t>
      </w:r>
      <w:bookmarkEnd w:id="307"/>
      <w:r/>
      <w:bookmarkEnd w:id="308"/>
      <w:r/>
      <w:bookmarkEnd w:id="309"/>
      <w:r/>
      <w:bookmarkEnd w:id="310"/>
      <w:r>
        <w:rPr>
          <w:rFonts w:hint="eastAsia" w:ascii="宋体" w:hAnsi="宋体" w:cs="宋体"/>
          <w:bCs w:val="0"/>
          <w:color w:val="000000" w:themeColor="text1"/>
          <w:sz w:val="24"/>
          <w:szCs w:val="24"/>
          <w:highlight w:val="none"/>
          <w14:textFill>
            <w14:solidFill>
              <w14:schemeClr w14:val="tx1"/>
            </w14:solidFill>
          </w14:textFill>
        </w:rPr>
        <w:t xml:space="preserve">具有履行合同所必需的设备和专业技术能力，投标人提供具备履行合同所必需的设备和专业技术能力的书面声明（由供应商根据项目需求提供材料）；</w:t>
      </w:r>
      <w:r/>
    </w:p>
    <w:p>
      <w:pPr>
        <w:pStyle w:val="839"/>
        <w:ind w:firstLine="373"/>
        <w:jc w:val="left"/>
        <w:rPr>
          <w:rFonts w:ascii="宋体" w:hAnsi="宋体" w:cs="宋体"/>
          <w:bCs w:val="0"/>
          <w:color w:val="000000" w:themeColor="text1"/>
          <w:sz w:val="24"/>
          <w:szCs w:val="24"/>
          <w:highlight w:val="none"/>
          <w14:textFill>
            <w14:solidFill>
              <w14:schemeClr w14:val="tx1"/>
            </w14:solidFill>
          </w14:textFill>
        </w:rPr>
      </w:pPr>
      <w:r>
        <w:rPr>
          <w:rFonts w:ascii="宋体" w:hAnsi="宋体" w:cs="宋体"/>
          <w:bCs w:val="0"/>
          <w:color w:val="000000" w:themeColor="text1"/>
          <w:sz w:val="24"/>
          <w:szCs w:val="24"/>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782"/>
        <w:jc w:val="center"/>
        <w:spacing w:before="120" w:after="120"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ind w:firstLine="782"/>
        <w:jc w:val="center"/>
        <w:spacing w:before="120" w:after="120"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r>
      <w:r/>
    </w:p>
    <w:p>
      <w:pPr>
        <w:ind w:firstLine="0"/>
        <w:jc w:val="both"/>
        <w:spacing w:before="120" w:after="120" w:line="360" w:lineRule="auto"/>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r>
      <w:r/>
    </w:p>
    <w:p>
      <w:pPr>
        <w:ind w:firstLine="779"/>
        <w:jc w:val="center"/>
        <w:spacing w:before="120" w:after="12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8"/>
        <w:ind w:left="1260" w:firstLine="426"/>
        <w:spacing w:line="360" w:lineRule="auto"/>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18"/>
        <w:ind w:left="1260" w:firstLine="426"/>
        <w:spacing w:line="360" w:lineRule="auto"/>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供应商名称（公章）：______________________</w:t>
      </w:r>
      <w:r/>
    </w:p>
    <w:p>
      <w:pPr>
        <w:ind w:firstLine="372"/>
        <w:spacing w:line="360" w:lineRule="auto"/>
        <w:rPr>
          <w:rFonts w:ascii="宋体" w:hAnsi="宋体" w:cs="宋体"/>
          <w:color w:val="000000" w:themeColor="text1"/>
          <w:szCs w:val="21"/>
          <w:highlight w:val="none"/>
          <w:u w:val="singl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pStyle w:val="839"/>
        <w:ind w:firstLine="426"/>
        <w:spacing w:line="360" w:lineRule="auto"/>
        <w:rPr>
          <w:rFonts w:ascii="宋体" w:hAnsi="宋体" w:cs="宋体"/>
          <w:b w:val="0"/>
          <w:color w:val="000000" w:themeColor="text1"/>
          <w:highlight w:val="none"/>
          <w14:textFill>
            <w14:solidFill>
              <w14:schemeClr w14:val="tx1"/>
            </w14:solidFill>
          </w14:textFill>
        </w:rPr>
      </w:pPr>
      <w:r/>
      <w:bookmarkStart w:id="311" w:name="_Toc103848591"/>
      <w:r/>
      <w:bookmarkStart w:id="312" w:name="_Toc102117323"/>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13" w:name="_Toc107246287"/>
      <w:r/>
      <w:bookmarkStart w:id="314" w:name="_Toc104560906"/>
      <w:r>
        <w:rPr>
          <w:rFonts w:hint="eastAsia" w:ascii="宋体" w:hAnsi="宋体" w:cs="宋体"/>
          <w:bCs w:val="0"/>
          <w:color w:val="000000" w:themeColor="text1"/>
          <w:sz w:val="24"/>
          <w:szCs w:val="24"/>
          <w:highlight w:val="none"/>
          <w14:textFill>
            <w14:solidFill>
              <w14:schemeClr w14:val="tx1"/>
            </w14:solidFill>
          </w14:textFill>
        </w:rPr>
        <w:t xml:space="preserve">（6-4）有依法缴纳税收和社会保障资金的良好记录的相关材料</w:t>
      </w:r>
      <w:bookmarkEnd w:id="311"/>
      <w:r/>
      <w:bookmarkEnd w:id="312"/>
      <w:r/>
      <w:bookmarkEnd w:id="313"/>
      <w:r/>
      <w:bookmarkEnd w:id="314"/>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1、</w:t>
      </w:r>
      <w:r>
        <w:rPr>
          <w:rFonts w:hint="eastAsia" w:ascii="宋体" w:hAnsi="宋体" w:cs="宋体"/>
          <w:b/>
          <w:bCs/>
          <w:color w:val="000000" w:themeColor="text1"/>
          <w:highlight w:val="none"/>
          <w14:textFill>
            <w14:solidFill>
              <w14:schemeClr w14:val="tx1"/>
            </w14:solidFill>
          </w14:textFill>
        </w:rPr>
        <w:t xml:space="preserve">递交投标文件截止时间前六个月内至少一个月依法缴纳税收的证明材料</w:t>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211"/>
        <w:jc w:val="both"/>
        <w:spacing w:line="360" w:lineRule="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2、</w:t>
      </w:r>
      <w:r>
        <w:rPr>
          <w:rFonts w:hint="eastAsia" w:ascii="宋体" w:hAnsi="宋体" w:cs="宋体"/>
          <w:b/>
          <w:bCs/>
          <w:color w:val="000000" w:themeColor="text1"/>
          <w:highlight w:val="none"/>
          <w14:textFill>
            <w14:solidFill>
              <w14:schemeClr w14:val="tx1"/>
            </w14:solidFill>
          </w14:textFill>
        </w:rPr>
        <w:t xml:space="preserve">递交投标文件截止时间前六个月内至少一个月依法缴纳社会保障资金的证明材料</w:t>
      </w:r>
      <w:r>
        <w:rPr>
          <w:rFonts w:hint="eastAsia" w:ascii="宋体" w:hAnsi="宋体" w:cs="宋体"/>
          <w:b/>
          <w:bCs/>
          <w:color w:val="000000" w:themeColor="text1"/>
          <w:highlight w:val="none"/>
          <w14:textFill>
            <w14:solidFill>
              <w14:schemeClr w14:val="tx1"/>
            </w14:solidFill>
          </w14:textFill>
        </w:rPr>
        <w:br w:type="page" w:clear="all"/>
      </w:r>
      <w:bookmarkStart w:id="315" w:name="_Toc107246289"/>
      <w:r/>
      <w:bookmarkStart w:id="316" w:name="_Toc104560909"/>
      <w:r/>
      <w:bookmarkStart w:id="317" w:name="_Toc102117325"/>
      <w:r/>
      <w:bookmarkStart w:id="318" w:name="_Toc103848594"/>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（6-5）没有重大违法记录的书面声明</w:t>
      </w:r>
      <w:bookmarkEnd w:id="315"/>
      <w:r/>
      <w:bookmarkEnd w:id="316"/>
      <w:r/>
      <w:bookmarkEnd w:id="317"/>
      <w:r/>
      <w:bookmarkEnd w:id="318"/>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569"/>
        <w:jc w:val="center"/>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提供声明函原件）。</w:t>
      </w:r>
      <w:r/>
    </w:p>
    <w:p>
      <w:pPr>
        <w:ind w:firstLine="569"/>
        <w:jc w:val="center"/>
        <w:spacing w:line="360" w:lineRule="auto"/>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r>
      <w:r/>
    </w:p>
    <w:p>
      <w:pPr>
        <w:ind w:firstLine="0"/>
        <w:jc w:val="both"/>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r>
      <w:r/>
    </w:p>
    <w:p>
      <w:pPr>
        <w:ind w:firstLine="779"/>
        <w:jc w:val="center"/>
        <w:spacing w:line="360" w:lineRule="auto"/>
        <w:rPr>
          <w:rFonts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39"/>
        <w:ind w:firstLine="566"/>
        <w:spacing w:line="360" w:lineRule="auto"/>
        <w:rPr>
          <w:rFonts w:hint="eastAsia" w:ascii="宋体" w:hAnsi="宋体" w:cs="宋体"/>
          <w:b w:val="0"/>
          <w:color w:val="000000" w:themeColor="text1"/>
          <w:highlight w:val="none"/>
          <w14:textFill>
            <w14:solidFill>
              <w14:schemeClr w14:val="tx1"/>
            </w14:solidFill>
          </w14:textFill>
        </w:rPr>
        <w:sectPr>
          <w:footerReference w:type="default" r:id="rId16"/>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r/>
    </w:p>
    <w:p>
      <w:pPr>
        <w:pStyle w:val="839"/>
        <w:ind w:firstLine="426"/>
        <w:spacing w:line="360" w:lineRule="auto"/>
        <w:rPr>
          <w:rFonts w:hint="eastAsia" w:ascii="宋体" w:hAnsi="宋体" w:cs="宋体"/>
          <w:bCs w:val="0"/>
          <w:color w:val="000000" w:themeColor="text1"/>
          <w:sz w:val="24"/>
          <w:szCs w:val="24"/>
          <w:highlight w:val="none"/>
          <w14:textFill>
            <w14:solidFill>
              <w14:schemeClr w14:val="tx1"/>
            </w14:solidFill>
          </w14:textFill>
        </w:rPr>
      </w:pPr>
      <w:r/>
      <w:bookmarkStart w:id="319" w:name="_Toc104560910"/>
      <w:r/>
      <w:bookmarkStart w:id="320" w:name="_Toc107246290"/>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 信用中国查询</w:t>
      </w:r>
      <w:r/>
    </w:p>
    <w:p>
      <w:pPr>
        <w:ind w:firstLine="420"/>
        <w:spacing w:line="360" w:lineRule="auto"/>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pStyle w:val="839"/>
        <w:ind w:firstLine="426"/>
        <w:jc w:val="both"/>
        <w:spacing w:line="360" w:lineRule="auto"/>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r>
      <w:r/>
    </w:p>
    <w:p>
      <w:pPr>
        <w:pStyle w:val="839"/>
        <w:ind w:firstLine="426"/>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val="0"/>
          <w:color w:val="000000" w:themeColor="text1"/>
          <w:sz w:val="24"/>
          <w:szCs w:val="24"/>
          <w:highlight w:val="none"/>
          <w14:textFill>
            <w14:solidFill>
              <w14:schemeClr w14:val="tx1"/>
            </w14:solidFill>
          </w14:textFill>
        </w:rPr>
        <w:t xml:space="preserve">）承诺函</w:t>
      </w:r>
      <w:bookmarkEnd w:id="319"/>
      <w:r/>
      <w:bookmarkEnd w:id="320"/>
      <w:r/>
      <w:r/>
    </w:p>
    <w:p>
      <w:pPr>
        <w:pStyle w:val="1075"/>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1075"/>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1.供应商单位负责人为同一人或者存在直接控股、管理关系的不同供应商，不得同时参加本项目的采购活动。</w:t>
      </w:r>
      <w:r/>
    </w:p>
    <w:p>
      <w:pPr>
        <w:pStyle w:val="1075"/>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pStyle w:val="1075"/>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075"/>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1075"/>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1075"/>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075"/>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1075"/>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供应商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75"/>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1075"/>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990"/>
        <w:spacing w:line="360" w:lineRule="auto"/>
        <w:rPr>
          <w:rFonts w:ascii="宋体" w:hAnsi="宋体" w:cs="宋体"/>
          <w:color w:val="000000" w:themeColor="text1"/>
          <w:szCs w:val="21"/>
          <w:highlight w:val="none"/>
          <w:u w:val="single"/>
          <w14:textFill>
            <w14:solidFill>
              <w14:schemeClr w14:val="tx1"/>
            </w14:solidFill>
          </w14:textFill>
        </w:rPr>
      </w:pPr>
      <w:r/>
      <w:bookmarkStart w:id="321" w:name="_Toc102117326"/>
      <w:r/>
      <w:bookmarkStart w:id="322" w:name="_Toc103848596"/>
      <w:r>
        <w:rPr>
          <w:rFonts w:hint="eastAsia" w:ascii="宋体" w:hAnsi="宋体" w:cs="宋体"/>
          <w:bCs/>
          <w:color w:val="000000" w:themeColor="text1"/>
          <w:highlight w:val="none"/>
          <w14:textFill>
            <w14:solidFill>
              <w14:schemeClr w14:val="tx1"/>
            </w14:solidFill>
          </w14:textFill>
        </w:rPr>
        <w:t xml:space="preserve">供应商名称（公章）：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p>
      <w:pPr>
        <w:ind w:firstLine="372"/>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bookmarkStart w:id="323" w:name="_Toc104560911"/>
      <w:r/>
      <w:bookmarkStart w:id="324" w:name="_Toc107246291"/>
      <w:r/>
      <w:r/>
    </w:p>
    <w:p>
      <w:pPr>
        <w:pStyle w:val="839"/>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（1）若供应商为食品销售企业，须具有行业主管部门颁发的《食品经营许可证》（提供证书复印件）；</w:t>
      </w:r>
      <w:r/>
    </w:p>
    <w:p>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（2）若供应商为食品生产企业，须具有行业主管部门颁发的《食品生产许可证》（提供证书复印件）</w:t>
      </w:r>
      <w:r/>
    </w:p>
    <w:p>
      <w:pPr>
        <w:ind w:firstLine="372"/>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bookmarkEnd w:id="321"/>
      <w:r/>
      <w:bookmarkEnd w:id="323"/>
      <w:r/>
      <w:bookmarkEnd w:id="324"/>
      <w:r/>
      <w:r/>
    </w:p>
    <w:p>
      <w:pPr>
        <w:ind w:firstLine="372"/>
        <w:spacing w:line="360" w:lineRule="auto"/>
        <w:rPr>
          <w:rFonts w:ascii="宋体" w:hAnsi="宋体" w:cs="宋体"/>
          <w:bCs w:val="0"/>
          <w:color w:val="000000" w:themeColor="text1"/>
          <w:sz w:val="24"/>
          <w:szCs w:val="24"/>
          <w:highlight w:val="none"/>
          <w14:textFill>
            <w14:solidFill>
              <w14:schemeClr w14:val="tx1"/>
            </w14:solidFill>
          </w14:textFill>
        </w:rPr>
      </w:pPr>
      <w:r/>
      <w:bookmarkStart w:id="325" w:name="_Toc104560912"/>
      <w:r/>
      <w:bookmarkStart w:id="326" w:name="_Toc107246293"/>
      <w:r>
        <w:rPr>
          <w:rFonts w:hint="eastAsia" w:ascii="宋体" w:hAnsi="宋体" w:cs="宋体"/>
          <w:bCs w:val="0"/>
          <w:color w:val="000000" w:themeColor="text1"/>
          <w:sz w:val="24"/>
          <w:szCs w:val="24"/>
          <w:highlight w:val="none"/>
          <w14:textFill>
            <w14:solidFill>
              <w14:schemeClr w14:val="tx1"/>
            </w14:solidFill>
          </w14:textFill>
        </w:rPr>
        <w:t xml:space="preserve">（7）《南京市政府采购供应商信用记录表暨信用承诺书》</w:t>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812"/>
        <w:ind w:left="1240"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779"/>
        <w:jc w:val="center"/>
        <w:spacing w:line="360" w:lineRule="auto"/>
        <w:rPr>
          <w:rFonts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南京市政府采购供应商信用记录表</w:t>
      </w:r>
      <w:r/>
    </w:p>
    <w:p>
      <w:pPr>
        <w:ind w:firstLine="779"/>
        <w:jc w:val="center"/>
        <w:spacing w:line="360" w:lineRule="auto"/>
        <w:rPr>
          <w:rFonts w:ascii="宋体" w:hAnsi="宋体" w:cs="宋体"/>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暨信用承诺书（格式）</w:t>
      </w:r>
      <w:r/>
    </w:p>
    <w:p>
      <w:pPr>
        <w:ind w:firstLine="372"/>
        <w:jc w:val="righ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年  月   日</w:t>
      </w:r>
      <w:r/>
    </w:p>
    <w:tbl>
      <w:tblPr>
        <w:tblStyle w:val="809"/>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单位名称</w:t>
            </w:r>
            <w:r/>
          </w:p>
        </w:tc>
        <w:tc>
          <w:tcPr>
            <w:tcW w:w="3402" w:type="dxa"/>
            <w:textDirection w:val="lrTb"/>
            <w:noWrap/>
          </w:tcPr>
          <w:p>
            <w:pPr>
              <w:ind w:firstLine="373"/>
              <w:jc w:val="left"/>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统一社会信用代码</w:t>
            </w:r>
            <w:r/>
          </w:p>
        </w:tc>
        <w:tc>
          <w:tcPr>
            <w:tcW w:w="1937" w:type="dxa"/>
            <w:textDirection w:val="lrTb"/>
            <w:noWrap/>
          </w:tcPr>
          <w:p>
            <w:pPr>
              <w:ind w:firstLine="373"/>
              <w:jc w:val="left"/>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法定代表人</w:t>
            </w:r>
            <w:r/>
          </w:p>
        </w:tc>
        <w:tc>
          <w:tcPr>
            <w:tcW w:w="3402" w:type="dxa"/>
            <w:textDirection w:val="lrTb"/>
            <w:noWrap/>
          </w:tcPr>
          <w:p>
            <w:pPr>
              <w:ind w:firstLine="373"/>
              <w:jc w:val="left"/>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联系人</w:t>
            </w:r>
            <w:r/>
          </w:p>
        </w:tc>
        <w:tc>
          <w:tcPr>
            <w:tcW w:w="1937" w:type="dxa"/>
            <w:textDirection w:val="lrTb"/>
            <w:noWrap/>
          </w:tcPr>
          <w:p>
            <w:pPr>
              <w:ind w:firstLine="373"/>
              <w:jc w:val="left"/>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联系地址 </w:t>
            </w:r>
            <w:r/>
          </w:p>
        </w:tc>
        <w:tc>
          <w:tcPr>
            <w:tcW w:w="3402" w:type="dxa"/>
            <w:textDirection w:val="lrTb"/>
            <w:noWrap/>
          </w:tcPr>
          <w:p>
            <w:pPr>
              <w:ind w:firstLine="373"/>
              <w:jc w:val="left"/>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联系电话</w:t>
            </w:r>
            <w:r/>
          </w:p>
        </w:tc>
        <w:tc>
          <w:tcPr>
            <w:tcW w:w="1937" w:type="dxa"/>
            <w:textDirection w:val="lrTb"/>
            <w:noWrap/>
          </w:tcPr>
          <w:p>
            <w:pPr>
              <w:ind w:firstLine="373"/>
              <w:jc w:val="left"/>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信用得分</w:t>
            </w:r>
            <w:r/>
          </w:p>
        </w:tc>
        <w:tc>
          <w:tcPr>
            <w:tcW w:w="3402" w:type="dxa"/>
            <w:textDirection w:val="lrTb"/>
            <w:noWrap/>
          </w:tcPr>
          <w:p>
            <w:pPr>
              <w:ind w:firstLine="373"/>
              <w:jc w:val="left"/>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星级</w:t>
            </w:r>
            <w:r/>
          </w:p>
        </w:tc>
        <w:tc>
          <w:tcPr>
            <w:tcW w:w="1937" w:type="dxa"/>
            <w:textDirection w:val="lrTb"/>
            <w:noWrap/>
          </w:tcPr>
          <w:p>
            <w:pPr>
              <w:ind w:firstLine="373"/>
              <w:jc w:val="left"/>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tc>
      </w:tr>
      <w:tr>
        <w:trPr>
          <w:trHeight w:val="1024"/>
        </w:trPr>
        <w:tc>
          <w:tcPr>
            <w:tcW w:w="1668"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诚信档案记录情况</w:t>
            </w:r>
            <w:r/>
          </w:p>
        </w:tc>
        <w:tc>
          <w:tcPr>
            <w:gridSpan w:val="3"/>
            <w:tcW w:w="7323" w:type="dxa"/>
            <w:textDirection w:val="lrTb"/>
            <w:noWrap/>
          </w:tcPr>
          <w:p>
            <w:pPr>
              <w:ind w:firstLine="373"/>
              <w:jc w:val="left"/>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tc>
      </w:tr>
      <w:tr>
        <w:trPr>
          <w:trHeight w:val="5318"/>
        </w:trPr>
        <w:tc>
          <w:tcPr>
            <w:tcW w:w="1668"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信用承诺</w:t>
            </w:r>
            <w:r/>
          </w:p>
        </w:tc>
        <w:tc>
          <w:tcPr>
            <w:gridSpan w:val="3"/>
            <w:tcW w:w="7323" w:type="dxa"/>
            <w:textDirection w:val="lrTb"/>
            <w:noWrap/>
          </w:tcPr>
          <w:p>
            <w:pPr>
              <w:ind w:firstLine="420"/>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我公司自愿参加江苏省招标中心有限公司组织的本次采购活动，严格遵守《中华人民共和国</w:t>
            </w:r>
            <w:r>
              <w:rPr>
                <w:rFonts w:hint="eastAsia" w:ascii="宋体" w:hAnsi="宋体" w:cs="宋体"/>
                <w:color w:val="000000" w:themeColor="text1"/>
                <w:highlight w:val="none"/>
                <w14:textFill>
                  <w14:solidFill>
                    <w14:schemeClr w14:val="tx1"/>
                  </w14:solidFill>
                </w14:textFill>
              </w:rPr>
              <w:t xml:space="preserve">政府采购法</w:t>
            </w:r>
            <w:r>
              <w:rPr>
                <w:rFonts w:hint="eastAsia" w:ascii="宋体" w:hAnsi="宋体" w:cs="宋体"/>
                <w:bCs/>
                <w:color w:val="000000" w:themeColor="text1"/>
                <w:highlight w:val="none"/>
                <w14:textFill>
                  <w14:solidFill>
                    <w14:schemeClr w14:val="tx1"/>
                  </w14:solidFill>
                </w14:textFill>
              </w:rPr>
              <w:t xml:space="preserve">》及相关法律法规，坚守公开、公平、公正、诚实信用的原则，依法诚信经营，无条件遵守本次政府采购活动的各项规定。</w:t>
            </w:r>
            <w:r/>
          </w:p>
          <w:p>
            <w:pPr>
              <w:ind w:firstLine="420"/>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审查和处罚。</w:t>
            </w:r>
            <w:r/>
          </w:p>
          <w:p>
            <w:pPr>
              <w:ind w:firstLine="372"/>
              <w:jc w:val="righ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供应商名称（盖章）：</w:t>
            </w:r>
            <w:r/>
          </w:p>
          <w:p>
            <w:pPr>
              <w:ind w:firstLine="372"/>
              <w:jc w:val="righ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法定代表人（签字）：</w:t>
            </w:r>
            <w:r/>
          </w:p>
          <w:p>
            <w:pPr>
              <w:ind w:firstLine="372"/>
              <w:jc w:val="righ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年    月     日</w:t>
            </w:r>
            <w:r/>
          </w:p>
        </w:tc>
      </w:tr>
    </w:tbl>
    <w:p>
      <w:pPr>
        <w:ind w:firstLine="372"/>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2、供应商申请网上注册的，应当按以下程序进行： </w:t>
      </w:r>
      <w:r/>
    </w:p>
    <w:p>
      <w:pPr>
        <w:ind w:firstLine="372"/>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（1）登陆“信用南京”或“南京市政府采购网”网站，点击“政府采购供应商诚信档案”图标，在弹出的用户登录界面，点击“新用户注册”；</w:t>
      </w:r>
      <w:r/>
    </w:p>
    <w:p>
      <w:pPr>
        <w:ind w:firstLine="372"/>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812"/>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4"/>
          <w:highlight w:val="none"/>
          <w14:textFill>
            <w14:solidFill>
              <w14:schemeClr w14:val="tx1"/>
            </w14:solidFill>
          </w14:textFill>
        </w:rPr>
        <w:t xml:space="preserve">4、南京市政府采购供应商诚信档案管理系统客服电话：025-52718366；供应商可就用户注册与打印“南京市政府采购供应商信用记录表暨信用承诺书”等事宜进行咨询。</w:t>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322"/>
      <w:r/>
      <w:bookmarkEnd w:id="325"/>
      <w:r/>
      <w:bookmarkEnd w:id="326"/>
      <w:r/>
      <w:r/>
    </w:p>
    <w:p>
      <w:pPr>
        <w:pStyle w:val="839"/>
        <w:ind w:firstLine="426"/>
        <w:rPr>
          <w:rFonts w:ascii="宋体" w:hAnsi="宋体" w:cs="宋体"/>
          <w:b w:val="0"/>
          <w:color w:val="000000" w:themeColor="text1"/>
          <w:sz w:val="24"/>
          <w:szCs w:val="24"/>
          <w:highlight w:val="none"/>
          <w14:textFill>
            <w14:solidFill>
              <w14:schemeClr w14:val="tx1"/>
            </w14:solidFill>
          </w14:textFill>
        </w:rPr>
      </w:pPr>
      <w:r/>
      <w:bookmarkStart w:id="327" w:name="_Toc107246296"/>
      <w:r/>
      <w:bookmarkStart w:id="328" w:name="_Toc102117330"/>
      <w:r/>
      <w:bookmarkStart w:id="329" w:name="_Toc104560915"/>
      <w:r/>
      <w:bookmarkStart w:id="330" w:name="_Toc103848598"/>
      <w:r>
        <w:rPr>
          <w:rFonts w:hint="eastAsia" w:ascii="宋体" w:hAnsi="宋体" w:cs="宋体"/>
          <w:color w:val="000000" w:themeColor="text1"/>
          <w:sz w:val="24"/>
          <w:szCs w:val="24"/>
          <w:highlight w:val="none"/>
          <w14:textFill>
            <w14:solidFill>
              <w14:schemeClr w14:val="tx1"/>
            </w14:solidFill>
          </w14:textFill>
        </w:rPr>
        <w:t xml:space="preserve">（8）公章授权书（如需）</w:t>
      </w:r>
      <w:bookmarkEnd w:id="327"/>
      <w:r/>
      <w:bookmarkEnd w:id="328"/>
      <w:r/>
      <w:bookmarkEnd w:id="329"/>
      <w:r/>
      <w:bookmarkEnd w:id="330"/>
      <w:r/>
      <w:r/>
    </w:p>
    <w:p>
      <w:pPr>
        <w:pStyle w:val="1075"/>
        <w:ind w:firstLine="0"/>
        <w:rPr>
          <w:rFonts w:hAnsi="宋体" w:cs="宋体"/>
          <w:b/>
          <w:color w:val="000000" w:themeColor="text1"/>
          <w:sz w:val="21"/>
          <w:szCs w:val="21"/>
          <w:highlight w:val="none"/>
          <w14:textFill>
            <w14:solidFill>
              <w14:schemeClr w14:val="tx1"/>
            </w14:solidFill>
          </w14:textFill>
        </w:rPr>
      </w:pPr>
      <w:r>
        <w:rPr>
          <w:rFonts w:hAnsi="宋体" w:cs="宋体"/>
          <w:b/>
          <w:color w:val="000000" w:themeColor="text1"/>
          <w:sz w:val="21"/>
          <w:szCs w:val="21"/>
          <w:highlight w:val="none"/>
          <w14:textFill>
            <w14:solidFill>
              <w14:schemeClr w14:val="tx1"/>
            </w14:solidFill>
          </w14:textFill>
        </w:rPr>
      </w:r>
      <w:r/>
    </w:p>
    <w:p>
      <w:pPr>
        <w:pStyle w:val="1075"/>
        <w:ind w:firstLine="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______________________（采购人）</w:t>
      </w:r>
      <w:r/>
    </w:p>
    <w:p>
      <w:pPr>
        <w:pStyle w:val="107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w:t>
      </w:r>
      <w:r>
        <w:rPr>
          <w:rFonts w:hint="eastAsia" w:hAnsi="宋体" w:cs="宋体"/>
          <w:color w:val="000000" w:themeColor="text1"/>
          <w:sz w:val="21"/>
          <w:szCs w:val="21"/>
          <w:highlight w:val="none"/>
          <w:u w:val="single"/>
          <w14:textFill>
            <w14:solidFill>
              <w14:schemeClr w14:val="tx1"/>
            </w14:solidFill>
          </w14:textFill>
        </w:rPr>
        <w:t xml:space="preserve">(供应商名称)</w:t>
      </w:r>
      <w:r>
        <w:rPr>
          <w:rFonts w:hint="eastAsia" w:hAnsi="宋体" w:cs="宋体"/>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eastAsia" w:hAnsi="宋体" w:cs="宋体"/>
          <w:color w:val="000000" w:themeColor="text1"/>
          <w:sz w:val="21"/>
          <w:szCs w:val="21"/>
          <w:highlight w:val="none"/>
          <w:u w:val="single"/>
          <w:lang w:eastAsia="zh-CN"/>
          <w14:textFill>
            <w14:solidFill>
              <w14:schemeClr w14:val="tx1"/>
            </w14:solidFill>
          </w14:textFill>
        </w:rPr>
        <w:t xml:space="preserve">南京市儿童医院鲜肉及肉制品等食材采购项目</w:t>
      </w:r>
      <w:r>
        <w:rPr>
          <w:rFonts w:hint="eastAsia" w:hAnsi="宋体" w:cs="宋体"/>
          <w:color w:val="000000" w:themeColor="text1"/>
          <w:sz w:val="21"/>
          <w:szCs w:val="21"/>
          <w:highlight w:val="none"/>
          <w:u w:val="single"/>
          <w14:textFill>
            <w14:solidFill>
              <w14:schemeClr w14:val="tx1"/>
            </w14:solidFill>
          </w14:textFill>
        </w:rPr>
        <w:t xml:space="preserve">（项目名称）（项目编号：</w:t>
      </w:r>
      <w:r>
        <w:rPr>
          <w:rFonts w:hint="eastAsia" w:hAnsi="宋体" w:cs="宋体"/>
          <w:color w:val="000000" w:themeColor="text1"/>
          <w:sz w:val="21"/>
          <w:szCs w:val="21"/>
          <w:highlight w:val="none"/>
          <w:u w:val="single"/>
          <w:lang w:eastAsia="zh-CN"/>
          <w14:textFill>
            <w14:solidFill>
              <w14:schemeClr w14:val="tx1"/>
            </w14:solidFill>
          </w14:textFill>
        </w:rPr>
        <w:t xml:space="preserve">JSZC-320100-JITC-G2026-0204</w:t>
      </w:r>
      <w:r>
        <w:rPr>
          <w:rFonts w:hint="eastAsia" w:hAnsi="宋体" w:cs="宋体"/>
          <w:color w:val="000000" w:themeColor="text1"/>
          <w:sz w:val="21"/>
          <w:szCs w:val="21"/>
          <w:highlight w:val="none"/>
          <w:u w:val="single"/>
          <w14:textFill>
            <w14:solidFill>
              <w14:schemeClr w14:val="tx1"/>
            </w14:solidFill>
          </w14:textFill>
        </w:rPr>
        <w:t xml:space="preserve">0295）</w:t>
      </w:r>
      <w:r>
        <w:rPr>
          <w:rFonts w:hint="eastAsia" w:hAnsi="宋体" w:cs="宋体"/>
          <w:color w:val="000000" w:themeColor="text1"/>
          <w:sz w:val="21"/>
          <w:szCs w:val="21"/>
          <w:highlight w:val="none"/>
          <w14:textFill>
            <w14:solidFill>
              <w14:schemeClr w14:val="tx1"/>
            </w14:solidFill>
          </w14:textFill>
        </w:rPr>
        <w:t xml:space="preserve">协商活动中，我单位授权</w:t>
      </w: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（样式附后）在此次活动中代为公章使用。</w:t>
      </w:r>
      <w:r/>
    </w:p>
    <w:p>
      <w:pPr>
        <w:pStyle w:val="107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107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签署的所有文件、协议不因授权的撤销而失效。</w:t>
      </w:r>
      <w:r/>
    </w:p>
    <w:p>
      <w:pPr>
        <w:pStyle w:val="1075"/>
        <w:ind w:right="840" w:firstLine="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1075"/>
        <w:ind w:right="840" w:firstLine="199"/>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其他形式的印章名称：______________</w:t>
      </w:r>
      <w:r/>
    </w:p>
    <w:p>
      <w:pPr>
        <w:pStyle w:val="1075"/>
        <w:ind w:right="420" w:firstLine="190"/>
        <w:rPr>
          <w:rFonts w:hAnsi="宋体" w:cs="宋体"/>
          <w:color w:val="000000" w:themeColor="text1"/>
          <w:sz w:val="21"/>
          <w:szCs w:val="21"/>
          <w:highlight w:val="none"/>
          <w14:textFill>
            <w14:solidFill>
              <w14:schemeClr w14:val="tx1"/>
            </w14:solidFill>
          </w14:textFill>
        </w:rPr>
      </w:pPr>
      <w:r>
        <w:rPr>
          <w:rFonts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3"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miter/>
                        </a:ln>
                        <a:effectLst/>
                      </wps:spPr>
                      <wps:txbx>
                        <w:txbxContent>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txbxContent>
                </v:textbox>
              </v:shape>
            </w:pict>
          </mc:Fallback>
        </mc:AlternateContent>
      </w:r>
      <w:r>
        <w:rPr>
          <w:rFonts w:hint="eastAsia" w:hAnsi="宋体" w:cs="宋体"/>
          <w:color w:val="000000" w:themeColor="text1"/>
          <w:sz w:val="21"/>
          <w:szCs w:val="21"/>
          <w:highlight w:val="none"/>
          <w14:textFill>
            <w14:solidFill>
              <w14:schemeClr w14:val="tx1"/>
            </w14:solidFill>
          </w14:textFill>
        </w:rPr>
        <w:t xml:space="preserve">印章样式：</w:t>
      </w:r>
      <w:r/>
    </w:p>
    <w:p>
      <w:pPr>
        <w:pStyle w:val="1075"/>
        <w:ind w:right="420" w:firstLine="4819"/>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1075"/>
        <w:ind w:right="420" w:firstLine="3150"/>
        <w:jc w:val="left"/>
        <w:spacing w:line="360"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1075"/>
        <w:ind w:right="420" w:firstLine="0"/>
        <w:jc w:val="left"/>
        <w:spacing w:line="360"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1075"/>
        <w:ind w:right="420" w:firstLine="0"/>
        <w:jc w:val="left"/>
        <w:spacing w:line="360"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1075"/>
        <w:ind w:right="420" w:firstLine="3150"/>
        <w:jc w:val="left"/>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供应商名称（公章）：</w:t>
      </w:r>
      <w:r/>
    </w:p>
    <w:p>
      <w:pPr>
        <w:pStyle w:val="1075"/>
        <w:ind w:right="420" w:firstLine="3150"/>
        <w:jc w:val="left"/>
        <w:spacing w:line="360"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ind w:firstLine="3158"/>
        <w:jc w:val="left"/>
        <w:spacing w:line="360" w:lineRule="auto"/>
        <w:rPr>
          <w:rFonts w:ascii="宋体" w:hAnsi="宋体" w:cs="宋体"/>
          <w:bCs/>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日期：______年______月______日</w:t>
      </w:r>
      <w:r/>
    </w:p>
    <w:p>
      <w:pPr>
        <w:pStyle w:val="839"/>
        <w:ind w:left="601" w:firstLine="498"/>
        <w:spacing w:before="0"/>
        <w:rPr>
          <w:rFonts w:ascii="宋体" w:hAnsi="宋体" w:cs="宋体"/>
          <w:color w:val="000000" w:themeColor="text1"/>
          <w:sz w:val="28"/>
          <w:szCs w:val="24"/>
          <w:highlight w:val="none"/>
          <w14:textFill>
            <w14:solidFill>
              <w14:schemeClr w14:val="tx1"/>
            </w14:solidFill>
          </w14:textFill>
        </w:rPr>
      </w:pPr>
      <w:r/>
      <w:bookmarkStart w:id="331" w:name="_Toc107246299"/>
      <w:r/>
      <w:bookmarkStart w:id="332" w:name="_Toc103848599"/>
      <w:r/>
      <w:bookmarkStart w:id="333" w:name="_Toc104560916"/>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31"/>
      <w:r/>
      <w:bookmarkEnd w:id="332"/>
      <w:r/>
      <w:bookmarkEnd w:id="333"/>
      <w:r/>
      <w:r/>
    </w:p>
    <w:p>
      <w:pPr>
        <w:pStyle w:val="839"/>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（1）用于本项目产品技术参数证明文件</w:t>
      </w:r>
      <w:r/>
    </w:p>
    <w:p>
      <w:pPr>
        <w:jc w:val="center"/>
        <w:spacing w:after="156" w:line="360" w:lineRule="auto"/>
        <w:rPr>
          <w:rFonts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Cs/>
          <w:color w:val="000000" w:themeColor="text1"/>
          <w:sz w:val="24"/>
          <w:highlight w:val="none"/>
          <w14:textFill>
            <w14:solidFill>
              <w14:schemeClr w14:val="tx1"/>
            </w14:solidFill>
          </w14:textFill>
        </w:rPr>
      </w:r>
      <w:r/>
    </w:p>
    <w:p>
      <w:pPr>
        <w:spacing w:line="360" w:lineRule="auto"/>
        <w:rPr>
          <w:rFonts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39"/>
        <w:ind w:firstLine="569"/>
        <w:spacing w:before="0" w:line="360" w:lineRule="auto"/>
        <w:rPr>
          <w:rFonts w:hint="eastAsia" w:ascii="宋体" w:hAnsi="宋体" w:cs="宋体"/>
          <w:bCs w:val="0"/>
          <w:color w:val="000000" w:themeColor="text1"/>
          <w:sz w:val="24"/>
          <w:szCs w:val="24"/>
          <w:highlight w:val="none"/>
          <w14:textFill>
            <w14:solidFill>
              <w14:schemeClr w14:val="tx1"/>
            </w14:solidFill>
          </w14:textFill>
        </w:rPr>
      </w:pPr>
      <w:r/>
      <w:bookmarkStart w:id="334" w:name="_Toc103848602"/>
      <w:r/>
      <w:bookmarkStart w:id="335" w:name="_Toc104560919"/>
      <w:r/>
      <w:bookmarkStart w:id="336" w:name="_Toc107246302"/>
      <w:r>
        <w:rPr>
          <w:rFonts w:hint="eastAsia" w:ascii="宋体" w:hAnsi="宋体" w:cs="宋体"/>
          <w:bCs w:val="0"/>
          <w:color w:val="000000" w:themeColor="text1"/>
          <w:sz w:val="24"/>
          <w:szCs w:val="24"/>
          <w:highlight w:val="none"/>
          <w14:textFill>
            <w14:solidFill>
              <w14:schemeClr w14:val="tx1"/>
            </w14:solidFill>
          </w14:textFill>
        </w:rPr>
        <w:t xml:space="preserve">（2）供应商服务承诺</w:t>
      </w:r>
      <w:bookmarkEnd w:id="334"/>
      <w:r/>
      <w:bookmarkEnd w:id="335"/>
      <w:r/>
      <w:bookmarkEnd w:id="336"/>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6"/>
        <w:jc w:val="center"/>
        <w:spacing w:after="0"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承诺函</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南京市儿童医院：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我司郑重承诺：</w:t>
      </w:r>
      <w:r/>
    </w:p>
    <w:p>
      <w:pPr>
        <w:numPr>
          <w:ilvl w:val="0"/>
          <w:numId w:val="10"/>
        </w:num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如中标，中标后购买食品安全责任险，保险保额</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万；</w:t>
      </w:r>
      <w:r/>
    </w:p>
    <w:p>
      <w:pPr>
        <w:numPr>
          <w:ilvl w:val="0"/>
          <w:numId w:val="10"/>
        </w:num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日常响应时间为</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分钟内，</w:t>
      </w:r>
      <w:r>
        <w:rPr>
          <w:rFonts w:hint="eastAsia" w:ascii="宋体" w:hAnsi="宋体" w:cs="宋体"/>
          <w:bCs/>
          <w:color w:val="000000" w:themeColor="text1"/>
          <w:szCs w:val="21"/>
          <w:highlight w:val="none"/>
          <w:lang w:val="en-US" w:eastAsia="zh-CN"/>
          <w14:textFill>
            <w14:solidFill>
              <w14:schemeClr w14:val="tx1"/>
            </w14:solidFill>
          </w14:textFill>
        </w:rPr>
        <w:t xml:space="preserve">且</w:t>
      </w:r>
      <w:r>
        <w:rPr>
          <w:rFonts w:hint="eastAsia" w:ascii="宋体" w:hAnsi="宋体" w:cs="宋体"/>
          <w:bCs/>
          <w:color w:val="000000" w:themeColor="text1"/>
          <w:szCs w:val="21"/>
          <w:highlight w:val="none"/>
          <w14:textFill>
            <w14:solidFill>
              <w14:schemeClr w14:val="tx1"/>
            </w14:solidFill>
          </w14:textFill>
        </w:rPr>
        <w:t xml:space="preserve">临时增加采购响应时间为</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分钟内；</w:t>
      </w:r>
      <w:r/>
    </w:p>
    <w:p>
      <w:pPr>
        <w:numPr>
          <w:ilvl w:val="0"/>
          <w:numId w:val="10"/>
        </w:num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...(其他，如有)</w:t>
      </w:r>
      <w:r/>
    </w:p>
    <w:p>
      <w:pP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3990"/>
        <w:jc w:val="righ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供应商名称（公章）：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72"/>
        <w:jc w:val="righ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pStyle w:val="839"/>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37" w:name="_Toc104560920"/>
      <w:r/>
      <w:bookmarkStart w:id="338" w:name="_Toc107246303"/>
      <w:r/>
      <w:bookmarkStart w:id="339" w:name="_Toc103848603"/>
      <w:r>
        <w:rPr>
          <w:rFonts w:hint="eastAsia" w:ascii="宋体" w:hAnsi="宋体" w:cs="宋体"/>
          <w:bCs w:val="0"/>
          <w:color w:val="000000" w:themeColor="text1"/>
          <w:sz w:val="24"/>
          <w:szCs w:val="24"/>
          <w:highlight w:val="none"/>
          <w14:textFill>
            <w14:solidFill>
              <w14:schemeClr w14:val="tx1"/>
            </w14:solidFill>
          </w14:textFill>
        </w:rPr>
        <w:t xml:space="preserve">（3）用于本项目人员简历表</w:t>
      </w:r>
      <w:bookmarkEnd w:id="337"/>
      <w:r/>
      <w:bookmarkEnd w:id="338"/>
      <w:r/>
      <w:bookmarkEnd w:id="339"/>
      <w:r/>
      <w:r/>
    </w:p>
    <w:p>
      <w:pPr>
        <w:pStyle w:val="1075"/>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tbl>
      <w:tblPr>
        <w:tblStyle w:val="809"/>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tcPr>
          <w:p>
            <w:pPr>
              <w:pStyle w:val="107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7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bl>
    <w:p>
      <w:pPr>
        <w:pStyle w:val="1075"/>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1075"/>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39"/>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（4）拟投入本项目人员情况表</w:t>
      </w:r>
      <w:r/>
    </w:p>
    <w:p>
      <w:pPr>
        <w:pStyle w:val="107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南京市儿童医院鲜肉及肉制品等食材采购项目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7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JSZC-320100-JITC-G2026-0204</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tbl>
      <w:tblPr>
        <w:tblStyle w:val="809"/>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工作内容</w:t>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74"/>
      <w:r/>
      <w:r/>
    </w:p>
    <w:p>
      <w:pPr>
        <w:spacing w:line="360" w:lineRule="auto"/>
        <w:rPr>
          <w:color w:val="000000" w:themeColor="text1"/>
          <w:highlight w:val="none"/>
          <w14:textFill>
            <w14:solidFill>
              <w14:schemeClr w14:val="tx1"/>
            </w14:solidFill>
          </w14:textFill>
        </w:rPr>
      </w:pPr>
      <w:r/>
      <w:bookmarkStart w:id="340" w:name="_Toc103848605"/>
      <w:r/>
      <w:bookmarkStart w:id="341" w:name="_Toc104560922"/>
      <w:r/>
      <w:bookmarkStart w:id="342" w:name="_Toc107246305"/>
      <w:r/>
      <w:bookmarkStart w:id="343" w:name="_Toc100905289"/>
      <w:r/>
      <w:bookmarkStart w:id="344" w:name="_Toc96347904"/>
      <w:r/>
      <w:r/>
    </w:p>
    <w:p>
      <w:pPr>
        <w:pStyle w:val="839"/>
        <w:ind w:firstLine="498"/>
        <w:spacing w:befor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 xml:space="preserve">三、其他部分</w:t>
      </w:r>
      <w:bookmarkEnd w:id="340"/>
      <w:r/>
      <w:bookmarkEnd w:id="341"/>
      <w:r/>
      <w:bookmarkEnd w:id="342"/>
      <w:r/>
      <w:r/>
    </w:p>
    <w:p>
      <w:pPr>
        <w:ind w:firstLine="372"/>
        <w:spacing w:line="360" w:lineRule="auto"/>
        <w:rPr>
          <w:rFonts w:ascii="宋体" w:hAnsi="宋体" w:cs="宋体"/>
          <w:color w:val="000000" w:themeColor="text1"/>
          <w:highlight w:val="none"/>
          <w14:textFill>
            <w14:solidFill>
              <w14:schemeClr w14:val="tx1"/>
            </w14:solidFill>
          </w14:textFill>
        </w:rPr>
      </w:pPr>
      <w:r/>
      <w:bookmarkStart w:id="345" w:name="_Toc103848606"/>
      <w:r/>
      <w:bookmarkStart w:id="346" w:name="_Toc104560923"/>
      <w:r/>
      <w:bookmarkStart w:id="347" w:name="_Toc107246306"/>
      <w:r/>
      <w:r/>
    </w:p>
    <w:p>
      <w:pPr>
        <w:jc w:val="center"/>
        <w:spacing w:line="360" w:lineRule="auto"/>
        <w:rPr>
          <w:rFonts w:ascii="宋体" w:hAnsi="宋体" w:cs="宋体"/>
          <w:b/>
          <w:bCs/>
          <w:color w:val="000000" w:themeColor="text1"/>
          <w:sz w:val="24"/>
          <w:highlight w:val="none"/>
          <w14:textFill>
            <w14:solidFill>
              <w14:schemeClr w14:val="tx1"/>
            </w14:solidFill>
          </w14:textFill>
        </w:rPr>
      </w:pPr>
      <w:r/>
      <w:bookmarkStart w:id="348" w:name="_Toc103848608"/>
      <w:r/>
      <w:bookmarkStart w:id="349" w:name="_Toc107246308"/>
      <w:r/>
      <w:bookmarkStart w:id="350" w:name="_Toc104560925"/>
      <w:r/>
      <w:bookmarkStart w:id="351" w:name="_Toc100905295"/>
      <w:r/>
      <w:bookmarkStart w:id="352" w:name="_Toc103848607"/>
      <w:r/>
      <w:bookmarkStart w:id="353" w:name="_Toc107246307"/>
      <w:r/>
      <w:bookmarkStart w:id="354" w:name="_Toc104560924"/>
      <w:r>
        <w:rPr>
          <w:rFonts w:hint="eastAsia" w:ascii="宋体" w:hAnsi="宋体" w:cs="宋体"/>
          <w:b/>
          <w:bCs/>
          <w:color w:val="000000" w:themeColor="text1"/>
          <w:sz w:val="24"/>
          <w:highlight w:val="none"/>
          <w14:textFill>
            <w14:solidFill>
              <w14:schemeClr w14:val="tx1"/>
            </w14:solidFill>
          </w14:textFill>
        </w:rPr>
        <w:t xml:space="preserve">（1）要求供应商提交的其他文件材料或证明材料</w:t>
      </w:r>
      <w:bookmarkEnd w:id="348"/>
      <w:r/>
      <w:bookmarkEnd w:id="349"/>
      <w:r/>
      <w:bookmarkEnd w:id="350"/>
      <w:r/>
      <w:r/>
    </w:p>
    <w:p>
      <w:pPr>
        <w:pStyle w:val="818"/>
        <w:ind w:left="1260" w:firstLine="426"/>
        <w:spacing w:line="360" w:lineRule="auto"/>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818"/>
        <w:ind w:left="1260" w:firstLine="426"/>
        <w:spacing w:line="360" w:lineRule="auto"/>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r/>
    </w:p>
    <w:p>
      <w:pPr>
        <w:pStyle w:val="839"/>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（2）供应商认为需提供的其他</w:t>
      </w:r>
      <w:bookmarkEnd w:id="351"/>
      <w:r>
        <w:rPr>
          <w:rFonts w:hint="eastAsia" w:ascii="宋体" w:hAnsi="宋体" w:cs="宋体"/>
          <w:bCs w:val="0"/>
          <w:color w:val="000000" w:themeColor="text1"/>
          <w:sz w:val="24"/>
          <w:szCs w:val="24"/>
          <w:highlight w:val="none"/>
          <w14:textFill>
            <w14:solidFill>
              <w14:schemeClr w14:val="tx1"/>
            </w14:solidFill>
          </w14:textFill>
        </w:rPr>
        <w:t xml:space="preserve">文件或证明材料</w:t>
      </w:r>
      <w:bookmarkEnd w:id="352"/>
      <w:r/>
      <w:bookmarkEnd w:id="353"/>
      <w:r/>
      <w:bookmarkEnd w:id="354"/>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39"/>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43"/>
      <w:r/>
      <w:bookmarkEnd w:id="345"/>
      <w:r/>
      <w:bookmarkEnd w:id="346"/>
      <w:r/>
      <w:bookmarkEnd w:id="347"/>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（请根据本项目</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采购项目类型</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选择合适的中小企业声明函，不适用的可以不提交）</w:t>
      </w:r>
      <w:r/>
    </w:p>
    <w:p>
      <w:pPr>
        <w:ind w:right="-23" w:firstLine="379"/>
        <w:jc w:val="center"/>
        <w:spacing w:line="360" w:lineRule="auto"/>
        <w:rPr>
          <w:rFonts w:ascii="宋体" w:hAnsi="宋体" w:cs="宋体"/>
          <w:color w:val="000000" w:themeColor="text1"/>
          <w:spacing w:val="2"/>
          <w:position w:val="-3"/>
          <w:szCs w:val="21"/>
          <w:highlight w:val="none"/>
          <w14:textFill>
            <w14:solidFill>
              <w14:schemeClr w14:val="tx1"/>
            </w14:solidFill>
          </w14:textFill>
        </w:rPr>
      </w:pPr>
      <w:r>
        <w:rPr>
          <w:rFonts w:ascii="宋体" w:hAnsi="宋体" w:cs="宋体"/>
          <w:color w:val="000000" w:themeColor="text1"/>
          <w:spacing w:val="2"/>
          <w:position w:val="-3"/>
          <w:szCs w:val="21"/>
          <w:highlight w:val="none"/>
          <w14:textFill>
            <w14:solidFill>
              <w14:schemeClr w14:val="tx1"/>
            </w14:solidFill>
          </w14:textFill>
        </w:rPr>
      </w:r>
      <w:r/>
    </w:p>
    <w:p>
      <w:pPr>
        <w:pStyle w:val="1075"/>
        <w:ind w:firstLine="482"/>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rPr>
          <w:rFonts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 xml:space="preserve">南京市儿童医院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iCs/>
          <w:color w:val="000000" w:themeColor="text1"/>
          <w:position w:val="-2"/>
          <w:szCs w:val="21"/>
          <w:highlight w:val="none"/>
          <w:u w:val="single"/>
          <w:lang w:eastAsia="zh-CN"/>
          <w14:textFill>
            <w14:solidFill>
              <w14:schemeClr w14:val="tx1"/>
            </w14:solidFill>
          </w14:textFill>
        </w:rPr>
        <w:t xml:space="preserve">鲜肉及肉制品等食材采购</w:t>
      </w:r>
      <w:r>
        <w:rPr>
          <w:rFonts w:hint="eastAsia" w:ascii="宋体" w:hAnsi="宋体" w:cs="宋体"/>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lang w:val="en-US" w:eastAsia="zh-CN"/>
          <w14:textFill>
            <w14:solidFill>
              <w14:schemeClr w14:val="tx1"/>
            </w14:solidFill>
          </w14:textFill>
        </w:rPr>
        <w:t xml:space="preserve"> </w:t>
      </w:r>
      <w:r>
        <w:rPr>
          <w:rFonts w:hint="eastAsia" w:ascii="宋体" w:hAnsi="宋体" w:cs="宋体"/>
          <w:color w:val="000000" w:themeColor="text1"/>
          <w:position w:val="-2"/>
          <w:szCs w:val="21"/>
          <w:highlight w:val="none"/>
          <w:u w:val="single"/>
          <w:lang w:eastAsia="zh-CN"/>
          <w14:textFill>
            <w14:solidFill>
              <w14:schemeClr w14:val="tx1"/>
            </w14:solidFill>
          </w14:textFill>
        </w:rPr>
        <w:t xml:space="preserve">农、林、牧、渔业</w:t>
      </w:r>
      <w:r>
        <w:rPr>
          <w:rFonts w:hint="eastAsia" w:ascii="宋体" w:hAnsi="宋体" w:cs="宋体"/>
          <w:color w:val="000000" w:themeColor="text1"/>
          <w:position w:val="-2"/>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lang w:val="en-US" w:eastAsia="zh-CN"/>
          <w14:textFill>
            <w14:solidFill>
              <w14:schemeClr w14:val="tx1"/>
            </w14:solidFill>
          </w14:textFill>
        </w:rPr>
        <w:t xml:space="preserve"> </w:t>
      </w:r>
      <w:r>
        <w:rPr>
          <w:rFonts w:hint="eastAsia" w:ascii="宋体" w:hAnsi="宋体" w:cs="宋体"/>
          <w:color w:val="000000" w:themeColor="text1"/>
          <w:position w:val="-2"/>
          <w:szCs w:val="21"/>
          <w:highlight w:val="none"/>
          <w:u w:val="single"/>
          <w:lang w:eastAsia="zh-CN"/>
          <w14:textFill>
            <w14:solidFill>
              <w14:schemeClr w14:val="tx1"/>
            </w14:solidFill>
          </w14:textFill>
        </w:rPr>
        <w:t xml:space="preserve">农、林、牧、渔业</w:t>
      </w:r>
      <w:r>
        <w:rPr>
          <w:rFonts w:hint="eastAsia" w:ascii="宋体" w:hAnsi="宋体" w:cs="宋体"/>
          <w:color w:val="000000" w:themeColor="text1"/>
          <w:position w:val="-2"/>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ascii="宋体" w:hAnsi="宋体" w:cs="宋体"/>
          <w:color w:val="000000" w:themeColor="text1"/>
          <w:position w:val="-2"/>
          <w:szCs w:val="21"/>
          <w:highlight w:val="none"/>
          <w14:textFill>
            <w14:solidFill>
              <w14:schemeClr w14:val="tx1"/>
            </w14:solidFill>
          </w14:textFill>
        </w:rPr>
      </w:pPr>
      <w:r>
        <w:rPr>
          <w:rFonts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ind w:right="420" w:firstLine="4200"/>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20" w:firstLine="372"/>
        <w:spacing w:line="360" w:lineRule="auto"/>
        <w:rPr>
          <w:rFonts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373"/>
        <w:spacing w:line="360" w:lineRule="auto"/>
        <w:rPr>
          <w:rFonts w:hint="eastAsia"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 本项目中小微企业划分标准为：</w:t>
      </w:r>
      <w:r>
        <w:rPr>
          <w:rFonts w:hint="eastAsia" w:ascii="宋体" w:hAnsi="宋体" w:cs="宋体"/>
          <w:b/>
          <w:color w:val="000000" w:themeColor="text1"/>
          <w:szCs w:val="21"/>
          <w:highlight w:val="none"/>
          <w:u w:val="singl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075"/>
        <w:ind w:firstLine="482"/>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1075"/>
        <w:ind w:firstLine="482"/>
        <w:jc w:val="center"/>
        <w:spacing w:line="360" w:lineRule="auto"/>
        <w:rPr>
          <w:rFonts w:hAnsi="宋体" w:cs="宋体"/>
          <w:b/>
          <w:color w:val="000000" w:themeColor="text1"/>
          <w:sz w:val="24"/>
          <w:szCs w:val="24"/>
          <w:highlight w:val="none"/>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r>
      <w:r/>
    </w:p>
    <w:p>
      <w:pPr>
        <w:pStyle w:val="107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75"/>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075"/>
        <w:ind w:firstLine="198"/>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360" w:lineRule="auto"/>
        <w:rPr>
          <w:rFonts w:ascii="宋体" w:hAnsi="宋体" w:cs="宋体"/>
          <w:b/>
          <w:color w:val="000000" w:themeColor="text1"/>
          <w:spacing w:val="6"/>
          <w:sz w:val="30"/>
          <w:szCs w:val="30"/>
          <w:highlight w:val="none"/>
          <w14:textFill>
            <w14:solidFill>
              <w14:schemeClr w14:val="tx1"/>
            </w14:solidFill>
          </w14:textFill>
        </w:rPr>
      </w:pPr>
      <w:r>
        <w:rPr>
          <w:rFonts w:ascii="宋体" w:hAnsi="宋体" w:cs="宋体"/>
          <w:b/>
          <w:color w:val="000000" w:themeColor="text1"/>
          <w:spacing w:val="6"/>
          <w:sz w:val="30"/>
          <w:szCs w:val="30"/>
          <w:highlight w:val="none"/>
          <w14:textFill>
            <w14:solidFill>
              <w14:schemeClr w14:val="tx1"/>
            </w14:solidFill>
          </w14:textFill>
        </w:rPr>
      </w:r>
      <w:r/>
    </w:p>
    <w:p>
      <w:pPr>
        <w:pStyle w:val="107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7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75"/>
        <w:ind w:firstLine="42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1075"/>
        <w:ind w:firstLine="42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1075"/>
        <w:ind w:firstLine="42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1075"/>
        <w:ind w:firstLine="3769"/>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bookmarkEnd w:id="344"/>
      <w:r/>
      <w:r/>
    </w:p>
    <w:p>
      <w:pPr>
        <w:pStyle w:val="1075"/>
        <w:ind w:firstLine="164"/>
        <w:jc w:val="cente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ind w:right="420" w:firstLine="37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Yu Gothic Light">
    <w:panose1 w:val="020B0300000000000000"/>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MS Mincho">
    <w:panose1 w:val="02020603050405090304"/>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r/>
  </w:p>
  <w:p>
    <w:pPr>
      <w:pStyle w:val="8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a:effectLst/>
                    </wps:spPr>
                    <wps:txbx>
                      <w:txbxContent>
                        <w:p>
                          <w:pPr>
                            <w:pStyle w:val="826"/>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26"/>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61908"/>
      <w:rPr/>
    </w:sdtPr>
    <w:sdtContent>
      <w:p>
        <w:pPr>
          <w:pStyle w:val="826"/>
          <w:jc w:val="center"/>
        </w:pPr>
        <w:r>
          <w:fldChar w:fldCharType="begin"/>
        </w:r>
        <w:r>
          <w:instrText xml:space="preserve">PAGE   \* MERGEFORMAT</w:instrText>
        </w:r>
        <w:r>
          <w:fldChar w:fldCharType="separate"/>
        </w:r>
        <w:r>
          <w:rPr>
            <w:lang w:val="zh-CN"/>
          </w:rPr>
          <w:t xml:space="preserve">49</w:t>
        </w:r>
        <w:r>
          <w:rPr>
            <w:lang w:val="zh-CN"/>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76238843"/>
      <w:rPr/>
    </w:sdtPr>
    <w:sdtContent>
      <w:p>
        <w:pPr>
          <w:pStyle w:val="826"/>
          <w:jc w:val="center"/>
        </w:pPr>
        <w:r>
          <w:fldChar w:fldCharType="begin"/>
        </w:r>
        <w:r>
          <w:instrText xml:space="preserve">PAGE   \* MERGEFORMAT</w:instrText>
        </w:r>
        <w:r>
          <w:fldChar w:fldCharType="separate"/>
        </w:r>
        <w:r>
          <w:rPr>
            <w:lang w:val="zh-CN"/>
          </w:rPr>
          <w:t xml:space="preserve">49</w:t>
        </w:r>
        <w:r>
          <w:rPr>
            <w:lang w:val="zh-CN"/>
          </w:rPr>
          <w:fldChar w:fldCharType="end"/>
        </w:r>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826"/>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28"/>
      <w:rPr>
        <w:rFonts w:hint="default" w:eastAsia="宋体"/>
        <w:lang w:val="en-US" w:eastAsia="zh-CN"/>
      </w:rPr>
    </w:pPr>
    <w:r>
      <w:rPr>
        <w:rFonts w:hint="eastAsia" w:ascii="宋体" w:hAnsi="宋体" w:cs="宋体"/>
        <w:color w:val="000000"/>
        <w:sz w:val="22"/>
        <w:szCs w:val="22"/>
        <w:lang w:eastAsia="zh-CN"/>
      </w:rPr>
      <w:t xml:space="preserve">南京市儿童医院鲜肉及肉制品等食材采购项目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center"/>
      <w:pPr>
        <w:ind w:left="420" w:hanging="132"/>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center"/>
      <w:pPr>
        <w:ind w:left="420" w:hanging="132"/>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1"/>
  </w:num>
  <w:num w:numId="3">
    <w:abstractNumId w:val="7"/>
  </w:num>
  <w:num w:numId="4">
    <w:abstractNumId w:val="9"/>
  </w:num>
  <w:num w:numId="5">
    <w:abstractNumId w:val="2"/>
  </w:num>
  <w:num w:numId="6">
    <w:abstractNumId w:val="8"/>
  </w:num>
  <w:num w:numId="7">
    <w:abstractNumId w:val="0"/>
  </w:num>
  <w:num w:numId="8">
    <w:abstractNumId w:val="6"/>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name w:val="Heading 1"/>
    <w:basedOn w:val="798"/>
    <w:next w:val="798"/>
    <w:link w:val="1033"/>
    <w:uiPriority w:val="0"/>
    <w:qFormat/>
    <w:pPr>
      <w:ind w:left="100" w:right="100"/>
      <w:keepLines/>
      <w:keepNext/>
      <w:spacing w:before="120" w:after="120"/>
      <w:outlineLvl w:val="0"/>
    </w:pPr>
    <w:rPr>
      <w:b/>
      <w:bCs/>
      <w:szCs w:val="44"/>
    </w:rPr>
  </w:style>
  <w:style w:type="paragraph" w:styleId="800">
    <w:name w:val="Heading 2"/>
    <w:basedOn w:val="798"/>
    <w:next w:val="798"/>
    <w:link w:val="870"/>
    <w:uiPriority w:val="0"/>
    <w:qFormat/>
    <w:pPr>
      <w:keepLines/>
      <w:keepNext/>
      <w:spacing w:before="260" w:after="260" w:line="416" w:lineRule="auto"/>
      <w:outlineLvl w:val="1"/>
    </w:pPr>
    <w:rPr>
      <w:rFonts w:ascii="等线 Light" w:hAnsi="等线 Light" w:eastAsia="等线 Light"/>
      <w:b/>
      <w:bCs/>
      <w:sz w:val="32"/>
      <w:szCs w:val="32"/>
    </w:rPr>
  </w:style>
  <w:style w:type="paragraph" w:styleId="801">
    <w:name w:val="Heading 3"/>
    <w:basedOn w:val="798"/>
    <w:next w:val="798"/>
    <w:link w:val="872"/>
    <w:uiPriority w:val="9"/>
    <w:qFormat/>
    <w:pPr>
      <w:keepLines/>
      <w:keepNext/>
      <w:spacing w:before="260" w:after="260" w:line="416" w:lineRule="auto"/>
      <w:outlineLvl w:val="2"/>
    </w:pPr>
    <w:rPr>
      <w:b/>
      <w:bCs/>
      <w:sz w:val="32"/>
      <w:szCs w:val="32"/>
    </w:rPr>
  </w:style>
  <w:style w:type="paragraph" w:styleId="802">
    <w:name w:val="Heading 4"/>
    <w:basedOn w:val="798"/>
    <w:next w:val="798"/>
    <w:link w:val="871"/>
    <w:uiPriority w:val="0"/>
    <w:qFormat/>
    <w:pPr>
      <w:keepLines/>
      <w:keepNext/>
      <w:spacing w:before="280" w:after="290" w:line="376" w:lineRule="auto"/>
      <w:outlineLvl w:val="3"/>
    </w:pPr>
    <w:rPr>
      <w:rFonts w:ascii="等线 Light" w:hAnsi="等线 Light" w:eastAsia="等线 Light"/>
      <w:b/>
      <w:bCs/>
      <w:sz w:val="28"/>
      <w:szCs w:val="28"/>
    </w:rPr>
  </w:style>
  <w:style w:type="paragraph" w:styleId="803">
    <w:name w:val="Heading 5"/>
    <w:basedOn w:val="798"/>
    <w:next w:val="798"/>
    <w:link w:val="909"/>
    <w:uiPriority w:val="9"/>
    <w:unhideWhenUsed/>
    <w:qFormat/>
    <w:pPr>
      <w:keepLines/>
      <w:keepNext/>
      <w:spacing w:before="320" w:after="200"/>
      <w:outlineLvl w:val="4"/>
    </w:pPr>
    <w:rPr>
      <w:rFonts w:ascii="Arial" w:hAnsi="Arial" w:eastAsia="Arial" w:cs="Arial"/>
      <w:b/>
      <w:bCs/>
      <w:sz w:val="24"/>
    </w:rPr>
  </w:style>
  <w:style w:type="paragraph" w:styleId="804">
    <w:name w:val="Heading 6"/>
    <w:basedOn w:val="798"/>
    <w:next w:val="798"/>
    <w:link w:val="1034"/>
    <w:uiPriority w:val="0"/>
    <w:qFormat/>
    <w:pPr>
      <w:keepLines/>
      <w:keepNext/>
      <w:spacing w:before="240" w:after="64" w:line="320" w:lineRule="auto"/>
      <w:outlineLvl w:val="5"/>
    </w:pPr>
    <w:rPr>
      <w:rFonts w:ascii="等线 Light" w:hAnsi="等线 Light" w:eastAsia="等线 Light"/>
      <w:b/>
      <w:bCs/>
      <w:sz w:val="24"/>
    </w:rPr>
  </w:style>
  <w:style w:type="paragraph" w:styleId="805">
    <w:name w:val="Heading 7"/>
    <w:basedOn w:val="798"/>
    <w:next w:val="798"/>
    <w:link w:val="911"/>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1035"/>
    <w:uiPriority w:val="0"/>
    <w:qFormat/>
    <w:pPr>
      <w:keepLines/>
      <w:keepNext/>
      <w:spacing w:before="240" w:after="64" w:line="320" w:lineRule="auto"/>
      <w:outlineLvl w:val="7"/>
    </w:pPr>
    <w:rPr>
      <w:rFonts w:ascii="等线 Light" w:hAnsi="等线 Light" w:eastAsia="等线 Light"/>
      <w:sz w:val="24"/>
    </w:rPr>
  </w:style>
  <w:style w:type="paragraph" w:styleId="807">
    <w:name w:val="Heading 9"/>
    <w:basedOn w:val="798"/>
    <w:next w:val="798"/>
    <w:link w:val="913"/>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List 3"/>
    <w:basedOn w:val="798"/>
    <w:uiPriority w:val="0"/>
    <w:qFormat/>
    <w:pPr>
      <w:contextualSpacing/>
      <w:ind w:left="100" w:hanging="200"/>
      <w:jc w:val="left"/>
      <w:widowControl/>
    </w:pPr>
    <w:rPr>
      <w:sz w:val="20"/>
      <w:szCs w:val="20"/>
    </w:rPr>
  </w:style>
  <w:style w:type="paragraph" w:styleId="811">
    <w:name w:val="toc 7"/>
    <w:basedOn w:val="798"/>
    <w:next w:val="798"/>
    <w:uiPriority w:val="39"/>
    <w:unhideWhenUsed/>
    <w:qFormat/>
    <w:pPr>
      <w:ind w:left="1701"/>
      <w:spacing w:after="57"/>
    </w:pPr>
  </w:style>
  <w:style w:type="paragraph" w:styleId="812">
    <w:name w:val="Normal Indent"/>
    <w:basedOn w:val="798"/>
    <w:next w:val="798"/>
    <w:link w:val="1037"/>
    <w:uiPriority w:val="99"/>
    <w:qFormat/>
    <w:pPr>
      <w:ind w:firstLine="420"/>
    </w:pPr>
    <w:rPr>
      <w:szCs w:val="20"/>
    </w:rPr>
  </w:style>
  <w:style w:type="paragraph" w:styleId="813">
    <w:name w:val="Caption"/>
    <w:basedOn w:val="798"/>
    <w:next w:val="79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14">
    <w:name w:val="Document Map"/>
    <w:basedOn w:val="798"/>
    <w:link w:val="1038"/>
    <w:uiPriority w:val="0"/>
    <w:qFormat/>
    <w:pPr>
      <w:shd w:val="clear" w:color="auto" w:fill="000080"/>
    </w:pPr>
  </w:style>
  <w:style w:type="paragraph" w:styleId="815">
    <w:name w:val="annotation text"/>
    <w:basedOn w:val="798"/>
    <w:link w:val="1039"/>
    <w:uiPriority w:val="0"/>
    <w:qFormat/>
    <w:pPr>
      <w:jc w:val="left"/>
    </w:pPr>
  </w:style>
  <w:style w:type="paragraph" w:styleId="816">
    <w:name w:val="Body Text"/>
    <w:basedOn w:val="798"/>
    <w:next w:val="798"/>
    <w:link w:val="1040"/>
    <w:uiPriority w:val="1"/>
    <w:qFormat/>
    <w:pPr>
      <w:spacing w:after="120"/>
    </w:pPr>
  </w:style>
  <w:style w:type="paragraph" w:styleId="817">
    <w:name w:val="Body Text Indent"/>
    <w:basedOn w:val="798"/>
    <w:uiPriority w:val="0"/>
    <w:qFormat/>
    <w:pPr>
      <w:ind w:left="420"/>
      <w:spacing w:after="120"/>
    </w:pPr>
  </w:style>
  <w:style w:type="paragraph" w:styleId="818">
    <w:name w:val="index 4"/>
    <w:basedOn w:val="798"/>
    <w:next w:val="798"/>
    <w:uiPriority w:val="99"/>
    <w:unhideWhenUsed/>
    <w:qFormat/>
    <w:pPr>
      <w:ind w:left="600"/>
    </w:pPr>
    <w:rPr>
      <w:rFonts w:ascii="宋体"/>
      <w:b/>
      <w:position w:val="-10"/>
      <w:sz w:val="24"/>
      <w:szCs w:val="20"/>
    </w:rPr>
  </w:style>
  <w:style w:type="paragraph" w:styleId="819">
    <w:name w:val="toc 5"/>
    <w:basedOn w:val="798"/>
    <w:next w:val="798"/>
    <w:uiPriority w:val="39"/>
    <w:unhideWhenUsed/>
    <w:qFormat/>
    <w:pPr>
      <w:ind w:left="1134"/>
      <w:spacing w:after="57"/>
    </w:pPr>
  </w:style>
  <w:style w:type="paragraph" w:styleId="820">
    <w:name w:val="toc 3"/>
    <w:basedOn w:val="798"/>
    <w:next w:val="798"/>
    <w:uiPriority w:val="39"/>
    <w:unhideWhenUsed/>
    <w:qFormat/>
    <w:pPr>
      <w:ind w:left="567"/>
      <w:spacing w:after="57"/>
    </w:pPr>
  </w:style>
  <w:style w:type="paragraph" w:styleId="821">
    <w:name w:val="Plain Text"/>
    <w:basedOn w:val="798"/>
    <w:link w:val="1043"/>
    <w:uiPriority w:val="0"/>
    <w:qFormat/>
    <w:rPr>
      <w:rFonts w:ascii="宋体" w:hAnsi="Courier New" w:cs="Courier New"/>
      <w:szCs w:val="21"/>
    </w:rPr>
  </w:style>
  <w:style w:type="paragraph" w:styleId="822">
    <w:name w:val="toc 8"/>
    <w:basedOn w:val="798"/>
    <w:next w:val="798"/>
    <w:uiPriority w:val="39"/>
    <w:unhideWhenUsed/>
    <w:qFormat/>
    <w:pPr>
      <w:ind w:left="1984"/>
      <w:spacing w:after="57"/>
    </w:pPr>
  </w:style>
  <w:style w:type="paragraph" w:styleId="823">
    <w:name w:val="Date"/>
    <w:basedOn w:val="798"/>
    <w:next w:val="798"/>
    <w:link w:val="1045"/>
    <w:uiPriority w:val="0"/>
    <w:qFormat/>
    <w:rPr>
      <w:sz w:val="24"/>
      <w:szCs w:val="20"/>
    </w:rPr>
  </w:style>
  <w:style w:type="paragraph" w:styleId="824">
    <w:name w:val="endnote text"/>
    <w:basedOn w:val="798"/>
    <w:link w:val="1030"/>
    <w:uiPriority w:val="99"/>
    <w:semiHidden/>
    <w:unhideWhenUsed/>
    <w:qFormat/>
    <w:rPr>
      <w:sz w:val="20"/>
    </w:rPr>
  </w:style>
  <w:style w:type="paragraph" w:styleId="825">
    <w:name w:val="Balloon Text"/>
    <w:basedOn w:val="798"/>
    <w:link w:val="1046"/>
    <w:uiPriority w:val="0"/>
    <w:qFormat/>
    <w:rPr>
      <w:sz w:val="18"/>
      <w:szCs w:val="18"/>
    </w:rPr>
  </w:style>
  <w:style w:type="paragraph" w:styleId="826">
    <w:name w:val="Footer"/>
    <w:basedOn w:val="798"/>
    <w:link w:val="1047"/>
    <w:uiPriority w:val="99"/>
    <w:qFormat/>
    <w:pPr>
      <w:jc w:val="left"/>
      <w:tabs>
        <w:tab w:val="center" w:pos="4153" w:leader="none"/>
        <w:tab w:val="right" w:pos="8306" w:leader="none"/>
      </w:tabs>
    </w:pPr>
    <w:rPr>
      <w:sz w:val="18"/>
      <w:szCs w:val="18"/>
    </w:rPr>
  </w:style>
  <w:style w:type="paragraph" w:styleId="827">
    <w:name w:val="envelope return"/>
    <w:basedOn w:val="798"/>
    <w:uiPriority w:val="0"/>
    <w:qFormat/>
    <w:rPr>
      <w:rFonts w:ascii="Arial" w:hAnsi="Arial"/>
    </w:rPr>
  </w:style>
  <w:style w:type="paragraph" w:styleId="828">
    <w:name w:val="Header"/>
    <w:basedOn w:val="798"/>
    <w:link w:val="1048"/>
    <w:uiPriority w:val="99"/>
    <w:qFormat/>
    <w:pPr>
      <w:jc w:val="center"/>
      <w:tabs>
        <w:tab w:val="center" w:pos="4153" w:leader="none"/>
        <w:tab w:val="right" w:pos="8306" w:leader="none"/>
      </w:tabs>
      <w:pBdr>
        <w:bottom w:val="single" w:color="auto" w:sz="6" w:space="1"/>
      </w:pBdr>
    </w:pPr>
    <w:rPr>
      <w:sz w:val="18"/>
      <w:szCs w:val="18"/>
    </w:rPr>
  </w:style>
  <w:style w:type="paragraph" w:styleId="829">
    <w:name w:val="toc 1"/>
    <w:basedOn w:val="798"/>
    <w:next w:val="798"/>
    <w:uiPriority w:val="39"/>
    <w:unhideWhenUsed/>
    <w:qFormat/>
    <w:pPr>
      <w:spacing w:after="57"/>
    </w:pPr>
  </w:style>
  <w:style w:type="paragraph" w:styleId="830">
    <w:name w:val="toc 4"/>
    <w:basedOn w:val="798"/>
    <w:next w:val="798"/>
    <w:uiPriority w:val="39"/>
    <w:unhideWhenUsed/>
    <w:qFormat/>
    <w:pPr>
      <w:ind w:left="850"/>
      <w:spacing w:after="57"/>
    </w:pPr>
  </w:style>
  <w:style w:type="paragraph" w:styleId="831">
    <w:name w:val="Subtitle"/>
    <w:basedOn w:val="798"/>
    <w:next w:val="798"/>
    <w:link w:val="915"/>
    <w:uiPriority w:val="11"/>
    <w:qFormat/>
    <w:pPr>
      <w:spacing w:before="200" w:after="200"/>
    </w:pPr>
    <w:rPr>
      <w:sz w:val="24"/>
    </w:rPr>
  </w:style>
  <w:style w:type="paragraph" w:styleId="832">
    <w:name w:val="footnote text"/>
    <w:basedOn w:val="798"/>
    <w:link w:val="1029"/>
    <w:uiPriority w:val="99"/>
    <w:semiHidden/>
    <w:unhideWhenUsed/>
    <w:qFormat/>
    <w:pPr>
      <w:spacing w:after="40"/>
    </w:pPr>
    <w:rPr>
      <w:sz w:val="18"/>
    </w:rPr>
  </w:style>
  <w:style w:type="paragraph" w:styleId="833">
    <w:name w:val="toc 6"/>
    <w:basedOn w:val="798"/>
    <w:next w:val="798"/>
    <w:uiPriority w:val="39"/>
    <w:unhideWhenUsed/>
    <w:qFormat/>
    <w:pPr>
      <w:ind w:left="1417"/>
      <w:spacing w:after="57"/>
    </w:pPr>
  </w:style>
  <w:style w:type="paragraph" w:styleId="834">
    <w:name w:val="table of figures"/>
    <w:basedOn w:val="798"/>
    <w:next w:val="798"/>
    <w:uiPriority w:val="99"/>
    <w:unhideWhenUsed/>
    <w:qFormat/>
  </w:style>
  <w:style w:type="paragraph" w:styleId="835">
    <w:name w:val="toc 2"/>
    <w:basedOn w:val="798"/>
    <w:next w:val="798"/>
    <w:uiPriority w:val="99"/>
    <w:semiHidden/>
    <w:qFormat/>
    <w:pPr>
      <w:ind w:left="420"/>
    </w:pPr>
    <w:rPr>
      <w:rFonts w:eastAsia="楷体_GB2312"/>
      <w:sz w:val="26"/>
      <w:szCs w:val="26"/>
    </w:rPr>
  </w:style>
  <w:style w:type="paragraph" w:styleId="836">
    <w:name w:val="toc 9"/>
    <w:basedOn w:val="798"/>
    <w:next w:val="798"/>
    <w:uiPriority w:val="39"/>
    <w:unhideWhenUsed/>
    <w:qFormat/>
    <w:pPr>
      <w:ind w:left="2268"/>
      <w:spacing w:after="57"/>
    </w:pPr>
  </w:style>
  <w:style w:type="paragraph" w:styleId="837">
    <w:name w:val="Body Text 2"/>
    <w:basedOn w:val="798"/>
    <w:link w:val="1054"/>
    <w:uiPriority w:val="0"/>
    <w:qFormat/>
    <w:pPr>
      <w:spacing w:after="120" w:line="480" w:lineRule="auto"/>
    </w:pPr>
    <w:rPr>
      <w:rFonts w:ascii="Calibri" w:hAnsi="Calibri"/>
    </w:rPr>
  </w:style>
  <w:style w:type="paragraph" w:styleId="838">
    <w:name w:val="Normal (Web)"/>
    <w:basedOn w:val="798"/>
    <w:uiPriority w:val="99"/>
    <w:qFormat/>
    <w:pPr>
      <w:jc w:val="left"/>
      <w:spacing w:before="100" w:beforeAutospacing="1" w:after="100" w:afterAutospacing="1"/>
      <w:widowControl/>
    </w:pPr>
    <w:rPr>
      <w:sz w:val="24"/>
    </w:rPr>
  </w:style>
  <w:style w:type="paragraph" w:styleId="839">
    <w:name w:val="Title"/>
    <w:basedOn w:val="798"/>
    <w:next w:val="798"/>
    <w:link w:val="1055"/>
    <w:uiPriority w:val="0"/>
    <w:qFormat/>
    <w:pPr>
      <w:jc w:val="center"/>
      <w:spacing w:before="240" w:after="60" w:line="360" w:lineRule="auto"/>
      <w:outlineLvl w:val="0"/>
    </w:pPr>
    <w:rPr>
      <w:rFonts w:ascii="等线 Light" w:hAnsi="等线 Light"/>
      <w:b/>
      <w:bCs/>
      <w:sz w:val="32"/>
      <w:szCs w:val="32"/>
    </w:rPr>
  </w:style>
  <w:style w:type="paragraph" w:styleId="840">
    <w:name w:val="annotation subject"/>
    <w:basedOn w:val="815"/>
    <w:next w:val="815"/>
    <w:link w:val="1056"/>
    <w:uiPriority w:val="0"/>
    <w:qFormat/>
    <w:rPr>
      <w:b/>
      <w:bCs/>
    </w:rPr>
  </w:style>
  <w:style w:type="paragraph" w:styleId="841">
    <w:name w:val="Body Text First Indent"/>
    <w:basedOn w:val="816"/>
    <w:uiPriority w:val="0"/>
    <w:qFormat/>
    <w:pPr>
      <w:ind w:firstLine="420"/>
      <w:spacing w:line="360" w:lineRule="auto"/>
    </w:pPr>
    <w:rPr>
      <w:szCs w:val="21"/>
    </w:rPr>
  </w:style>
  <w:style w:type="table" w:styleId="842">
    <w:name w:val="Table Grid"/>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Strong"/>
    <w:uiPriority w:val="0"/>
    <w:qFormat/>
    <w:rPr>
      <w:b/>
      <w:bCs/>
    </w:rPr>
  </w:style>
  <w:style w:type="character" w:styleId="844">
    <w:name w:val="endnote reference"/>
    <w:basedOn w:val="808"/>
    <w:uiPriority w:val="99"/>
    <w:semiHidden/>
    <w:unhideWhenUsed/>
    <w:qFormat/>
    <w:rPr>
      <w:vertAlign w:val="superscript"/>
    </w:rPr>
  </w:style>
  <w:style w:type="character" w:styleId="845">
    <w:name w:val="page number"/>
    <w:uiPriority w:val="0"/>
    <w:qFormat/>
  </w:style>
  <w:style w:type="character" w:styleId="846">
    <w:name w:val="Emphasis"/>
    <w:uiPriority w:val="0"/>
    <w:qFormat/>
    <w:rPr>
      <w:i/>
      <w:iCs/>
    </w:rPr>
  </w:style>
  <w:style w:type="character" w:styleId="847">
    <w:name w:val="Hyperlink"/>
    <w:uiPriority w:val="99"/>
    <w:qFormat/>
    <w:rPr>
      <w:color w:val="auto"/>
      <w:u w:val="none"/>
    </w:rPr>
  </w:style>
  <w:style w:type="character" w:styleId="848">
    <w:name w:val="annotation reference"/>
    <w:uiPriority w:val="0"/>
    <w:qFormat/>
    <w:rPr>
      <w:sz w:val="21"/>
      <w:szCs w:val="21"/>
    </w:rPr>
  </w:style>
  <w:style w:type="character" w:styleId="849">
    <w:name w:val="footnote reference"/>
    <w:basedOn w:val="808"/>
    <w:uiPriority w:val="99"/>
    <w:unhideWhenUsed/>
    <w:qFormat/>
    <w:rPr>
      <w:vertAlign w:val="superscript"/>
    </w:rPr>
  </w:style>
  <w:style w:type="table" w:styleId="850" w:customStyle="1">
    <w:name w:val="Plain Table 1"/>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basedOn w:val="8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basedOn w:val="8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2"/>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3"/>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8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5 Dark"/>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6 Colorful"/>
    <w:basedOn w:val="8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7 Colorful"/>
    <w:basedOn w:val="8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1 Light"/>
    <w:basedOn w:val="8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2"/>
    <w:basedOn w:val="8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9" w:customStyle="1">
    <w:name w:val="TOC Heading"/>
    <w:uiPriority w:val="39"/>
    <w:unhideWhenUsed/>
    <w:qFormat/>
    <w:rPr>
      <w:rFonts w:hint="default" w:ascii="Times New Roman" w:hAnsi="Times New Roman" w:eastAsia="宋体" w:cs="Times New Roman"/>
    </w:rPr>
  </w:style>
  <w:style w:type="character" w:styleId="870" w:customStyle="1">
    <w:name w:val="标题 2 Char"/>
    <w:link w:val="800"/>
    <w:uiPriority w:val="0"/>
    <w:semiHidden/>
    <w:qFormat/>
    <w:rPr>
      <w:rFonts w:ascii="等线 Light" w:hAnsi="等线 Light" w:eastAsia="等线 Light" w:cs="Times New Roman"/>
      <w:b/>
      <w:bCs/>
      <w:sz w:val="32"/>
      <w:szCs w:val="32"/>
    </w:rPr>
  </w:style>
  <w:style w:type="character" w:styleId="871" w:customStyle="1">
    <w:name w:val="标题 4 Char"/>
    <w:link w:val="802"/>
    <w:uiPriority w:val="0"/>
    <w:semiHidden/>
    <w:qFormat/>
    <w:rPr>
      <w:rFonts w:ascii="等线 Light" w:hAnsi="等线 Light" w:eastAsia="等线 Light" w:cs="Times New Roman"/>
      <w:b/>
      <w:bCs/>
      <w:sz w:val="28"/>
      <w:szCs w:val="28"/>
    </w:rPr>
  </w:style>
  <w:style w:type="character" w:styleId="872" w:customStyle="1">
    <w:name w:val="标题 3 Char"/>
    <w:link w:val="801"/>
    <w:uiPriority w:val="9"/>
    <w:qFormat/>
    <w:rPr>
      <w:rFonts w:eastAsia="宋体"/>
      <w:b/>
      <w:bCs/>
      <w:sz w:val="32"/>
      <w:szCs w:val="32"/>
      <w:lang w:val="en-US" w:eastAsia="zh-CN" w:bidi="ar-SA"/>
    </w:rPr>
  </w:style>
  <w:style w:type="paragraph" w:styleId="873"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874" w:customStyle="1">
    <w:name w:val="Heading 5 Char"/>
    <w:basedOn w:val="808"/>
    <w:uiPriority w:val="9"/>
    <w:qFormat/>
    <w:rPr>
      <w:rFonts w:ascii="Arial" w:hAnsi="Arial" w:eastAsia="Arial" w:cs="Arial"/>
      <w:b/>
      <w:bCs/>
      <w:sz w:val="24"/>
      <w:szCs w:val="24"/>
    </w:rPr>
  </w:style>
  <w:style w:type="character" w:styleId="875" w:customStyle="1">
    <w:name w:val="Heading 7 Char"/>
    <w:basedOn w:val="808"/>
    <w:uiPriority w:val="9"/>
    <w:qFormat/>
    <w:rPr>
      <w:rFonts w:ascii="Arial" w:hAnsi="Arial" w:eastAsia="Arial" w:cs="Arial"/>
      <w:b/>
      <w:bCs/>
      <w:i/>
      <w:iCs/>
      <w:sz w:val="22"/>
      <w:szCs w:val="22"/>
    </w:rPr>
  </w:style>
  <w:style w:type="character" w:styleId="876" w:customStyle="1">
    <w:name w:val="Heading 9 Char"/>
    <w:basedOn w:val="808"/>
    <w:uiPriority w:val="9"/>
    <w:qFormat/>
    <w:rPr>
      <w:rFonts w:ascii="Arial" w:hAnsi="Arial" w:eastAsia="Arial" w:cs="Arial"/>
      <w:i/>
      <w:iCs/>
      <w:sz w:val="21"/>
      <w:szCs w:val="21"/>
    </w:rPr>
  </w:style>
  <w:style w:type="character" w:styleId="877" w:customStyle="1">
    <w:name w:val="Subtitle Char"/>
    <w:basedOn w:val="808"/>
    <w:uiPriority w:val="11"/>
    <w:qFormat/>
    <w:rPr>
      <w:sz w:val="24"/>
      <w:szCs w:val="24"/>
    </w:rPr>
  </w:style>
  <w:style w:type="character" w:styleId="878" w:customStyle="1">
    <w:name w:val="Quote Char"/>
    <w:uiPriority w:val="29"/>
    <w:qFormat/>
    <w:rPr>
      <w:i/>
    </w:rPr>
  </w:style>
  <w:style w:type="character" w:styleId="879" w:customStyle="1">
    <w:name w:val="Intense Quote Char"/>
    <w:uiPriority w:val="30"/>
    <w:qFormat/>
    <w:rPr>
      <w:i/>
    </w:rPr>
  </w:style>
  <w:style w:type="table" w:styleId="880" w:customStyle="1">
    <w:name w:val="无格式表格 11"/>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31"/>
    <w:basedOn w:val="8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无格式表格 41"/>
    <w:basedOn w:val="8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无格式表格 51"/>
    <w:basedOn w:val="8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网格表 1 浅色1"/>
    <w:basedOn w:val="8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网格表 2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网格表 3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网格表 41"/>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网格表 6 彩色1"/>
    <w:basedOn w:val="8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网格表 7 彩色1"/>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清单表 1 浅色1"/>
    <w:basedOn w:val="80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清单表 21"/>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清单表 5 深色1"/>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清单表 6 彩色1"/>
    <w:basedOn w:val="80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清单表 7 彩色1"/>
    <w:basedOn w:val="80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9" w:customStyle="1">
    <w:name w:val="Footnote Text Char"/>
    <w:uiPriority w:val="99"/>
    <w:qFormat/>
    <w:rPr>
      <w:sz w:val="18"/>
    </w:rPr>
  </w:style>
  <w:style w:type="character" w:styleId="900" w:customStyle="1">
    <w:name w:val="Endnote Text Char"/>
    <w:uiPriority w:val="99"/>
    <w:qFormat/>
    <w:rPr>
      <w:sz w:val="20"/>
    </w:rPr>
  </w:style>
  <w:style w:type="paragraph" w:styleId="901" w:customStyle="1">
    <w:name w:val="TOC 标题1"/>
    <w:uiPriority w:val="39"/>
    <w:unhideWhenUsed/>
    <w:qFormat/>
    <w:rPr>
      <w:rFonts w:hint="default" w:ascii="Times New Roman" w:hAnsi="Times New Roman" w:eastAsia="宋体" w:cs="Times New Roman"/>
      <w:lang w:val="en-US" w:eastAsia="zh-CN" w:bidi="ar-SA"/>
    </w:rPr>
  </w:style>
  <w:style w:type="paragraph" w:styleId="902" w:customStyle="1">
    <w:name w:val="首行缩进"/>
    <w:basedOn w:val="798"/>
    <w:uiPriority w:val="0"/>
    <w:qFormat/>
    <w:pPr>
      <w:spacing w:line="360" w:lineRule="auto"/>
    </w:pPr>
  </w:style>
  <w:style w:type="paragraph" w:styleId="903" w:customStyle="1">
    <w:name w:val="正文文本1"/>
    <w:basedOn w:val="904"/>
    <w:next w:val="798"/>
    <w:uiPriority w:val="0"/>
    <w:qFormat/>
    <w:pPr>
      <w:spacing w:after="120"/>
    </w:pPr>
    <w:rPr>
      <w:sz w:val="28"/>
    </w:rPr>
  </w:style>
  <w:style w:type="paragraph" w:styleId="904" w:customStyle="1">
    <w:name w:val="正文1"/>
    <w:next w:val="903"/>
    <w:uiPriority w:val="0"/>
    <w:qFormat/>
    <w:pPr>
      <w:jc w:val="both"/>
      <w:widowControl w:val="off"/>
    </w:pPr>
    <w:rPr>
      <w:rFonts w:hint="default" w:ascii="Calibri" w:hAnsi="Calibri" w:eastAsia="宋体" w:cs="Times New Roman"/>
      <w:sz w:val="21"/>
      <w:szCs w:val="22"/>
      <w:lang w:val="en-US" w:eastAsia="zh-CN" w:bidi="ar-SA"/>
    </w:rPr>
  </w:style>
  <w:style w:type="character" w:styleId="905" w:customStyle="1">
    <w:name w:val="Heading 1 Char"/>
    <w:basedOn w:val="808"/>
    <w:uiPriority w:val="9"/>
    <w:qFormat/>
    <w:rPr>
      <w:rFonts w:ascii="Arial" w:hAnsi="Arial" w:eastAsia="Arial" w:cs="Arial"/>
      <w:sz w:val="40"/>
      <w:szCs w:val="40"/>
    </w:rPr>
  </w:style>
  <w:style w:type="character" w:styleId="906" w:customStyle="1">
    <w:name w:val="Heading 2 Char"/>
    <w:basedOn w:val="808"/>
    <w:uiPriority w:val="9"/>
    <w:qFormat/>
    <w:rPr>
      <w:rFonts w:ascii="Arial" w:hAnsi="Arial" w:eastAsia="Arial" w:cs="Arial"/>
      <w:sz w:val="34"/>
    </w:rPr>
  </w:style>
  <w:style w:type="character" w:styleId="907" w:customStyle="1">
    <w:name w:val="Heading 3 Char"/>
    <w:basedOn w:val="808"/>
    <w:uiPriority w:val="9"/>
    <w:qFormat/>
    <w:rPr>
      <w:rFonts w:ascii="Arial" w:hAnsi="Arial" w:eastAsia="Arial" w:cs="Arial"/>
      <w:sz w:val="30"/>
      <w:szCs w:val="30"/>
    </w:rPr>
  </w:style>
  <w:style w:type="character" w:styleId="908" w:customStyle="1">
    <w:name w:val="Heading 4 Char"/>
    <w:basedOn w:val="808"/>
    <w:uiPriority w:val="9"/>
    <w:qFormat/>
    <w:rPr>
      <w:rFonts w:ascii="Arial" w:hAnsi="Arial" w:eastAsia="Arial" w:cs="Arial"/>
      <w:b/>
      <w:bCs/>
      <w:sz w:val="26"/>
      <w:szCs w:val="26"/>
    </w:rPr>
  </w:style>
  <w:style w:type="character" w:styleId="909" w:customStyle="1">
    <w:name w:val="标题 5 Char"/>
    <w:basedOn w:val="808"/>
    <w:link w:val="803"/>
    <w:uiPriority w:val="9"/>
    <w:qFormat/>
    <w:rPr>
      <w:rFonts w:ascii="Arial" w:hAnsi="Arial" w:eastAsia="Arial" w:cs="Arial"/>
      <w:b/>
      <w:bCs/>
      <w:sz w:val="24"/>
      <w:szCs w:val="24"/>
    </w:rPr>
  </w:style>
  <w:style w:type="character" w:styleId="910" w:customStyle="1">
    <w:name w:val="Heading 6 Char"/>
    <w:basedOn w:val="808"/>
    <w:uiPriority w:val="9"/>
    <w:qFormat/>
    <w:rPr>
      <w:rFonts w:ascii="Arial" w:hAnsi="Arial" w:eastAsia="Arial" w:cs="Arial"/>
      <w:b/>
      <w:bCs/>
      <w:sz w:val="22"/>
      <w:szCs w:val="22"/>
    </w:rPr>
  </w:style>
  <w:style w:type="character" w:styleId="911" w:customStyle="1">
    <w:name w:val="标题 7 Char"/>
    <w:basedOn w:val="808"/>
    <w:link w:val="805"/>
    <w:uiPriority w:val="9"/>
    <w:qFormat/>
    <w:rPr>
      <w:rFonts w:ascii="Arial" w:hAnsi="Arial" w:eastAsia="Arial" w:cs="Arial"/>
      <w:b/>
      <w:bCs/>
      <w:i/>
      <w:iCs/>
      <w:sz w:val="22"/>
      <w:szCs w:val="22"/>
    </w:rPr>
  </w:style>
  <w:style w:type="character" w:styleId="912" w:customStyle="1">
    <w:name w:val="Heading 8 Char"/>
    <w:basedOn w:val="808"/>
    <w:uiPriority w:val="9"/>
    <w:qFormat/>
    <w:rPr>
      <w:rFonts w:ascii="Arial" w:hAnsi="Arial" w:eastAsia="Arial" w:cs="Arial"/>
      <w:i/>
      <w:iCs/>
      <w:sz w:val="22"/>
      <w:szCs w:val="22"/>
    </w:rPr>
  </w:style>
  <w:style w:type="character" w:styleId="913" w:customStyle="1">
    <w:name w:val="标题 9 Char"/>
    <w:basedOn w:val="808"/>
    <w:link w:val="807"/>
    <w:uiPriority w:val="9"/>
    <w:qFormat/>
    <w:rPr>
      <w:rFonts w:ascii="Arial" w:hAnsi="Arial" w:eastAsia="Arial" w:cs="Arial"/>
      <w:i/>
      <w:iCs/>
      <w:sz w:val="21"/>
      <w:szCs w:val="21"/>
    </w:rPr>
  </w:style>
  <w:style w:type="character" w:styleId="914" w:customStyle="1">
    <w:name w:val="Title Char"/>
    <w:basedOn w:val="808"/>
    <w:uiPriority w:val="10"/>
    <w:qFormat/>
    <w:rPr>
      <w:sz w:val="48"/>
      <w:szCs w:val="48"/>
    </w:rPr>
  </w:style>
  <w:style w:type="character" w:styleId="915" w:customStyle="1">
    <w:name w:val="副标题 Char"/>
    <w:basedOn w:val="808"/>
    <w:link w:val="831"/>
    <w:uiPriority w:val="11"/>
    <w:qFormat/>
    <w:rPr>
      <w:sz w:val="24"/>
      <w:szCs w:val="24"/>
    </w:rPr>
  </w:style>
  <w:style w:type="paragraph" w:styleId="916">
    <w:name w:val="Quote"/>
    <w:basedOn w:val="798"/>
    <w:next w:val="798"/>
    <w:link w:val="917"/>
    <w:uiPriority w:val="29"/>
    <w:qFormat/>
    <w:pPr>
      <w:ind w:left="720" w:right="720"/>
    </w:pPr>
    <w:rPr>
      <w:i/>
    </w:rPr>
  </w:style>
  <w:style w:type="character" w:styleId="917" w:customStyle="1">
    <w:name w:val="引用 Char"/>
    <w:link w:val="916"/>
    <w:uiPriority w:val="29"/>
    <w:qFormat/>
    <w:rPr>
      <w:i/>
    </w:rPr>
  </w:style>
  <w:style w:type="paragraph" w:styleId="918">
    <w:name w:val="Intense Quote"/>
    <w:basedOn w:val="798"/>
    <w:next w:val="798"/>
    <w:link w:val="9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customStyle="1">
    <w:name w:val="明显引用 Char"/>
    <w:link w:val="918"/>
    <w:uiPriority w:val="30"/>
    <w:qFormat/>
    <w:rPr>
      <w:i/>
    </w:rPr>
  </w:style>
  <w:style w:type="character" w:styleId="920" w:customStyle="1">
    <w:name w:val="Header Char"/>
    <w:basedOn w:val="808"/>
    <w:uiPriority w:val="99"/>
    <w:qFormat/>
  </w:style>
  <w:style w:type="character" w:styleId="921" w:customStyle="1">
    <w:name w:val="Footer Char"/>
    <w:basedOn w:val="808"/>
    <w:uiPriority w:val="99"/>
    <w:qFormat/>
  </w:style>
  <w:style w:type="character" w:styleId="922" w:customStyle="1">
    <w:name w:val="Caption Char"/>
    <w:uiPriority w:val="99"/>
    <w:qFormat/>
  </w:style>
  <w:style w:type="table" w:styleId="923" w:customStyle="1">
    <w:name w:val="Table Grid Light"/>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4" w:customStyle="1">
    <w:name w:val="Grid Table 1 Light - Accent 1"/>
    <w:basedOn w:val="80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2"/>
    <w:basedOn w:val="8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3"/>
    <w:basedOn w:val="8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4"/>
    <w:basedOn w:val="8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5"/>
    <w:basedOn w:val="80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6"/>
    <w:basedOn w:val="8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0" w:customStyle="1">
    <w:name w:val="Grid Table 2 - Accent 1"/>
    <w:basedOn w:val="80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31" w:customStyle="1">
    <w:name w:val="Grid Table 2 - Accent 2"/>
    <w:basedOn w:val="8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2" w:customStyle="1">
    <w:name w:val="Grid Table 2 - Accent 3"/>
    <w:basedOn w:val="8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3" w:customStyle="1">
    <w:name w:val="Grid Table 2 - Accent 4"/>
    <w:basedOn w:val="8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4" w:customStyle="1">
    <w:name w:val="Grid Table 2 - Accent 5"/>
    <w:basedOn w:val="80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35" w:customStyle="1">
    <w:name w:val="Grid Table 2 - Accent 6"/>
    <w:basedOn w:val="80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6" w:customStyle="1">
    <w:name w:val="Grid Table 3 - Accent 1"/>
    <w:basedOn w:val="80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basedOn w:val="8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basedOn w:val="8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basedOn w:val="8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basedOn w:val="80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basedOn w:val="80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4 - Accent 1"/>
    <w:basedOn w:val="80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43" w:customStyle="1">
    <w:name w:val="Grid Table 4 - Accent 2"/>
    <w:basedOn w:val="80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4" w:customStyle="1">
    <w:name w:val="Grid Table 4 - Accent 3"/>
    <w:basedOn w:val="80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5" w:customStyle="1">
    <w:name w:val="Grid Table 4 - Accent 4"/>
    <w:basedOn w:val="80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6" w:customStyle="1">
    <w:name w:val="Grid Table 4 - Accent 5"/>
    <w:basedOn w:val="80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7" w:customStyle="1">
    <w:name w:val="Grid Table 4 - Accent 6"/>
    <w:basedOn w:val="80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8" w:customStyle="1">
    <w:name w:val="Grid Table 5 Dark- Accent 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9" w:customStyle="1">
    <w:name w:val="Grid Table 5 Dark - Accent 2"/>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0" w:customStyle="1">
    <w:name w:val="Grid Table 5 Dark - Accent 3"/>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1" w:customStyle="1">
    <w:name w:val="Grid Table 5 Dark- Accent 4"/>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2" w:customStyle="1">
    <w:name w:val="Grid Table 5 Dark - Accent 5"/>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53" w:customStyle="1">
    <w:name w:val="Grid Table 5 Dark - Accent 6"/>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4" w:customStyle="1">
    <w:name w:val="Grid Table 6 Colorful - Accent 1"/>
    <w:basedOn w:val="80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55" w:customStyle="1">
    <w:name w:val="Grid Table 6 Colorful - Accent 2"/>
    <w:basedOn w:val="8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6" w:customStyle="1">
    <w:name w:val="Grid Table 6 Colorful - Accent 3"/>
    <w:basedOn w:val="80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7" w:customStyle="1">
    <w:name w:val="Grid Table 6 Colorful - Accent 4"/>
    <w:basedOn w:val="8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8" w:customStyle="1">
    <w:name w:val="Grid Table 6 Colorful - Accent 5"/>
    <w:basedOn w:val="80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9" w:customStyle="1">
    <w:name w:val="Grid Table 6 Colorful - Accent 6"/>
    <w:basedOn w:val="80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0" w:customStyle="1">
    <w:name w:val="Grid Table 7 Colorful - Accent 1"/>
    <w:basedOn w:val="80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61" w:customStyle="1">
    <w:name w:val="Grid Table 7 Colorful - Accent 2"/>
    <w:basedOn w:val="80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2" w:customStyle="1">
    <w:name w:val="Grid Table 7 Colorful - Accent 3"/>
    <w:basedOn w:val="80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3" w:customStyle="1">
    <w:name w:val="Grid Table 7 Colorful - Accent 4"/>
    <w:basedOn w:val="80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4" w:customStyle="1">
    <w:name w:val="Grid Table 7 Colorful - Accent 5"/>
    <w:basedOn w:val="80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5" w:customStyle="1">
    <w:name w:val="Grid Table 7 Colorful - Accent 6"/>
    <w:basedOn w:val="80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6" w:customStyle="1">
    <w:name w:val="List Table 1 Light - Accent 1"/>
    <w:basedOn w:val="809"/>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7" w:customStyle="1">
    <w:name w:val="List Table 1 Light - Accent 2"/>
    <w:basedOn w:val="80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8" w:customStyle="1">
    <w:name w:val="List Table 1 Light - Accent 3"/>
    <w:basedOn w:val="80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9" w:customStyle="1">
    <w:name w:val="List Table 1 Light - Accent 4"/>
    <w:basedOn w:val="80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0" w:customStyle="1">
    <w:name w:val="List Table 1 Light - Accent 5"/>
    <w:basedOn w:val="809"/>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71" w:customStyle="1">
    <w:name w:val="List Table 1 Light - Accent 6"/>
    <w:basedOn w:val="80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2" w:customStyle="1">
    <w:name w:val="List Table 2 - Accent 1"/>
    <w:basedOn w:val="80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3" w:customStyle="1">
    <w:name w:val="List Table 2 - Accent 2"/>
    <w:basedOn w:val="80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4" w:customStyle="1">
    <w:name w:val="List Table 2 - Accent 3"/>
    <w:basedOn w:val="80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5" w:customStyle="1">
    <w:name w:val="List Table 2 - Accent 4"/>
    <w:basedOn w:val="80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6" w:customStyle="1">
    <w:name w:val="List Table 2 - Accent 5"/>
    <w:basedOn w:val="80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7" w:customStyle="1">
    <w:name w:val="List Table 2 - Accent 6"/>
    <w:basedOn w:val="80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8" w:customStyle="1">
    <w:name w:val="List Table 3 - Accent 1"/>
    <w:basedOn w:val="80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9" w:customStyle="1">
    <w:name w:val="List Table 3 - Accent 2"/>
    <w:basedOn w:val="8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0" w:customStyle="1">
    <w:name w:val="List Table 3 - Accent 3"/>
    <w:basedOn w:val="80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1" w:customStyle="1">
    <w:name w:val="List Table 3 - Accent 4"/>
    <w:basedOn w:val="8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2" w:customStyle="1">
    <w:name w:val="List Table 3 - Accent 5"/>
    <w:basedOn w:val="80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83" w:customStyle="1">
    <w:name w:val="List Table 3 - Accent 6"/>
    <w:basedOn w:val="80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4" w:customStyle="1">
    <w:name w:val="List Table 4 - Accent 1"/>
    <w:basedOn w:val="80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5" w:customStyle="1">
    <w:name w:val="List Table 4 - Accent 2"/>
    <w:basedOn w:val="80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6" w:customStyle="1">
    <w:name w:val="List Table 4 - Accent 3"/>
    <w:basedOn w:val="80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7" w:customStyle="1">
    <w:name w:val="List Table 4 - Accent 4"/>
    <w:basedOn w:val="80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8" w:customStyle="1">
    <w:name w:val="List Table 4 - Accent 5"/>
    <w:basedOn w:val="80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9" w:customStyle="1">
    <w:name w:val="List Table 4 - Accent 6"/>
    <w:basedOn w:val="80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0" w:customStyle="1">
    <w:name w:val="List Table 5 Dark - Accent 1"/>
    <w:basedOn w:val="80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2"/>
    <w:basedOn w:val="80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3"/>
    <w:basedOn w:val="80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4"/>
    <w:basedOn w:val="80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5"/>
    <w:basedOn w:val="80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6"/>
    <w:basedOn w:val="80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6 Colorful - Accent 1"/>
    <w:basedOn w:val="809"/>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97" w:customStyle="1">
    <w:name w:val="List Table 6 Colorful - Accent 2"/>
    <w:basedOn w:val="80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8" w:customStyle="1">
    <w:name w:val="List Table 6 Colorful - Accent 3"/>
    <w:basedOn w:val="80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9" w:customStyle="1">
    <w:name w:val="List Table 6 Colorful - Accent 4"/>
    <w:basedOn w:val="80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0" w:customStyle="1">
    <w:name w:val="List Table 6 Colorful - Accent 5"/>
    <w:basedOn w:val="809"/>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01" w:customStyle="1">
    <w:name w:val="List Table 6 Colorful - Accent 6"/>
    <w:basedOn w:val="80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2" w:customStyle="1">
    <w:name w:val="List Table 7 Colorful - Accent 1"/>
    <w:basedOn w:val="809"/>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basedOn w:val="80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basedOn w:val="80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basedOn w:val="80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basedOn w:val="809"/>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basedOn w:val="80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8" w:customStyle="1">
    <w:name w:val="Lined - Accent"/>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0" w:customStyle="1">
    <w:name w:val="Lined - Accent 2"/>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1" w:customStyle="1">
    <w:name w:val="Lined - Accent 3"/>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2" w:customStyle="1">
    <w:name w:val="Lined - Accent 4"/>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3" w:customStyle="1">
    <w:name w:val="Lined - Accent 5"/>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4" w:customStyle="1">
    <w:name w:val="Lined - Accent 6"/>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5" w:customStyle="1">
    <w:name w:val="Bordered &amp; Lined - Accent"/>
    <w:basedOn w:val="8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basedOn w:val="80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7" w:customStyle="1">
    <w:name w:val="Bordered &amp; Lined - Accent 2"/>
    <w:basedOn w:val="80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8" w:customStyle="1">
    <w:name w:val="Bordered &amp; Lined - Accent 3"/>
    <w:basedOn w:val="80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9" w:customStyle="1">
    <w:name w:val="Bordered &amp; Lined - Accent 4"/>
    <w:basedOn w:val="80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0" w:customStyle="1">
    <w:name w:val="Bordered &amp; Lined - Accent 5"/>
    <w:basedOn w:val="80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1" w:customStyle="1">
    <w:name w:val="Bordered &amp; Lined - Accent 6"/>
    <w:basedOn w:val="80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2" w:customStyle="1">
    <w:name w:val="Bordered"/>
    <w:basedOn w:val="8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basedOn w:val="80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24" w:customStyle="1">
    <w:name w:val="Bordered - Accent 2"/>
    <w:basedOn w:val="8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5" w:customStyle="1">
    <w:name w:val="Bordered - Accent 3"/>
    <w:basedOn w:val="8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6" w:customStyle="1">
    <w:name w:val="Bordered - Accent 4"/>
    <w:basedOn w:val="8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7" w:customStyle="1">
    <w:name w:val="Bordered - Accent 5"/>
    <w:basedOn w:val="80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8" w:customStyle="1">
    <w:name w:val="Bordered - Accent 6"/>
    <w:basedOn w:val="8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9" w:customStyle="1">
    <w:name w:val="脚注文本 Char"/>
    <w:link w:val="832"/>
    <w:uiPriority w:val="99"/>
    <w:qFormat/>
    <w:rPr>
      <w:sz w:val="18"/>
    </w:rPr>
  </w:style>
  <w:style w:type="character" w:styleId="1030" w:customStyle="1">
    <w:name w:val="尾注文本 Char"/>
    <w:link w:val="824"/>
    <w:uiPriority w:val="99"/>
    <w:qFormat/>
    <w:rPr>
      <w:sz w:val="20"/>
    </w:rPr>
  </w:style>
  <w:style w:type="paragraph" w:styleId="1031" w:customStyle="1">
    <w:name w:val="TOC 标题111"/>
    <w:uiPriority w:val="39"/>
    <w:unhideWhenUsed/>
    <w:qFormat/>
    <w:rPr>
      <w:rFonts w:hint="default" w:ascii="Times New Roman" w:hAnsi="Times New Roman" w:eastAsia="宋体" w:cs="Times New Roman"/>
      <w:lang w:val="en-US" w:eastAsia="zh-CN" w:bidi="ar-SA"/>
    </w:rPr>
  </w:style>
  <w:style w:type="paragraph" w:styleId="1032" w:customStyle="1">
    <w:name w:val="正文文本11"/>
    <w:basedOn w:val="798"/>
    <w:uiPriority w:val="99"/>
    <w:qFormat/>
    <w:rPr>
      <w:rFonts w:ascii="楷体_GB2312" w:hAnsi="宋体" w:eastAsia="楷体_GB2312"/>
      <w:sz w:val="28"/>
      <w:szCs w:val="28"/>
    </w:rPr>
  </w:style>
  <w:style w:type="character" w:styleId="1033" w:customStyle="1">
    <w:name w:val="标题 1 Char"/>
    <w:link w:val="799"/>
    <w:uiPriority w:val="0"/>
    <w:qFormat/>
    <w:rPr>
      <w:b/>
      <w:bCs/>
      <w:sz w:val="21"/>
      <w:szCs w:val="44"/>
    </w:rPr>
  </w:style>
  <w:style w:type="character" w:styleId="1034" w:customStyle="1">
    <w:name w:val="标题 6 Char"/>
    <w:link w:val="804"/>
    <w:uiPriority w:val="0"/>
    <w:qFormat/>
    <w:rPr>
      <w:rFonts w:ascii="等线 Light" w:hAnsi="等线 Light" w:eastAsia="等线 Light" w:cs="Times New Roman"/>
      <w:b/>
      <w:bCs/>
      <w:sz w:val="24"/>
      <w:szCs w:val="24"/>
    </w:rPr>
  </w:style>
  <w:style w:type="character" w:styleId="1035" w:customStyle="1">
    <w:name w:val="标题 8 Char"/>
    <w:link w:val="806"/>
    <w:uiPriority w:val="0"/>
    <w:semiHidden/>
    <w:qFormat/>
    <w:rPr>
      <w:rFonts w:ascii="等线 Light" w:hAnsi="等线 Light" w:eastAsia="等线 Light" w:cs="Times New Roman"/>
      <w:sz w:val="24"/>
      <w:szCs w:val="24"/>
    </w:rPr>
  </w:style>
  <w:style w:type="paragraph" w:styleId="1036" w:customStyle="1">
    <w:name w:val="目录 71"/>
    <w:basedOn w:val="798"/>
    <w:next w:val="798"/>
    <w:uiPriority w:val="39"/>
    <w:unhideWhenUsed/>
    <w:qFormat/>
    <w:pPr>
      <w:ind w:left="2520"/>
    </w:pPr>
    <w:rPr>
      <w:rFonts w:ascii="等线" w:hAnsi="等线" w:eastAsia="等线"/>
      <w:szCs w:val="22"/>
    </w:rPr>
  </w:style>
  <w:style w:type="character" w:styleId="1037" w:customStyle="1">
    <w:name w:val="正文缩进 Char"/>
    <w:link w:val="812"/>
    <w:uiPriority w:val="0"/>
    <w:qFormat/>
    <w:rPr>
      <w:sz w:val="21"/>
    </w:rPr>
  </w:style>
  <w:style w:type="character" w:styleId="1038" w:customStyle="1">
    <w:name w:val="文档结构图 Char"/>
    <w:link w:val="814"/>
    <w:uiPriority w:val="0"/>
    <w:qFormat/>
    <w:rPr>
      <w:sz w:val="21"/>
      <w:szCs w:val="24"/>
      <w:shd w:val="clear" w:color="auto" w:fill="000080"/>
    </w:rPr>
  </w:style>
  <w:style w:type="character" w:styleId="1039" w:customStyle="1">
    <w:name w:val="批注文字 Char"/>
    <w:link w:val="815"/>
    <w:uiPriority w:val="0"/>
    <w:qFormat/>
    <w:rPr>
      <w:sz w:val="21"/>
      <w:szCs w:val="24"/>
    </w:rPr>
  </w:style>
  <w:style w:type="character" w:styleId="1040" w:customStyle="1">
    <w:name w:val="正文文本 Char"/>
    <w:link w:val="816"/>
    <w:uiPriority w:val="1"/>
    <w:qFormat/>
    <w:rPr>
      <w:sz w:val="21"/>
      <w:szCs w:val="24"/>
    </w:rPr>
  </w:style>
  <w:style w:type="paragraph" w:styleId="1041" w:customStyle="1">
    <w:name w:val="目录 51"/>
    <w:basedOn w:val="798"/>
    <w:next w:val="798"/>
    <w:uiPriority w:val="39"/>
    <w:unhideWhenUsed/>
    <w:qFormat/>
    <w:pPr>
      <w:ind w:left="1680"/>
    </w:pPr>
    <w:rPr>
      <w:rFonts w:ascii="等线" w:hAnsi="等线" w:eastAsia="等线"/>
      <w:szCs w:val="22"/>
    </w:rPr>
  </w:style>
  <w:style w:type="paragraph" w:styleId="1042" w:customStyle="1">
    <w:name w:val="目录 31"/>
    <w:basedOn w:val="798"/>
    <w:next w:val="798"/>
    <w:uiPriority w:val="39"/>
    <w:unhideWhenUsed/>
    <w:qFormat/>
    <w:pPr>
      <w:ind w:left="440"/>
      <w:jc w:val="left"/>
      <w:spacing w:after="100" w:line="259" w:lineRule="auto"/>
      <w:widowControl/>
    </w:pPr>
    <w:rPr>
      <w:rFonts w:ascii="等线" w:hAnsi="等线" w:eastAsia="等线"/>
      <w:sz w:val="22"/>
      <w:szCs w:val="22"/>
    </w:rPr>
  </w:style>
  <w:style w:type="character" w:styleId="1043" w:customStyle="1">
    <w:name w:val="纯文本 Char1"/>
    <w:link w:val="821"/>
    <w:uiPriority w:val="0"/>
    <w:qFormat/>
    <w:rPr>
      <w:rFonts w:ascii="宋体" w:hAnsi="Courier New" w:cs="Courier New"/>
      <w:sz w:val="21"/>
      <w:szCs w:val="21"/>
    </w:rPr>
  </w:style>
  <w:style w:type="paragraph" w:styleId="1044" w:customStyle="1">
    <w:name w:val="目录 81"/>
    <w:basedOn w:val="798"/>
    <w:next w:val="798"/>
    <w:uiPriority w:val="39"/>
    <w:unhideWhenUsed/>
    <w:qFormat/>
    <w:pPr>
      <w:ind w:left="2940"/>
    </w:pPr>
    <w:rPr>
      <w:rFonts w:ascii="等线" w:hAnsi="等线" w:eastAsia="等线"/>
      <w:szCs w:val="22"/>
    </w:rPr>
  </w:style>
  <w:style w:type="character" w:styleId="1045" w:customStyle="1">
    <w:name w:val="日期 Char"/>
    <w:link w:val="823"/>
    <w:uiPriority w:val="0"/>
    <w:qFormat/>
    <w:rPr>
      <w:sz w:val="24"/>
    </w:rPr>
  </w:style>
  <w:style w:type="character" w:styleId="1046" w:customStyle="1">
    <w:name w:val="批注框文本 Char"/>
    <w:link w:val="825"/>
    <w:uiPriority w:val="0"/>
    <w:qFormat/>
    <w:rPr>
      <w:sz w:val="18"/>
      <w:szCs w:val="18"/>
    </w:rPr>
  </w:style>
  <w:style w:type="character" w:styleId="1047" w:customStyle="1">
    <w:name w:val="页脚 Char1"/>
    <w:link w:val="826"/>
    <w:uiPriority w:val="99"/>
    <w:qFormat/>
    <w:rPr>
      <w:sz w:val="18"/>
      <w:szCs w:val="18"/>
    </w:rPr>
  </w:style>
  <w:style w:type="character" w:styleId="1048" w:customStyle="1">
    <w:name w:val="页眉 Char"/>
    <w:link w:val="828"/>
    <w:uiPriority w:val="99"/>
    <w:qFormat/>
    <w:rPr>
      <w:sz w:val="18"/>
      <w:szCs w:val="18"/>
    </w:rPr>
  </w:style>
  <w:style w:type="paragraph" w:styleId="1049" w:customStyle="1">
    <w:name w:val="目录 11"/>
    <w:basedOn w:val="798"/>
    <w:next w:val="798"/>
    <w:uiPriority w:val="39"/>
    <w:qFormat/>
    <w:rPr>
      <w:rFonts w:ascii="仿宋_GB2312" w:eastAsia="仿宋_GB2312"/>
      <w:sz w:val="24"/>
    </w:rPr>
  </w:style>
  <w:style w:type="paragraph" w:styleId="1050" w:customStyle="1">
    <w:name w:val="目录 41"/>
    <w:basedOn w:val="798"/>
    <w:next w:val="798"/>
    <w:uiPriority w:val="39"/>
    <w:unhideWhenUsed/>
    <w:qFormat/>
    <w:pPr>
      <w:ind w:left="1260"/>
    </w:pPr>
    <w:rPr>
      <w:rFonts w:ascii="等线" w:hAnsi="等线" w:eastAsia="等线"/>
      <w:szCs w:val="22"/>
    </w:rPr>
  </w:style>
  <w:style w:type="paragraph" w:styleId="1051" w:customStyle="1">
    <w:name w:val="目录 61"/>
    <w:basedOn w:val="798"/>
    <w:next w:val="798"/>
    <w:uiPriority w:val="39"/>
    <w:unhideWhenUsed/>
    <w:qFormat/>
    <w:pPr>
      <w:ind w:left="2100"/>
    </w:pPr>
    <w:rPr>
      <w:rFonts w:ascii="等线" w:hAnsi="等线" w:eastAsia="等线"/>
      <w:szCs w:val="22"/>
    </w:rPr>
  </w:style>
  <w:style w:type="paragraph" w:styleId="1052" w:customStyle="1">
    <w:name w:val="目录 21"/>
    <w:basedOn w:val="798"/>
    <w:next w:val="798"/>
    <w:uiPriority w:val="39"/>
    <w:unhideWhenUsed/>
    <w:qFormat/>
    <w:pPr>
      <w:ind w:left="220"/>
      <w:jc w:val="left"/>
      <w:spacing w:after="100" w:line="259" w:lineRule="auto"/>
      <w:widowControl/>
    </w:pPr>
    <w:rPr>
      <w:rFonts w:ascii="等线" w:hAnsi="等线" w:eastAsia="等线"/>
      <w:sz w:val="22"/>
      <w:szCs w:val="22"/>
    </w:rPr>
  </w:style>
  <w:style w:type="paragraph" w:styleId="1053" w:customStyle="1">
    <w:name w:val="目录 91"/>
    <w:basedOn w:val="798"/>
    <w:next w:val="798"/>
    <w:uiPriority w:val="39"/>
    <w:unhideWhenUsed/>
    <w:qFormat/>
    <w:pPr>
      <w:ind w:left="3360"/>
    </w:pPr>
    <w:rPr>
      <w:rFonts w:ascii="等线" w:hAnsi="等线" w:eastAsia="等线"/>
      <w:szCs w:val="22"/>
    </w:rPr>
  </w:style>
  <w:style w:type="character" w:styleId="1054" w:customStyle="1">
    <w:name w:val="正文文本 2 Char"/>
    <w:link w:val="837"/>
    <w:uiPriority w:val="0"/>
    <w:qFormat/>
    <w:rPr>
      <w:rFonts w:ascii="Calibri" w:hAnsi="Calibri"/>
      <w:sz w:val="21"/>
      <w:szCs w:val="24"/>
    </w:rPr>
  </w:style>
  <w:style w:type="character" w:styleId="1055" w:customStyle="1">
    <w:name w:val="标题 Char"/>
    <w:link w:val="839"/>
    <w:uiPriority w:val="0"/>
    <w:qFormat/>
    <w:rPr>
      <w:rFonts w:ascii="等线 Light" w:hAnsi="等线 Light" w:eastAsia="宋体" w:cs="Times New Roman"/>
      <w:b/>
      <w:bCs/>
      <w:sz w:val="32"/>
      <w:szCs w:val="32"/>
    </w:rPr>
  </w:style>
  <w:style w:type="character" w:styleId="1056" w:customStyle="1">
    <w:name w:val="批注主题 Char"/>
    <w:link w:val="840"/>
    <w:uiPriority w:val="0"/>
    <w:qFormat/>
    <w:rPr>
      <w:b/>
      <w:bCs/>
      <w:sz w:val="21"/>
      <w:szCs w:val="24"/>
    </w:rPr>
  </w:style>
  <w:style w:type="character" w:styleId="1057" w:customStyle="1">
    <w:name w:val="p0 Char"/>
    <w:link w:val="1058"/>
    <w:uiPriority w:val="0"/>
    <w:qFormat/>
    <w:rPr>
      <w:rFonts w:eastAsia="宋体"/>
      <w:sz w:val="21"/>
      <w:szCs w:val="21"/>
      <w:lang w:val="en-US" w:eastAsia="zh-CN" w:bidi="ar-SA"/>
    </w:rPr>
  </w:style>
  <w:style w:type="paragraph" w:styleId="1058" w:customStyle="1">
    <w:name w:val="p0"/>
    <w:basedOn w:val="798"/>
    <w:link w:val="1057"/>
    <w:uiPriority w:val="0"/>
    <w:qFormat/>
    <w:pPr>
      <w:widowControl/>
    </w:pPr>
    <w:rPr>
      <w:szCs w:val="21"/>
    </w:rPr>
  </w:style>
  <w:style w:type="character" w:styleId="1059" w:customStyle="1">
    <w:name w:val="标题 2 Char Char Char"/>
    <w:uiPriority w:val="0"/>
    <w:qFormat/>
    <w:rPr>
      <w:rFonts w:ascii="Arial" w:hAnsi="Arial" w:eastAsia="黑体"/>
      <w:b/>
      <w:bCs/>
      <w:sz w:val="32"/>
      <w:szCs w:val="32"/>
      <w:lang w:val="en-US" w:eastAsia="zh-CN" w:bidi="ar-SA"/>
    </w:rPr>
  </w:style>
  <w:style w:type="character" w:styleId="1060" w:customStyle="1">
    <w:name w:val="NormalCharacter"/>
    <w:uiPriority w:val="0"/>
    <w:semiHidden/>
    <w:qFormat/>
  </w:style>
  <w:style w:type="paragraph" w:styleId="1061" w:customStyle="1">
    <w:name w:val="标题 21"/>
    <w:basedOn w:val="798"/>
    <w:next w:val="798"/>
    <w:uiPriority w:val="0"/>
    <w:qFormat/>
    <w:pPr>
      <w:jc w:val="center"/>
      <w:keepNext/>
      <w:widowControl/>
    </w:pPr>
    <w:rPr>
      <w:rFonts w:ascii="楷体_GB2312" w:eastAsia="楷体_GB2312"/>
      <w:sz w:val="18"/>
      <w:szCs w:val="20"/>
    </w:rPr>
  </w:style>
  <w:style w:type="paragraph" w:styleId="1062" w:customStyle="1">
    <w:name w:val="TOC 标题11"/>
    <w:basedOn w:val="799"/>
    <w:next w:val="79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63">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64" w:customStyle="1">
    <w:name w:val="样式1"/>
    <w:basedOn w:val="799"/>
    <w:link w:val="1065"/>
    <w:uiPriority w:val="0"/>
    <w:qFormat/>
    <w:pPr>
      <w:ind w:left="210" w:right="210"/>
    </w:pPr>
  </w:style>
  <w:style w:type="character" w:styleId="1065" w:customStyle="1">
    <w:name w:val="样式1 字符"/>
    <w:link w:val="1064"/>
    <w:uiPriority w:val="0"/>
    <w:qFormat/>
  </w:style>
  <w:style w:type="paragraph" w:styleId="1066" w:customStyle="1">
    <w:name w:val="标题 211"/>
    <w:basedOn w:val="79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67" w:customStyle="1">
    <w:name w:val="列出段落1"/>
    <w:basedOn w:val="798"/>
    <w:uiPriority w:val="1"/>
    <w:qFormat/>
    <w:pPr>
      <w:ind w:left="400" w:firstLine="420"/>
      <w:jc w:val="left"/>
    </w:pPr>
    <w:rPr>
      <w:rFonts w:ascii="宋体" w:hAnsi="宋体" w:cs="宋体"/>
      <w:sz w:val="22"/>
      <w:szCs w:val="22"/>
      <w:lang w:val="zh-CN" w:bidi="zh-CN"/>
    </w:rPr>
  </w:style>
  <w:style w:type="paragraph" w:styleId="1068" w:customStyle="1">
    <w:name w:val="Table Paragraph"/>
    <w:basedOn w:val="798"/>
    <w:uiPriority w:val="1"/>
    <w:qFormat/>
    <w:pPr>
      <w:jc w:val="left"/>
    </w:pPr>
    <w:rPr>
      <w:rFonts w:ascii="宋体" w:hAnsi="宋体" w:cs="宋体"/>
      <w:sz w:val="22"/>
      <w:szCs w:val="22"/>
      <w:lang w:val="zh-CN" w:bidi="zh-CN"/>
    </w:rPr>
  </w:style>
  <w:style w:type="character" w:styleId="1069" w:customStyle="1">
    <w:name w:val="ask-title2"/>
    <w:uiPriority w:val="0"/>
    <w:qFormat/>
  </w:style>
  <w:style w:type="paragraph" w:styleId="1070" w:customStyle="1">
    <w:name w:val="列出段落2"/>
    <w:basedOn w:val="798"/>
    <w:uiPriority w:val="99"/>
    <w:unhideWhenUsed/>
    <w:qFormat/>
    <w:pPr>
      <w:ind w:firstLine="420"/>
      <w:jc w:val="left"/>
    </w:pPr>
    <w:rPr>
      <w:rFonts w:ascii="宋体"/>
      <w:sz w:val="20"/>
      <w:szCs w:val="20"/>
    </w:rPr>
  </w:style>
  <w:style w:type="paragraph" w:styleId="1071" w:customStyle="1">
    <w:name w:val="纯文本1"/>
    <w:basedOn w:val="798"/>
    <w:uiPriority w:val="0"/>
    <w:qFormat/>
    <w:rPr>
      <w:rFonts w:ascii="宋体" w:hAnsi="Courier New"/>
      <w:sz w:val="20"/>
      <w:szCs w:val="21"/>
    </w:rPr>
  </w:style>
  <w:style w:type="character" w:styleId="1072" w:customStyle="1">
    <w:name w:val="纯文本 Char2"/>
    <w:uiPriority w:val="0"/>
    <w:qFormat/>
    <w:rPr>
      <w:rFonts w:ascii="宋体" w:hAnsi="Courier New"/>
      <w:sz w:val="21"/>
    </w:rPr>
  </w:style>
  <w:style w:type="paragraph" w:styleId="1073" w:customStyle="1">
    <w:name w:val="列出段落11"/>
    <w:basedOn w:val="798"/>
    <w:uiPriority w:val="0"/>
    <w:qFormat/>
    <w:pPr>
      <w:ind w:firstLine="420"/>
      <w:spacing w:line="0" w:lineRule="atLeast"/>
    </w:pPr>
    <w:rPr>
      <w:rFonts w:eastAsia="微软雅黑"/>
      <w:sz w:val="20"/>
      <w:szCs w:val="20"/>
    </w:rPr>
  </w:style>
  <w:style w:type="character" w:styleId="1074" w:customStyle="1">
    <w:name w:val="纯文本 Char"/>
    <w:link w:val="1075"/>
    <w:uiPriority w:val="0"/>
    <w:qFormat/>
    <w:rPr>
      <w:rFonts w:ascii="宋体" w:hAnsi="Courier New"/>
    </w:rPr>
  </w:style>
  <w:style w:type="paragraph" w:styleId="1075" w:customStyle="1">
    <w:name w:val="纯文本2"/>
    <w:basedOn w:val="798"/>
    <w:link w:val="1074"/>
    <w:uiPriority w:val="0"/>
    <w:qFormat/>
    <w:pPr>
      <w:ind w:firstLine="200"/>
      <w:spacing w:line="360" w:lineRule="auto"/>
    </w:pPr>
    <w:rPr>
      <w:rFonts w:ascii="宋体" w:hAnsi="Courier New"/>
      <w:sz w:val="20"/>
      <w:szCs w:val="20"/>
    </w:rPr>
  </w:style>
  <w:style w:type="character" w:styleId="1076" w:customStyle="1">
    <w:name w:val="页脚 Char"/>
    <w:uiPriority w:val="0"/>
    <w:qFormat/>
    <w:rPr>
      <w:sz w:val="18"/>
      <w:szCs w:val="18"/>
    </w:rPr>
  </w:style>
  <w:style w:type="paragraph" w:styleId="1077" w:customStyle="1">
    <w:name w:val="_Style 83"/>
    <w:basedOn w:val="798"/>
    <w:next w:val="1067"/>
    <w:uiPriority w:val="99"/>
    <w:qFormat/>
    <w:pPr>
      <w:ind w:firstLine="420"/>
    </w:pPr>
  </w:style>
  <w:style w:type="character" w:styleId="1078">
    <w:name w:val="Placeholder Text"/>
    <w:basedOn w:val="808"/>
    <w:uiPriority w:val="99"/>
    <w:unhideWhenUsed/>
    <w:qFormat/>
    <w:rPr>
      <w:color w:val="808080"/>
    </w:rPr>
  </w:style>
  <w:style w:type="paragraph" w:styleId="1079" w:customStyle="1">
    <w:name w:val="pf0"/>
    <w:basedOn w:val="798"/>
    <w:uiPriority w:val="0"/>
    <w:qFormat/>
    <w:pPr>
      <w:jc w:val="left"/>
      <w:spacing w:before="100" w:beforeAutospacing="1" w:after="100" w:afterAutospacing="1"/>
      <w:widowControl/>
    </w:pPr>
    <w:rPr>
      <w:rFonts w:ascii="宋体" w:hAnsi="宋体" w:cs="宋体"/>
      <w:sz w:val="24"/>
    </w:rPr>
  </w:style>
  <w:style w:type="character" w:styleId="1080" w:customStyle="1">
    <w:name w:val="cf01"/>
    <w:basedOn w:val="808"/>
    <w:uiPriority w:val="0"/>
    <w:qFormat/>
    <w:rPr>
      <w:rFonts w:hint="eastAsia" w:ascii="Microsoft YaHei UI" w:hAnsi="Microsoft YaHei UI" w:eastAsia="Microsoft YaHei UI"/>
      <w:sz w:val="18"/>
      <w:szCs w:val="18"/>
    </w:rPr>
  </w:style>
  <w:style w:type="character" w:styleId="1081" w:customStyle="1">
    <w:name w:val="cf11"/>
    <w:basedOn w:val="808"/>
    <w:uiPriority w:val="0"/>
    <w:qFormat/>
    <w:rPr>
      <w:rFonts w:hint="eastAsia" w:ascii="Microsoft YaHei UI" w:hAnsi="Microsoft YaHei UI" w:eastAsia="Microsoft YaHei UI"/>
      <w:sz w:val="18"/>
      <w:szCs w:val="18"/>
    </w:rPr>
  </w:style>
  <w:style w:type="paragraph" w:styleId="1082">
    <w:name w:val="List Paragraph"/>
    <w:basedOn w:val="798"/>
    <w:uiPriority w:val="1"/>
    <w:qFormat/>
    <w:pPr>
      <w:ind w:firstLine="420"/>
    </w:pPr>
  </w:style>
  <w:style w:type="paragraph" w:styleId="1083" w:customStyle="1">
    <w:name w:val="标题1，章节第一层"/>
    <w:basedOn w:val="798"/>
    <w:next w:val="798"/>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84" w:customStyle="1">
    <w:name w:val="标准文本"/>
    <w:basedOn w:val="798"/>
    <w:uiPriority w:val="0"/>
    <w:qFormat/>
    <w:pPr>
      <w:ind w:firstLine="480"/>
      <w:spacing w:line="360" w:lineRule="auto"/>
    </w:pPr>
    <w:rPr>
      <w:rFonts w:ascii="Calibri" w:hAnsi="Calibri" w:eastAsia="Calibri" w:cs="宋体"/>
      <w:sz w:val="24"/>
      <w:lang w:val="zh-CN"/>
    </w:rPr>
  </w:style>
  <w:style w:type="character" w:styleId="1085" w:customStyle="1">
    <w:name w:val="标准文本 Char Char"/>
    <w:uiPriority w:val="0"/>
    <w:qFormat/>
    <w:rPr>
      <w:rFonts w:eastAsia="宋体" w:cs="宋体"/>
      <w:sz w:val="24"/>
      <w:szCs w:val="24"/>
      <w:lang w:val="en-US" w:eastAsia="zh-CN" w:bidi="ar-SA"/>
    </w:rPr>
  </w:style>
  <w:style w:type="character" w:styleId="1086" w:customStyle="1">
    <w:name w:val="标准小四 Char Char"/>
    <w:uiPriority w:val="0"/>
    <w:qFormat/>
    <w:rPr>
      <w:rFonts w:ascii="Arial" w:hAnsi="Arial" w:eastAsia="宋体"/>
      <w:sz w:val="24"/>
      <w:szCs w:val="21"/>
      <w:lang w:val="en-US" w:eastAsia="zh-CN" w:bidi="ar-SA"/>
    </w:rPr>
  </w:style>
  <w:style w:type="character" w:styleId="1087" w:customStyle="1">
    <w:name w:val="标准文本 Char"/>
    <w:uiPriority w:val="0"/>
    <w:qFormat/>
    <w:rPr>
      <w:rFonts w:eastAsia="宋体" w:cs="宋体"/>
      <w:sz w:val="24"/>
      <w:szCs w:val="24"/>
      <w:lang w:val="en-US" w:eastAsia="zh-CN" w:bidi="ar-SA"/>
    </w:rPr>
  </w:style>
  <w:style w:type="character" w:styleId="1088" w:customStyle="1">
    <w:name w:val="未处理的提及1"/>
    <w:basedOn w:val="808"/>
    <w:uiPriority w:val="99"/>
    <w:semiHidden/>
    <w:unhideWhenUsed/>
    <w:qFormat/>
    <w:rPr>
      <w:color w:val="605e5c"/>
      <w:shd w:val="clear" w:color="auto" w:fill="e1dfdd"/>
    </w:rPr>
  </w:style>
  <w:style w:type="paragraph" w:styleId="1089" w:customStyle="1">
    <w:name w:val="列出段落3"/>
    <w:basedOn w:val="798"/>
    <w:uiPriority w:val="99"/>
    <w:qFormat/>
    <w:pPr>
      <w:ind w:firstLine="420"/>
    </w:pPr>
  </w:style>
  <w:style w:type="paragraph" w:styleId="1090"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91"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92" w:customStyle="1">
    <w:name w:val="font41"/>
    <w:basedOn w:val="808"/>
    <w:uiPriority w:val="0"/>
    <w:qFormat/>
    <w:rPr>
      <w:rFonts w:hint="default" w:ascii="方正仿宋_GBK" w:hAnsi="方正仿宋_GBK" w:eastAsia="方正仿宋_GBK" w:cs="方正仿宋_GBK"/>
      <w:b/>
      <w:bCs/>
      <w:color w:val="000000"/>
      <w:sz w:val="22"/>
      <w:szCs w:val="22"/>
      <w:u w:val="none"/>
    </w:rPr>
  </w:style>
  <w:style w:type="character" w:styleId="1093" w:customStyle="1">
    <w:name w:val="font31"/>
    <w:basedOn w:val="808"/>
    <w:uiPriority w:val="0"/>
    <w:qFormat/>
    <w:rPr>
      <w:rFonts w:hint="default" w:ascii="方正仿宋_GBK" w:hAnsi="方正仿宋_GBK" w:eastAsia="方正仿宋_GBK" w:cs="方正仿宋_GBK"/>
      <w:color w:val="000000"/>
      <w:sz w:val="22"/>
      <w:szCs w:val="22"/>
      <w:u w:val="none"/>
    </w:rPr>
  </w:style>
  <w:style w:type="character" w:styleId="1094" w:customStyle="1">
    <w:name w:val="不明显参考1"/>
    <w:uiPriority w:val="31"/>
    <w:qFormat/>
    <w:rPr>
      <w:smallCaps/>
    </w:rPr>
  </w:style>
  <w:style w:type="paragraph" w:styleId="1095"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96" w:customStyle="1">
    <w:name w:val="默认段落字体11"/>
    <w:uiPriority w:val="1"/>
    <w:unhideWhenUsed/>
    <w:qFormat/>
  </w:style>
  <w:style w:type="paragraph" w:styleId="1097"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98"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99"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00"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101" w:customStyle="1">
    <w:name w:val="列表段落1"/>
    <w:basedOn w:val="798"/>
    <w:uiPriority w:val="99"/>
    <w:qFormat/>
    <w:pPr>
      <w:ind w:firstLine="420"/>
    </w:pPr>
  </w:style>
  <w:style w:type="character" w:styleId="1102" w:customStyle="1">
    <w:name w:val="font21"/>
    <w:basedOn w:val="808"/>
    <w:uiPriority w:val="0"/>
    <w:qFormat/>
    <w:rPr>
      <w:rFonts w:hint="eastAsia" w:ascii="等线" w:hAnsi="等线" w:eastAsia="等线" w:cs="等线"/>
      <w:color w:val="000000"/>
      <w:sz w:val="21"/>
      <w:szCs w:val="21"/>
      <w:u w:val="none"/>
    </w:rPr>
  </w:style>
  <w:style w:type="character" w:styleId="1103" w:customStyle="1">
    <w:name w:val="font11"/>
    <w:basedOn w:val="808"/>
    <w:uiPriority w:val="0"/>
    <w:qFormat/>
    <w:rPr>
      <w:rFonts w:hint="eastAsia" w:ascii="宋体" w:hAnsi="宋体" w:eastAsia="宋体" w:cs="宋体"/>
      <w:color w:val="000000"/>
      <w:sz w:val="21"/>
      <w:szCs w:val="21"/>
      <w:u w:val="none"/>
    </w:rPr>
  </w:style>
  <w:style w:type="paragraph" w:styleId="1104" w:customStyle="1">
    <w:name w:val="null3"/>
    <w:hidden/>
    <w:uiPriority w:val="0"/>
    <w:qFormat/>
    <w:rPr>
      <w:rFonts w:hint="eastAsia" w:asciiTheme="minorHAnsi" w:hAnsiTheme="minorHAnsi" w:eastAsiaTheme="minorEastAsia" w:cstheme="minorBidi"/>
      <w:lang w:val="en-US" w:eastAsia="zh-CN" w:bidi="ar-SA"/>
    </w:rPr>
  </w:style>
  <w:style w:type="character" w:styleId="1105" w:customStyle="1">
    <w:name w:val="font51"/>
    <w:basedOn w:val="808"/>
    <w:uiPriority w:val="0"/>
    <w:qFormat/>
    <w:rPr>
      <w:rFonts w:hint="eastAsia" w:ascii="宋体" w:hAnsi="宋体" w:eastAsia="宋体" w:cs="宋体"/>
      <w:color w:val="000000"/>
      <w:sz w:val="21"/>
      <w:szCs w:val="21"/>
      <w:u w:val="none"/>
    </w:rPr>
  </w:style>
  <w:style w:type="character" w:styleId="1106" w:customStyle="1">
    <w:name w:val="font61"/>
    <w:basedOn w:val="808"/>
    <w:uiPriority w:val="0"/>
    <w:qFormat/>
    <w:rPr>
      <w:rFonts w:hint="default" w:ascii="Times New Roman" w:hAnsi="Times New Roman" w:cs="Times New Roman"/>
      <w:color w:val="000000"/>
      <w:sz w:val="21"/>
      <w:szCs w:val="21"/>
      <w:u w:val="none"/>
    </w:rPr>
  </w:style>
  <w:style w:type="paragraph" w:styleId="1107" w:customStyle="1">
    <w:name w:val="修订2"/>
    <w:hidden/>
    <w:uiPriority w:val="99"/>
    <w:semiHidden/>
    <w:qFormat/>
    <w:rPr>
      <w:rFonts w:hint="default" w:ascii="Times New Roman" w:hAnsi="Times New Roman" w:eastAsia="宋体" w:cs="Times New Roman"/>
      <w:sz w:val="21"/>
      <w:szCs w:val="24"/>
      <w:lang w:val="en-US" w:eastAsia="zh-CN" w:bidi="ar-SA"/>
    </w:rPr>
  </w:style>
  <w:style w:type="paragraph" w:styleId="1108" w:customStyle="1">
    <w:name w:val="标题一级"/>
    <w:basedOn w:val="798"/>
    <w:uiPriority w:val="0"/>
    <w:qFormat/>
    <w:pPr>
      <w:ind w:left="422"/>
    </w:pPr>
    <w:rPr>
      <w:rFonts w:ascii="宋体" w:hAnsi="宋体"/>
      <w:b/>
      <w:szCs w:val="21"/>
    </w:rPr>
  </w:style>
  <w:style w:type="numbering" w:styleId="11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97867fe7-5d61-4f1b-9909-88ba0846745a}"/>
        <w:description w:val=""/>
        <w:category>
          <w:name w:val="常规"/>
          <w:gallery w:val="placeholder"/>
        </w:category>
        <w:types>
          <w:type w:val="bbPlcHdr"/>
        </w:types>
        <w:behaviors>
          <w:behavior w:val="content"/>
        </w:behaviors>
        <w:guid w:val="{97867fe7-5d61-4f1b-9909-88ba0846745a}"/>
      </w:docPartPr>
      <w:docPartBody>
        <w:p>
          <w:pPr>
            <w:pStyle w:val="1737"/>
            <w:rPr>
              <w:rFonts w:hint="eastAsia"/>
            </w:rPr>
          </w:pPr>
          <w:r>
            <w:rPr>
              <w:rStyle w:val="1738"/>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58">
    <w:name w:val="Heading 1"/>
    <w:link w:val="1559"/>
    <w:uiPriority w:val="9"/>
    <w:qFormat/>
    <w:pPr>
      <w:keepLines/>
      <w:keepNext/>
      <w:spacing w:before="480" w:after="200"/>
      <w:outlineLvl w:val="0"/>
    </w:pPr>
    <w:rPr>
      <w:rFonts w:ascii="Arial" w:hAnsi="Arial" w:eastAsia="Arial" w:cs="Arial"/>
      <w:sz w:val="40"/>
      <w:szCs w:val="40"/>
    </w:rPr>
  </w:style>
  <w:style w:type="character" w:styleId="1559">
    <w:name w:val="Heading 1 Char"/>
    <w:basedOn w:val="1736"/>
    <w:link w:val="1558"/>
    <w:uiPriority w:val="9"/>
    <w:rPr>
      <w:rFonts w:ascii="Arial" w:hAnsi="Arial" w:eastAsia="Arial" w:cs="Arial"/>
      <w:sz w:val="40"/>
      <w:szCs w:val="40"/>
    </w:rPr>
  </w:style>
  <w:style w:type="paragraph" w:styleId="1560">
    <w:name w:val="Heading 2"/>
    <w:link w:val="1561"/>
    <w:uiPriority w:val="9"/>
    <w:unhideWhenUsed/>
    <w:qFormat/>
    <w:pPr>
      <w:keepLines/>
      <w:keepNext/>
      <w:spacing w:before="360" w:after="200"/>
      <w:outlineLvl w:val="1"/>
    </w:pPr>
    <w:rPr>
      <w:rFonts w:ascii="Arial" w:hAnsi="Arial" w:eastAsia="Arial" w:cs="Arial"/>
      <w:sz w:val="34"/>
    </w:rPr>
  </w:style>
  <w:style w:type="character" w:styleId="1561">
    <w:name w:val="Heading 2 Char"/>
    <w:basedOn w:val="1736"/>
    <w:link w:val="1560"/>
    <w:uiPriority w:val="9"/>
    <w:rPr>
      <w:rFonts w:ascii="Arial" w:hAnsi="Arial" w:eastAsia="Arial" w:cs="Arial"/>
      <w:sz w:val="34"/>
    </w:rPr>
  </w:style>
  <w:style w:type="paragraph" w:styleId="1562">
    <w:name w:val="Heading 3"/>
    <w:link w:val="1563"/>
    <w:uiPriority w:val="9"/>
    <w:unhideWhenUsed/>
    <w:qFormat/>
    <w:pPr>
      <w:keepLines/>
      <w:keepNext/>
      <w:spacing w:before="320" w:after="200"/>
      <w:outlineLvl w:val="2"/>
    </w:pPr>
    <w:rPr>
      <w:rFonts w:ascii="Arial" w:hAnsi="Arial" w:eastAsia="Arial" w:cs="Arial"/>
      <w:sz w:val="30"/>
      <w:szCs w:val="30"/>
    </w:rPr>
  </w:style>
  <w:style w:type="character" w:styleId="1563">
    <w:name w:val="Heading 3 Char"/>
    <w:basedOn w:val="1736"/>
    <w:link w:val="1562"/>
    <w:uiPriority w:val="9"/>
    <w:rPr>
      <w:rFonts w:ascii="Arial" w:hAnsi="Arial" w:eastAsia="Arial" w:cs="Arial"/>
      <w:sz w:val="30"/>
      <w:szCs w:val="30"/>
    </w:rPr>
  </w:style>
  <w:style w:type="paragraph" w:styleId="1564">
    <w:name w:val="Heading 4"/>
    <w:link w:val="1565"/>
    <w:uiPriority w:val="9"/>
    <w:unhideWhenUsed/>
    <w:qFormat/>
    <w:pPr>
      <w:keepLines/>
      <w:keepNext/>
      <w:spacing w:before="320" w:after="200"/>
      <w:outlineLvl w:val="3"/>
    </w:pPr>
    <w:rPr>
      <w:rFonts w:ascii="Arial" w:hAnsi="Arial" w:eastAsia="Arial" w:cs="Arial"/>
      <w:b/>
      <w:bCs/>
      <w:sz w:val="26"/>
      <w:szCs w:val="26"/>
    </w:rPr>
  </w:style>
  <w:style w:type="character" w:styleId="1565">
    <w:name w:val="Heading 4 Char"/>
    <w:basedOn w:val="1736"/>
    <w:link w:val="1564"/>
    <w:uiPriority w:val="9"/>
    <w:rPr>
      <w:rFonts w:ascii="Arial" w:hAnsi="Arial" w:eastAsia="Arial" w:cs="Arial"/>
      <w:b/>
      <w:bCs/>
      <w:sz w:val="26"/>
      <w:szCs w:val="26"/>
    </w:rPr>
  </w:style>
  <w:style w:type="paragraph" w:styleId="1566">
    <w:name w:val="Heading 5"/>
    <w:link w:val="1567"/>
    <w:uiPriority w:val="9"/>
    <w:unhideWhenUsed/>
    <w:qFormat/>
    <w:pPr>
      <w:keepLines/>
      <w:keepNext/>
      <w:spacing w:before="320" w:after="200"/>
      <w:outlineLvl w:val="4"/>
    </w:pPr>
    <w:rPr>
      <w:rFonts w:ascii="Arial" w:hAnsi="Arial" w:eastAsia="Arial" w:cs="Arial"/>
      <w:b/>
      <w:bCs/>
      <w:sz w:val="24"/>
      <w:szCs w:val="24"/>
    </w:rPr>
  </w:style>
  <w:style w:type="character" w:styleId="1567">
    <w:name w:val="Heading 5 Char"/>
    <w:basedOn w:val="1736"/>
    <w:link w:val="1566"/>
    <w:uiPriority w:val="9"/>
    <w:rPr>
      <w:rFonts w:ascii="Arial" w:hAnsi="Arial" w:eastAsia="Arial" w:cs="Arial"/>
      <w:b/>
      <w:bCs/>
      <w:sz w:val="24"/>
      <w:szCs w:val="24"/>
    </w:rPr>
  </w:style>
  <w:style w:type="paragraph" w:styleId="1568">
    <w:name w:val="Heading 6"/>
    <w:link w:val="1569"/>
    <w:uiPriority w:val="9"/>
    <w:unhideWhenUsed/>
    <w:qFormat/>
    <w:pPr>
      <w:keepLines/>
      <w:keepNext/>
      <w:spacing w:before="320" w:after="200"/>
      <w:outlineLvl w:val="5"/>
    </w:pPr>
    <w:rPr>
      <w:rFonts w:ascii="Arial" w:hAnsi="Arial" w:eastAsia="Arial" w:cs="Arial"/>
      <w:b/>
      <w:bCs/>
      <w:sz w:val="22"/>
      <w:szCs w:val="22"/>
    </w:rPr>
  </w:style>
  <w:style w:type="character" w:styleId="1569">
    <w:name w:val="Heading 6 Char"/>
    <w:basedOn w:val="1736"/>
    <w:link w:val="1568"/>
    <w:uiPriority w:val="9"/>
    <w:rPr>
      <w:rFonts w:ascii="Arial" w:hAnsi="Arial" w:eastAsia="Arial" w:cs="Arial"/>
      <w:b/>
      <w:bCs/>
      <w:sz w:val="22"/>
      <w:szCs w:val="22"/>
    </w:rPr>
  </w:style>
  <w:style w:type="paragraph" w:styleId="1570">
    <w:name w:val="Heading 7"/>
    <w:link w:val="1571"/>
    <w:uiPriority w:val="9"/>
    <w:unhideWhenUsed/>
    <w:qFormat/>
    <w:pPr>
      <w:keepLines/>
      <w:keepNext/>
      <w:spacing w:before="320" w:after="200"/>
      <w:outlineLvl w:val="6"/>
    </w:pPr>
    <w:rPr>
      <w:rFonts w:ascii="Arial" w:hAnsi="Arial" w:eastAsia="Arial" w:cs="Arial"/>
      <w:b/>
      <w:bCs/>
      <w:i/>
      <w:iCs/>
      <w:sz w:val="22"/>
      <w:szCs w:val="22"/>
    </w:rPr>
  </w:style>
  <w:style w:type="character" w:styleId="1571">
    <w:name w:val="Heading 7 Char"/>
    <w:basedOn w:val="1736"/>
    <w:link w:val="1570"/>
    <w:uiPriority w:val="9"/>
    <w:rPr>
      <w:rFonts w:ascii="Arial" w:hAnsi="Arial" w:eastAsia="Arial" w:cs="Arial"/>
      <w:b/>
      <w:bCs/>
      <w:i/>
      <w:iCs/>
      <w:sz w:val="22"/>
      <w:szCs w:val="22"/>
    </w:rPr>
  </w:style>
  <w:style w:type="paragraph" w:styleId="1572">
    <w:name w:val="Heading 8"/>
    <w:link w:val="1573"/>
    <w:uiPriority w:val="9"/>
    <w:unhideWhenUsed/>
    <w:qFormat/>
    <w:pPr>
      <w:keepLines/>
      <w:keepNext/>
      <w:spacing w:before="320" w:after="200"/>
      <w:outlineLvl w:val="7"/>
    </w:pPr>
    <w:rPr>
      <w:rFonts w:ascii="Arial" w:hAnsi="Arial" w:eastAsia="Arial" w:cs="Arial"/>
      <w:i/>
      <w:iCs/>
      <w:sz w:val="22"/>
      <w:szCs w:val="22"/>
    </w:rPr>
  </w:style>
  <w:style w:type="character" w:styleId="1573">
    <w:name w:val="Heading 8 Char"/>
    <w:basedOn w:val="1736"/>
    <w:link w:val="1572"/>
    <w:uiPriority w:val="9"/>
    <w:rPr>
      <w:rFonts w:ascii="Arial" w:hAnsi="Arial" w:eastAsia="Arial" w:cs="Arial"/>
      <w:i/>
      <w:iCs/>
      <w:sz w:val="22"/>
      <w:szCs w:val="22"/>
    </w:rPr>
  </w:style>
  <w:style w:type="paragraph" w:styleId="1574">
    <w:name w:val="Heading 9"/>
    <w:link w:val="1575"/>
    <w:uiPriority w:val="9"/>
    <w:unhideWhenUsed/>
    <w:qFormat/>
    <w:pPr>
      <w:keepLines/>
      <w:keepNext/>
      <w:spacing w:before="320" w:after="200"/>
      <w:outlineLvl w:val="8"/>
    </w:pPr>
    <w:rPr>
      <w:rFonts w:ascii="Arial" w:hAnsi="Arial" w:eastAsia="Arial" w:cs="Arial"/>
      <w:i/>
      <w:iCs/>
      <w:sz w:val="21"/>
      <w:szCs w:val="21"/>
    </w:rPr>
  </w:style>
  <w:style w:type="character" w:styleId="1575">
    <w:name w:val="Heading 9 Char"/>
    <w:basedOn w:val="1736"/>
    <w:link w:val="1574"/>
    <w:uiPriority w:val="9"/>
    <w:rPr>
      <w:rFonts w:ascii="Arial" w:hAnsi="Arial" w:eastAsia="Arial" w:cs="Arial"/>
      <w:i/>
      <w:iCs/>
      <w:sz w:val="21"/>
      <w:szCs w:val="21"/>
    </w:rPr>
  </w:style>
  <w:style w:type="paragraph" w:styleId="1576">
    <w:name w:val="List Paragraph"/>
    <w:uiPriority w:val="34"/>
    <w:qFormat/>
    <w:pPr>
      <w:contextualSpacing/>
      <w:ind w:left="720"/>
    </w:pPr>
  </w:style>
  <w:style w:type="paragraph" w:styleId="1577">
    <w:name w:val="No Spacing"/>
    <w:uiPriority w:val="1"/>
    <w:qFormat/>
    <w:pPr>
      <w:spacing w:before="0" w:after="0" w:line="240" w:lineRule="auto"/>
    </w:pPr>
  </w:style>
  <w:style w:type="paragraph" w:styleId="1578">
    <w:name w:val="Title"/>
    <w:link w:val="1579"/>
    <w:uiPriority w:val="10"/>
    <w:qFormat/>
    <w:pPr>
      <w:contextualSpacing/>
      <w:spacing w:before="300" w:after="200"/>
    </w:pPr>
    <w:rPr>
      <w:sz w:val="48"/>
      <w:szCs w:val="48"/>
    </w:rPr>
  </w:style>
  <w:style w:type="character" w:styleId="1579">
    <w:name w:val="Title Char"/>
    <w:basedOn w:val="1736"/>
    <w:link w:val="1578"/>
    <w:uiPriority w:val="10"/>
    <w:rPr>
      <w:sz w:val="48"/>
      <w:szCs w:val="48"/>
    </w:rPr>
  </w:style>
  <w:style w:type="paragraph" w:styleId="1580">
    <w:name w:val="Subtitle"/>
    <w:link w:val="1581"/>
    <w:uiPriority w:val="11"/>
    <w:qFormat/>
    <w:pPr>
      <w:spacing w:before="200" w:after="200"/>
    </w:pPr>
    <w:rPr>
      <w:sz w:val="24"/>
      <w:szCs w:val="24"/>
    </w:rPr>
  </w:style>
  <w:style w:type="character" w:styleId="1581">
    <w:name w:val="Subtitle Char"/>
    <w:basedOn w:val="1736"/>
    <w:link w:val="1580"/>
    <w:uiPriority w:val="11"/>
    <w:rPr>
      <w:sz w:val="24"/>
      <w:szCs w:val="24"/>
    </w:rPr>
  </w:style>
  <w:style w:type="paragraph" w:styleId="1582">
    <w:name w:val="Quote"/>
    <w:link w:val="1583"/>
    <w:uiPriority w:val="29"/>
    <w:qFormat/>
    <w:pPr>
      <w:ind w:left="720" w:right="720"/>
    </w:pPr>
    <w:rPr>
      <w:i/>
    </w:rPr>
  </w:style>
  <w:style w:type="character" w:styleId="1583">
    <w:name w:val="Quote Char"/>
    <w:link w:val="1582"/>
    <w:uiPriority w:val="29"/>
    <w:rPr>
      <w:i/>
    </w:rPr>
  </w:style>
  <w:style w:type="paragraph" w:styleId="1584">
    <w:name w:val="Intense Quote"/>
    <w:link w:val="15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85">
    <w:name w:val="Intense Quote Char"/>
    <w:link w:val="1584"/>
    <w:uiPriority w:val="30"/>
    <w:rPr>
      <w:i/>
    </w:rPr>
  </w:style>
  <w:style w:type="paragraph" w:styleId="1586">
    <w:name w:val="Header"/>
    <w:link w:val="1587"/>
    <w:uiPriority w:val="99"/>
    <w:unhideWhenUsed/>
    <w:pPr>
      <w:spacing w:after="0" w:line="240" w:lineRule="auto"/>
      <w:tabs>
        <w:tab w:val="center" w:pos="7143" w:leader="none"/>
        <w:tab w:val="right" w:pos="14287" w:leader="none"/>
      </w:tabs>
    </w:pPr>
  </w:style>
  <w:style w:type="character" w:styleId="1587">
    <w:name w:val="Header Char"/>
    <w:basedOn w:val="1736"/>
    <w:link w:val="1586"/>
    <w:uiPriority w:val="99"/>
  </w:style>
  <w:style w:type="paragraph" w:styleId="1588">
    <w:name w:val="Footer"/>
    <w:link w:val="1591"/>
    <w:uiPriority w:val="99"/>
    <w:unhideWhenUsed/>
    <w:pPr>
      <w:spacing w:after="0" w:line="240" w:lineRule="auto"/>
      <w:tabs>
        <w:tab w:val="center" w:pos="7143" w:leader="none"/>
        <w:tab w:val="right" w:pos="14287" w:leader="none"/>
      </w:tabs>
    </w:pPr>
  </w:style>
  <w:style w:type="character" w:styleId="1589">
    <w:name w:val="Footer Char"/>
    <w:basedOn w:val="1736"/>
    <w:link w:val="1588"/>
    <w:uiPriority w:val="99"/>
  </w:style>
  <w:style w:type="paragraph" w:styleId="1590">
    <w:name w:val="Caption"/>
    <w:uiPriority w:val="35"/>
    <w:semiHidden/>
    <w:unhideWhenUsed/>
    <w:qFormat/>
    <w:pPr>
      <w:spacing w:line="276" w:lineRule="auto"/>
    </w:pPr>
    <w:rPr>
      <w:b/>
      <w:bCs/>
      <w:color w:val="4f81bd" w:themeColor="accent1"/>
      <w:sz w:val="18"/>
      <w:szCs w:val="18"/>
    </w:rPr>
  </w:style>
  <w:style w:type="character" w:styleId="1591">
    <w:name w:val="Caption Char"/>
    <w:basedOn w:val="1590"/>
    <w:link w:val="1588"/>
    <w:uiPriority w:val="99"/>
  </w:style>
  <w:style w:type="table" w:styleId="15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6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6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6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6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6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6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6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6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6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6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6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6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6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6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6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6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6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6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6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6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6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6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6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6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6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6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6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6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6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6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6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6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6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6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6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6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6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6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6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6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6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6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6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6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6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7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7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7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7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7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7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7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7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7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7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7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18">
    <w:name w:val="Hyperlink"/>
    <w:uiPriority w:val="99"/>
    <w:unhideWhenUsed/>
    <w:rPr>
      <w:color w:val="0000ff" w:themeColor="hyperlink"/>
      <w:u w:val="single"/>
    </w:rPr>
  </w:style>
  <w:style w:type="paragraph" w:styleId="1719">
    <w:name w:val="footnote text"/>
    <w:link w:val="1720"/>
    <w:uiPriority w:val="99"/>
    <w:semiHidden/>
    <w:unhideWhenUsed/>
    <w:pPr>
      <w:spacing w:after="40" w:line="240" w:lineRule="auto"/>
    </w:pPr>
    <w:rPr>
      <w:sz w:val="18"/>
    </w:rPr>
  </w:style>
  <w:style w:type="character" w:styleId="1720">
    <w:name w:val="Footnote Text Char"/>
    <w:link w:val="1719"/>
    <w:uiPriority w:val="99"/>
    <w:rPr>
      <w:sz w:val="18"/>
    </w:rPr>
  </w:style>
  <w:style w:type="character" w:styleId="1721">
    <w:name w:val="footnote reference"/>
    <w:basedOn w:val="1736"/>
    <w:uiPriority w:val="99"/>
    <w:unhideWhenUsed/>
    <w:rPr>
      <w:vertAlign w:val="superscript"/>
    </w:rPr>
  </w:style>
  <w:style w:type="paragraph" w:styleId="1722">
    <w:name w:val="endnote text"/>
    <w:link w:val="1723"/>
    <w:uiPriority w:val="99"/>
    <w:semiHidden/>
    <w:unhideWhenUsed/>
    <w:pPr>
      <w:spacing w:after="0" w:line="240" w:lineRule="auto"/>
    </w:pPr>
    <w:rPr>
      <w:sz w:val="20"/>
    </w:rPr>
  </w:style>
  <w:style w:type="character" w:styleId="1723">
    <w:name w:val="Endnote Text Char"/>
    <w:link w:val="1722"/>
    <w:uiPriority w:val="99"/>
    <w:rPr>
      <w:sz w:val="20"/>
    </w:rPr>
  </w:style>
  <w:style w:type="character" w:styleId="1724">
    <w:name w:val="endnote reference"/>
    <w:basedOn w:val="1736"/>
    <w:uiPriority w:val="99"/>
    <w:semiHidden/>
    <w:unhideWhenUsed/>
    <w:rPr>
      <w:vertAlign w:val="superscript"/>
    </w:rPr>
  </w:style>
  <w:style w:type="paragraph" w:styleId="1725">
    <w:name w:val="toc 1"/>
    <w:uiPriority w:val="39"/>
    <w:unhideWhenUsed/>
    <w:pPr>
      <w:ind w:left="0" w:right="0" w:firstLine="0"/>
      <w:spacing w:after="57"/>
    </w:pPr>
  </w:style>
  <w:style w:type="paragraph" w:styleId="1726">
    <w:name w:val="toc 2"/>
    <w:uiPriority w:val="39"/>
    <w:unhideWhenUsed/>
    <w:pPr>
      <w:ind w:left="283" w:right="0" w:firstLine="0"/>
      <w:spacing w:after="57"/>
    </w:pPr>
  </w:style>
  <w:style w:type="paragraph" w:styleId="1727">
    <w:name w:val="toc 3"/>
    <w:uiPriority w:val="39"/>
    <w:unhideWhenUsed/>
    <w:pPr>
      <w:ind w:left="567" w:right="0" w:firstLine="0"/>
      <w:spacing w:after="57"/>
    </w:pPr>
  </w:style>
  <w:style w:type="paragraph" w:styleId="1728">
    <w:name w:val="toc 4"/>
    <w:uiPriority w:val="39"/>
    <w:unhideWhenUsed/>
    <w:pPr>
      <w:ind w:left="850" w:right="0" w:firstLine="0"/>
      <w:spacing w:after="57"/>
    </w:pPr>
  </w:style>
  <w:style w:type="paragraph" w:styleId="1729">
    <w:name w:val="toc 5"/>
    <w:uiPriority w:val="39"/>
    <w:unhideWhenUsed/>
    <w:pPr>
      <w:ind w:left="1134" w:right="0" w:firstLine="0"/>
      <w:spacing w:after="57"/>
    </w:pPr>
  </w:style>
  <w:style w:type="paragraph" w:styleId="1730">
    <w:name w:val="toc 6"/>
    <w:uiPriority w:val="39"/>
    <w:unhideWhenUsed/>
    <w:pPr>
      <w:ind w:left="1417" w:right="0" w:firstLine="0"/>
      <w:spacing w:after="57"/>
    </w:pPr>
  </w:style>
  <w:style w:type="paragraph" w:styleId="1731">
    <w:name w:val="toc 7"/>
    <w:uiPriority w:val="39"/>
    <w:unhideWhenUsed/>
    <w:pPr>
      <w:ind w:left="1701" w:right="0" w:firstLine="0"/>
      <w:spacing w:after="57"/>
    </w:pPr>
  </w:style>
  <w:style w:type="paragraph" w:styleId="1732">
    <w:name w:val="toc 8"/>
    <w:uiPriority w:val="39"/>
    <w:unhideWhenUsed/>
    <w:pPr>
      <w:ind w:left="1984" w:right="0" w:firstLine="0"/>
      <w:spacing w:after="57"/>
    </w:pPr>
  </w:style>
  <w:style w:type="paragraph" w:styleId="1733">
    <w:name w:val="toc 9"/>
    <w:uiPriority w:val="39"/>
    <w:unhideWhenUsed/>
    <w:pPr>
      <w:ind w:left="2268" w:right="0" w:firstLine="0"/>
      <w:spacing w:after="57"/>
    </w:pPr>
  </w:style>
  <w:style w:type="paragraph" w:styleId="1734">
    <w:name w:val="TOC Heading"/>
    <w:uiPriority w:val="39"/>
    <w:unhideWhenUsed/>
  </w:style>
  <w:style w:type="paragraph" w:styleId="1735">
    <w:name w:val="table of figures"/>
    <w:uiPriority w:val="99"/>
    <w:unhideWhenUsed/>
    <w:pPr>
      <w:spacing w:after="0" w:afterAutospacing="0"/>
    </w:pPr>
  </w:style>
  <w:style w:type="character" w:styleId="1736" w:default="1">
    <w:name w:val="Default Paragraph Font"/>
    <w:uiPriority w:val="1"/>
    <w:semiHidden/>
    <w:unhideWhenUsed/>
    <w:qFormat/>
  </w:style>
  <w:style w:type="paragraph" w:styleId="1737"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738">
    <w:name w:val="Placeholder Text"/>
    <w:basedOn w:val="1736"/>
    <w:uiPriority w:val="99"/>
    <w:unhideWhenUsed/>
    <w:qFormat/>
    <w:rPr>
      <w:color w:val="808080"/>
    </w:rPr>
  </w:style>
  <w:style w:type="numbering" w:styleId="1739" w:default="1">
    <w:name w:val="No List"/>
    <w:uiPriority w:val="99"/>
    <w:semiHidden/>
    <w:unhideWhenUsed/>
  </w:style>
  <w:style w:type="paragraph" w:styleId="1740" w:default="1">
    <w:name w:val="Normal"/>
    <w:qFormat/>
  </w:style>
  <w:style w:type="table" w:styleId="1741"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0C62881-5ACE-4567-955F-2AE83CC0102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24</cp:revision>
  <dcterms:created xsi:type="dcterms:W3CDTF">2024-10-22T06:28:00Z</dcterms:created>
  <dcterms:modified xsi:type="dcterms:W3CDTF">2026-06-25T03:18:41Z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2940D8FA7BB04B6CA2F775465EC8F0C9_13</vt:lpwstr>
  </property>
  <property fmtid="{D5CDD505-2E9C-101B-9397-08002B2CF9AE}" pid="4" name="KSOTemplateDocerSaveRecord">
    <vt:lpwstr>eyJoZGlkIjoiMWYxYmUwODIzYzk0M2QzOTM3M2I1MzA0NjYxZWNjMTciLCJ1c2VySWQiOiI3MDY5OTM5NjQifQ==</vt:lpwstr>
  </property>
</Properties>
</file>