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spacing w:val="80"/>
          <w:sz w:val="64"/>
        </w:rPr>
      </w:pPr>
      <w:r/>
      <w:bookmarkStart w:id="0" w:name="_Toc465856610"/>
      <w:r/>
      <w:r/>
    </w:p>
    <w:p>
      <w:pPr>
        <w:jc w:val="center"/>
        <w:spacing w:line="720" w:lineRule="exact"/>
        <w:rPr>
          <w:rFonts w:eastAsia="华文新魏"/>
          <w:color w:val="auto"/>
          <w:sz w:val="56"/>
          <w:highlight w:val="none"/>
        </w:rPr>
      </w:pPr>
      <w:r>
        <w:rPr>
          <w:rFonts w:hint="eastAsia"/>
          <w:b/>
          <w:bCs/>
          <w:color w:val="auto"/>
          <w:sz w:val="64"/>
          <w:highlight w:val="none"/>
        </w:rPr>
        <w:t xml:space="preserve">苏采云系统</w:t>
      </w:r>
      <w:r>
        <w:rPr>
          <w:rFonts w:hint="eastAsia" w:ascii="宋体" w:hAnsi="宋体" w:eastAsia="宋体" w:cs="宋体"/>
          <w:b/>
          <w:bCs/>
          <w:color w:val="auto"/>
          <w:sz w:val="64"/>
          <w:highlight w:val="none"/>
        </w:rPr>
        <w:t xml:space="preserve">政府采购</w:t>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hint="eastAsia" w:ascii="华康简魏碑" w:hAnsi="华康简魏碑"/>
                                <w:b/>
                                <w:bCs/>
                                <w:color w:val="000000"/>
                                <w:sz w:val="80"/>
                                <w:szCs w:val="80"/>
                              </w:rPr>
                            </w:pPr>
                            <w:r>
                              <w:rPr>
                                <w:rFonts w:ascii="华康简魏碑" w:hAnsi="华康简魏碑"/>
                                <w:b/>
                                <w:bCs/>
                                <w:color w:val="000000"/>
                                <w:sz w:val="80"/>
                                <w:szCs w:val="80"/>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hint="eastAsia" w:ascii="华康简魏碑" w:hAnsi="华康简魏碑"/>
                          <w:b/>
                          <w:bCs/>
                          <w:color w:val="000000"/>
                          <w:sz w:val="80"/>
                          <w:szCs w:val="80"/>
                        </w:rPr>
                      </w:pPr>
                      <w:r>
                        <w:rPr>
                          <w:rFonts w:ascii="华康简魏碑" w:hAnsi="华康简魏碑"/>
                          <w:b/>
                          <w:bCs/>
                          <w:color w:val="000000"/>
                          <w:sz w:val="80"/>
                          <w:szCs w:val="80"/>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56"/>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509"/>
        </w:trPr>
        <w:tc>
          <w:tcPr>
            <w:tcW w:w="2127" w:type="dxa"/>
            <w:vAlign w:val="center"/>
            <w:textDirection w:val="lrTb"/>
            <w:noWrap/>
          </w:tcPr>
          <w:p>
            <w:pPr>
              <w:ind w:firstLine="474"/>
              <w:spacing w:line="360" w:lineRule="auto"/>
              <w:rPr>
                <w:rFonts w:hAnsi="宋体"/>
                <w:b/>
                <w:bCs/>
                <w:color w:val="auto"/>
                <w:spacing w:val="16"/>
                <w:sz w:val="32"/>
                <w:szCs w:val="32"/>
                <w:highlight w:val="none"/>
              </w:rPr>
            </w:pPr>
            <w:r/>
            <w:bookmarkStart w:id="1" w:name="OLE_LINK24"/>
            <w:r/>
            <w:bookmarkStart w:id="2" w:name="OLE_LINK1"/>
            <w:r/>
            <w:bookmarkStart w:id="3" w:name="OLE_LINK13"/>
            <w:r/>
            <w:bookmarkStart w:id="4" w:name="OLE_LINK27"/>
            <w:r/>
            <w:bookmarkStart w:id="5" w:name="OLE_LINK17"/>
            <w:r/>
            <w:bookmarkStart w:id="6" w:name="OLE_LINK3"/>
            <w:r/>
            <w:bookmarkStart w:id="7" w:name="OLE_LINK14"/>
            <w:r/>
            <w:bookmarkStart w:id="8" w:name="OLE_LINK29"/>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tcPr>
          <w:p>
            <w:pPr>
              <w:spacing w:line="800" w:lineRule="exact"/>
              <w:rPr>
                <w:b/>
                <w:color w:val="auto"/>
                <w:spacing w:val="-20"/>
                <w:sz w:val="32"/>
                <w:szCs w:val="32"/>
                <w:highlight w:val="none"/>
              </w:rPr>
            </w:pPr>
            <w:r>
              <w:rPr>
                <w:rFonts w:hint="eastAsia" w:ascii="Arial" w:hAnsi="宋体"/>
                <w:b/>
                <w:color w:val="auto"/>
                <w:sz w:val="32"/>
                <w:szCs w:val="32"/>
                <w:highlight w:val="none"/>
                <w:lang w:val="zh-CN"/>
              </w:rPr>
              <w:t xml:space="preserve">板桥小学田径场拆除重建工程（政府采购工程）（专门面向中小企业）</w:t>
            </w:r>
            <w:r/>
          </w:p>
        </w:tc>
      </w:tr>
      <w:tr>
        <w:trPr>
          <w:jc w:val="center"/>
        </w:trPr>
        <w:tc>
          <w:tcPr>
            <w:tcW w:w="2127" w:type="dxa"/>
            <w:vAlign w:val="center"/>
            <w:textDirection w:val="lrTb"/>
            <w:noWrap/>
          </w:tcPr>
          <w:p>
            <w:pPr>
              <w:ind w:firstLine="474"/>
              <w:spacing w:line="360" w:lineRule="auto"/>
              <w:rPr>
                <w:rFonts w:hAnsi="宋体"/>
                <w:b/>
                <w:bCs/>
                <w:color w:val="auto"/>
                <w:spacing w:val="16"/>
                <w:sz w:val="32"/>
                <w:szCs w:val="32"/>
                <w:highlight w:val="none"/>
              </w:rPr>
            </w:pPr>
            <w:r/>
            <w:bookmarkStart w:id="9" w:name="OLE_LINK2"/>
            <w:r/>
            <w:bookmarkStart w:id="10" w:name="OLE_LINK5"/>
            <w:r/>
            <w:bookmarkStart w:id="11" w:name="OLE_LINK15"/>
            <w:r/>
            <w:bookmarkStart w:id="12" w:name="OLE_LINK30"/>
            <w:r/>
            <w:bookmarkStart w:id="13" w:name="OLE_LINK25"/>
            <w:r/>
            <w:bookmarkStart w:id="14" w:name="OLE_LINK18"/>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bookmarkEnd w:id="10"/>
            <w:bookmarkEnd w:id="11"/>
            <w:bookmarkEnd w:id="12"/>
            <w:bookmarkEnd w:id="13"/>
            <w:bookmarkEnd w:id="14"/>
            <w:r/>
          </w:p>
        </w:tc>
        <w:tc>
          <w:tcPr>
            <w:tcW w:w="6881" w:type="dxa"/>
            <w:vAlign w:val="center"/>
            <w:textDirection w:val="lrTb"/>
            <w:noWrap/>
          </w:tcPr>
          <w:p>
            <w:pPr>
              <w:rPr>
                <w:b/>
                <w:color w:val="auto"/>
                <w:sz w:val="32"/>
                <w:szCs w:val="32"/>
                <w:highlight w:val="none"/>
              </w:rPr>
            </w:pPr>
            <w:r>
              <w:rPr>
                <w:rFonts w:hint="eastAsia"/>
                <w:b/>
                <w:color w:val="auto"/>
                <w:sz w:val="32"/>
                <w:szCs w:val="32"/>
                <w:highlight w:val="none"/>
              </w:rPr>
              <w:t xml:space="preserve">JSZC-320703-TYJT-C2026-0008</w:t>
            </w:r>
            <w:r/>
          </w:p>
        </w:tc>
      </w:tr>
    </w:tbl>
    <w:p>
      <w:pPr>
        <w:pStyle w:val="770"/>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770"/>
        <w:rPr>
          <w:rFonts w:ascii="Times New Roman"/>
          <w:b/>
          <w:bCs/>
          <w:color w:val="auto"/>
          <w:sz w:val="32"/>
          <w:highlight w:val="none"/>
        </w:rPr>
      </w:pPr>
      <w:r>
        <w:rPr>
          <w:rFonts w:ascii="Times New Roman"/>
          <w:b/>
          <w:bCs/>
          <w:color w:val="auto"/>
          <w:sz w:val="32"/>
          <w:highlight w:val="none"/>
        </w:rPr>
      </w:r>
      <w:r/>
    </w:p>
    <w:p>
      <w:pPr>
        <w:pStyle w:val="770"/>
        <w:rPr>
          <w:rFonts w:ascii="Times New Roman"/>
          <w:b/>
          <w:bCs/>
          <w:color w:val="auto"/>
          <w:sz w:val="32"/>
          <w:highlight w:val="none"/>
        </w:rPr>
      </w:pPr>
      <w:r>
        <w:rPr>
          <w:rFonts w:ascii="Times New Roman"/>
          <w:b/>
          <w:bCs/>
          <w:color w:val="auto"/>
          <w:sz w:val="32"/>
          <w:highlight w:val="none"/>
        </w:rPr>
      </w:r>
      <w:r/>
    </w:p>
    <w:p>
      <w:pPr>
        <w:pStyle w:val="770"/>
        <w:rPr>
          <w:rFonts w:ascii="Times New Roman"/>
          <w:b/>
          <w:bCs/>
          <w:color w:val="auto"/>
          <w:sz w:val="32"/>
          <w:highlight w:val="none"/>
        </w:rPr>
      </w:pPr>
      <w:r>
        <w:rPr>
          <w:rFonts w:ascii="Times New Roman"/>
          <w:b/>
          <w:bCs/>
          <w:color w:val="auto"/>
          <w:sz w:val="32"/>
          <w:highlight w:val="none"/>
        </w:rPr>
      </w:r>
      <w:r/>
    </w:p>
    <w:tbl>
      <w:tblPr>
        <w:tblStyle w:val="756"/>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tcPr>
          <w:p>
            <w:pPr>
              <w:spacing w:line="360" w:lineRule="auto"/>
              <w:rPr>
                <w:rFonts w:ascii="Arial" w:hAnsi="宋体"/>
                <w:b/>
                <w:color w:val="auto"/>
                <w:sz w:val="32"/>
                <w:szCs w:val="32"/>
                <w:highlight w:val="none"/>
                <w:lang w:val="zh-CN"/>
              </w:rPr>
            </w:pPr>
            <w:r/>
            <w:bookmarkStart w:id="15" w:name="OLE_LINK31"/>
            <w:r/>
            <w:bookmarkStart w:id="16" w:name="OLE_LINK4"/>
            <w:r/>
            <w:r/>
          </w:p>
        </w:tc>
        <w:tc>
          <w:tcPr>
            <w:tcW w:w="2520" w:type="dxa"/>
            <w:vAlign w:val="bottom"/>
            <w:textDirection w:val="lrTb"/>
            <w:noWrap/>
          </w:tcPr>
          <w:p>
            <w:pPr>
              <w:jc w:val="center"/>
              <w:spacing w:line="360" w:lineRule="auto"/>
              <w:rPr>
                <w:rFonts w:ascii="Arial" w:hAnsi="宋体"/>
                <w:b/>
                <w:color w:val="auto"/>
                <w:sz w:val="32"/>
                <w:szCs w:val="32"/>
                <w:highlight w:val="none"/>
                <w:lang w:val="zh-CN"/>
              </w:rPr>
            </w:pPr>
            <w:r>
              <w:rPr>
                <w:rFonts w:hint="eastAsia" w:ascii="Arial" w:hAnsi="宋体"/>
                <w:b/>
                <w:color w:val="auto"/>
                <w:sz w:val="32"/>
                <w:szCs w:val="32"/>
                <w:highlight w:val="none"/>
                <w:lang w:val="zh-CN"/>
              </w:rPr>
              <w:t xml:space="preserve">采   购   人：</w:t>
            </w:r>
            <w:bookmarkEnd w:id="15"/>
            <w:r/>
            <w:bookmarkEnd w:id="16"/>
            <w:r/>
            <w:r/>
          </w:p>
        </w:tc>
        <w:tc>
          <w:tcPr>
            <w:tcW w:w="6687" w:type="dxa"/>
            <w:vAlign w:val="center"/>
            <w:textDirection w:val="lrTb"/>
            <w:noWrap/>
          </w:tcPr>
          <w:p>
            <w:pPr>
              <w:spacing w:line="440" w:lineRule="exact"/>
              <w:rPr>
                <w:rFonts w:ascii="Arial" w:hAnsi="宋体"/>
                <w:b/>
                <w:color w:val="auto"/>
                <w:sz w:val="32"/>
                <w:szCs w:val="32"/>
                <w:highlight w:val="none"/>
                <w:lang w:val="zh-CN"/>
              </w:rPr>
            </w:pPr>
            <w:r>
              <w:rPr>
                <w:rFonts w:hint="eastAsia" w:ascii="Arial" w:hAnsi="宋体"/>
                <w:b/>
                <w:color w:val="auto"/>
                <w:sz w:val="32"/>
                <w:szCs w:val="32"/>
                <w:highlight w:val="none"/>
                <w:lang w:val="zh-CN"/>
              </w:rPr>
              <w:t xml:space="preserve">连云港市板桥中心小学</w:t>
            </w:r>
            <w:r/>
          </w:p>
        </w:tc>
      </w:tr>
      <w:tr>
        <w:trPr/>
        <w:tc>
          <w:tcPr>
            <w:tcW w:w="648" w:type="dxa"/>
            <w:textDirection w:val="lrTb"/>
            <w:noWrap/>
          </w:tcPr>
          <w:p>
            <w:pPr>
              <w:spacing w:line="360" w:lineRule="auto"/>
              <w:rPr>
                <w:rFonts w:ascii="Arial" w:hAnsi="宋体"/>
                <w:b/>
                <w:color w:val="auto"/>
                <w:sz w:val="32"/>
                <w:szCs w:val="32"/>
                <w:highlight w:val="none"/>
                <w:lang w:val="zh-CN"/>
              </w:rPr>
            </w:pPr>
            <w:r>
              <w:rPr>
                <w:rFonts w:ascii="Arial" w:hAnsi="宋体"/>
                <w:b/>
                <w:color w:val="auto"/>
                <w:sz w:val="32"/>
                <w:szCs w:val="32"/>
                <w:highlight w:val="none"/>
                <w:lang w:val="zh-CN"/>
              </w:rPr>
            </w:r>
            <w:r/>
          </w:p>
        </w:tc>
        <w:tc>
          <w:tcPr>
            <w:tcW w:w="2520" w:type="dxa"/>
            <w:vAlign w:val="center"/>
            <w:textDirection w:val="lrTb"/>
            <w:noWrap/>
          </w:tcPr>
          <w:p>
            <w:pPr>
              <w:spacing w:line="360" w:lineRule="auto"/>
              <w:rPr>
                <w:rFonts w:ascii="Arial" w:hAnsi="宋体"/>
                <w:b/>
                <w:color w:val="auto"/>
                <w:sz w:val="32"/>
                <w:szCs w:val="32"/>
                <w:highlight w:val="none"/>
                <w:lang w:val="zh-CN"/>
              </w:rPr>
            </w:pPr>
            <w:r>
              <w:rPr>
                <w:rFonts w:hint="eastAsia" w:ascii="Arial" w:hAnsi="宋体"/>
                <w:b/>
                <w:color w:val="auto"/>
                <w:sz w:val="32"/>
                <w:szCs w:val="32"/>
                <w:highlight w:val="none"/>
                <w:lang w:val="zh-CN"/>
              </w:rPr>
              <w:t xml:space="preserve">采购代理机构：</w:t>
            </w:r>
            <w:r/>
          </w:p>
        </w:tc>
        <w:tc>
          <w:tcPr>
            <w:tcW w:w="6687" w:type="dxa"/>
            <w:vAlign w:val="center"/>
            <w:textDirection w:val="lrTb"/>
            <w:noWrap/>
          </w:tcPr>
          <w:p>
            <w:pPr>
              <w:pStyle w:val="770"/>
              <w:spacing w:line="360" w:lineRule="auto"/>
              <w:rPr>
                <w:rFonts w:ascii="Arial" w:hAnsi="宋体"/>
                <w:b/>
                <w:color w:val="auto"/>
                <w:sz w:val="32"/>
                <w:szCs w:val="32"/>
                <w:highlight w:val="none"/>
                <w:lang w:val="zh-CN"/>
              </w:rPr>
            </w:pPr>
            <w:r>
              <w:rPr>
                <w:rFonts w:hint="eastAsia" w:ascii="Arial" w:hAnsi="宋体"/>
                <w:b/>
                <w:color w:val="auto"/>
                <w:sz w:val="32"/>
                <w:szCs w:val="32"/>
                <w:highlight w:val="none"/>
                <w:lang w:val="zh-CN"/>
              </w:rPr>
              <w:t xml:space="preserve">江苏天园项目管理集团有限公司</w:t>
            </w:r>
            <w:r/>
          </w:p>
        </w:tc>
      </w:tr>
    </w:tbl>
    <w:p>
      <w:pPr>
        <w:spacing w:line="360" w:lineRule="auto"/>
        <w:rPr>
          <w:rFonts w:ascii="Arial" w:hAnsi="宋体"/>
          <w:b/>
          <w:color w:val="auto"/>
          <w:spacing w:val="-20"/>
          <w:sz w:val="32"/>
          <w:szCs w:val="32"/>
          <w:highlight w:val="none"/>
          <w:lang w:val="zh-CN"/>
        </w:rPr>
      </w:pPr>
      <w:r>
        <w:rPr>
          <w:rFonts w:ascii="Arial" w:hAnsi="宋体"/>
          <w:b/>
          <w:color w:val="auto"/>
          <w:spacing w:val="-20"/>
          <w:sz w:val="32"/>
          <w:szCs w:val="32"/>
          <w:highlight w:val="none"/>
          <w:lang w:val="zh-CN"/>
        </w:rPr>
      </w:r>
      <w:r/>
    </w:p>
    <w:tbl>
      <w:tblPr>
        <w:tblStyle w:val="756"/>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tcPr>
          <w:p>
            <w:pPr>
              <w:pStyle w:val="770"/>
              <w:spacing w:line="360" w:lineRule="auto"/>
              <w:rPr>
                <w:rFonts w:ascii="Arial" w:hAnsi="宋体"/>
                <w:b/>
                <w:color w:val="auto"/>
                <w:spacing w:val="-20"/>
                <w:sz w:val="32"/>
                <w:szCs w:val="32"/>
                <w:highlight w:val="none"/>
                <w:lang w:val="zh-CN"/>
              </w:rPr>
            </w:pPr>
            <w:r>
              <w:rPr>
                <w:rFonts w:hint="eastAsia" w:ascii="Arial" w:hAnsi="宋体"/>
                <w:b/>
                <w:color w:val="auto"/>
                <w:spacing w:val="-20"/>
                <w:sz w:val="32"/>
                <w:szCs w:val="32"/>
                <w:highlight w:val="none"/>
                <w:lang w:val="zh-CN"/>
              </w:rPr>
              <w:fldChar w:fldCharType="begin"/>
            </w:r>
            <w:r>
              <w:rPr>
                <w:rFonts w:hint="eastAsia" w:ascii="Arial" w:hAnsi="宋体"/>
                <w:b/>
                <w:color w:val="auto"/>
                <w:spacing w:val="-20"/>
                <w:sz w:val="32"/>
                <w:szCs w:val="32"/>
                <w:highlight w:val="none"/>
                <w:lang w:val="zh-CN"/>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b/>
                <w:color w:val="auto"/>
                <w:spacing w:val="-20"/>
                <w:sz w:val="32"/>
                <w:szCs w:val="32"/>
                <w:highlight w:val="none"/>
                <w:lang w:val="zh-CN"/>
              </w:rPr>
              <w:fldChar w:fldCharType="separate"/>
            </w:r>
            <w:bookmarkStart w:id="17" w:name="_1372492890"/>
            <w:r/>
            <w:bookmarkEnd w:id="17"/>
            <w:r/>
            <w:bookmarkStart w:id="18" w:name="_1407154196"/>
            <w:r/>
            <w:bookmarkEnd w:id="18"/>
            <w:r/>
            <w:bookmarkStart w:id="19" w:name="_1407649454"/>
            <w:r/>
            <w:bookmarkEnd w:id="19"/>
            <w:r/>
            <w:bookmarkStart w:id="20" w:name="_1407051528"/>
            <w:r/>
            <w:bookmarkEnd w:id="20"/>
            <w:r/>
            <w:bookmarkStart w:id="21" w:name="_1479037598"/>
            <w:r/>
            <w:bookmarkEnd w:id="21"/>
            <w:r/>
            <w:bookmarkStart w:id="22" w:name="_1278423854"/>
            <w:r/>
            <w:bookmarkEnd w:id="22"/>
            <w:r/>
            <w:bookmarkStart w:id="23" w:name="_1468245416"/>
            <w:r/>
            <w:bookmarkEnd w:id="23"/>
            <w:r/>
            <w:bookmarkStart w:id="24" w:name="_1298270684"/>
            <w:r/>
            <w:bookmarkEnd w:id="24"/>
            <w:r/>
            <w:bookmarkStart w:id="25" w:name="_1407138770"/>
            <w:r/>
            <w:bookmarkEnd w:id="25"/>
            <w:r/>
            <w:bookmarkStart w:id="26" w:name="_1336909890"/>
            <w:r/>
            <w:bookmarkEnd w:id="26"/>
            <w:r/>
            <w:bookmarkStart w:id="27" w:name="_1471955348"/>
            <w:r/>
            <w:bookmarkEnd w:id="27"/>
            <w:r/>
            <w:bookmarkStart w:id="28" w:name="_1486967582"/>
            <w:r/>
            <w:bookmarkEnd w:id="28"/>
            <w:r/>
            <w:bookmarkStart w:id="29" w:name="_1337000242"/>
            <w:r/>
            <w:bookmarkEnd w:id="29"/>
            <w:r/>
            <w:bookmarkStart w:id="30" w:name="_1435759884"/>
            <w:r/>
            <w:bookmarkEnd w:id="30"/>
            <w:r/>
            <w:bookmarkStart w:id="31" w:name="_1372492601"/>
            <w:r/>
            <w:bookmarkEnd w:id="31"/>
            <w:r/>
            <w:bookmarkStart w:id="32" w:name="_1467808401"/>
            <w:r/>
            <w:bookmarkEnd w:id="32"/>
            <w:r/>
            <w:bookmarkStart w:id="33" w:name="_1468217283"/>
            <w:r/>
            <w:bookmarkEnd w:id="33"/>
            <w:r/>
            <w:bookmarkStart w:id="34" w:name="_1297752558"/>
            <w:r/>
            <w:bookmarkEnd w:id="34"/>
            <w:r/>
            <w:bookmarkStart w:id="35" w:name="_1297758037"/>
            <w:r/>
            <w:bookmarkEnd w:id="35"/>
            <w:r/>
            <w:bookmarkStart w:id="36" w:name="_1407131738"/>
            <w:r/>
            <w:bookmarkEnd w:id="36"/>
            <w:r/>
            <w:bookmarkStart w:id="37" w:name="_1297774439"/>
            <w:r/>
            <w:bookmarkEnd w:id="37"/>
            <w:r/>
            <w:bookmarkStart w:id="38" w:name="_1298271315"/>
            <w:r/>
            <w:bookmarkEnd w:id="38"/>
            <w:r/>
            <w:bookmarkStart w:id="39" w:name="_1407131003"/>
            <w:r/>
            <w:bookmarkEnd w:id="39"/>
            <w:r/>
            <w:bookmarkStart w:id="40" w:name="_1435736218"/>
            <w:r/>
            <w:bookmarkEnd w:id="40"/>
            <w:r/>
            <w:bookmarkStart w:id="41" w:name="_1280844196"/>
            <w:r/>
            <w:bookmarkEnd w:id="41"/>
            <w:r/>
            <w:bookmarkStart w:id="42" w:name="_1372599208"/>
            <w:r/>
            <w:bookmarkEnd w:id="42"/>
            <w:r/>
            <w:bookmarkStart w:id="43" w:name="_1278423018"/>
            <w:r/>
            <w:bookmarkEnd w:id="43"/>
            <w:r/>
            <w:bookmarkStart w:id="44" w:name="_1407132958"/>
            <w:r/>
            <w:bookmarkEnd w:id="44"/>
            <w:r/>
            <w:bookmarkStart w:id="45" w:name="_1448089845"/>
            <w:r/>
            <w:bookmarkEnd w:id="45"/>
            <w:r/>
            <w:bookmarkStart w:id="46" w:name="_1407138454"/>
            <w:r/>
            <w:bookmarkEnd w:id="46"/>
            <w:r/>
            <w:bookmarkStart w:id="47" w:name="_1486968668"/>
            <w:r/>
            <w:bookmarkEnd w:id="47"/>
            <w:r/>
            <w:bookmarkStart w:id="48" w:name="_1336475279"/>
            <w:r/>
            <w:bookmarkEnd w:id="48"/>
            <w:r/>
            <w:bookmarkStart w:id="49" w:name="_1279442339"/>
            <w:r/>
            <w:bookmarkEnd w:id="49"/>
            <w:r/>
            <w:bookmarkStart w:id="50" w:name="_1291116219"/>
            <w:r/>
            <w:bookmarkEnd w:id="50"/>
            <w:r/>
            <w:bookmarkStart w:id="51" w:name="_1468218264"/>
            <w:r/>
            <w:bookmarkEnd w:id="51"/>
            <w:r/>
            <w:bookmarkStart w:id="52" w:name="_1291464772"/>
            <w:r/>
            <w:bookmarkEnd w:id="52"/>
            <w:r/>
            <w:bookmarkStart w:id="53" w:name="_1297771658"/>
            <w:r/>
            <w:bookmarkEnd w:id="53"/>
            <w:r/>
            <w:bookmarkStart w:id="54" w:name="_1291189843"/>
            <w:r/>
            <w:bookmarkEnd w:id="54"/>
            <w:r/>
            <w:bookmarkStart w:id="55" w:name="_1372599658"/>
            <w:r/>
            <w:bookmarkEnd w:id="55"/>
            <w:r/>
            <w:bookmarkStart w:id="56" w:name="_1297771980"/>
            <w:r/>
            <w:bookmarkEnd w:id="56"/>
            <w:r/>
            <w:bookmarkStart w:id="57" w:name="_1407133253"/>
            <w:r/>
            <w:bookmarkEnd w:id="57"/>
            <w:r/>
            <w:bookmarkStart w:id="58" w:name="_1447850345"/>
            <w:r/>
            <w:bookmarkEnd w:id="58"/>
            <w:r>
              <w:rPr>
                <w:rFonts w:hint="eastAsia" w:ascii="Arial" w:hAnsi="宋体"/>
                <w:b/>
                <w:color w:val="auto"/>
                <w:spacing w:val="-20"/>
                <w:sz w:val="32"/>
                <w:szCs w:val="32"/>
                <w:highlight w:val="none"/>
                <w:lang w:val="zh-CN"/>
              </w:rPr>
              <w:t xml:space="preserve">202</w:t>
            </w:r>
            <w:r>
              <w:rPr>
                <w:rFonts w:hint="eastAsia" w:ascii="Arial" w:hAnsi="宋体"/>
                <w:b/>
                <w:color w:val="auto"/>
                <w:spacing w:val="-20"/>
                <w:sz w:val="32"/>
                <w:szCs w:val="32"/>
                <w:highlight w:val="none"/>
              </w:rPr>
              <w:t xml:space="preserve">6</w:t>
            </w:r>
            <w:r>
              <w:rPr>
                <w:rFonts w:hint="eastAsia" w:ascii="Arial" w:hAnsi="宋体"/>
                <w:b/>
                <w:color w:val="auto"/>
                <w:spacing w:val="-20"/>
                <w:sz w:val="32"/>
                <w:szCs w:val="32"/>
                <w:highlight w:val="none"/>
                <w:lang w:val="zh-CN"/>
              </w:rPr>
              <w:t xml:space="preserve">年</w:t>
            </w:r>
            <w:r>
              <w:rPr>
                <w:rFonts w:hint="eastAsia" w:ascii="Arial" w:hAnsi="宋体"/>
                <w:b/>
                <w:color w:val="auto"/>
                <w:spacing w:val="-20"/>
                <w:sz w:val="32"/>
                <w:szCs w:val="32"/>
                <w:highlight w:val="none"/>
              </w:rPr>
              <w:t xml:space="preserve">0</w:t>
            </w:r>
            <w:r>
              <w:rPr>
                <w:rFonts w:hint="eastAsia" w:ascii="Arial" w:hAnsi="宋体"/>
                <w:b/>
                <w:color w:val="auto"/>
                <w:spacing w:val="-20"/>
                <w:sz w:val="32"/>
                <w:szCs w:val="32"/>
                <w:highlight w:val="none"/>
                <w:lang w:val="en-US" w:eastAsia="zh-CN"/>
              </w:rPr>
              <w:t xml:space="preserve">6</w:t>
            </w:r>
            <w:r>
              <w:rPr>
                <w:rFonts w:hint="eastAsia" w:ascii="Arial" w:hAnsi="宋体"/>
                <w:b/>
                <w:color w:val="auto"/>
                <w:spacing w:val="-20"/>
                <w:sz w:val="32"/>
                <w:szCs w:val="32"/>
                <w:highlight w:val="none"/>
                <w:lang w:val="zh-CN"/>
              </w:rPr>
              <w:t xml:space="preserve">月</w:t>
            </w:r>
            <w:r>
              <w:rPr>
                <w:rFonts w:hint="eastAsia" w:ascii="Arial" w:hAnsi="宋体"/>
                <w:b/>
                <w:color w:val="auto"/>
                <w:spacing w:val="-20"/>
                <w:sz w:val="32"/>
                <w:szCs w:val="32"/>
                <w:highlight w:val="none"/>
                <w:lang w:val="zh-CN"/>
              </w:rPr>
              <w:fldChar w:fldCharType="end"/>
            </w:r>
            <w:r/>
          </w:p>
        </w:tc>
      </w:tr>
      <w:tr>
        <w:trPr>
          <w:jc w:val="center"/>
          <w:trHeight w:val="385"/>
        </w:trPr>
        <w:tc>
          <w:tcPr>
            <w:tcW w:w="2280" w:type="dxa"/>
            <w:textDirection w:val="lrTb"/>
            <w:noWrap/>
          </w:tcPr>
          <w:p>
            <w:pPr>
              <w:pStyle w:val="770"/>
              <w:spacing w:line="360" w:lineRule="auto"/>
              <w:rPr>
                <w:rFonts w:ascii="Times New Roman"/>
                <w:b/>
                <w:color w:val="auto"/>
                <w:sz w:val="32"/>
                <w:szCs w:val="32"/>
                <w:highlight w:val="none"/>
              </w:rPr>
            </w:pPr>
            <w:r>
              <w:rPr>
                <w:rFonts w:ascii="Times New Roman"/>
                <w:b/>
                <w:color w:val="auto"/>
                <w:sz w:val="32"/>
                <w:szCs w:val="32"/>
                <w:highlight w:val="none"/>
              </w:rPr>
            </w:r>
            <w:r/>
          </w:p>
        </w:tc>
      </w:tr>
      <w:tr>
        <w:trPr>
          <w:jc w:val="center"/>
          <w:trHeight w:val="385"/>
        </w:trPr>
        <w:tc>
          <w:tcPr>
            <w:tcW w:w="2280" w:type="dxa"/>
            <w:textDirection w:val="lrTb"/>
            <w:noWrap/>
          </w:tcPr>
          <w:p>
            <w:pPr>
              <w:pStyle w:val="770"/>
              <w:spacing w:line="360" w:lineRule="auto"/>
              <w:rPr>
                <w:rFonts w:ascii="Times New Roman"/>
                <w:b/>
                <w:color w:val="auto"/>
                <w:sz w:val="32"/>
                <w:szCs w:val="32"/>
                <w:highlight w:val="none"/>
              </w:rPr>
            </w:pPr>
            <w:r>
              <w:rPr>
                <w:rFonts w:ascii="Times New Roman"/>
                <w:b/>
                <w:color w:val="auto"/>
                <w:sz w:val="32"/>
                <w:szCs w:val="32"/>
                <w:highlight w:val="none"/>
              </w:rPr>
            </w:r>
            <w:r/>
          </w:p>
        </w:tc>
      </w:tr>
    </w:tbl>
    <w:p>
      <w:pPr>
        <w:pStyle w:val="770"/>
        <w:spacing w:line="360" w:lineRule="auto"/>
        <w:rPr>
          <w:rFonts w:ascii="Times New Roman"/>
          <w:b/>
          <w:color w:val="auto"/>
          <w:sz w:val="32"/>
          <w:szCs w:val="32"/>
          <w:highlight w:val="none"/>
        </w:rPr>
        <w:sectPr>
          <w:headerReference w:type="first" r:id="rId9"/>
          <w:footerReference w:type="first" r:id="rId12"/>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color w:val="auto"/>
          <w:sz w:val="44"/>
          <w:szCs w:val="21"/>
          <w:highlight w:val="none"/>
        </w:rPr>
        <w:outlineLvl w:val="0"/>
      </w:pPr>
      <w:r/>
      <w:bookmarkStart w:id="59" w:name="_Toc523502640"/>
      <w:r/>
      <w:bookmarkStart w:id="60" w:name="_Toc5037035"/>
      <w:r/>
      <w:bookmarkStart w:id="61" w:name="_Toc49762231"/>
      <w:r/>
      <w:bookmarkStart w:id="62" w:name="_Toc5244"/>
      <w:r/>
      <w:bookmarkStart w:id="63" w:name="_Toc5997"/>
      <w:r/>
      <w:bookmarkStart w:id="64" w:name="_Toc99113318"/>
      <w:r>
        <w:rPr>
          <w:color w:val="auto"/>
          <w:sz w:val="44"/>
          <w:szCs w:val="21"/>
          <w:highlight w:val="none"/>
        </w:rPr>
        <w:t xml:space="preserve">目 录</w:t>
      </w:r>
      <w:bookmarkEnd w:id="0"/>
      <w:r/>
      <w:bookmarkEnd w:id="59"/>
      <w:r/>
      <w:bookmarkEnd w:id="60"/>
      <w:r/>
      <w:bookmarkEnd w:id="61"/>
      <w:r/>
      <w:bookmarkEnd w:id="62"/>
      <w:r/>
      <w:bookmarkEnd w:id="63"/>
      <w:r/>
      <w:bookmarkEnd w:id="64"/>
      <w:r/>
      <w:r/>
    </w:p>
    <w:p>
      <w:pPr>
        <w:pStyle w:val="779"/>
        <w:tabs>
          <w:tab w:val="clear" w:pos="9440" w:leader="none"/>
          <w:tab w:val="right" w:pos="9638" w:leader="dot"/>
        </w:tabs>
        <w:rPr>
          <w:color w:val="auto"/>
          <w:highlight w:val="none"/>
        </w:rPr>
      </w:pPr>
      <w:r>
        <w:rPr>
          <w:rFonts w:hint="eastAsia" w:hAnsi="黑体" w:cs="黑体"/>
          <w:color w:val="auto"/>
          <w:sz w:val="28"/>
          <w:highlight w:val="none"/>
        </w:rPr>
        <w:fldChar w:fldCharType="begin"/>
      </w:r>
      <w:r>
        <w:rPr>
          <w:rFonts w:hint="eastAsia" w:hAnsi="黑体" w:cs="黑体"/>
          <w:color w:val="auto"/>
          <w:sz w:val="28"/>
          <w:highlight w:val="none"/>
        </w:rPr>
        <w:instrText xml:space="preserve"> TOC \o "1-3" \h \z \u </w:instrText>
      </w:r>
      <w:r>
        <w:rPr>
          <w:rFonts w:hint="eastAsia" w:hAnsi="黑体" w:cs="黑体"/>
          <w:color w:val="auto"/>
          <w:sz w:val="28"/>
          <w:highlight w:val="none"/>
        </w:rPr>
        <w:fldChar w:fldCharType="separate"/>
      </w:r>
      <w:r>
        <w:rPr>
          <w:color w:val="auto"/>
          <w:highlight w:val="none"/>
        </w:rPr>
        <w:fldChar w:fldCharType="begin"/>
      </w:r>
      <w:r>
        <w:rPr>
          <w:color w:val="auto"/>
          <w:highlight w:val="none"/>
        </w:rPr>
        <w:instrText xml:space="preserve"> HYPERLINK \l "_Toc11661" </w:instrText>
      </w:r>
      <w:r>
        <w:rPr>
          <w:color w:val="auto"/>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779"/>
        <w:tabs>
          <w:tab w:val="clear" w:pos="9440" w:leader="none"/>
          <w:tab w:val="right" w:pos="9638" w:leader="dot"/>
        </w:tabs>
        <w:rPr>
          <w:color w:val="auto"/>
          <w:highlight w:val="none"/>
        </w:rPr>
      </w:pPr>
      <w:r>
        <w:rPr>
          <w:color w:val="auto"/>
          <w:highlight w:val="none"/>
        </w:rPr>
        <w:fldChar w:fldCharType="begin"/>
      </w:r>
      <w:r>
        <w:rPr>
          <w:color w:val="auto"/>
          <w:highlight w:val="none"/>
        </w:rPr>
        <w:instrText xml:space="preserve"> HYPERLINK \l "_Toc25790" </w:instrText>
      </w:r>
      <w:r>
        <w:rPr>
          <w:color w:val="auto"/>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79"/>
        <w:tabs>
          <w:tab w:val="clear" w:pos="9440" w:leader="none"/>
          <w:tab w:val="right" w:pos="9638" w:leader="dot"/>
        </w:tabs>
        <w:rPr>
          <w:color w:val="auto"/>
          <w:highlight w:val="none"/>
        </w:rPr>
      </w:pPr>
      <w:r>
        <w:rPr>
          <w:color w:val="auto"/>
          <w:highlight w:val="none"/>
        </w:rPr>
        <w:fldChar w:fldCharType="begin"/>
      </w:r>
      <w:r>
        <w:rPr>
          <w:color w:val="auto"/>
          <w:highlight w:val="none"/>
        </w:rPr>
        <w:instrText xml:space="preserve"> HYPERLINK \l "_Toc15893" </w:instrText>
      </w:r>
      <w:r>
        <w:rPr>
          <w:color w:val="auto"/>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79"/>
        <w:tabs>
          <w:tab w:val="clear" w:pos="9440" w:leader="none"/>
          <w:tab w:val="right" w:pos="9638" w:leader="dot"/>
        </w:tabs>
        <w:rPr>
          <w:color w:val="auto"/>
          <w:highlight w:val="none"/>
        </w:rPr>
      </w:pPr>
      <w:r>
        <w:rPr>
          <w:color w:val="auto"/>
          <w:highlight w:val="none"/>
        </w:rPr>
        <w:fldChar w:fldCharType="begin"/>
      </w:r>
      <w:r>
        <w:rPr>
          <w:color w:val="auto"/>
          <w:highlight w:val="none"/>
        </w:rPr>
        <w:instrText xml:space="preserve"> HYPERLINK \l "_Toc28833" </w:instrText>
      </w:r>
      <w:r>
        <w:rPr>
          <w:color w:val="auto"/>
          <w:highlight w:val="none"/>
        </w:rPr>
        <w:fldChar w:fldCharType="separate"/>
      </w:r>
      <w:r>
        <w:rPr>
          <w:rFonts w:hint="eastAsia"/>
          <w:color w:val="auto"/>
          <w:szCs w:val="36"/>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5</w:t>
      </w:r>
      <w:r>
        <w:rPr>
          <w:rFonts w:hint="eastAsia"/>
          <w:color w:val="auto"/>
          <w:highlight w:val="none"/>
          <w:lang w:val="en-US" w:eastAsia="zh-CN"/>
        </w:rPr>
        <w:t xml:space="preserve">5</w:t>
      </w:r>
      <w:r>
        <w:rPr>
          <w:color w:val="auto"/>
          <w:highlight w:val="none"/>
        </w:rPr>
        <w:fldChar w:fldCharType="end"/>
      </w:r>
      <w:r>
        <w:rPr>
          <w:color w:val="auto"/>
          <w:highlight w:val="none"/>
        </w:rPr>
        <w:fldChar w:fldCharType="end"/>
      </w:r>
      <w:r/>
    </w:p>
    <w:p>
      <w:pPr>
        <w:pStyle w:val="779"/>
        <w:tabs>
          <w:tab w:val="clear" w:pos="9440" w:leader="none"/>
          <w:tab w:val="right" w:pos="9638" w:leader="dot"/>
        </w:tabs>
        <w:rPr>
          <w:color w:val="auto"/>
          <w:highlight w:val="none"/>
        </w:rPr>
      </w:pPr>
      <w:r>
        <w:rPr>
          <w:color w:val="auto"/>
          <w:highlight w:val="none"/>
        </w:rPr>
        <w:fldChar w:fldCharType="begin"/>
      </w:r>
      <w:r>
        <w:rPr>
          <w:color w:val="auto"/>
          <w:highlight w:val="none"/>
        </w:rPr>
        <w:instrText xml:space="preserve"> HYPERLINK \l "_Toc20093" </w:instrText>
      </w:r>
      <w:r>
        <w:rPr>
          <w:color w:val="auto"/>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w:t>
      </w:r>
      <w:r>
        <w:rPr>
          <w:rFonts w:hint="eastAsia"/>
          <w:color w:val="auto"/>
          <w:highlight w:val="none"/>
          <w:lang w:val="en-US" w:eastAsia="zh-CN"/>
        </w:rPr>
        <w:t xml:space="preserve">9</w:t>
      </w:r>
      <w:r>
        <w:rPr>
          <w:color w:val="auto"/>
          <w:highlight w:val="none"/>
        </w:rPr>
        <w:fldChar w:fldCharType="end"/>
      </w:r>
      <w:r>
        <w:rPr>
          <w:color w:val="auto"/>
          <w:highlight w:val="none"/>
        </w:rPr>
        <w:fldChar w:fldCharType="end"/>
      </w:r>
      <w:r/>
    </w:p>
    <w:p>
      <w:pPr>
        <w:pStyle w:val="779"/>
        <w:tabs>
          <w:tab w:val="clear" w:pos="9440" w:leader="none"/>
          <w:tab w:val="right" w:pos="9638" w:leader="dot"/>
        </w:tabs>
        <w:rPr>
          <w:color w:val="auto"/>
          <w:highlight w:val="none"/>
        </w:rPr>
      </w:pPr>
      <w:r>
        <w:rPr>
          <w:color w:val="auto"/>
          <w:highlight w:val="none"/>
        </w:rPr>
        <w:fldChar w:fldCharType="begin"/>
      </w:r>
      <w:r>
        <w:rPr>
          <w:color w:val="auto"/>
          <w:highlight w:val="none"/>
        </w:rPr>
        <w:instrText xml:space="preserve"> HYPERLINK \l "_Toc2747" </w:instrText>
      </w:r>
      <w:r>
        <w:rPr>
          <w:color w:val="auto"/>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6</w:t>
      </w:r>
      <w:r>
        <w:rPr>
          <w:rFonts w:hint="eastAsia"/>
          <w:color w:val="auto"/>
          <w:highlight w:val="none"/>
          <w:lang w:val="en-US" w:eastAsia="zh-CN"/>
        </w:rPr>
        <w:t xml:space="preserve">3</w:t>
      </w:r>
      <w:r>
        <w:rPr>
          <w:color w:val="auto"/>
          <w:highlight w:val="none"/>
        </w:rPr>
        <w:fldChar w:fldCharType="end"/>
      </w:r>
      <w:r>
        <w:rPr>
          <w:color w:val="auto"/>
          <w:highlight w:val="none"/>
        </w:rPr>
        <w:fldChar w:fldCharType="end"/>
      </w:r>
      <w:r/>
    </w:p>
    <w:p>
      <w:pPr>
        <w:pStyle w:val="786"/>
        <w:tabs>
          <w:tab w:val="clear" w:pos="9440" w:leader="none"/>
          <w:tab w:val="right" w:pos="9638" w:leader="dot"/>
        </w:tabs>
        <w:rPr>
          <w:color w:val="auto"/>
          <w:highlight w:val="none"/>
        </w:rPr>
      </w:pPr>
      <w:r>
        <w:rPr>
          <w:color w:val="auto"/>
          <w:highlight w:val="none"/>
        </w:rPr>
      </w:r>
      <w:r/>
    </w:p>
    <w:p>
      <w:pPr>
        <w:spacing w:line="500" w:lineRule="exact"/>
        <w:rPr>
          <w:rFonts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46"/>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jc w:val="right"/>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46"/>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22"/>
      <w:r/>
      <w:bookmarkStart w:id="70" w:name="OLE_LINK7"/>
      <w:r/>
      <w:bookmarkStart w:id="71" w:name="OLE_LINK23"/>
      <w:r/>
      <w:bookmarkStart w:id="72" w:name="OLE_LINK21"/>
      <w:r/>
      <w:bookmarkStart w:id="73" w:name="OLE_LINK36"/>
      <w:r/>
      <w:bookmarkStart w:id="74" w:name="OLE_LINK16"/>
      <w:r/>
      <w:bookmarkStart w:id="75" w:name="OLE_LINK35"/>
      <w:r/>
      <w:bookmarkStart w:id="76" w:name="OLE_LINK10"/>
      <w:r/>
      <w:bookmarkStart w:id="77" w:name="OLE_LINK26"/>
      <w:r/>
      <w:bookmarkStart w:id="78" w:name="OLE_LINK19"/>
      <w:r/>
      <w:bookmarkStart w:id="79" w:name="OLE_LINK12"/>
      <w:r/>
      <w:bookmarkStart w:id="80" w:name="OLE_LINK20"/>
      <w:r/>
      <w:bookmarkStart w:id="81" w:name="OLE_LINK34"/>
      <w:r/>
      <w:bookmarkStart w:id="82" w:name="OLE_LINK11"/>
      <w:r/>
      <w:bookmarkStart w:id="83" w:name="OLE_LINK32"/>
      <w:r/>
      <w:bookmarkStart w:id="84" w:name="OLE_LINK28"/>
      <w:r/>
      <w:bookmarkStart w:id="85" w:name="OLE_LINK33"/>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rPr>
        <w:t xml:space="preserve">板桥小学田径场拆除重建工程（政府采购工程）（专门面向中小企业）</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rPr>
        <w:t xml:space="preserve">6</w:t>
      </w:r>
      <w:r>
        <w:rPr>
          <w:rFonts w:hAnsi="宋体"/>
          <w:b/>
          <w:bCs/>
          <w:color w:val="auto"/>
          <w:szCs w:val="21"/>
          <w:highlight w:val="none"/>
          <w:u w:val="single"/>
        </w:rPr>
        <w:t xml:space="preserve">年</w:t>
      </w:r>
      <w:r>
        <w:rPr>
          <w:rFonts w:hint="eastAsia" w:hAnsi="宋体"/>
          <w:b/>
          <w:bCs/>
          <w:color w:val="auto"/>
          <w:szCs w:val="21"/>
          <w:highlight w:val="none"/>
          <w:u w:val="single"/>
          <w:lang w:val="en-US" w:eastAsia="zh-CN"/>
        </w:rPr>
        <w:t xml:space="preserve"> 07</w:t>
      </w:r>
      <w:r>
        <w:rPr>
          <w:rFonts w:hAnsi="宋体"/>
          <w:b/>
          <w:bCs/>
          <w:color w:val="auto"/>
          <w:szCs w:val="21"/>
          <w:highlight w:val="none"/>
          <w:u w:val="single"/>
        </w:rPr>
        <w:t xml:space="preserve">月</w:t>
      </w:r>
      <w:r>
        <w:rPr>
          <w:rFonts w:hint="eastAsia" w:hAnsi="宋体"/>
          <w:b/>
          <w:bCs/>
          <w:color w:val="auto"/>
          <w:szCs w:val="21"/>
          <w:highlight w:val="none"/>
          <w:u w:val="single"/>
          <w:lang w:val="en-US" w:eastAsia="zh-CN"/>
        </w:rPr>
        <w:t xml:space="preserve">07</w:t>
      </w:r>
      <w:r>
        <w:rPr>
          <w:rFonts w:hAnsi="宋体"/>
          <w:b/>
          <w:bCs/>
          <w:color w:val="auto"/>
          <w:szCs w:val="21"/>
          <w:highlight w:val="none"/>
          <w:u w:val="single"/>
        </w:rPr>
        <w:t xml:space="preserve">日</w:t>
      </w:r>
      <w:r>
        <w:rPr>
          <w:rFonts w:hint="eastAsia" w:hAnsi="宋体"/>
          <w:b/>
          <w:bCs/>
          <w:color w:val="auto"/>
          <w:szCs w:val="21"/>
          <w:highlight w:val="none"/>
          <w:u w:val="single"/>
          <w:lang w:val="en-US" w:eastAsia="zh-CN"/>
        </w:rPr>
        <w:t xml:space="preserve">9</w:t>
      </w:r>
      <w:r>
        <w:rPr>
          <w:rFonts w:hAnsi="宋体"/>
          <w:b/>
          <w:bCs/>
          <w:color w:val="auto"/>
          <w:szCs w:val="21"/>
          <w:highlight w:val="none"/>
          <w:u w:val="single"/>
        </w:rPr>
        <w:t xml:space="preserve">点</w:t>
      </w:r>
      <w:r>
        <w:rPr>
          <w:rFonts w:hint="eastAsia"/>
          <w:b/>
          <w:bCs/>
          <w:color w:val="auto"/>
          <w:szCs w:val="21"/>
          <w:highlight w:val="none"/>
          <w:u w:val="single"/>
          <w:lang w:val="en-US" w:eastAsia="zh-CN"/>
        </w:rPr>
        <w:t xml:space="preserve">00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790"/>
        <w:numPr>
          <w:ilvl w:val="0"/>
          <w:numId w:val="1"/>
        </w:numPr>
        <w:contextualSpacing/>
        <w:ind w:firstLine="422"/>
        <w:spacing w:before="0" w:beforeAutospacing="0" w:after="0" w:afterAutospacing="0" w:line="360" w:lineRule="auto"/>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790"/>
        <w:contextualSpacing/>
        <w:ind w:firstLine="420"/>
        <w:spacing w:before="0" w:beforeAutospacing="0" w:after="0" w:afterAutospacing="0" w:line="360" w:lineRule="auto"/>
        <w:rPr>
          <w:rFonts w:hint="default"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项目编号：</w:t>
      </w:r>
      <w:r>
        <w:rPr>
          <w:rFonts w:hint="eastAsia" w:ascii="Times New Roman" w:cs="Times New Roman"/>
          <w:color w:val="auto"/>
          <w:sz w:val="21"/>
          <w:szCs w:val="21"/>
          <w:highlight w:val="none"/>
          <w:lang w:val="en-US" w:eastAsia="zh-CN"/>
        </w:rPr>
        <w:t xml:space="preserve">JSZC-320703-TYJT-C2026-0008</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项目名称：板桥小学田径场拆除重建工程（政府采购工程）（专门面向中小企业）</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ascii="Times New Roman" w:cs="Times New Roman"/>
          <w:b/>
          <w:bCs/>
          <w:color w:val="auto"/>
          <w:sz w:val="21"/>
          <w:szCs w:val="21"/>
          <w:highlight w:val="none"/>
          <w:lang w:val="en-US" w:eastAsia="zh-CN"/>
        </w:rPr>
        <w:t xml:space="preserve">150</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r>
      <w:r/>
    </w:p>
    <w:p>
      <w:pPr>
        <w:pStyle w:val="790"/>
        <w:contextualSpacing/>
        <w:ind w:firstLine="42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rPr>
        <w:t xml:space="preserve">最高限价：</w:t>
      </w:r>
      <w:r>
        <w:rPr>
          <w:rFonts w:hint="eastAsia" w:ascii="Times New Roman" w:cs="Times New Roman"/>
          <w:b/>
          <w:bCs/>
          <w:color w:val="auto"/>
          <w:sz w:val="21"/>
          <w:szCs w:val="21"/>
          <w:highlight w:val="none"/>
        </w:rPr>
        <w:t xml:space="preserve">人民币</w:t>
      </w:r>
      <w:r>
        <w:rPr>
          <w:rFonts w:hint="eastAsia" w:ascii="Times New Roman" w:cs="Times New Roman"/>
          <w:b/>
          <w:bCs/>
          <w:color w:val="auto"/>
          <w:sz w:val="21"/>
          <w:szCs w:val="21"/>
          <w:highlight w:val="none"/>
          <w:lang w:val="en-US" w:eastAsia="zh-CN"/>
        </w:rPr>
        <w:t xml:space="preserve">124.860483</w:t>
      </w:r>
      <w:r>
        <w:rPr>
          <w:rFonts w:hint="eastAsia" w:ascii="Times New Roman" w:cs="Times New Roman"/>
          <w:b/>
          <w:bCs/>
          <w:color w:val="auto"/>
          <w:sz w:val="21"/>
          <w:szCs w:val="21"/>
          <w:highlight w:val="none"/>
        </w:rPr>
        <w:t xml:space="preserve">万元，报价超过最高限价的按无效响应处理。</w:t>
      </w:r>
      <w:r/>
    </w:p>
    <w:p>
      <w:pPr>
        <w:pStyle w:val="790"/>
        <w:contextualSpacing/>
        <w:ind w:firstLine="420"/>
        <w:spacing w:before="0" w:beforeAutospacing="0" w:after="0" w:afterAutospacing="0" w:line="360" w:lineRule="auto"/>
        <w:rPr>
          <w:rFonts w:ascii="Times New Roman" w:cs="Times New Roman"/>
          <w:color w:val="auto"/>
          <w:sz w:val="21"/>
          <w:szCs w:val="21"/>
          <w:highlight w:val="none"/>
          <w:lang w:val="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rPr>
        <w:t xml:space="preserve">项目需求部分的询问、质疑请与采购人联系，由采购人负责答复</w:t>
      </w:r>
      <w:r/>
    </w:p>
    <w:p>
      <w:pPr>
        <w:pStyle w:val="790"/>
        <w:contextualSpacing/>
        <w:ind w:firstLine="420"/>
        <w:spacing w:before="0" w:beforeAutospacing="0" w:after="0" w:afterAutospacing="0" w:line="360" w:lineRule="auto"/>
        <w:rPr>
          <w:rFonts w:ascii="Times New Roman" w:cs="Times New Roman"/>
          <w:color w:val="auto"/>
          <w:sz w:val="21"/>
          <w:szCs w:val="21"/>
          <w:highlight w:val="none"/>
          <w:lang w:val="zh-CN"/>
        </w:rPr>
      </w:pPr>
      <w:r>
        <w:rPr>
          <w:rFonts w:hint="eastAsia" w:ascii="Times New Roman" w:cs="Times New Roman"/>
          <w:color w:val="auto"/>
          <w:sz w:val="21"/>
          <w:szCs w:val="21"/>
          <w:highlight w:val="none"/>
          <w:lang w:val="zh-CN"/>
        </w:rPr>
        <w:t xml:space="preserve">采购需求：拆旧新建塑胶跑道约2100m2、人造草坪更换约2400m2、篮球场地面改造约650平方米m2、以及校园老化路面及设施维修等；</w:t>
      </w:r>
      <w:r>
        <w:rPr>
          <w:rFonts w:hint="eastAsia" w:ascii="Times New Roman" w:cs="Times New Roman"/>
          <w:color w:val="auto"/>
          <w:sz w:val="21"/>
          <w:szCs w:val="21"/>
          <w:highlight w:val="none"/>
        </w:rPr>
        <w:t xml:space="preserve">具体详见磋商文件项目需求和工程量清单</w:t>
      </w:r>
      <w:r>
        <w:rPr>
          <w:rFonts w:hint="eastAsia" w:ascii="Times New Roman" w:cs="Times New Roman"/>
          <w:color w:val="auto"/>
          <w:sz w:val="21"/>
          <w:szCs w:val="21"/>
          <w:highlight w:val="none"/>
          <w:lang w:val="zh-CN"/>
        </w:rPr>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rPr>
        <w:t xml:space="preserve">3</w:t>
      </w:r>
      <w:r>
        <w:rPr>
          <w:rFonts w:hint="eastAsia" w:ascii="Times New Roman" w:cs="Times New Roman"/>
          <w:b/>
          <w:bCs/>
          <w:color w:val="auto"/>
          <w:sz w:val="21"/>
          <w:szCs w:val="21"/>
          <w:highlight w:val="none"/>
        </w:rPr>
        <w:t xml:space="preserve">0日历天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rPr>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建设地点：连云港市连云区板桥小学</w:t>
      </w:r>
      <w:r>
        <w:rPr>
          <w:rFonts w:hint="eastAsia" w:ascii="Times New Roman" w:cs="Times New Roman"/>
          <w:color w:val="auto"/>
          <w:sz w:val="21"/>
          <w:szCs w:val="21"/>
          <w:highlight w:val="none"/>
        </w:rPr>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承包方式：包工包料</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p>
    <w:p>
      <w:pPr>
        <w:pStyle w:val="790"/>
        <w:numPr>
          <w:ilvl w:val="0"/>
          <w:numId w:val="1"/>
        </w:numPr>
        <w:contextualSpacing/>
        <w:ind w:firstLine="422"/>
        <w:spacing w:before="0" w:beforeAutospacing="0" w:after="0" w:afterAutospacing="0" w:line="360" w:lineRule="auto"/>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（1）法人或者其他组织的营业执照等证明文件，自然人的身份证明；</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（2）上一年度的财务状况报告；（成立不满一年无需提供）</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90"/>
        <w:contextualSpacing/>
        <w:ind w:firstLine="63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注：（根据连财购〔2023〕4号文件精神，（2）、（3）项可以提供《财务状况报告及税收、社会保障资金缴纳情况承诺函》，详见磋商文件格式）</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（4）具备履行合同所必需的设备和专业技术能力的声明及证明材料（见磋商文件格式，按要求提供证明材料）；</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（5）参加政府采购活动前3年内在经营活动中没有重大违法记录的书面声明（详见磋商文件格式）；</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（6）法律、行政法规规定的其他条件。</w:t>
      </w:r>
      <w:r/>
    </w:p>
    <w:p>
      <w:pPr>
        <w:pStyle w:val="790"/>
        <w:contextualSpacing/>
        <w:ind w:firstLine="420"/>
        <w:spacing w:before="0" w:beforeAutospacing="0" w:after="0" w:afterAutospacing="0" w:line="360" w:lineRule="auto"/>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3、本项目的特定资格要求：</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（1）供应商具备：建设行政主管部门颁发的有效的</w:t>
      </w:r>
      <w:r>
        <w:rPr>
          <w:rFonts w:hint="eastAsia" w:ascii="Times New Roman" w:cs="Times New Roman"/>
          <w:b/>
          <w:bCs/>
          <w:color w:val="auto"/>
          <w:sz w:val="21"/>
          <w:szCs w:val="21"/>
          <w:highlight w:val="none"/>
        </w:rPr>
        <w:t xml:space="preserve">建筑工程施工总承包三级及以上资质</w:t>
      </w:r>
      <w:r>
        <w:rPr>
          <w:rFonts w:hint="eastAsia" w:ascii="Times New Roman" w:cs="Times New Roman"/>
          <w:color w:val="auto"/>
          <w:sz w:val="21"/>
          <w:szCs w:val="21"/>
          <w:highlight w:val="none"/>
        </w:rPr>
        <w:t xml:space="preserve">，且具有有效的安全生产许可证；（</w:t>
      </w:r>
      <w:r>
        <w:rPr>
          <w:rFonts w:hint="eastAsia" w:ascii="Times New Roman" w:cs="Times New Roman"/>
          <w:b/>
          <w:bCs/>
          <w:color w:val="auto"/>
          <w:sz w:val="21"/>
          <w:szCs w:val="21"/>
          <w:highlight w:val="none"/>
        </w:rPr>
        <w:t xml:space="preserve">在有效期内，提供供应商资质证书、安全生产证书扫描件</w:t>
      </w:r>
      <w:r>
        <w:rPr>
          <w:rFonts w:hint="eastAsia" w:ascii="Times New Roman" w:cs="Times New Roman"/>
          <w:color w:val="auto"/>
          <w:sz w:val="21"/>
          <w:szCs w:val="21"/>
          <w:highlight w:val="none"/>
        </w:rPr>
        <w:t xml:space="preserve">）</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（2）项目负责人具备：建设行政主管部门颁发的有效的</w:t>
      </w:r>
      <w:r>
        <w:rPr>
          <w:rFonts w:hint="eastAsia" w:ascii="Times New Roman" w:cs="Times New Roman"/>
          <w:b/>
          <w:bCs/>
          <w:color w:val="auto"/>
          <w:sz w:val="21"/>
          <w:szCs w:val="21"/>
          <w:highlight w:val="none"/>
        </w:rPr>
        <w:t xml:space="preserve">建筑工程专业注册建造师二级及以上资质</w:t>
      </w:r>
      <w:r>
        <w:rPr>
          <w:rFonts w:hint="eastAsia" w:ascii="Times New Roman" w:cs="Times New Roman"/>
          <w:color w:val="auto"/>
          <w:sz w:val="21"/>
          <w:szCs w:val="21"/>
          <w:highlight w:val="none"/>
        </w:rPr>
        <w:t xml:space="preserve">，同时具备有效的建造师安全生产考核合格证（B 类）；本项目要求授权委托人必须为项目负责人，不接受项目负责人以外的人员作为委托人参与磋商过程中各环节的活动。拟派项目负责人必须为供应商的员工，提供近202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03</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b/>
          <w:bCs/>
          <w:color w:val="auto"/>
          <w:sz w:val="21"/>
          <w:szCs w:val="21"/>
          <w:highlight w:val="none"/>
        </w:rPr>
        <w:t xml:space="preserve">提供项目负责人建造师证书、安全生产考核合格证（B类）、社保缴纳证明扫描件</w:t>
      </w:r>
      <w:r>
        <w:rPr>
          <w:rFonts w:hint="eastAsia" w:ascii="Times New Roman" w:cs="Times New Roman"/>
          <w:color w:val="auto"/>
          <w:sz w:val="21"/>
          <w:szCs w:val="21"/>
          <w:highlight w:val="none"/>
        </w:rPr>
        <w:t xml:space="preserve">）</w:t>
      </w:r>
      <w:r/>
    </w:p>
    <w:p>
      <w:pPr>
        <w:pStyle w:val="790"/>
        <w:contextualSpacing/>
        <w:ind w:firstLine="42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（3）供应商无不良行为、无借牌挂靠行为、项目负责人无不良行为承诺书，供应商、法定代表人、项目负责人无行贿犯罪记录承诺书；（</w:t>
      </w:r>
      <w:r>
        <w:rPr>
          <w:rFonts w:hint="eastAsia" w:ascii="Times New Roman" w:cs="Times New Roman"/>
          <w:b/>
          <w:bCs/>
          <w:color w:val="auto"/>
          <w:sz w:val="21"/>
          <w:szCs w:val="21"/>
          <w:highlight w:val="none"/>
        </w:rPr>
        <w:t xml:space="preserve">见供应商承诺书格式</w:t>
      </w:r>
      <w:r>
        <w:rPr>
          <w:rFonts w:hint="eastAsia" w:ascii="Times New Roman" w:cs="Times New Roman"/>
          <w:color w:val="auto"/>
          <w:sz w:val="21"/>
          <w:szCs w:val="21"/>
          <w:highlight w:val="none"/>
        </w:rPr>
        <w:t xml:space="preserve">）</w:t>
      </w:r>
      <w:r/>
    </w:p>
    <w:p>
      <w:pPr>
        <w:ind w:firstLine="420"/>
        <w:jc w:val="both"/>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本项目执行江苏省住房和城乡建设厅《关于开展建筑业企业资质动态监管工作的公告》、江苏省住房和城乡建设厅公告</w:t>
      </w:r>
      <w:r>
        <w:rPr>
          <w:rFonts w:hint="eastAsia" w:ascii="Times New Roman" w:cs="Times New Roman"/>
          <w:b/>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bidi="ar-SA"/>
        </w:rPr>
        <w:t xml:space="preserve">2018</w:t>
      </w:r>
      <w:r>
        <w:rPr>
          <w:rFonts w:hint="eastAsia" w:ascii="Times New Roman" w:cs="Times New Roman"/>
          <w:b/>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bidi="ar-SA"/>
        </w:rPr>
        <w:t xml:space="preserve">第6号、连建发</w:t>
      </w:r>
      <w:r>
        <w:rPr>
          <w:rFonts w:hint="eastAsia" w:ascii="Times New Roman" w:cs="Times New Roman"/>
          <w:b/>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bidi="ar-SA"/>
        </w:rPr>
        <w:t xml:space="preserve">2019</w:t>
      </w:r>
      <w:r>
        <w:rPr>
          <w:rFonts w:hint="eastAsia" w:ascii="Times New Roman" w:cs="Times New Roman"/>
          <w:b/>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bidi="ar-SA"/>
        </w:rPr>
        <w:t xml:space="preserve">182号文，关于企业资质动态核查，由供应商在响应文件中作出书面承诺（见“磋商供应商响应承诺书”），供应商的建筑业企业资质动态监管结果由采购人在响应文件递交截止时间当日登录“江苏省建筑市场监管与诚信信息一体化平台”进行查询获取，若响应有效期内企业资质核查不合格，将主动放弃成交资格。（核查资质指采购文件所要求的相应资质）；</w:t>
      </w:r>
      <w:r/>
    </w:p>
    <w:p>
      <w:pPr>
        <w:pStyle w:val="1063"/>
        <w:ind w:firstLine="480"/>
        <w:pageBreakBefore w:val="0"/>
        <w:spacing w:line="360" w:lineRule="auto"/>
        <w:rPr>
          <w:rFonts w:hint="eastAsia" w:asci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4）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bookmarkEnd w:id="67"/>
      <w:bookmarkEnd w:id="68"/>
      <w:r/>
    </w:p>
    <w:p>
      <w:pPr>
        <w:contextualSpacing/>
        <w:ind w:firstLine="422"/>
        <w:jc w:val="left"/>
        <w:spacing w:line="360" w:lineRule="auto"/>
        <w:widowControl/>
        <w:rPr>
          <w:b/>
          <w:color w:val="auto"/>
          <w:szCs w:val="21"/>
          <w:highlight w:val="none"/>
        </w:rPr>
      </w:pPr>
      <w:r>
        <w:rPr>
          <w:rFonts w:hint="eastAsia"/>
          <w:b/>
          <w:color w:val="auto"/>
          <w:szCs w:val="21"/>
          <w:highlight w:val="none"/>
        </w:rPr>
        <w:t xml:space="preserve">三、磋商文件的获取</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（1）时间：自磋商文件公告发布起5个工作日；</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（2）方式：在“江苏政府采购网”自行免费下载磋商文件。</w:t>
      </w:r>
      <w:r/>
    </w:p>
    <w:p>
      <w:pPr>
        <w:pStyle w:val="790"/>
        <w:contextualSpacing/>
        <w:ind w:firstLine="1054"/>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790"/>
        <w:contextualSpacing/>
        <w:ind w:firstLine="84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①登录http://jszfcg.jsczt.cn/ ，或进入江苏政府采购网，点击“苏采云”进入系统。</w:t>
      </w:r>
      <w:r/>
    </w:p>
    <w:p>
      <w:pPr>
        <w:pStyle w:val="790"/>
        <w:contextualSpacing/>
        <w:ind w:firstLine="84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Times New Roman" w:cs="Times New Roman"/>
          <w:b/>
          <w:bCs/>
          <w:color w:val="auto"/>
          <w:sz w:val="21"/>
          <w:szCs w:val="21"/>
          <w:highlight w:val="none"/>
        </w:rPr>
        <w:t xml:space="preserve">具体见《江苏省政府采购管理交易系统(苏采云)供应商操作手册》。</w:t>
      </w:r>
      <w:r/>
    </w:p>
    <w:p>
      <w:pPr>
        <w:pStyle w:val="790"/>
        <w:contextualSpacing/>
        <w:ind w:firstLine="84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③潜在供应商访问“苏采云”系统的网络地址和方法:“苏采云”系统的网址:http://jszfcg.jsczt.cn/。</w:t>
      </w:r>
      <w:r/>
    </w:p>
    <w:p>
      <w:pPr>
        <w:pStyle w:val="790"/>
        <w:contextualSpacing/>
        <w:ind w:firstLine="84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790"/>
        <w:contextualSpacing/>
        <w:ind w:firstLine="84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⑤采购文件(后缀名为“.kedt”)、供应商操作手册及政府采购客户端工具可通过“苏采云”系统--已报名项目--报名详情页面内相应链接进行下载。</w:t>
      </w:r>
      <w:r/>
    </w:p>
    <w:p>
      <w:pPr>
        <w:pStyle w:val="790"/>
        <w:contextualSpacing/>
        <w:ind w:firstLine="84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⑥采购中心将数据电文形式的采购文件加载至“苏采云”系统，供潜在供应商下载或者查阅。</w:t>
      </w:r>
      <w:r/>
    </w:p>
    <w:p>
      <w:pPr>
        <w:pStyle w:val="790"/>
        <w:contextualSpacing/>
        <w:ind w:firstLine="84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⑦请潜在供应商提前安装相应的控件(详见《江苏省政府采购管理交易系统(苏采云)供应商操作手册&gt;)并使用谷歌浏览器登录“苏采云”系统参与不见面开评标。</w:t>
      </w:r>
      <w:r/>
    </w:p>
    <w:p>
      <w:pPr>
        <w:contextualSpacing/>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时间：2026年</w:t>
      </w:r>
      <w:r>
        <w:rPr>
          <w:rFonts w:hint="eastAsia" w:ascii="宋体" w:hAnsi="宋体" w:cs="宋体"/>
          <w:b/>
          <w:color w:val="auto"/>
          <w:szCs w:val="21"/>
          <w:highlight w:val="none"/>
          <w:lang w:val="en-US" w:eastAsia="zh-CN"/>
        </w:rPr>
        <w:t xml:space="preserve"> 07</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 07</w:t>
      </w:r>
      <w:r>
        <w:rPr>
          <w:rFonts w:hint="eastAsia" w:ascii="宋体" w:hAnsi="宋体" w:cs="宋体"/>
          <w:b/>
          <w:color w:val="auto"/>
          <w:szCs w:val="21"/>
          <w:highlight w:val="none"/>
        </w:rPr>
        <w:t xml:space="preserve">日</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时</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0分（北京时间）</w:t>
      </w:r>
      <w:r/>
    </w:p>
    <w:p>
      <w:pPr>
        <w:contextualSpacing/>
        <w:ind w:firstLine="527"/>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地址：江苏省政府采购管理交易系统(苏采云)网上开标大厅。</w:t>
      </w:r>
      <w:r/>
    </w:p>
    <w:p>
      <w:pPr>
        <w:contextualSpacing/>
        <w:ind w:firstLine="52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时间：2026年</w:t>
      </w:r>
      <w:r>
        <w:rPr>
          <w:rFonts w:hint="eastAsia" w:ascii="宋体" w:hAnsi="宋体" w:cs="宋体"/>
          <w:b/>
          <w:color w:val="auto"/>
          <w:szCs w:val="21"/>
          <w:highlight w:val="none"/>
          <w:lang w:val="en-US" w:eastAsia="zh-CN"/>
        </w:rPr>
        <w:t xml:space="preserve"> 07</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 07</w:t>
      </w:r>
      <w:r>
        <w:rPr>
          <w:rFonts w:hint="eastAsia" w:ascii="宋体" w:hAnsi="宋体" w:cs="宋体"/>
          <w:b/>
          <w:color w:val="auto"/>
          <w:szCs w:val="21"/>
          <w:highlight w:val="none"/>
        </w:rPr>
        <w:t xml:space="preserve">日</w:t>
      </w:r>
      <w:r>
        <w:rPr>
          <w:rFonts w:hint="eastAsia" w:ascii="宋体" w:hAnsi="宋体" w:cs="宋体"/>
          <w:b/>
          <w:color w:val="auto"/>
          <w:szCs w:val="21"/>
          <w:highlight w:val="none"/>
          <w:lang w:val="en-US" w:eastAsia="zh-CN"/>
        </w:rPr>
        <w:t xml:space="preserve">09</w:t>
      </w:r>
      <w:r>
        <w:rPr>
          <w:rFonts w:hint="eastAsia" w:ascii="宋体" w:hAnsi="宋体" w:cs="宋体"/>
          <w:b/>
          <w:color w:val="auto"/>
          <w:szCs w:val="21"/>
          <w:highlight w:val="none"/>
        </w:rPr>
        <w:t xml:space="preserve">时</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0分（北京时间）</w:t>
      </w:r>
      <w:r/>
    </w:p>
    <w:p>
      <w:pPr>
        <w:contextualSpacing/>
        <w:ind w:firstLine="527"/>
        <w:jc w:val="left"/>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地址：江苏省政府采购管理交易系统(苏采云)网上开标大厅。</w:t>
      </w:r>
      <w:r/>
    </w:p>
    <w:p>
      <w:pPr>
        <w:pStyle w:val="790"/>
        <w:contextualSpacing/>
        <w:ind w:firstLine="422"/>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五、公告期限</w:t>
      </w:r>
      <w:r/>
    </w:p>
    <w:p>
      <w:pPr>
        <w:pStyle w:val="790"/>
        <w:contextualSpacing/>
        <w:ind w:firstLine="420"/>
        <w:spacing w:before="0" w:beforeAutospacing="0" w:after="0" w:afterAutospacing="0" w:line="360" w:lineRule="auto"/>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本项目公告期限时间为：自本公告发布之日起3个工作日。</w:t>
      </w:r>
      <w:r/>
    </w:p>
    <w:p>
      <w:pPr>
        <w:pStyle w:val="790"/>
        <w:contextualSpacing/>
        <w:ind w:firstLine="422"/>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1、本次磋商采购不收取磋商保证金。</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2、本磋商文件中斜体且有下划线部分为实质性要求和条件，由采购人根据实际情况设置，供应商须逐条明确作出满足实质性要求和条件的响应，否则将按无效响应处理。</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http://www.ccgp-jiangsu.gov.cn/jiangsu/zlxz/ee/ee3a4bc5a3454aa2b0d9312230633ce9.html</w:t>
      </w:r>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90"/>
        <w:contextualSpacing/>
        <w:ind w:firstLine="422"/>
        <w:spacing w:before="0" w:beforeAutospacing="0" w:after="0" w:afterAutospacing="0" w:line="360" w:lineRule="auto"/>
        <w:rPr>
          <w:b/>
          <w:color w:val="auto"/>
          <w:sz w:val="21"/>
          <w:szCs w:val="21"/>
          <w:highlight w:val="none"/>
        </w:rPr>
      </w:pPr>
      <w:r>
        <w:rPr>
          <w:rFonts w:hint="eastAsia"/>
          <w:b/>
          <w:color w:val="auto"/>
          <w:sz w:val="21"/>
          <w:szCs w:val="21"/>
          <w:highlight w:val="none"/>
        </w:rPr>
        <w:t xml:space="preserve">七</w:t>
      </w:r>
      <w:r>
        <w:rPr>
          <w:b/>
          <w:color w:val="auto"/>
          <w:sz w:val="21"/>
          <w:szCs w:val="21"/>
          <w:highlight w:val="none"/>
        </w:rPr>
        <w:t xml:space="preserve">、本次磋商联系</w:t>
      </w:r>
      <w:r>
        <w:rPr>
          <w:rFonts w:ascii="Times New Roman" w:cs="Times New Roman"/>
          <w:b/>
          <w:color w:val="auto"/>
          <w:sz w:val="21"/>
          <w:szCs w:val="21"/>
          <w:highlight w:val="none"/>
        </w:rPr>
        <w:t xml:space="preserve">事项</w:t>
      </w:r>
      <w:r>
        <w:rPr>
          <w:b/>
          <w:color w:val="auto"/>
          <w:sz w:val="21"/>
          <w:szCs w:val="21"/>
          <w:highlight w:val="none"/>
        </w:rPr>
        <w:t xml:space="preserve">：</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p>
    <w:p>
      <w:pPr>
        <w:pStyle w:val="790"/>
        <w:contextualSpacing/>
        <w:ind w:firstLine="42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1、采购单位  </w:t>
      </w:r>
      <w:r/>
    </w:p>
    <w:p>
      <w:pPr>
        <w:pStyle w:val="790"/>
        <w:contextualSpacing/>
        <w:ind w:firstLine="84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lang w:val="en-US" w:eastAsia="zh-CN"/>
        </w:rPr>
        <w:t xml:space="preserve">采购人</w:t>
      </w:r>
      <w:r>
        <w:rPr>
          <w:rFonts w:hint="eastAsia" w:ascii="Times New Roman" w:cs="Times New Roman"/>
          <w:color w:val="auto"/>
          <w:sz w:val="21"/>
          <w:szCs w:val="21"/>
          <w:highlight w:val="none"/>
        </w:rPr>
        <w:t xml:space="preserve">名称：连云港市板桥中心小学</w:t>
      </w:r>
      <w:r/>
    </w:p>
    <w:p>
      <w:pPr>
        <w:pStyle w:val="790"/>
        <w:contextualSpacing/>
        <w:ind w:firstLine="84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地　　址：江苏省连云港市连云区板桥西路19号</w:t>
      </w:r>
      <w:r/>
    </w:p>
    <w:p>
      <w:pPr>
        <w:pStyle w:val="790"/>
        <w:contextualSpacing/>
        <w:ind w:firstLine="840"/>
        <w:spacing w:before="0" w:beforeAutospacing="0" w:after="0" w:afterAutospacing="0" w:line="360" w:lineRule="auto"/>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联 系 人：朱</w:t>
      </w:r>
      <w:r>
        <w:rPr>
          <w:rFonts w:hint="eastAsia" w:ascii="Times New Roman" w:cs="Times New Roman"/>
          <w:color w:val="auto"/>
          <w:sz w:val="21"/>
          <w:szCs w:val="21"/>
          <w:highlight w:val="none"/>
          <w:lang w:val="en-US" w:eastAsia="zh-CN"/>
        </w:rPr>
        <w:t xml:space="preserve">老师</w:t>
      </w:r>
      <w:r/>
    </w:p>
    <w:p>
      <w:pPr>
        <w:pStyle w:val="790"/>
        <w:contextualSpacing/>
        <w:ind w:firstLine="84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联系电话：0518-80202102</w:t>
      </w:r>
      <w:r/>
    </w:p>
    <w:p>
      <w:pPr>
        <w:pStyle w:val="790"/>
        <w:contextualSpacing/>
        <w:ind w:firstLine="84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2、采购代理机构信息</w:t>
      </w:r>
      <w:r/>
    </w:p>
    <w:p>
      <w:pPr>
        <w:ind w:firstLine="840"/>
        <w:spacing w:line="360" w:lineRule="auto"/>
        <w:rPr>
          <w:rFonts w:hint="eastAsia" w:ascii="Times New Roman" w:cs="Times New Roman"/>
          <w:color w:val="auto"/>
          <w:sz w:val="21"/>
          <w:szCs w:val="21"/>
          <w:highlight w:val="none"/>
          <w:lang w:eastAsia="zh-CN"/>
        </w:rPr>
      </w:pPr>
      <w:r>
        <w:rPr>
          <w:rFonts w:hint="eastAsia" w:cs="Times New Roman"/>
          <w:color w:val="auto"/>
          <w:sz w:val="21"/>
          <w:szCs w:val="21"/>
          <w:highlight w:val="none"/>
          <w:lang w:val="en-US" w:eastAsia="zh-CN"/>
        </w:rPr>
        <w:t xml:space="preserve">代理机构</w:t>
      </w:r>
      <w:r>
        <w:rPr>
          <w:rFonts w:hint="eastAsia" w:ascii="Times New Roman" w:cs="Times New Roman"/>
          <w:color w:val="auto"/>
          <w:sz w:val="21"/>
          <w:szCs w:val="21"/>
          <w:highlight w:val="none"/>
        </w:rPr>
        <w:t xml:space="preserve">名称：</w:t>
      </w:r>
      <w:r>
        <w:rPr>
          <w:rFonts w:hint="eastAsia" w:ascii="Times New Roman" w:cs="Times New Roman"/>
          <w:color w:val="auto"/>
          <w:sz w:val="21"/>
          <w:szCs w:val="21"/>
          <w:highlight w:val="none"/>
          <w:lang w:eastAsia="zh-CN"/>
        </w:rPr>
        <w:t xml:space="preserve">江苏天园项目管理集团有限公司 </w:t>
      </w:r>
      <w:r/>
    </w:p>
    <w:p>
      <w:pPr>
        <w:ind w:firstLine="840"/>
        <w:spacing w:line="360" w:lineRule="auto"/>
        <w:rPr>
          <w:rFonts w:hint="eastAsia" w:ascii="Times New Roman" w:cs="Times New Roman"/>
          <w:color w:val="auto"/>
          <w:sz w:val="21"/>
          <w:szCs w:val="21"/>
          <w:highlight w:val="none"/>
          <w:lang w:val="en-US" w:eastAsia="zh-CN"/>
        </w:rPr>
      </w:pPr>
      <w:r>
        <w:rPr>
          <w:rFonts w:hint="eastAsia" w:ascii="Times New Roman" w:cs="Times New Roman"/>
          <w:color w:val="auto"/>
          <w:sz w:val="21"/>
          <w:szCs w:val="21"/>
          <w:highlight w:val="none"/>
        </w:rPr>
        <w:t xml:space="preserve">地　　址：连云港市海州区</w:t>
      </w:r>
      <w:r>
        <w:rPr>
          <w:rFonts w:hint="eastAsia" w:ascii="Times New Roman" w:cs="Times New Roman"/>
          <w:color w:val="auto"/>
          <w:sz w:val="21"/>
          <w:szCs w:val="21"/>
          <w:highlight w:val="none"/>
          <w:lang w:val="en-US" w:eastAsia="zh-CN"/>
        </w:rPr>
        <w:t xml:space="preserve">海连东路42号杰瑞科技创意产业园F3号楼9楼</w:t>
      </w:r>
      <w:r/>
    </w:p>
    <w:p>
      <w:pPr>
        <w:ind w:firstLine="840"/>
        <w:spacing w:line="360" w:lineRule="auto"/>
        <w:rPr>
          <w:rFonts w:hint="eastAsia" w:ascii="Times New Roman" w:cs="Times New Roman"/>
          <w:color w:val="auto"/>
          <w:sz w:val="21"/>
          <w:szCs w:val="21"/>
          <w:highlight w:val="none"/>
        </w:rPr>
      </w:pPr>
      <w:r/>
      <w:bookmarkStart w:id="86" w:name="_Toc28359098"/>
      <w:r/>
      <w:bookmarkStart w:id="87" w:name="_Toc28359021"/>
      <w:r/>
      <w:bookmarkStart w:id="88" w:name="_Toc35393639"/>
      <w:r/>
      <w:bookmarkStart w:id="89" w:name="_Toc35393808"/>
      <w:r>
        <w:rPr>
          <w:rFonts w:hint="eastAsia" w:ascii="Times New Roman" w:cs="Times New Roman"/>
          <w:color w:val="auto"/>
          <w:sz w:val="21"/>
          <w:szCs w:val="21"/>
          <w:highlight w:val="none"/>
          <w:lang w:eastAsia="zh-CN"/>
        </w:rPr>
        <w:t xml:space="preserve">联</w:t>
      </w:r>
      <w:r>
        <w:rPr>
          <w:rFonts w:hint="eastAsia" w:ascii="Times New Roman" w:cs="Times New Roman"/>
          <w:color w:val="auto"/>
          <w:sz w:val="21"/>
          <w:szCs w:val="21"/>
          <w:highlight w:val="none"/>
          <w:lang w:val="en-US" w:eastAsia="zh-CN"/>
        </w:rPr>
        <w:t xml:space="preserve"> </w:t>
      </w:r>
      <w:r>
        <w:rPr>
          <w:rFonts w:hint="eastAsia" w:ascii="Times New Roman" w:cs="Times New Roman"/>
          <w:color w:val="auto"/>
          <w:sz w:val="21"/>
          <w:szCs w:val="21"/>
          <w:highlight w:val="none"/>
          <w:lang w:eastAsia="zh-CN"/>
        </w:rPr>
        <w:t xml:space="preserve">系</w:t>
      </w:r>
      <w:r>
        <w:rPr>
          <w:rFonts w:hint="eastAsia" w:ascii="Times New Roman" w:cs="Times New Roman"/>
          <w:color w:val="auto"/>
          <w:sz w:val="21"/>
          <w:szCs w:val="21"/>
          <w:highlight w:val="none"/>
          <w:lang w:val="en-US" w:eastAsia="zh-CN"/>
        </w:rPr>
        <w:t xml:space="preserve"> </w:t>
      </w:r>
      <w:r>
        <w:rPr>
          <w:rFonts w:hint="eastAsia" w:ascii="Times New Roman" w:cs="Times New Roman"/>
          <w:color w:val="auto"/>
          <w:sz w:val="21"/>
          <w:szCs w:val="21"/>
          <w:highlight w:val="none"/>
          <w:lang w:eastAsia="zh-CN"/>
        </w:rPr>
        <w:t xml:space="preserve">人：</w:t>
      </w:r>
      <w:r>
        <w:rPr>
          <w:rFonts w:hint="eastAsia" w:ascii="Times New Roman" w:cs="Times New Roman"/>
          <w:color w:val="auto"/>
          <w:sz w:val="21"/>
          <w:szCs w:val="21"/>
          <w:highlight w:val="none"/>
          <w:lang w:val="en-US" w:eastAsia="zh-CN"/>
        </w:rPr>
        <w:t xml:space="preserve">颜</w:t>
      </w:r>
      <w:r>
        <w:rPr>
          <w:rFonts w:hint="eastAsia" w:ascii="Times New Roman" w:cs="Times New Roman"/>
          <w:color w:val="auto"/>
          <w:sz w:val="21"/>
          <w:szCs w:val="21"/>
          <w:highlight w:val="none"/>
        </w:rPr>
        <w:t xml:space="preserve">工</w:t>
      </w:r>
      <w:r/>
    </w:p>
    <w:p>
      <w:pPr>
        <w:ind w:firstLine="840"/>
        <w:spacing w:line="360" w:lineRule="auto"/>
        <w:rPr>
          <w:rFonts w:hint="eastAsia"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联系电话：</w:t>
      </w:r>
      <w:r>
        <w:rPr>
          <w:rFonts w:hint="eastAsia" w:ascii="Times New Roman" w:cs="Times New Roman"/>
          <w:color w:val="auto"/>
          <w:sz w:val="21"/>
          <w:szCs w:val="21"/>
          <w:highlight w:val="none"/>
        </w:rPr>
        <w:t xml:space="preserve">0518-81880036</w:t>
      </w:r>
      <w:r/>
    </w:p>
    <w:p>
      <w:pPr>
        <w:ind w:firstLine="840"/>
        <w:spacing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3.项目联系方式</w:t>
      </w:r>
      <w:bookmarkEnd w:id="86"/>
      <w:r/>
      <w:bookmarkEnd w:id="87"/>
      <w:r/>
      <w:bookmarkEnd w:id="88"/>
      <w:r/>
      <w:bookmarkEnd w:id="89"/>
      <w:r/>
      <w:r/>
    </w:p>
    <w:p>
      <w:pPr>
        <w:ind w:firstLine="840"/>
        <w:spacing w:line="360" w:lineRule="auto"/>
        <w:rPr>
          <w:rFonts w:hint="eastAsia" w:ascii="Times New Roman" w:cs="Times New Roman"/>
          <w:color w:val="auto"/>
          <w:sz w:val="21"/>
          <w:szCs w:val="21"/>
          <w:highlight w:val="none"/>
          <w:lang w:val="en-US" w:eastAsia="zh-CN"/>
        </w:rPr>
      </w:pPr>
      <w:r>
        <w:rPr>
          <w:rFonts w:hint="eastAsia" w:ascii="Times New Roman" w:cs="Times New Roman"/>
          <w:color w:val="auto"/>
          <w:sz w:val="21"/>
          <w:szCs w:val="21"/>
          <w:highlight w:val="none"/>
        </w:rPr>
        <w:t xml:space="preserve">项目联系人：</w:t>
      </w:r>
      <w:r>
        <w:rPr>
          <w:rFonts w:hint="eastAsia" w:ascii="Times New Roman" w:cs="Times New Roman"/>
          <w:color w:val="auto"/>
          <w:sz w:val="21"/>
          <w:szCs w:val="21"/>
          <w:highlight w:val="none"/>
          <w:lang w:val="en-US" w:eastAsia="zh-CN"/>
        </w:rPr>
        <w:t xml:space="preserve">颜</w:t>
      </w:r>
      <w:r>
        <w:rPr>
          <w:rFonts w:hint="eastAsia" w:ascii="Times New Roman" w:cs="Times New Roman"/>
          <w:color w:val="auto"/>
          <w:sz w:val="21"/>
          <w:szCs w:val="21"/>
          <w:highlight w:val="none"/>
        </w:rPr>
        <w:t xml:space="preserve">工</w:t>
      </w:r>
      <w:r/>
    </w:p>
    <w:p>
      <w:pPr>
        <w:ind w:firstLine="840"/>
        <w:spacing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电　 </w:t>
      </w:r>
      <w:r>
        <w:rPr>
          <w:rFonts w:hint="eastAsia" w:ascii="Times New Roman" w:cs="Times New Roman"/>
          <w:color w:val="auto"/>
          <w:sz w:val="21"/>
          <w:szCs w:val="21"/>
          <w:highlight w:val="none"/>
          <w:lang w:val="en-US" w:eastAsia="zh-CN"/>
        </w:rPr>
        <w:t xml:space="preserve">  </w:t>
      </w:r>
      <w:r>
        <w:rPr>
          <w:rFonts w:hint="eastAsia" w:ascii="Times New Roman" w:cs="Times New Roman"/>
          <w:color w:val="auto"/>
          <w:sz w:val="21"/>
          <w:szCs w:val="21"/>
          <w:highlight w:val="none"/>
        </w:rPr>
        <w:t xml:space="preserve"> 话</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0518-81880036</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八、电子招投标说明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1.根据省财政厅《关于更换全省政</w:t>
      </w:r>
      <w:r>
        <w:rPr>
          <w:rFonts w:hint="eastAsia" w:ascii="宋体" w:hAnsi="宋体" w:cs="宋体"/>
          <w:color w:val="auto"/>
          <w:szCs w:val="21"/>
          <w:highlight w:val="none"/>
        </w:rPr>
        <w:t xml:space="preserve">府采购交易系统CA数字证书和电子签章的通知》（苏财购〔2023〕101号），江苏省政府采购管理交易系统(苏采云)（以下简称苏采云系统）的CA数字证书、电子签章已更换为江苏省电子政务证书认证中心C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领取CA和办理电子签章，具体联系方式见《苏采云系统供应商操作手册》（以下简称《操作手册》））、进行注册并按《操作手册》要求制作、上传电子响应文件。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757"/>
        <w:spacing w:line="360" w:lineRule="auto"/>
        <w:rPr>
          <w:color w:val="auto"/>
          <w:highlight w:val="none"/>
        </w:rPr>
      </w:pPr>
      <w:r>
        <w:rPr>
          <w:color w:val="auto"/>
          <w:highlight w:val="none"/>
        </w:rPr>
      </w:r>
      <w:r/>
    </w:p>
    <w:p>
      <w:pPr>
        <w:pStyle w:val="757"/>
        <w:jc w:val="right"/>
        <w:spacing w:line="360" w:lineRule="auto"/>
        <w:rPr>
          <w:rFonts w:ascii="宋体" w:hAnsi="宋体" w:eastAsia="宋体" w:cs="宋体"/>
          <w:b/>
          <w:bCs/>
          <w:color w:val="auto"/>
          <w:sz w:val="21"/>
          <w:szCs w:val="21"/>
          <w:highlight w:val="none"/>
        </w:rPr>
        <w:sectPr>
          <w:footerReference w:type="default" r:id="rId13"/>
          <w:footnotePr/>
          <w:endnotePr/>
          <w:type w:val="nextPage"/>
          <w:pgSz w:w="11906" w:h="16838" w:orient="portrait"/>
          <w:pgMar w:top="1134" w:right="1134" w:bottom="1134" w:left="1134" w:header="851" w:footer="828" w:gutter="0"/>
          <w:pgNumType w:start="1"/>
          <w:cols w:num="1" w:sep="0" w:space="720" w:equalWidth="1"/>
          <w:docGrid w:linePitch="360"/>
        </w:sectPr>
      </w:pPr>
      <w:r/>
      <w:bookmarkStart w:id="241" w:name="_GoBack"/>
      <w:r/>
      <w:bookmarkEnd w:id="241"/>
      <w:r>
        <w:rPr>
          <w:rFonts w:hint="eastAsia" w:ascii="宋体" w:hAnsi="宋体" w:eastAsia="宋体" w:cs="宋体"/>
          <w:b/>
          <w:bCs/>
          <w:color w:val="auto"/>
          <w:sz w:val="21"/>
          <w:szCs w:val="21"/>
          <w:highlight w:val="none"/>
        </w:rPr>
        <w:t xml:space="preserve"> 2026年</w:t>
      </w:r>
      <w:r>
        <w:rPr>
          <w:rFonts w:hint="eastAsia" w:ascii="宋体" w:hAnsi="宋体" w:eastAsia="宋体" w:cs="宋体"/>
          <w:b/>
          <w:bCs/>
          <w:color w:val="auto"/>
          <w:sz w:val="21"/>
          <w:szCs w:val="21"/>
          <w:highlight w:val="none"/>
          <w:lang w:val="en-US" w:eastAsia="zh-CN"/>
        </w:rPr>
        <w:t xml:space="preserve"> 06</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 25</w:t>
      </w:r>
      <w:r>
        <w:rPr>
          <w:rFonts w:hint="eastAsia" w:ascii="宋体" w:hAnsi="宋体" w:eastAsia="宋体" w:cs="宋体"/>
          <w:b/>
          <w:bCs/>
          <w:color w:val="auto"/>
          <w:sz w:val="21"/>
          <w:szCs w:val="21"/>
          <w:highlight w:val="none"/>
        </w:rPr>
        <w:t xml:space="preserve">日</w:t>
      </w:r>
      <w:r/>
    </w:p>
    <w:p>
      <w:pPr>
        <w:rPr>
          <w:color w:val="auto"/>
          <w:highlight w:val="none"/>
        </w:rPr>
      </w:pPr>
      <w:r/>
      <w:bookmarkStart w:id="90" w:name="_Toc61149549"/>
      <w:r/>
      <w:bookmarkStart w:id="91" w:name="_Toc513029209"/>
      <w:r/>
      <w:bookmarkStart w:id="92" w:name="_Toc14577347"/>
      <w:r/>
      <w:r/>
    </w:p>
    <w:p>
      <w:pPr>
        <w:pStyle w:val="746"/>
        <w:ind w:firstLine="3253"/>
        <w:spacing w:line="500" w:lineRule="exact"/>
        <w:rPr>
          <w:rFonts w:ascii="Times New Roman" w:eastAsia="宋体"/>
          <w:b/>
          <w:color w:val="auto"/>
          <w:sz w:val="36"/>
          <w:szCs w:val="36"/>
          <w:highlight w:val="none"/>
        </w:rPr>
      </w:pPr>
      <w:r/>
      <w:bookmarkStart w:id="93" w:name="_Toc25790"/>
      <w:r>
        <w:rPr>
          <w:rFonts w:ascii="Times New Roman" w:eastAsia="宋体"/>
          <w:b/>
          <w:color w:val="auto"/>
          <w:sz w:val="36"/>
          <w:szCs w:val="36"/>
          <w:highlight w:val="none"/>
        </w:rPr>
        <w:t xml:space="preserve">第二章  磋商须知</w:t>
      </w:r>
      <w:bookmarkEnd w:id="93"/>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90"/>
      <w:r/>
      <w:bookmarkEnd w:id="91"/>
      <w:r/>
      <w:bookmarkEnd w:id="92"/>
      <w:r/>
      <w:r/>
    </w:p>
    <w:p>
      <w:pPr>
        <w:keepLines/>
        <w:keepNext/>
        <w:spacing w:before="120" w:after="120" w:line="360" w:lineRule="auto"/>
        <w:rPr>
          <w:rFonts w:ascii="黑体" w:hAnsi="黑体" w:eastAsia="黑体" w:cs="宋体"/>
          <w:bCs/>
          <w:color w:val="auto"/>
          <w:szCs w:val="21"/>
          <w:highlight w:val="none"/>
        </w:rPr>
        <w:outlineLvl w:val="1"/>
      </w:pPr>
      <w:r/>
      <w:bookmarkStart w:id="94" w:name="_Toc25775"/>
      <w:r/>
      <w:bookmarkStart w:id="95" w:name="_Toc513029237"/>
      <w:r/>
      <w:bookmarkStart w:id="96" w:name="_Toc20823309"/>
      <w:r/>
      <w:bookmarkStart w:id="97" w:name="_Toc16938553"/>
      <w:r>
        <w:rPr>
          <w:rFonts w:hint="eastAsia" w:ascii="黑体" w:hAnsi="黑体" w:eastAsia="黑体" w:cs="宋体"/>
          <w:bCs/>
          <w:color w:val="auto"/>
          <w:szCs w:val="21"/>
          <w:highlight w:val="none"/>
        </w:rPr>
        <w:t xml:space="preserve">一、总则</w:t>
      </w:r>
      <w:bookmarkEnd w:id="94"/>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2、项目采购方式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3.1满足磋商公告中供应商资格要求的规定。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满足本磋商文件实质性要求和条件的规定。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color w:val="auto"/>
          <w:szCs w:val="21"/>
          <w:highlight w:val="none"/>
        </w:rPr>
        <w:t xml:space="preserve">4.1 </w:t>
      </w:r>
      <w:r>
        <w:rPr>
          <w:rFonts w:hint="eastAsia" w:ascii="宋体" w:hAnsi="宋体" w:eastAsia="宋体" w:cs="Times New Roman"/>
          <w:color w:val="auto"/>
          <w:szCs w:val="21"/>
          <w:highlight w:val="none"/>
        </w:rPr>
        <w:t xml:space="preserve">供应商应自行承担所有与参加本次磋商有关的费用，无论磋商过程中的做法和结果如何，</w:t>
      </w:r>
      <w:r>
        <w:rPr>
          <w:rFonts w:hint="eastAsia" w:ascii="宋体" w:hAnsi="宋体" w:eastAsia="宋体" w:cs="Times New Roman"/>
          <w:color w:val="auto"/>
          <w:szCs w:val="21"/>
          <w:highlight w:val="none"/>
          <w:lang w:val="en-US" w:eastAsia="zh-CN"/>
        </w:rPr>
        <w:t xml:space="preserve">本</w:t>
      </w:r>
      <w:r>
        <w:rPr>
          <w:rFonts w:hint="eastAsia" w:ascii="宋体" w:hAnsi="宋体" w:eastAsia="宋体" w:cs="Times New Roman"/>
          <w:color w:val="auto"/>
          <w:szCs w:val="21"/>
          <w:highlight w:val="none"/>
          <w:lang w:eastAsia="zh-CN"/>
        </w:rPr>
        <w:t xml:space="preserve">公司 </w:t>
      </w:r>
      <w:r>
        <w:rPr>
          <w:rFonts w:hint="eastAsia" w:ascii="宋体" w:hAnsi="宋体" w:eastAsia="宋体" w:cs="Times New Roman"/>
          <w:color w:val="auto"/>
          <w:szCs w:val="21"/>
          <w:highlight w:val="none"/>
        </w:rPr>
        <w:t xml:space="preserve">（以下简称</w:t>
      </w:r>
      <w:r>
        <w:rPr>
          <w:rFonts w:hint="eastAsia" w:ascii="宋体" w:hAnsi="宋体" w:eastAsia="宋体" w:cs="Times New Roman"/>
          <w:color w:val="auto"/>
          <w:szCs w:val="21"/>
          <w:highlight w:val="none"/>
          <w:lang w:val="en-US" w:eastAsia="zh-CN"/>
        </w:rPr>
        <w:t xml:space="preserve">代理机构</w:t>
      </w:r>
      <w:r>
        <w:rPr>
          <w:rFonts w:hint="eastAsia" w:ascii="宋体" w:hAnsi="宋体" w:eastAsia="宋体" w:cs="Times New Roman"/>
          <w:color w:val="auto"/>
          <w:szCs w:val="21"/>
          <w:highlight w:val="none"/>
        </w:rPr>
        <w:t xml:space="preserve">）在任何情况下均无义务和责任承担这些费用。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4.2</w:t>
      </w:r>
      <w:r>
        <w:rPr>
          <w:rFonts w:hint="eastAsia" w:ascii="宋体" w:hAnsi="宋体"/>
          <w:color w:val="auto"/>
          <w:szCs w:val="21"/>
          <w:highlight w:val="none"/>
        </w:rPr>
        <w:t xml:space="preserve">本次磋商供应商报价时应考虑以下费用：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eastAsia="宋体" w:cs="Times New Roman"/>
          <w:color w:val="auto"/>
          <w:szCs w:val="21"/>
          <w:highlight w:val="none"/>
        </w:rPr>
        <w:t xml:space="preserve">招标代理服务费参照《江苏省招标代理服务收费的指导意见》（苏招协〔2022〕002号文）</w:t>
      </w:r>
      <w:r>
        <w:rPr>
          <w:rFonts w:hint="eastAsia" w:ascii="宋体" w:hAnsi="宋体" w:eastAsia="宋体" w:cs="Times New Roman"/>
          <w:color w:val="auto"/>
          <w:szCs w:val="21"/>
          <w:highlight w:val="none"/>
        </w:rPr>
        <w:t xml:space="preserve">规定标准下浮</w:t>
      </w:r>
      <w:r>
        <w:rPr>
          <w:rFonts w:hint="eastAsia" w:ascii="宋体" w:hAnsi="宋体" w:cs="Times New Roman"/>
          <w:color w:val="auto"/>
          <w:szCs w:val="21"/>
          <w:highlight w:val="none"/>
          <w:lang w:val="en-US" w:eastAsia="zh-CN"/>
        </w:rPr>
        <w:t xml:space="preserve">55</w:t>
      </w:r>
      <w:r>
        <w:rPr>
          <w:rFonts w:hint="eastAsia" w:ascii="宋体" w:hAnsi="宋体" w:eastAsia="宋体" w:cs="Times New Roman"/>
          <w:color w:val="auto"/>
          <w:szCs w:val="21"/>
          <w:highlight w:val="none"/>
        </w:rPr>
        <w:t xml:space="preserve">%计取，约</w:t>
      </w:r>
      <w:r>
        <w:rPr>
          <w:rFonts w:hint="eastAsia" w:ascii="宋体" w:hAnsi="宋体" w:cs="Times New Roman"/>
          <w:color w:val="auto"/>
          <w:szCs w:val="21"/>
          <w:highlight w:val="none"/>
          <w:lang w:val="en-US" w:eastAsia="zh-CN"/>
        </w:rPr>
        <w:t xml:space="preserve">壹万叁仟壹佰陆拾贰</w:t>
      </w:r>
      <w:r>
        <w:rPr>
          <w:rFonts w:hint="eastAsia" w:ascii="宋体" w:hAnsi="宋体" w:eastAsia="宋体" w:cs="Times New Roman"/>
          <w:color w:val="auto"/>
          <w:szCs w:val="21"/>
          <w:highlight w:val="none"/>
        </w:rPr>
        <w:t xml:space="preserve">元（￥</w:t>
      </w:r>
      <w:r>
        <w:rPr>
          <w:rFonts w:hint="eastAsia" w:ascii="宋体" w:hAnsi="宋体" w:cs="Times New Roman"/>
          <w:color w:val="auto"/>
          <w:szCs w:val="21"/>
          <w:highlight w:val="none"/>
          <w:lang w:val="en-US" w:eastAsia="zh-CN"/>
        </w:rPr>
        <w:t xml:space="preserve">13162</w:t>
      </w:r>
      <w:r>
        <w:rPr>
          <w:rFonts w:hint="eastAsia" w:ascii="宋体" w:hAnsi="宋体" w:eastAsia="宋体" w:cs="Times New Roman"/>
          <w:color w:val="auto"/>
          <w:szCs w:val="21"/>
          <w:highlight w:val="none"/>
        </w:rPr>
        <w:t xml:space="preserve">元）</w:t>
      </w:r>
      <w:r>
        <w:rPr>
          <w:rFonts w:hint="eastAsia" w:ascii="宋体" w:hAnsi="宋体"/>
          <w:color w:val="auto"/>
          <w:szCs w:val="21"/>
          <w:highlight w:val="none"/>
        </w:rPr>
        <w:t xml:space="preserve">。</w:t>
      </w:r>
      <w:r/>
    </w:p>
    <w:p>
      <w:pPr>
        <w:ind w:firstLine="422"/>
        <w:jc w:val="left"/>
        <w:spacing w:line="360" w:lineRule="auto"/>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注：上述费用成交供应商领取成交通知书时</w:t>
      </w:r>
      <w:r>
        <w:rPr>
          <w:rFonts w:hint="eastAsia" w:ascii="宋体" w:hAnsi="宋体"/>
          <w:b/>
          <w:bCs/>
          <w:color w:val="auto"/>
          <w:szCs w:val="21"/>
          <w:highlight w:val="none"/>
          <w:lang w:val="en-US" w:eastAsia="zh-CN"/>
        </w:rPr>
        <w:t xml:space="preserve">一次性支付</w:t>
      </w:r>
      <w:r>
        <w:rPr>
          <w:rFonts w:hint="eastAsia" w:ascii="宋体" w:hAnsi="宋体"/>
          <w:b/>
          <w:bCs/>
          <w:color w:val="auto"/>
          <w:szCs w:val="21"/>
          <w:highlight w:val="none"/>
        </w:rPr>
        <w:t xml:space="preserve">，磋商</w:t>
      </w:r>
      <w:r>
        <w:rPr>
          <w:rFonts w:hint="eastAsia" w:ascii="宋体" w:hAnsi="宋体"/>
          <w:b/>
          <w:bCs/>
          <w:color w:val="auto"/>
          <w:szCs w:val="21"/>
          <w:highlight w:val="none"/>
          <w:lang w:val="en-US" w:eastAsia="zh-CN"/>
        </w:rPr>
        <w:t xml:space="preserve">供</w:t>
      </w:r>
      <w:r>
        <w:rPr>
          <w:rFonts w:hint="eastAsia" w:ascii="宋体" w:hAnsi="宋体"/>
          <w:b/>
          <w:bCs/>
          <w:color w:val="auto"/>
          <w:szCs w:val="21"/>
          <w:highlight w:val="none"/>
        </w:rPr>
        <w:t xml:space="preserve">应商将此费用综合考虑在</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rPr>
        <w:t xml:space="preserve">报价中，采购人不</w:t>
      </w:r>
      <w:r>
        <w:rPr>
          <w:rFonts w:hint="eastAsia" w:ascii="宋体" w:hAnsi="宋体"/>
          <w:b/>
          <w:bCs/>
          <w:color w:val="auto"/>
          <w:szCs w:val="21"/>
          <w:highlight w:val="none"/>
          <w:lang w:val="en-US" w:eastAsia="zh-CN"/>
        </w:rPr>
        <w:t xml:space="preserve">再</w:t>
      </w:r>
      <w:r>
        <w:rPr>
          <w:rFonts w:hint="eastAsia" w:ascii="宋体" w:hAnsi="宋体"/>
          <w:b/>
          <w:bCs/>
          <w:color w:val="auto"/>
          <w:szCs w:val="21"/>
          <w:highlight w:val="none"/>
        </w:rPr>
        <w:t xml:space="preserve">另行支付。</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w:t>
      </w:r>
      <w:bookmarkStart w:id="98" w:name="_Toc462564070"/>
      <w:r/>
      <w:bookmarkStart w:id="99" w:name="_Toc16938527"/>
      <w:r/>
      <w:bookmarkStart w:id="100" w:name="_Toc513029211"/>
      <w:r/>
      <w:bookmarkStart w:id="101" w:name="_Toc20823283"/>
      <w:r>
        <w:rPr>
          <w:rFonts w:hint="eastAsia" w:ascii="宋体" w:hAnsi="宋体"/>
          <w:color w:val="auto"/>
          <w:szCs w:val="21"/>
          <w:highlight w:val="none"/>
        </w:rPr>
        <w:t xml:space="preserve">磋商文件的</w:t>
      </w:r>
      <w:bookmarkEnd w:id="98"/>
      <w:r/>
      <w:bookmarkEnd w:id="99"/>
      <w:r/>
      <w:bookmarkEnd w:id="100"/>
      <w:r/>
      <w:bookmarkEnd w:id="101"/>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w:t>
      </w:r>
      <w:r>
        <w:rPr>
          <w:rFonts w:hint="eastAsia" w:ascii="宋体" w:hAnsi="宋体"/>
          <w:color w:val="auto"/>
          <w:szCs w:val="21"/>
          <w:highlight w:val="none"/>
          <w:lang w:val="en-US" w:eastAsia="zh-CN"/>
        </w:rPr>
        <w:t xml:space="preserve">以书面形式通知</w:t>
      </w:r>
      <w:r>
        <w:rPr>
          <w:rFonts w:hint="eastAsia" w:ascii="宋体" w:hAnsi="宋体"/>
          <w:color w:val="auto"/>
          <w:szCs w:val="21"/>
          <w:highlight w:val="none"/>
        </w:rPr>
        <w:t xml:space="preserve">代理机构。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w:t>
      </w:r>
      <w:r>
        <w:rPr>
          <w:rFonts w:hint="eastAsia" w:ascii="宋体" w:hAnsi="宋体"/>
          <w:color w:val="auto"/>
          <w:szCs w:val="21"/>
          <w:highlight w:val="none"/>
          <w:lang w:val="en-US" w:eastAsia="zh-CN"/>
        </w:rPr>
        <w:t xml:space="preserve">书面更正</w:t>
      </w:r>
      <w:r>
        <w:rPr>
          <w:rFonts w:hint="eastAsia" w:ascii="宋体" w:hAnsi="宋体"/>
          <w:color w:val="auto"/>
          <w:szCs w:val="21"/>
          <w:highlight w:val="none"/>
        </w:rPr>
        <w:t xml:space="preserve">公告形式通知所有获取磋商文件的供应商。不足五日的，代理机构应当顺延提交首次响应文件截止时间。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bCs/>
          <w:color w:val="auto"/>
          <w:szCs w:val="21"/>
          <w:highlight w:val="none"/>
        </w:rPr>
        <w:t xml:space="preserve">7.1 本磋商文件</w:t>
      </w:r>
      <w:r>
        <w:rPr>
          <w:rFonts w:hint="eastAsia" w:ascii="宋体" w:hAnsi="宋体" w:eastAsia="宋体" w:cs="Times New Roman"/>
          <w:color w:val="auto"/>
          <w:szCs w:val="21"/>
          <w:highlight w:val="none"/>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Times New Roman"/>
          <w:color w:val="auto"/>
          <w:szCs w:val="21"/>
          <w:highlight w:val="none"/>
          <w:lang w:eastAsia="zh-CN"/>
        </w:rPr>
        <w:t xml:space="preserve">。</w:t>
      </w:r>
      <w:r/>
    </w:p>
    <w:p>
      <w:pPr>
        <w:keepLines/>
        <w:keepNext/>
        <w:spacing w:before="120" w:after="120" w:line="360" w:lineRule="auto"/>
        <w:rPr>
          <w:rFonts w:ascii="黑体" w:hAnsi="黑体" w:eastAsia="黑体" w:cs="宋体"/>
          <w:bCs/>
          <w:color w:val="auto"/>
          <w:szCs w:val="21"/>
          <w:highlight w:val="none"/>
        </w:rPr>
        <w:outlineLvl w:val="1"/>
      </w:pPr>
      <w:r/>
      <w:bookmarkStart w:id="102" w:name="_Hlt26668969"/>
      <w:r/>
      <w:bookmarkEnd w:id="102"/>
      <w:r/>
      <w:bookmarkStart w:id="103" w:name="_Hlt26954830"/>
      <w:r/>
      <w:bookmarkEnd w:id="103"/>
      <w:r/>
      <w:bookmarkStart w:id="104" w:name="_Hlt26670345"/>
      <w:r/>
      <w:bookmarkEnd w:id="104"/>
      <w:r/>
      <w:bookmarkStart w:id="105" w:name="_Hlt26670354"/>
      <w:r/>
      <w:bookmarkEnd w:id="105"/>
      <w:r/>
      <w:bookmarkStart w:id="106" w:name="_Hlt26954828"/>
      <w:r/>
      <w:bookmarkEnd w:id="106"/>
      <w:r/>
      <w:bookmarkStart w:id="107" w:name="_Hlt26670348"/>
      <w:r/>
      <w:bookmarkEnd w:id="107"/>
      <w:r/>
      <w:bookmarkStart w:id="108" w:name="_Hlt26954832"/>
      <w:r/>
      <w:bookmarkEnd w:id="108"/>
      <w:r/>
      <w:bookmarkStart w:id="109" w:name="_Toc61149553"/>
      <w:r/>
      <w:bookmarkStart w:id="110" w:name="_Toc14577351"/>
      <w:r/>
      <w:bookmarkStart w:id="111" w:name="_Toc462564072"/>
      <w:r/>
      <w:bookmarkStart w:id="112" w:name="_Toc513029213"/>
      <w:r/>
      <w:bookmarkStart w:id="113" w:name="_Toc11837"/>
      <w:r>
        <w:rPr>
          <w:rFonts w:hint="eastAsia" w:ascii="黑体" w:hAnsi="黑体" w:eastAsia="黑体" w:cs="宋体"/>
          <w:bCs/>
          <w:color w:val="auto"/>
          <w:szCs w:val="21"/>
          <w:highlight w:val="none"/>
        </w:rPr>
        <w:t xml:space="preserve">二、磋商响应文件的编制</w:t>
      </w:r>
      <w:bookmarkEnd w:id="109"/>
      <w:r/>
      <w:bookmarkEnd w:id="110"/>
      <w:r/>
      <w:bookmarkEnd w:id="111"/>
      <w:r/>
      <w:bookmarkEnd w:id="112"/>
      <w:r>
        <w:rPr>
          <w:rFonts w:hint="eastAsia" w:ascii="黑体" w:hAnsi="黑体" w:eastAsia="黑体" w:cs="宋体"/>
          <w:bCs/>
          <w:color w:val="auto"/>
          <w:szCs w:val="21"/>
          <w:highlight w:val="none"/>
        </w:rPr>
        <w:t xml:space="preserve">及保证金收取</w:t>
      </w:r>
      <w:bookmarkEnd w:id="113"/>
      <w:r/>
      <w:r/>
    </w:p>
    <w:p>
      <w:pPr>
        <w:ind w:firstLine="420"/>
        <w:jc w:val="left"/>
        <w:spacing w:line="360" w:lineRule="auto"/>
        <w:tabs>
          <w:tab w:val="left" w:pos="900" w:leader="none"/>
        </w:tabs>
        <w:rPr>
          <w:rFonts w:ascii="宋体" w:hAnsi="宋体"/>
          <w:color w:val="auto"/>
          <w:szCs w:val="21"/>
          <w:highlight w:val="none"/>
        </w:rPr>
      </w:pPr>
      <w:r/>
      <w:bookmarkStart w:id="114" w:name="_Hlt26954834"/>
      <w:r/>
      <w:bookmarkEnd w:id="114"/>
      <w:r/>
      <w:bookmarkStart w:id="115" w:name="_Toc513029215"/>
      <w:r/>
      <w:bookmarkStart w:id="116" w:name="_Toc14577353"/>
      <w:r/>
      <w:bookmarkStart w:id="117" w:name="_Toc61149555"/>
      <w:r/>
      <w:bookmarkStart w:id="118" w:name="_Toc462564074"/>
      <w:r/>
      <w:bookmarkStart w:id="119" w:name="_Toc513029214"/>
      <w:r/>
      <w:bookmarkStart w:id="120" w:name="_Toc14577352"/>
      <w:r/>
      <w:bookmarkStart w:id="121" w:name="_Toc462564073"/>
      <w:r/>
      <w:bookmarkStart w:id="122" w:name="_Toc61149554"/>
      <w:r>
        <w:rPr>
          <w:rFonts w:hint="eastAsia" w:ascii="宋体" w:hAnsi="宋体"/>
          <w:color w:val="auto"/>
          <w:szCs w:val="21"/>
          <w:highlight w:val="none"/>
        </w:rPr>
        <w:t xml:space="preserve">1、响应文件</w:t>
      </w:r>
      <w:bookmarkEnd w:id="115"/>
      <w:r/>
      <w:bookmarkEnd w:id="116"/>
      <w:r/>
      <w:bookmarkEnd w:id="117"/>
      <w:r/>
      <w:bookmarkEnd w:id="118"/>
      <w:r>
        <w:rPr>
          <w:rFonts w:hint="eastAsia" w:ascii="宋体" w:hAnsi="宋体"/>
          <w:color w:val="auto"/>
          <w:szCs w:val="21"/>
          <w:highlight w:val="none"/>
        </w:rPr>
        <w:t xml:space="preserve">编制要求</w:t>
      </w:r>
      <w:bookmarkEnd w:id="119"/>
      <w:r/>
      <w:bookmarkEnd w:id="120"/>
      <w:r/>
      <w:bookmarkEnd w:id="121"/>
      <w:r/>
      <w:bookmarkEnd w:id="122"/>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23" w:name="_Hlt26954836"/>
      <w:r/>
      <w:bookmarkEnd w:id="123"/>
      <w:r/>
      <w:bookmarkStart w:id="124" w:name="_Hlt26670357"/>
      <w:r/>
      <w:bookmarkEnd w:id="124"/>
      <w:r/>
      <w:bookmarkStart w:id="125" w:name="_Toc61149558"/>
      <w:r/>
      <w:bookmarkStart w:id="126" w:name="_Toc14577357"/>
      <w:r/>
      <w:bookmarkStart w:id="127" w:name="_Toc513029219"/>
      <w:r/>
      <w:bookmarkStart w:id="128" w:name="_Toc513029217"/>
      <w:r/>
      <w:bookmarkStart w:id="129" w:name="_Toc14577355"/>
      <w:r/>
      <w:bookmarkStart w:id="130" w:name="_Toc61149557"/>
      <w:r>
        <w:rPr>
          <w:rFonts w:hint="eastAsia" w:ascii="宋体" w:hAnsi="宋体"/>
          <w:color w:val="auto"/>
          <w:szCs w:val="21"/>
          <w:highlight w:val="none"/>
        </w:rPr>
        <w:t xml:space="preserve">2、参加磋商供应商资格的文件</w:t>
      </w:r>
      <w:bookmarkEnd w:id="125"/>
      <w:r/>
      <w:bookmarkEnd w:id="126"/>
      <w:r/>
      <w:bookmarkEnd w:id="127"/>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31" w:name="_Hlt26668999"/>
      <w:r/>
      <w:bookmarkEnd w:id="131"/>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bookmarkEnd w:id="128"/>
      <w:r/>
      <w:bookmarkEnd w:id="129"/>
      <w:r/>
      <w:bookmarkEnd w:id="130"/>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磋商报价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3.1.2 磋商报价方式：本工程采用下列第(2)种方式。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3.1.3 磋商报价的计价方法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3.1.4 可选用的工程预算、费用定额和政策性文件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w:t>
      </w:r>
      <w:r>
        <w:rPr>
          <w:rFonts w:hint="eastAsia" w:ascii="宋体" w:hAnsi="宋体"/>
          <w:color w:val="auto"/>
          <w:szCs w:val="21"/>
          <w:highlight w:val="none"/>
          <w:lang w:val="en-US" w:eastAsia="zh-CN"/>
        </w:rPr>
        <w:t xml:space="preserve">连云港市</w:t>
      </w:r>
      <w:r>
        <w:rPr>
          <w:rFonts w:hint="eastAsia" w:ascii="宋体" w:hAnsi="宋体"/>
          <w:color w:val="auto"/>
          <w:szCs w:val="21"/>
          <w:highlight w:val="none"/>
        </w:rPr>
        <w:t xml:space="preserve">建设工程材料信息价》。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3.2报价货币</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3.2.1 磋商应以人民币报价。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磋商报价的编制要求。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工程中产生的垃圾均需由成交供应商自行负责清运，费用由成交供应商承担。</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3.7采购人向供应商提供的有关施工现场的资料和数据是采购人现有的能使供应商利用的资料。采购人对供应商由此做出的推论、理解和结论概不负责。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ascii="宋体" w:hAnsi="宋体" w:cs="宋体"/>
          <w:color w:val="auto"/>
          <w:highlight w:val="none"/>
        </w:rPr>
      </w:pPr>
      <w:r>
        <w:rPr>
          <w:rFonts w:hint="eastAsia" w:ascii="宋体" w:hAnsi="宋体"/>
          <w:color w:val="auto"/>
          <w:szCs w:val="21"/>
          <w:highlight w:val="none"/>
        </w:rPr>
        <w:t xml:space="preserve">3.9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32" w:name="_Hlt26668983"/>
      <w:r/>
      <w:bookmarkEnd w:id="132"/>
      <w:r/>
      <w:bookmarkStart w:id="133" w:name="_Hlt26670425"/>
      <w:r/>
      <w:bookmarkEnd w:id="133"/>
      <w:r/>
      <w:bookmarkStart w:id="134" w:name="_Hlt26954846"/>
      <w:r/>
      <w:bookmarkEnd w:id="134"/>
      <w:r/>
      <w:bookmarkStart w:id="135" w:name="_Hlt26954848"/>
      <w:r/>
      <w:bookmarkEnd w:id="135"/>
      <w:r/>
      <w:bookmarkStart w:id="136" w:name="_Hlt26954731"/>
      <w:r/>
      <w:bookmarkEnd w:id="136"/>
      <w:r/>
      <w:bookmarkStart w:id="137" w:name="_Hlt26954844"/>
      <w:r/>
      <w:bookmarkEnd w:id="137"/>
      <w:r/>
      <w:bookmarkStart w:id="138" w:name="_Hlt26954842"/>
      <w:r/>
      <w:bookmarkEnd w:id="138"/>
      <w:r/>
      <w:bookmarkStart w:id="139" w:name="_Hlt26670482"/>
      <w:r/>
      <w:bookmarkEnd w:id="139"/>
      <w:r/>
      <w:bookmarkStart w:id="140" w:name="_Hlt26670403"/>
      <w:r/>
      <w:bookmarkEnd w:id="140"/>
      <w:r/>
      <w:bookmarkStart w:id="141" w:name="_Hlt26670486"/>
      <w:r/>
      <w:bookmarkEnd w:id="141"/>
      <w:r/>
      <w:bookmarkStart w:id="142" w:name="_Toc61149559"/>
      <w:r/>
      <w:bookmarkStart w:id="143" w:name="_Toc14577359"/>
      <w:r/>
      <w:bookmarkStart w:id="144" w:name="_Toc513029221"/>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42"/>
      <w:r/>
      <w:bookmarkEnd w:id="143"/>
      <w:r/>
      <w:bookmarkEnd w:id="144"/>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（3）报价明细表（首次磋商报价明细表）：按磋商文件中工程量清单报价。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5" w:name="_Hlt26954739"/>
      <w:r/>
      <w:bookmarkEnd w:id="145"/>
      <w:r/>
      <w:bookmarkStart w:id="146" w:name="_Hlt26670489"/>
      <w:r/>
      <w:bookmarkEnd w:id="146"/>
      <w:r/>
      <w:bookmarkStart w:id="147" w:name="_Hlt26954850"/>
      <w:r/>
      <w:bookmarkEnd w:id="147"/>
      <w:r/>
      <w:bookmarkStart w:id="148" w:name="_Hlt26954749"/>
      <w:r/>
      <w:bookmarkEnd w:id="148"/>
      <w:r/>
      <w:bookmarkStart w:id="149" w:name="_Hlt26954852"/>
      <w:r/>
      <w:bookmarkEnd w:id="149"/>
      <w:r/>
      <w:bookmarkStart w:id="150" w:name="_Hlt26954854"/>
      <w:r/>
      <w:bookmarkEnd w:id="150"/>
      <w:r/>
      <w:bookmarkStart w:id="151" w:name="_Hlt26670493"/>
      <w:r/>
      <w:bookmarkEnd w:id="151"/>
      <w:r/>
      <w:bookmarkStart w:id="152" w:name="_Hlt26954734"/>
      <w:r/>
      <w:bookmarkEnd w:id="152"/>
      <w:r/>
      <w:bookmarkStart w:id="153" w:name="_Toc1959"/>
      <w:r/>
      <w:bookmarkStart w:id="154" w:name="_Toc61149562"/>
      <w:r/>
      <w:bookmarkStart w:id="155" w:name="_Toc513029224"/>
      <w:r/>
      <w:bookmarkStart w:id="156" w:name="_Toc14577362"/>
      <w:r>
        <w:rPr>
          <w:rFonts w:hint="eastAsia" w:ascii="黑体" w:hAnsi="黑体" w:eastAsia="黑体" w:cs="宋体"/>
          <w:bCs/>
          <w:color w:val="auto"/>
          <w:szCs w:val="21"/>
          <w:highlight w:val="none"/>
        </w:rPr>
        <w:t xml:space="preserve">三、</w:t>
      </w:r>
      <w:bookmarkEnd w:id="153"/>
      <w:r/>
      <w:bookmarkEnd w:id="154"/>
      <w:r/>
      <w:bookmarkEnd w:id="155"/>
      <w:r/>
      <w:bookmarkEnd w:id="156"/>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7" w:name="_Hlt26954856"/>
      <w:r/>
      <w:bookmarkEnd w:id="157"/>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2、提交响应文件截止时间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2.1供应商上传电子响应文件的时间不得迟于磋商公告中规定的提交响应文件截止时间。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采购中心可以按照规定，通过修改磋商文件酌情延长提交响应文件截止日期，在此情况下，供应商的所有权利和义务以及供应商受制的截止日期均应以延长后新的截止日期为准。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8" w:name="_Hlt26954864"/>
      <w:r/>
      <w:bookmarkEnd w:id="158"/>
      <w:r/>
      <w:bookmarkStart w:id="159" w:name="_Hlt26670523"/>
      <w:r/>
      <w:bookmarkEnd w:id="159"/>
      <w:r/>
      <w:bookmarkStart w:id="160" w:name="_Toc25246"/>
      <w:r>
        <w:rPr>
          <w:rFonts w:hint="eastAsia" w:ascii="宋体" w:hAnsi="宋体"/>
          <w:color w:val="auto"/>
          <w:szCs w:val="21"/>
          <w:highlight w:val="none"/>
        </w:rPr>
        <w:t xml:space="preserve">4、提交样品截止时间和地点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4.3样品递交信息</w:t>
      </w:r>
      <w:r/>
    </w:p>
    <w:p>
      <w:pPr>
        <w:ind w:firstLine="420"/>
        <w:keepLines/>
        <w:keepNext/>
        <w:spacing w:before="120" w:after="120" w:line="360" w:lineRule="auto"/>
        <w:rPr>
          <w:rFonts w:hint="eastAsia" w:ascii="宋体" w:hAnsi="宋体"/>
          <w:color w:val="auto"/>
          <w:szCs w:val="21"/>
          <w:highlight w:val="none"/>
        </w:rPr>
        <w:outlineLvl w:val="1"/>
      </w:pPr>
      <w:r>
        <w:rPr>
          <w:rFonts w:hint="eastAsia" w:ascii="宋体" w:hAnsi="宋体"/>
          <w:color w:val="auto"/>
          <w:szCs w:val="21"/>
          <w:highlight w:val="none"/>
        </w:rPr>
        <w:t xml:space="preserve">采购人（</w:t>
      </w:r>
      <w:r>
        <w:rPr>
          <w:rFonts w:hint="eastAsia" w:ascii="宋体" w:hAnsi="宋体"/>
          <w:color w:val="auto"/>
          <w:szCs w:val="21"/>
          <w:highlight w:val="none"/>
          <w:lang w:eastAsia="zh-CN"/>
        </w:rPr>
        <w:t xml:space="preserve">连云港市板桥中心小学</w:t>
      </w:r>
      <w:r>
        <w:rPr>
          <w:rFonts w:hint="eastAsia" w:ascii="宋体" w:hAnsi="宋体"/>
          <w:color w:val="auto"/>
          <w:szCs w:val="21"/>
          <w:highlight w:val="none"/>
        </w:rPr>
        <w:t xml:space="preserve">）认为本项目需要对样品进行主观判断以确认是否满足采购需求，本项目要求供应商提供样品，要求如下：</w:t>
      </w:r>
      <w:r/>
    </w:p>
    <w:p>
      <w:pPr>
        <w:numPr>
          <w:ilvl w:val="0"/>
          <w:numId w:val="2"/>
        </w:numPr>
        <w:ind w:firstLine="420"/>
        <w:keepLines/>
        <w:keepNext/>
        <w:spacing w:before="120" w:after="120" w:line="360" w:lineRule="auto"/>
        <w:rPr>
          <w:rFonts w:hint="eastAsia" w:ascii="宋体" w:hAnsi="宋体"/>
          <w:color w:val="auto"/>
          <w:szCs w:val="21"/>
          <w:highlight w:val="none"/>
        </w:rPr>
        <w:outlineLvl w:val="1"/>
      </w:pPr>
      <w:r>
        <w:rPr>
          <w:rFonts w:hint="eastAsia" w:ascii="宋体" w:hAnsi="宋体"/>
          <w:color w:val="auto"/>
          <w:szCs w:val="21"/>
          <w:highlight w:val="none"/>
        </w:rPr>
        <w:t xml:space="preserve">样品：按磋商文件技术规格要求提供13mm现浇型塑胶、8mm现浇型硅PU、30mm人造草坪及10mm缓冲减震垫，各一块，规格为30cm×30cm</w:t>
      </w:r>
      <w:r/>
    </w:p>
    <w:p>
      <w:pPr>
        <w:numPr>
          <w:ilvl w:val="0"/>
          <w:numId w:val="2"/>
        </w:numPr>
        <w:ind w:firstLine="420"/>
        <w:keepLines/>
        <w:keepNext/>
        <w:spacing w:before="120" w:after="120" w:line="360" w:lineRule="auto"/>
        <w:rPr>
          <w:rFonts w:hint="eastAsia" w:ascii="宋体" w:hAnsi="宋体"/>
          <w:color w:val="auto"/>
          <w:szCs w:val="21"/>
          <w:highlight w:val="none"/>
          <w:lang w:val="en-US" w:eastAsia="zh-CN"/>
        </w:rPr>
        <w:outlineLvl w:val="1"/>
      </w:pPr>
      <w:r>
        <w:rPr>
          <w:rFonts w:hint="eastAsia" w:ascii="宋体" w:hAnsi="宋体"/>
          <w:color w:val="auto"/>
          <w:szCs w:val="21"/>
          <w:highlight w:val="none"/>
        </w:rPr>
        <w:t xml:space="preserve">时间：202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08:30-09:00</w:t>
      </w:r>
      <w:r/>
    </w:p>
    <w:p>
      <w:pPr>
        <w:ind w:firstLine="420"/>
        <w:keepLines/>
        <w:keepNext/>
        <w:spacing w:before="120" w:after="120" w:line="360" w:lineRule="auto"/>
        <w:rPr>
          <w:rFonts w:hint="eastAsia" w:ascii="宋体" w:hAnsi="宋体"/>
          <w:color w:val="auto"/>
          <w:szCs w:val="21"/>
          <w:highlight w:val="none"/>
          <w:lang w:val="en-US" w:eastAsia="zh-CN"/>
        </w:rPr>
        <w:outlineLvl w:val="1"/>
      </w:pPr>
      <w:r>
        <w:rPr>
          <w:rFonts w:hint="eastAsia" w:ascii="宋体" w:hAnsi="宋体"/>
          <w:color w:val="auto"/>
          <w:szCs w:val="21"/>
          <w:highlight w:val="none"/>
        </w:rPr>
        <w:t xml:space="preserve">（3）地址：连云港市连云区社会治理中心</w:t>
      </w:r>
      <w:r>
        <w:rPr>
          <w:rFonts w:ascii="SimSun" w:hAnsi="SimSun" w:eastAsia="SimSun" w:cs="SimSun"/>
          <w:color w:val="000000"/>
          <w:sz w:val="21"/>
        </w:rPr>
        <w:t xml:space="preserve">开标一室B209</w:t>
      </w:r>
      <w:r>
        <w:rPr>
          <w:rFonts w:hint="eastAsia" w:ascii="宋体" w:hAnsi="宋体"/>
          <w:color w:val="auto"/>
          <w:szCs w:val="21"/>
          <w:highlight w:val="none"/>
        </w:rPr>
        <w:t xml:space="preserve">室</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联系电话：18014400869</w:t>
      </w:r>
      <w:r/>
    </w:p>
    <w:p>
      <w:pPr>
        <w:ind w:firstLine="420"/>
        <w:keepLines/>
        <w:keepNext/>
        <w:spacing w:before="120" w:after="120" w:line="360" w:lineRule="auto"/>
        <w:rPr>
          <w:rFonts w:hint="eastAsia" w:ascii="宋体" w:hAnsi="宋体"/>
          <w:color w:val="auto"/>
          <w:szCs w:val="21"/>
          <w:highlight w:val="none"/>
        </w:rPr>
        <w:outlineLvl w:val="1"/>
      </w:pPr>
      <w:r>
        <w:rPr>
          <w:rFonts w:hint="eastAsia" w:ascii="宋体" w:hAnsi="宋体"/>
          <w:color w:val="auto"/>
          <w:szCs w:val="21"/>
          <w:highlight w:val="none"/>
        </w:rPr>
        <w:t xml:space="preserve">备注：成交供应商样品须进行封存，实际到货产品须与封样一致，材料进场后须随机抽检塑胶跑道材料的环保可塑性。样品小样上贴上标签，写明供应商名称、所投标号、制造厂家名称等相关信息。</w:t>
      </w:r>
      <w:r/>
    </w:p>
    <w:p>
      <w:pPr>
        <w:keepLines/>
        <w:keepNext/>
        <w:spacing w:before="120" w:after="120" w:line="360" w:lineRule="auto"/>
        <w:rPr>
          <w:rFonts w:ascii="宋体" w:hAnsi="宋体"/>
          <w:b/>
          <w:bCs/>
          <w:color w:val="auto"/>
          <w:szCs w:val="21"/>
          <w:highlight w:val="none"/>
        </w:rPr>
        <w:outlineLvl w:val="1"/>
      </w:pPr>
      <w:r>
        <w:rPr>
          <w:rFonts w:hint="eastAsia" w:ascii="宋体" w:hAnsi="宋体"/>
          <w:b/>
          <w:bCs/>
          <w:color w:val="auto"/>
          <w:szCs w:val="21"/>
          <w:highlight w:val="none"/>
        </w:rPr>
        <w:t xml:space="preserve">四、响应文件的解密与评审</w:t>
      </w:r>
      <w:bookmarkEnd w:id="160"/>
      <w:r/>
      <w:r/>
    </w:p>
    <w:p>
      <w:pPr>
        <w:ind w:firstLine="420"/>
        <w:jc w:val="left"/>
        <w:spacing w:line="360" w:lineRule="auto"/>
        <w:tabs>
          <w:tab w:val="left" w:pos="900" w:leader="none"/>
        </w:tabs>
        <w:rPr>
          <w:rFonts w:ascii="宋体" w:hAnsi="宋体"/>
          <w:color w:val="auto"/>
          <w:szCs w:val="21"/>
          <w:highlight w:val="none"/>
        </w:rPr>
      </w:pPr>
      <w:r/>
      <w:bookmarkStart w:id="161" w:name="_Toc20823302"/>
      <w:r/>
      <w:bookmarkStart w:id="162" w:name="_Toc513029230"/>
      <w:r/>
      <w:bookmarkStart w:id="163" w:name="_Toc16938546"/>
      <w:r/>
      <w:bookmarkStart w:id="164" w:name="_Toc20823307"/>
      <w:r/>
      <w:bookmarkStart w:id="165" w:name="_Toc513029235"/>
      <w:r/>
      <w:bookmarkStart w:id="166" w:name="_Toc16938551"/>
      <w:r>
        <w:rPr>
          <w:rFonts w:hint="eastAsia" w:ascii="宋体" w:hAnsi="宋体"/>
          <w:color w:val="auto"/>
          <w:szCs w:val="21"/>
          <w:highlight w:val="none"/>
        </w:rPr>
        <w:t xml:space="preserve">1、</w:t>
      </w:r>
      <w:bookmarkEnd w:id="161"/>
      <w:r/>
      <w:bookmarkEnd w:id="162"/>
      <w:r/>
      <w:bookmarkEnd w:id="163"/>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1.1供应商应当按照《操作手册》规定，在苏采云系统规定的时间内对磋商响应文件进行解密。</w:t>
      </w:r>
      <w:r/>
    </w:p>
    <w:p>
      <w:pPr>
        <w:ind w:firstLine="420"/>
        <w:jc w:val="left"/>
        <w:spacing w:line="360" w:lineRule="auto"/>
        <w:tabs>
          <w:tab w:val="left" w:pos="900" w:leader="none"/>
        </w:tabs>
        <w:rPr>
          <w:rFonts w:ascii="宋体" w:hAnsi="宋体"/>
          <w:color w:val="auto"/>
          <w:szCs w:val="21"/>
          <w:highlight w:val="none"/>
        </w:rPr>
      </w:pPr>
      <w:r/>
      <w:bookmarkStart w:id="167" w:name="_Toc513029231"/>
      <w:r/>
      <w:bookmarkStart w:id="168" w:name="_Toc20823303"/>
      <w:r/>
      <w:bookmarkStart w:id="169" w:name="_Toc16938547"/>
      <w:r>
        <w:rPr>
          <w:rFonts w:hint="eastAsia" w:ascii="宋体" w:hAnsi="宋体"/>
          <w:color w:val="auto"/>
          <w:szCs w:val="21"/>
          <w:highlight w:val="none"/>
        </w:rPr>
        <w:t xml:space="preserve">2、磋商小组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2.1采购中心将组织磋商小组对响应文件进行评审。磋商小组由采购人代表和有关技术、经济等方面的专家组成，且人员构成符合政府采购有关规定。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2.2磋商小组独立工作，负责评审所有响应文件并推荐成交侯选人。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3、评审过程的保密与公正</w:t>
      </w:r>
      <w:bookmarkEnd w:id="167"/>
      <w:r/>
      <w:bookmarkEnd w:id="168"/>
      <w:r/>
      <w:bookmarkEnd w:id="169"/>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3.1磋商小组、采购人和采购中心工作人员、相关监督人员等与评审工作有关的人员，对评审情况以及在评审过程中获悉的国家秘密、商业秘密负有保密责任。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3.2在评审过程中，供应商不得以任何行为影响磋商评审过程，否则其响应文件将被作为无效响应文件。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3.3在项目评审期间，采购中心将设专门人员与供应商联系。</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24.4采购中心和磋商小组不向未成交的供应商解释未成交原因，也不公布评审过程中的相关细节。</w:t>
      </w:r>
      <w:r/>
    </w:p>
    <w:p>
      <w:pPr>
        <w:ind w:firstLine="420"/>
        <w:jc w:val="left"/>
        <w:spacing w:line="360" w:lineRule="auto"/>
        <w:tabs>
          <w:tab w:val="left" w:pos="900" w:leader="none"/>
        </w:tabs>
        <w:rPr>
          <w:rFonts w:ascii="宋体" w:hAnsi="宋体"/>
          <w:color w:val="auto"/>
          <w:szCs w:val="21"/>
          <w:highlight w:val="none"/>
        </w:rPr>
      </w:pPr>
      <w:r/>
      <w:bookmarkStart w:id="170" w:name="_Toc20823304"/>
      <w:r/>
      <w:bookmarkStart w:id="171" w:name="_Toc513029232"/>
      <w:r/>
      <w:bookmarkStart w:id="172" w:name="_Toc16938548"/>
      <w:r>
        <w:rPr>
          <w:rFonts w:hint="eastAsia" w:ascii="宋体" w:hAnsi="宋体"/>
          <w:color w:val="auto"/>
          <w:szCs w:val="21"/>
          <w:highlight w:val="none"/>
        </w:rPr>
        <w:t xml:space="preserve">4、评审过程中的的澄清</w:t>
      </w:r>
      <w:bookmarkEnd w:id="170"/>
      <w:r/>
      <w:bookmarkEnd w:id="171"/>
      <w:r/>
      <w:bookmarkEnd w:id="172"/>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4.3接到磋商小组澄清、说明和更正要求的供应商如未按规定做出澄清、说明和更正，其风险由供应商自行承担。</w:t>
      </w:r>
      <w:r/>
    </w:p>
    <w:p>
      <w:pPr>
        <w:ind w:firstLine="420"/>
        <w:jc w:val="left"/>
        <w:spacing w:line="360" w:lineRule="auto"/>
        <w:tabs>
          <w:tab w:val="left" w:pos="900" w:leader="none"/>
        </w:tabs>
        <w:rPr>
          <w:rFonts w:ascii="宋体" w:hAnsi="宋体"/>
          <w:color w:val="auto"/>
          <w:szCs w:val="21"/>
          <w:highlight w:val="none"/>
        </w:rPr>
      </w:pPr>
      <w:r/>
      <w:bookmarkStart w:id="173" w:name="_Toc20823305"/>
      <w:r/>
      <w:bookmarkStart w:id="174" w:name="_Toc513029233"/>
      <w:r/>
      <w:bookmarkStart w:id="175" w:name="_Toc16938549"/>
      <w:r>
        <w:rPr>
          <w:rFonts w:hint="eastAsia" w:ascii="宋体" w:hAnsi="宋体"/>
          <w:color w:val="auto"/>
          <w:szCs w:val="21"/>
          <w:highlight w:val="none"/>
        </w:rPr>
        <w:t xml:space="preserve">5、对响应文件的审</w:t>
      </w:r>
      <w:bookmarkEnd w:id="173"/>
      <w:r/>
      <w:bookmarkEnd w:id="174"/>
      <w:r/>
      <w:bookmarkEnd w:id="175"/>
      <w:r>
        <w:rPr>
          <w:rFonts w:hint="eastAsia" w:ascii="宋体" w:hAnsi="宋体"/>
          <w:color w:val="auto"/>
          <w:szCs w:val="21"/>
          <w:highlight w:val="none"/>
        </w:rPr>
        <w:t xml:space="preserve">查</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5.1响应文件审查分为资格审查和符合性审查。</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响应文件中的磋商响应函未加盖磋商供应商的公章；</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 响应文件报价低于工程成本或者高于磋商文件设定的预算价或者采购人设置的最高限价的；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(6) 同一磋商供应商提交两个及以上不同的响应文件或者磋商报价，但磋商文件要求提交备选磋商的除外；</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(7) 响应文件中已标价工程量清单与磋商文件规定的暂估价、暂列金额及甲供材料价格不一致的；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(8) 响应文件中已标价工程量清单与磋商文件明确列出的不可竞争费用项目或费率或计算基础不一致的；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(9).响应文件的已标价工程量清单与磋商文件提供的工程量清单中的项目编码、项目名称、项目特征、计量单位、工程量不一致的；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(10) 响应文件载明的磋商项目完成期限超过磋商文件规定的期限的；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(11) 明显不符合技术规范、技术标准的要求的；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(12) 响应文件载明的货物包装方式、检验标准和方法等不符合磋商文件的要求的；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(13) 响应文件提出了不能满足磋商文件要求或采购人不能接受的工程验收、计量、价款结算和支付办法的；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(14) 未按磋商文件要求提供响应文件；</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(15) 不同磋商供应商的响应文件以及响应文件制作过程出现了评审委员会认为不应当雷同的情况的；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(16) 以他人的名义参与磋商、串通磋商、以行贿手段谋取成交或者以其他弄虚作假方式参与磋商的；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(17) 不符合法律、法规和磋商文件中规定的其他实质性要求和条件的；</w:t>
      </w:r>
      <w:r/>
    </w:p>
    <w:p>
      <w:pPr>
        <w:pStyle w:val="790"/>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(18) 其他法律、法规及本磋商文件规定的属未实质性响应的响应文件的情形。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5.3未实质性响应磋商文件的情形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5.3.1供应商在苏采云系统规定的时间内未成功解密电子响应文件的。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5.3.2供应商未按照磋商文件要求上传电子响应文件的。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5.3.3同一供应商提交两个（含两个）以上不同的响应文件或者最后报价的。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5.3.4供应商不具备磋商文件中规定资格要求的。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5.3.5供应商的最后报价超过了采购预算。</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5.3.6不符合磋商文件中规定的实质性要求和条件的。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5.3.8响应文件含有采购人不能接受的附加条件的。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5.3.10响应文件未按照磋商文件要求加盖CA电子公章的。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5.4未实质性响应磋商文件的响应文件按无效响应处理。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ascii="宋体" w:hAnsi="宋体"/>
          <w:color w:val="auto"/>
          <w:szCs w:val="21"/>
          <w:highlight w:val="none"/>
        </w:rPr>
      </w:pPr>
      <w:r/>
      <w:bookmarkStart w:id="176" w:name="_Toc513029234"/>
      <w:r/>
      <w:bookmarkStart w:id="177" w:name="_Toc20823306"/>
      <w:r/>
      <w:bookmarkStart w:id="178" w:name="_Toc16938550"/>
      <w:r>
        <w:rPr>
          <w:rFonts w:hint="eastAsia" w:ascii="宋体" w:hAnsi="宋体"/>
          <w:color w:val="auto"/>
          <w:szCs w:val="21"/>
          <w:highlight w:val="none"/>
        </w:rPr>
        <w:t xml:space="preserve">5.6供应商在项目评审全过程中应保持通讯畅通，并安排专人与采购中心及磋商小组联系。</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w:t>
      </w:r>
      <w:bookmarkEnd w:id="176"/>
      <w:r/>
      <w:bookmarkEnd w:id="177"/>
      <w:r/>
      <w:bookmarkEnd w:id="178"/>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6.3.3除本磋商文件第二章第6.1.2条第三款规定的情形外，在采购过程中符合要求的供应商或者最后报价未超过采购预算的供应商不足3家的。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4"/>
      <w:r/>
      <w:bookmarkEnd w:id="165"/>
      <w:r/>
      <w:bookmarkEnd w:id="166"/>
      <w:r/>
      <w:r/>
    </w:p>
    <w:p>
      <w:pPr>
        <w:keepLines/>
        <w:keepNext/>
        <w:spacing w:before="120" w:after="120" w:line="360" w:lineRule="auto"/>
        <w:rPr>
          <w:rFonts w:ascii="黑体" w:hAnsi="黑体" w:eastAsia="黑体" w:cs="宋体"/>
          <w:bCs/>
          <w:color w:val="auto"/>
          <w:szCs w:val="21"/>
          <w:highlight w:val="none"/>
        </w:rPr>
        <w:outlineLvl w:val="1"/>
      </w:pPr>
      <w:r/>
      <w:bookmarkStart w:id="179" w:name="_Toc16329"/>
      <w:r>
        <w:rPr>
          <w:rFonts w:hint="eastAsia" w:ascii="黑体" w:hAnsi="黑体" w:eastAsia="黑体" w:cs="宋体"/>
          <w:bCs/>
          <w:color w:val="auto"/>
          <w:szCs w:val="21"/>
          <w:highlight w:val="none"/>
        </w:rPr>
        <w:t xml:space="preserve">五、成交</w:t>
      </w:r>
      <w:bookmarkEnd w:id="179"/>
      <w:r/>
      <w:r/>
    </w:p>
    <w:p>
      <w:pPr>
        <w:ind w:firstLine="420"/>
        <w:jc w:val="left"/>
        <w:spacing w:line="360" w:lineRule="auto"/>
        <w:tabs>
          <w:tab w:val="left" w:pos="900" w:leader="none"/>
        </w:tabs>
        <w:rPr>
          <w:rFonts w:ascii="宋体" w:hAnsi="宋体"/>
          <w:color w:val="auto"/>
          <w:szCs w:val="21"/>
          <w:highlight w:val="none"/>
        </w:rPr>
      </w:pPr>
      <w:r/>
      <w:bookmarkStart w:id="180" w:name="_Toc513029238"/>
      <w:r/>
      <w:bookmarkStart w:id="181" w:name="_Toc16938554"/>
      <w:r/>
      <w:bookmarkStart w:id="182" w:name="_Toc20823310"/>
      <w:r>
        <w:rPr>
          <w:rFonts w:hint="eastAsia" w:ascii="宋体" w:hAnsi="宋体"/>
          <w:color w:val="auto"/>
          <w:szCs w:val="21"/>
          <w:highlight w:val="none"/>
        </w:rPr>
        <w:t xml:space="preserve">1、</w:t>
      </w:r>
      <w:bookmarkEnd w:id="180"/>
      <w:r>
        <w:rPr>
          <w:rFonts w:hint="eastAsia" w:ascii="宋体" w:hAnsi="宋体"/>
          <w:color w:val="auto"/>
          <w:szCs w:val="21"/>
          <w:highlight w:val="none"/>
        </w:rPr>
        <w:t xml:space="preserve">确定</w:t>
      </w:r>
      <w:bookmarkEnd w:id="181"/>
      <w:r/>
      <w:bookmarkEnd w:id="182"/>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成交供应商在领取成交通知书时，按要求提供与电子响应文件一致的纸质打印文件（一正三</w:t>
      </w:r>
      <w:r>
        <w:rPr>
          <w:rFonts w:hint="eastAsia" w:ascii="宋体" w:hAnsi="宋体"/>
          <w:b/>
          <w:color w:val="auto"/>
          <w:szCs w:val="21"/>
          <w:highlight w:val="none"/>
        </w:rPr>
        <w:t xml:space="preserve">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83" w:name="_Toc13061"/>
      <w:r>
        <w:rPr>
          <w:rFonts w:hint="eastAsia" w:ascii="黑体" w:hAnsi="黑体" w:eastAsia="黑体" w:cs="宋体"/>
          <w:bCs/>
          <w:color w:val="auto"/>
          <w:szCs w:val="21"/>
          <w:highlight w:val="none"/>
        </w:rPr>
        <w:t xml:space="preserve">六、合同签订相关事项</w:t>
      </w:r>
      <w:bookmarkEnd w:id="183"/>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1.l </w:t>
      </w:r>
      <w:r>
        <w:rPr>
          <w:rFonts w:ascii="宋体" w:hAnsi="宋体"/>
          <w:color w:val="auto"/>
          <w:szCs w:val="21"/>
          <w:highlight w:val="none"/>
        </w:rPr>
        <w:t xml:space="preserve">采购人与成交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w:t>
      </w:r>
      <w:r>
        <w:rPr>
          <w:rFonts w:hint="eastAsia" w:ascii="宋体" w:hAnsi="宋体"/>
          <w:b/>
          <w:color w:val="auto"/>
          <w:szCs w:val="21"/>
          <w:highlight w:val="none"/>
          <w:lang w:val="en-US" w:eastAsia="zh-CN"/>
        </w:rPr>
        <w:t xml:space="preserve">合同标的</w:t>
      </w:r>
      <w:r>
        <w:rPr>
          <w:rFonts w:hint="eastAsia" w:ascii="宋体" w:hAnsi="宋体"/>
          <w:b/>
          <w:color w:val="auto"/>
          <w:szCs w:val="21"/>
          <w:highlight w:val="none"/>
        </w:rPr>
        <w:t xml:space="preserve">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ascii="宋体" w:hAnsi="宋体"/>
          <w:b/>
          <w:bCs/>
          <w:color w:val="auto"/>
          <w:szCs w:val="21"/>
          <w:highlight w:val="none"/>
        </w:rPr>
      </w:pPr>
      <w:r>
        <w:rPr>
          <w:rFonts w:hint="eastAsia" w:ascii="宋体" w:hAnsi="宋体"/>
          <w:color w:val="auto"/>
          <w:szCs w:val="21"/>
          <w:highlight w:val="none"/>
        </w:rPr>
        <w:t xml:space="preserve">2、履约保证金：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2.2成交供应商违约的，采购人将按照合同约定扣除其全部或部分履约保证金。如成交供应商违约给采购人造成的损失超过履约保证金的，应当依法赔偿超过部分的损失。</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2.3履约保证金自合同生效之日起至合同约定的成交供应商主要义务履行完毕止，采购人应当按合同约定及时退还履约保证金。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2.4逾期退还履约保证金的采购人承担违约责任，按照中国人民银行同期贷款基准利率向成交供应商支付超期资金占用费。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2.5本项目履约保证金要求如下：</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（1）履约保证金形式：银行保函。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（2）履约保证金金额：中标价的10%。</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（3）履约保证金缴纳时间：成交供应商在收到成交结果通知书后，签订合同前向采购人足额提交履约保证金，否则采购人可以取消其成交资格。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（4）履约保证金退还：履约保证金在工程竣工验收合格后 7日内返还。</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 支持中小企业发展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1.2参加本项目政府采购活动的供应商应当提供的材料： </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（1）供应商为中型企业、小型企业、微型企业的，提供《中小企业声明函》（第六章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2.支持绿色发展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2.3 政府采购项目执行《财政部 生态环境部 工业和信息化部关于印发&lt;绿色数据中心政府采购需求标准（试行）&gt;的通知》（财库〔2023〕7号）相关要求。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3.政府采购需求标准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本项目执行《绿色数据中心政府采购需求</w:t>
      </w:r>
      <w:r>
        <w:rPr>
          <w:rFonts w:hint="eastAsia" w:ascii="宋体" w:hAnsi="宋体"/>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4" w:name="_Toc31302"/>
      <w:r>
        <w:rPr>
          <w:rFonts w:hint="eastAsia" w:ascii="黑体" w:hAnsi="黑体" w:eastAsia="黑体" w:cs="宋体"/>
          <w:bCs/>
          <w:color w:val="auto"/>
          <w:szCs w:val="21"/>
          <w:highlight w:val="none"/>
        </w:rPr>
        <w:t xml:space="preserve">八、质疑和投诉</w:t>
      </w:r>
      <w:bookmarkEnd w:id="184"/>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质疑函应当使用范本（详见江苏省政府采购交易平台-监管信息-意见反馈）。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投诉事项依照有关法律、法规执行。</w:t>
      </w:r>
      <w:bookmarkEnd w:id="95"/>
      <w:r/>
      <w:bookmarkEnd w:id="96"/>
      <w:r/>
      <w:bookmarkEnd w:id="97"/>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致：</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lang w:val="en-US" w:eastAsia="zh-CN"/>
        </w:rPr>
        <w:t xml:space="preserve"> （采购人/采购代理机构）</w:t>
      </w:r>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一、质疑供应商基本信息</w:t>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质疑供应商：</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邮编：</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联系电话：</w:t>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授权代表：</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地址：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邮编：</w:t>
      </w:r>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二、质疑项目基本情况</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质疑项目的名称：</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质疑项目的编号：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包号：</w:t>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采购人名称：</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采购文件获取日期：</w:t>
      </w:r>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三、质疑事项具体内容</w:t>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质疑事项1：</w:t>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事实依据：</w:t>
      </w:r>
      <w:r/>
    </w:p>
    <w:p>
      <w:pP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法律依据：</w:t>
      </w:r>
      <w:r/>
    </w:p>
    <w:p>
      <w:pPr>
        <w:spacing w:line="500" w:lineRule="exact"/>
        <w:rPr>
          <w:rFonts w:ascii="宋体" w:hAnsi="宋体" w:cs="宋体"/>
          <w:color w:val="auto"/>
          <w:szCs w:val="21"/>
          <w:highlight w:val="none"/>
          <w:u w:val="single"/>
        </w:rPr>
      </w:pPr>
      <w:r>
        <w:rPr>
          <w:rFonts w:ascii="宋体" w:hAnsi="宋体" w:cs="宋体"/>
          <w:color w:val="auto"/>
          <w:szCs w:val="21"/>
          <w:highlight w:val="none"/>
          <w:u w:val="single"/>
        </w:rPr>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质疑事项2</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w:t>
      </w:r>
      <w:r/>
    </w:p>
    <w:p>
      <w:pPr>
        <w:spacing w:line="500" w:lineRule="exact"/>
        <w:rPr>
          <w:rFonts w:ascii="宋体" w:hAnsi="宋体" w:cs="宋体"/>
          <w:bCs/>
          <w:color w:val="auto"/>
          <w:szCs w:val="21"/>
          <w:highlight w:val="none"/>
        </w:rPr>
      </w:pPr>
      <w:r>
        <w:rPr>
          <w:rFonts w:hint="eastAsia" w:ascii="宋体" w:hAnsi="宋体" w:cs="宋体"/>
          <w:bCs/>
          <w:color w:val="auto"/>
          <w:szCs w:val="21"/>
          <w:highlight w:val="none"/>
        </w:rPr>
        <w:t xml:space="preserve">四、与质疑事项相关的质疑请求</w:t>
      </w:r>
      <w:r/>
    </w:p>
    <w:p>
      <w:pPr>
        <w:spacing w:line="500" w:lineRule="exact"/>
        <w:rPr>
          <w:rFonts w:ascii="宋体" w:hAnsi="宋体" w:cs="宋体"/>
          <w:color w:val="auto"/>
          <w:szCs w:val="21"/>
          <w:highlight w:val="none"/>
          <w:u w:val="single"/>
        </w:rPr>
      </w:pPr>
      <w:r>
        <w:rPr>
          <w:rFonts w:hint="eastAsia" w:ascii="宋体" w:hAnsi="宋体" w:cs="宋体"/>
          <w:color w:val="auto"/>
          <w:szCs w:val="21"/>
          <w:highlight w:val="none"/>
        </w:rPr>
        <w:t xml:space="preserve">请求：</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签字（签章）：                   公章：                      </w:t>
      </w:r>
      <w:r/>
    </w:p>
    <w:p>
      <w:pP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日期：    </w:t>
      </w:r>
      <w:r/>
    </w:p>
    <w:p>
      <w:pPr>
        <w:spacing w:line="500" w:lineRule="exact"/>
        <w:rPr>
          <w:rFonts w:ascii="宋体" w:hAnsi="宋体" w:cs="宋体"/>
          <w:b/>
          <w:color w:val="auto"/>
          <w:szCs w:val="21"/>
          <w:highlight w:val="none"/>
        </w:rPr>
      </w:pPr>
      <w:r>
        <w:rPr>
          <w:rFonts w:ascii="宋体" w:hAnsi="宋体" w:cs="宋体"/>
          <w:b/>
          <w:color w:val="auto"/>
          <w:szCs w:val="21"/>
          <w:highlight w:val="none"/>
        </w:rPr>
      </w:r>
      <w:r/>
    </w:p>
    <w:p>
      <w:pPr>
        <w:pStyle w:val="757"/>
        <w:rPr>
          <w:rFonts w:eastAsiaTheme="minorEastAsia"/>
          <w:color w:val="auto"/>
          <w:highlight w:val="none"/>
        </w:rPr>
      </w:pPr>
      <w:r>
        <w:rPr>
          <w:rFonts w:eastAsiaTheme="minorEastAsia"/>
          <w:color w:val="auto"/>
          <w:highlight w:val="none"/>
        </w:rPr>
      </w:r>
      <w:r/>
    </w:p>
    <w:p>
      <w:pPr>
        <w:spacing w:line="5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质疑函制作说明：</w:t>
      </w:r>
      <w:r/>
    </w:p>
    <w:p>
      <w:pPr>
        <w:ind w:firstLine="48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1.供应商提出质疑时，应提交质疑函和必要的证明材料。</w:t>
      </w:r>
      <w:r/>
    </w:p>
    <w:p>
      <w:pPr>
        <w:ind w:firstLine="48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3.质疑供应商若对项目的某一分包进行质疑，质疑函中应列明具体分包号。</w:t>
      </w:r>
      <w:r/>
    </w:p>
    <w:p>
      <w:pPr>
        <w:ind w:firstLine="48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4.质疑函的质疑事项应具体、明确，并有必要的事实依据和法律依据。</w:t>
      </w:r>
      <w:r/>
    </w:p>
    <w:p>
      <w:pPr>
        <w:ind w:firstLine="48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5.质疑函的质疑请求应与质疑事项相关。</w:t>
      </w:r>
      <w:r/>
    </w:p>
    <w:p>
      <w:pPr>
        <w:ind w:firstLine="480"/>
        <w:jc w:val="left"/>
        <w:spacing w:line="50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ascii="宋体" w:hAnsi="宋体" w:cs="宋体"/>
          <w:color w:val="auto"/>
          <w:szCs w:val="21"/>
          <w:highlight w:val="none"/>
        </w:rPr>
      </w:pPr>
      <w:r>
        <w:rPr>
          <w:rFonts w:ascii="宋体" w:hAnsi="宋体" w:cs="宋体"/>
          <w:color w:val="auto"/>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64"/>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5" w:name="_Toc513622228"/>
      <w:r/>
      <w:bookmarkStart w:id="186" w:name="_Toc139967211"/>
      <w:r/>
      <w:bookmarkStart w:id="187" w:name="_Toc139966427"/>
      <w:r/>
      <w:bookmarkStart w:id="188" w:name="_Toc32045"/>
      <w:r/>
      <w:r/>
    </w:p>
    <w:p>
      <w:pPr>
        <w:pStyle w:val="762"/>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9" w:name="_Toc15893"/>
      <w:r>
        <w:rPr>
          <w:rFonts w:hint="eastAsia"/>
          <w:b/>
          <w:color w:val="auto"/>
          <w:sz w:val="36"/>
          <w:szCs w:val="36"/>
          <w:highlight w:val="none"/>
        </w:rPr>
        <w:t xml:space="preserve">第三章  政府采购合同格式</w:t>
      </w:r>
      <w:bookmarkEnd w:id="185"/>
      <w:r/>
      <w:bookmarkEnd w:id="186"/>
      <w:r/>
      <w:bookmarkEnd w:id="187"/>
      <w:r/>
      <w:bookmarkEnd w:id="188"/>
      <w:r/>
      <w:bookmarkEnd w:id="189"/>
      <w:r/>
      <w:r/>
    </w:p>
    <w:p>
      <w:pPr>
        <w:ind w:firstLine="880"/>
        <w:spacing w:line="360" w:lineRule="auto"/>
        <w:rPr>
          <w:rFonts w:ascii="宋体" w:hAnsi="宋体"/>
          <w:color w:val="auto"/>
          <w:sz w:val="44"/>
          <w:highlight w:val="none"/>
        </w:rPr>
      </w:pPr>
      <w:r>
        <w:rPr>
          <w:rFonts w:ascii="宋体" w:hAnsi="宋体"/>
          <w:color w:val="auto"/>
          <w:sz w:val="44"/>
          <w:highlight w:val="none"/>
        </w:rPr>
      </w:r>
      <w:r/>
    </w:p>
    <w:p>
      <w:pPr>
        <w:jc w:val="center"/>
        <w:spacing w:line="360" w:lineRule="auto"/>
        <w:rPr>
          <w:rFonts w:ascii="宋体" w:hAnsi="宋体"/>
          <w:b/>
          <w:bCs/>
          <w:color w:val="auto"/>
          <w:sz w:val="52"/>
          <w:highlight w:val="none"/>
        </w:rPr>
      </w:pPr>
      <w:r>
        <w:rPr>
          <w:rFonts w:hint="eastAsia" w:ascii="宋体" w:hAnsi="宋体"/>
          <w:b/>
          <w:bCs/>
          <w:color w:val="auto"/>
          <w:sz w:val="52"/>
          <w:highlight w:val="none"/>
          <w:lang w:val="en-US" w:eastAsia="zh-CN"/>
        </w:rPr>
        <w:t xml:space="preserve">苏采云系统政府采购</w:t>
      </w:r>
      <w:r/>
    </w:p>
    <w:p>
      <w:pPr>
        <w:ind w:firstLine="420"/>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hint="eastAsia" w:ascii="宋体" w:hAnsi="宋体" w:eastAsia="宋体" w:cs="Times New Roman"/>
          <w:b/>
          <w:bCs/>
          <w:color w:val="auto"/>
          <w:sz w:val="52"/>
          <w:highlight w:val="none"/>
        </w:rPr>
      </w:pPr>
      <w:r>
        <w:rPr>
          <w:rFonts w:hint="eastAsia" w:ascii="宋体" w:hAnsi="宋体" w:eastAsia="宋体" w:cs="Times New Roman"/>
          <w:b/>
          <w:bCs/>
          <w:color w:val="auto"/>
          <w:sz w:val="52"/>
          <w:highlight w:val="none"/>
        </w:rPr>
        <w:t xml:space="preserve">合</w:t>
      </w:r>
      <w:r>
        <w:rPr>
          <w:rFonts w:hint="eastAsia" w:ascii="宋体" w:hAnsi="宋体" w:eastAsia="宋体" w:cs="Times New Roman"/>
          <w:b/>
          <w:bCs/>
          <w:color w:val="auto"/>
          <w:sz w:val="52"/>
          <w:highlight w:val="none"/>
          <w:lang w:val="en-US" w:eastAsia="zh-CN"/>
        </w:rPr>
        <w:t xml:space="preserve">  </w:t>
      </w:r>
      <w:r>
        <w:rPr>
          <w:rFonts w:hint="eastAsia" w:ascii="宋体" w:hAnsi="宋体" w:eastAsia="宋体" w:cs="Times New Roman"/>
          <w:b/>
          <w:bCs/>
          <w:color w:val="auto"/>
          <w:sz w:val="52"/>
          <w:highlight w:val="none"/>
        </w:rPr>
        <w:t xml:space="preserve">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ind w:firstLine="2310"/>
        <w:spacing w:line="360" w:lineRule="auto"/>
        <w:rPr>
          <w:rFonts w:ascii="宋体" w:hAnsi="宋体" w:cs="宋体"/>
          <w:color w:val="auto"/>
          <w:szCs w:val="21"/>
          <w:highlight w:val="none"/>
        </w:rPr>
      </w:pPr>
      <w:r>
        <w:rPr>
          <w:rFonts w:ascii="宋体" w:hAnsi="宋体" w:cs="宋体"/>
          <w:color w:val="auto"/>
          <w:szCs w:val="21"/>
          <w:highlight w:val="none"/>
        </w:rPr>
      </w:r>
      <w:r/>
    </w:p>
    <w:p>
      <w:pPr>
        <w:rPr>
          <w:color w:val="auto"/>
          <w:szCs w:val="21"/>
          <w:highlight w:val="none"/>
        </w:rPr>
      </w:pPr>
      <w:r>
        <w:rPr>
          <w:color w:val="auto"/>
          <w:szCs w:val="21"/>
          <w:highlight w:val="none"/>
        </w:rPr>
      </w:r>
      <w:r/>
    </w:p>
    <w:p>
      <w:pPr>
        <w:pStyle w:val="1057"/>
        <w:jc w:val="center"/>
        <w:rPr>
          <w:rFonts w:hAnsi="宋体" w:cs="宋体"/>
          <w:b/>
          <w:bCs/>
          <w:color w:val="auto"/>
          <w:szCs w:val="21"/>
          <w:highlight w:val="none"/>
        </w:rPr>
      </w:pPr>
      <w:r>
        <w:rPr>
          <w:rFonts w:hint="eastAsia" w:hAnsi="宋体" w:cs="宋体"/>
          <w:b/>
          <w:bCs/>
          <w:color w:val="auto"/>
          <w:szCs w:val="21"/>
          <w:highlight w:val="none"/>
        </w:rPr>
        <w:t xml:space="preserve">第一部分  协议书格式</w:t>
      </w:r>
      <w:r/>
    </w:p>
    <w:p>
      <w:pPr>
        <w:pStyle w:val="1057"/>
        <w:ind w:firstLine="420"/>
        <w:rPr>
          <w:rFonts w:hAnsi="宋体" w:cs="宋体"/>
          <w:color w:val="auto"/>
          <w:sz w:val="24"/>
          <w:szCs w:val="24"/>
          <w:highlight w:val="none"/>
        </w:rPr>
      </w:pPr>
      <w:r>
        <w:rPr>
          <w:rFonts w:hAnsi="宋体" w:cs="宋体"/>
          <w:color w:val="auto"/>
          <w:sz w:val="24"/>
          <w:szCs w:val="24"/>
          <w:highlight w:val="none"/>
        </w:rPr>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发包人：（简称甲方）</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承包人：（简称乙方）</w:t>
      </w:r>
      <w:r/>
    </w:p>
    <w:p>
      <w:pPr>
        <w:pStyle w:val="1059"/>
        <w:ind w:left="0" w:firstLine="420"/>
        <w:spacing w:line="440" w:lineRule="exact"/>
        <w:rPr>
          <w:rFonts w:ascii="宋体" w:hAnsi="宋体" w:cs="宋体"/>
          <w:b/>
          <w:bCs/>
          <w:color w:val="auto"/>
          <w:highlight w:val="none"/>
        </w:rPr>
      </w:pPr>
      <w:r>
        <w:rPr>
          <w:rFonts w:hint="eastAsia" w:ascii="宋体" w:hAnsi="宋体" w:cs="宋体"/>
          <w:bCs/>
          <w:color w:val="auto"/>
          <w:highlight w:val="none"/>
        </w:rPr>
        <w:t xml:space="preserve">依照《中华人民共和国民法典》、《中华人民共和国政府采购法》、《中华人民共和国招标投标法》</w:t>
      </w:r>
      <w:r>
        <w:rPr>
          <w:rFonts w:hint="eastAsia" w:ascii="宋体" w:hAnsi="宋体" w:eastAsia="宋体" w:cs="宋体"/>
          <w:bCs/>
          <w:color w:val="auto"/>
          <w:highlight w:val="none"/>
        </w:rPr>
        <w:t xml:space="preserve">《中华人民共和国建筑法》及</w:t>
      </w:r>
      <w:r>
        <w:rPr>
          <w:rFonts w:hint="eastAsia" w:ascii="宋体" w:hAnsi="宋体" w:cs="宋体"/>
          <w:bCs/>
          <w:color w:val="auto"/>
          <w:highlight w:val="none"/>
        </w:rPr>
        <w:t xml:space="preserve">其他有关法律、行政法规，遵循平等、自愿、公平和诚实信用的原则，双方就本建设工程施工事项协商一致，订立本合同。</w:t>
      </w:r>
      <w:r/>
    </w:p>
    <w:p>
      <w:pPr>
        <w:pStyle w:val="1059"/>
        <w:ind w:left="0" w:firstLine="422"/>
        <w:spacing w:line="440" w:lineRule="exact"/>
        <w:rPr>
          <w:rFonts w:ascii="宋体" w:hAnsi="宋体" w:cs="宋体"/>
          <w:b/>
          <w:bCs/>
          <w:color w:val="auto"/>
          <w:highlight w:val="none"/>
        </w:rPr>
      </w:pPr>
      <w:r>
        <w:rPr>
          <w:rFonts w:hint="eastAsia" w:ascii="宋体" w:hAnsi="宋体" w:cs="宋体"/>
          <w:b/>
          <w:bCs/>
          <w:color w:val="auto"/>
          <w:highlight w:val="none"/>
        </w:rPr>
        <w:t xml:space="preserve">一、工程概况</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工程名称：</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项目编号：</w:t>
      </w:r>
      <w:r/>
    </w:p>
    <w:p>
      <w:pPr>
        <w:pStyle w:val="1059"/>
        <w:ind w:left="0" w:firstLine="420"/>
        <w:spacing w:line="440" w:lineRule="exact"/>
        <w:rPr>
          <w:rFonts w:ascii="宋体" w:hAnsi="宋体" w:cs="宋体"/>
          <w:bCs/>
          <w:color w:val="auto"/>
          <w:highlight w:val="none"/>
          <w:u w:val="single"/>
        </w:rPr>
      </w:pPr>
      <w:r>
        <w:rPr>
          <w:rFonts w:hint="eastAsia" w:ascii="宋体" w:hAnsi="宋体" w:cs="宋体"/>
          <w:bCs/>
          <w:color w:val="auto"/>
          <w:highlight w:val="none"/>
        </w:rPr>
        <w:t xml:space="preserve">工程地点：</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工程内容：</w:t>
      </w:r>
      <w:r/>
    </w:p>
    <w:p>
      <w:pPr>
        <w:pStyle w:val="1059"/>
        <w:ind w:left="0" w:firstLine="422"/>
        <w:spacing w:line="440" w:lineRule="exact"/>
        <w:rPr>
          <w:rFonts w:ascii="宋体" w:hAnsi="宋体" w:cs="宋体"/>
          <w:b/>
          <w:bCs/>
          <w:color w:val="auto"/>
          <w:highlight w:val="none"/>
        </w:rPr>
      </w:pPr>
      <w:r>
        <w:rPr>
          <w:rFonts w:hint="eastAsia" w:ascii="宋体" w:hAnsi="宋体" w:cs="宋体"/>
          <w:b/>
          <w:bCs/>
          <w:color w:val="auto"/>
          <w:highlight w:val="none"/>
        </w:rPr>
        <w:t xml:space="preserve">二、工程承包范围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承包范围：</w:t>
      </w:r>
      <w:r/>
    </w:p>
    <w:p>
      <w:pPr>
        <w:pStyle w:val="1059"/>
        <w:ind w:left="0" w:firstLine="422"/>
        <w:spacing w:line="440" w:lineRule="exact"/>
        <w:rPr>
          <w:rFonts w:ascii="宋体" w:hAnsi="宋体" w:cs="宋体"/>
          <w:b/>
          <w:bCs/>
          <w:color w:val="auto"/>
          <w:highlight w:val="none"/>
        </w:rPr>
      </w:pPr>
      <w:r>
        <w:rPr>
          <w:rFonts w:hint="eastAsia" w:ascii="宋体" w:hAnsi="宋体" w:cs="宋体"/>
          <w:b/>
          <w:bCs/>
          <w:color w:val="auto"/>
          <w:highlight w:val="none"/>
        </w:rPr>
        <w:t xml:space="preserve">三、合同工期</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计划</w:t>
      </w:r>
      <w:r>
        <w:rPr>
          <w:rFonts w:hint="eastAsia" w:ascii="宋体" w:hAnsi="宋体" w:cs="宋体"/>
          <w:bCs/>
          <w:color w:val="auto"/>
          <w:highlight w:val="none"/>
        </w:rPr>
        <w:t xml:space="preserve">开工日期：年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日（具体开工日期以发包人开工通知书为准）</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计划</w:t>
      </w:r>
      <w:r>
        <w:rPr>
          <w:rFonts w:hint="eastAsia" w:ascii="宋体" w:hAnsi="宋体" w:cs="宋体"/>
          <w:bCs/>
          <w:color w:val="auto"/>
          <w:highlight w:val="none"/>
        </w:rPr>
        <w:t xml:space="preserve">竣工日期：年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合同工期总日历天数</w:t>
      </w:r>
      <w:r>
        <w:rPr>
          <w:rFonts w:hint="eastAsia" w:ascii="宋体" w:hAnsi="宋体" w:cs="宋体"/>
          <w:bCs/>
          <w:color w:val="auto"/>
          <w:highlight w:val="none"/>
          <w:lang w:eastAsia="zh-CN"/>
        </w:rPr>
        <w:t xml:space="preserve">：</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天（合同确定工期以自报工期为准）</w:t>
      </w:r>
      <w:r/>
    </w:p>
    <w:p>
      <w:pPr>
        <w:pStyle w:val="1059"/>
        <w:ind w:left="0" w:firstLine="422"/>
        <w:spacing w:line="440" w:lineRule="exact"/>
        <w:rPr>
          <w:rFonts w:ascii="宋体" w:hAnsi="宋体" w:cs="宋体"/>
          <w:b/>
          <w:bCs/>
          <w:color w:val="auto"/>
          <w:highlight w:val="none"/>
        </w:rPr>
      </w:pPr>
      <w:r>
        <w:rPr>
          <w:rFonts w:hint="eastAsia" w:ascii="宋体" w:hAnsi="宋体" w:cs="宋体"/>
          <w:b/>
          <w:bCs/>
          <w:color w:val="auto"/>
          <w:highlight w:val="none"/>
        </w:rPr>
        <w:t xml:space="preserve">四、质量标准</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工程质量标准：要求工程质量达到</w:t>
      </w:r>
      <w:r>
        <w:rPr>
          <w:rFonts w:hint="eastAsia" w:ascii="宋体" w:hAnsi="宋体" w:cs="宋体"/>
          <w:bCs/>
          <w:color w:val="auto"/>
          <w:highlight w:val="none"/>
          <w:u w:val="single"/>
        </w:rPr>
        <w:t xml:space="preserve">合格</w:t>
      </w:r>
      <w:r>
        <w:rPr>
          <w:rFonts w:hint="eastAsia" w:ascii="宋体" w:hAnsi="宋体" w:cs="宋体"/>
          <w:bCs/>
          <w:color w:val="auto"/>
          <w:highlight w:val="none"/>
        </w:rPr>
        <w:t xml:space="preserve">质量标准。质量标准的评定以国家或行业的现行质量检验评定标准为依据。</w:t>
      </w:r>
      <w:r/>
    </w:p>
    <w:p>
      <w:pPr>
        <w:pStyle w:val="1059"/>
        <w:ind w:left="0" w:firstLine="422"/>
        <w:spacing w:line="440" w:lineRule="exact"/>
        <w:rPr>
          <w:rFonts w:hint="eastAsia" w:ascii="宋体" w:hAnsi="宋体" w:eastAsia="宋体" w:cs="宋体"/>
          <w:bCs/>
          <w:color w:val="auto"/>
          <w:highlight w:val="none"/>
        </w:rPr>
      </w:pPr>
      <w:r>
        <w:rPr>
          <w:rFonts w:hint="eastAsia" w:ascii="宋体" w:hAnsi="宋体" w:cs="宋体"/>
          <w:b/>
          <w:bCs/>
          <w:color w:val="auto"/>
          <w:highlight w:val="none"/>
        </w:rPr>
        <w:t xml:space="preserve">五、</w:t>
      </w:r>
      <w:r>
        <w:rPr>
          <w:rFonts w:hint="eastAsia" w:ascii="宋体" w:hAnsi="宋体" w:eastAsia="宋体" w:cs="宋体"/>
          <w:b/>
          <w:bCs w:val="0"/>
          <w:color w:val="auto"/>
          <w:highlight w:val="none"/>
        </w:rPr>
        <w:t xml:space="preserve">签约合同价与合同价格形式</w:t>
      </w:r>
      <w:r>
        <w:rPr>
          <w:rFonts w:hint="eastAsia" w:ascii="宋体" w:hAnsi="宋体" w:eastAsia="宋体" w:cs="宋体"/>
          <w:bCs/>
          <w:color w:val="auto"/>
          <w:highlight w:val="none"/>
        </w:rPr>
        <w:tab/>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签约合同价为：</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    元)；</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（1）安全文明施工费：</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 (¥    元)；</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（2）材料和工程设备暂估价金额：</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    元)；</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（3）专业工程暂估价金额：</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 (¥    元)；</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（4）暂列金额：</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 (¥    元)。</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合同价格形式：固定单价合同。</w:t>
      </w:r>
      <w:r/>
    </w:p>
    <w:p>
      <w:pPr>
        <w:pStyle w:val="1059"/>
        <w:ind w:left="0" w:firstLine="422"/>
        <w:spacing w:line="440" w:lineRule="exact"/>
        <w:rPr>
          <w:rFonts w:ascii="宋体" w:hAnsi="宋体" w:cs="宋体"/>
          <w:b/>
          <w:bCs/>
          <w:color w:val="auto"/>
          <w:highlight w:val="none"/>
        </w:rPr>
      </w:pPr>
      <w:r>
        <w:rPr>
          <w:rFonts w:hint="eastAsia" w:ascii="宋体" w:hAnsi="宋体" w:cs="宋体"/>
          <w:b/>
          <w:bCs/>
          <w:color w:val="auto"/>
          <w:highlight w:val="none"/>
        </w:rPr>
        <w:t xml:space="preserve">六、组成合同的文件</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本协议书与下列文件一起构成合同文件：</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（1）中标通知书（如果有）；</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（2）投标函及其附录（如果有）；</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（3）专用合同条款及其附件；</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（4）通用合同条款；</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（5）技术标准和要求；</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（6）图纸；</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（7）已标价工程量清单或预算书；</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（8）其他合同文件。</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在合同订立及履行过程中形成的与合同有关的文件均构成合同文件组成部分。</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90" w:name="_Toc351203485"/>
      <w:r/>
      <w:bookmarkEnd w:id="190"/>
      <w:r/>
      <w:bookmarkStart w:id="191" w:name="_Toc351203487"/>
      <w:r/>
      <w:r/>
    </w:p>
    <w:p>
      <w:pPr>
        <w:pStyle w:val="1059"/>
        <w:ind w:left="0" w:firstLine="420"/>
        <w:spacing w:line="440" w:lineRule="exact"/>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七、承诺</w:t>
      </w:r>
      <w:bookmarkEnd w:id="191"/>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发包人承诺按照法律规定履行项目审批手续、筹集工程建设资金并按照合同约定的期限和方式支付合同价款。</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承包人承诺按照法律规定及合同约定组织完成工程施工，确保工程质量和安全，不进行转包及违法分包，并在缺陷责任期及保修期内承担相应的工程维修责任。</w:t>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发包人和承包人通过招投标形式签订合同的，双方理解并承诺不再就同一工程另行签订与合同实质性内容相背离的协议。</w:t>
      </w:r>
      <w:bookmarkStart w:id="192" w:name="_Toc351203488"/>
      <w:r/>
      <w:r/>
    </w:p>
    <w:p>
      <w:pPr>
        <w:pStyle w:val="1059"/>
        <w:ind w:left="0" w:firstLine="420"/>
        <w:spacing w:line="440" w:lineRule="exact"/>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八、词语含义</w:t>
      </w:r>
      <w:bookmarkEnd w:id="192"/>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本协议书中词语含义与第二部分通用合同条款中赋予的含义相同。</w:t>
      </w:r>
      <w:bookmarkStart w:id="193" w:name="_Toc351203489"/>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九、签订时间</w:t>
      </w:r>
      <w:bookmarkEnd w:id="193"/>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本合同于    年    月    日签订。</w:t>
      </w:r>
      <w:bookmarkStart w:id="194" w:name="_Toc351203490"/>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十、签订地点</w:t>
      </w:r>
      <w:bookmarkEnd w:id="194"/>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本合同在</w:t>
      </w:r>
      <w:r>
        <w:rPr>
          <w:rFonts w:hint="eastAsia" w:ascii="宋体" w:hAnsi="宋体" w:eastAsia="宋体" w:cs="宋体"/>
          <w:bCs/>
          <w:color w:val="auto"/>
          <w:highlight w:val="none"/>
          <w:u w:val="single"/>
          <w:lang w:eastAsia="zh-CN"/>
        </w:rPr>
        <w:t xml:space="preserve">连云港市板桥中心小学</w:t>
      </w:r>
      <w:r>
        <w:rPr>
          <w:rFonts w:hint="eastAsia" w:ascii="宋体" w:hAnsi="宋体" w:eastAsia="宋体" w:cs="宋体"/>
          <w:bCs/>
          <w:color w:val="auto"/>
          <w:highlight w:val="none"/>
        </w:rPr>
        <w:t xml:space="preserve">签订。</w:t>
      </w:r>
      <w:bookmarkStart w:id="195" w:name="_Toc351203491"/>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十一、补充协议</w:t>
      </w:r>
      <w:bookmarkEnd w:id="195"/>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合同未尽事宜，合同当事人另行签订补充协议，补充协议是合同的组成部分。</w:t>
      </w:r>
      <w:bookmarkStart w:id="196" w:name="_Toc351203492"/>
      <w:r/>
      <w:r/>
    </w:p>
    <w:p>
      <w:pPr>
        <w:pStyle w:val="1059"/>
        <w:ind w:left="0" w:firstLine="420"/>
        <w:spacing w:line="440" w:lineRule="exact"/>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十二、合同生效</w:t>
      </w:r>
      <w:bookmarkEnd w:id="196"/>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本合同自双方签字盖章之日起生效。</w:t>
      </w:r>
      <w:bookmarkStart w:id="197" w:name="_Toc351203493"/>
      <w:r/>
      <w:r/>
    </w:p>
    <w:p>
      <w:pPr>
        <w:pStyle w:val="1059"/>
        <w:ind w:left="0" w:firstLine="420"/>
        <w:spacing w:line="440" w:lineRule="exact"/>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十三、合同份数</w:t>
      </w:r>
      <w:bookmarkEnd w:id="197"/>
      <w:r/>
      <w:r/>
    </w:p>
    <w:p>
      <w:pPr>
        <w:pStyle w:val="1059"/>
        <w:ind w:left="0" w:firstLine="420"/>
        <w:spacing w:line="440" w:lineRule="exact"/>
        <w:rPr>
          <w:rFonts w:ascii="宋体" w:hAnsi="宋体" w:cs="宋体"/>
          <w:color w:val="auto"/>
          <w:highlight w:val="none"/>
        </w:rPr>
      </w:pPr>
      <w:r>
        <w:rPr>
          <w:rFonts w:hint="eastAsia" w:ascii="宋体" w:hAnsi="宋体" w:cs="宋体"/>
          <w:color w:val="auto"/>
          <w:highlight w:val="none"/>
        </w:rPr>
        <w:t xml:space="preserve">本合同一式捌份，均具有同等法律效力，发包人执肆份，承包人执叁份，代理壹份。</w:t>
      </w:r>
      <w:r/>
    </w:p>
    <w:p>
      <w:pPr>
        <w:pStyle w:val="1059"/>
        <w:ind w:left="0"/>
        <w:spacing w:line="440" w:lineRule="exact"/>
        <w:rPr>
          <w:rFonts w:ascii="宋体" w:hAnsi="宋体" w:cs="宋体"/>
          <w:bCs/>
          <w:color w:val="auto"/>
          <w:highlight w:val="none"/>
        </w:rPr>
      </w:pPr>
      <w:r>
        <w:rPr>
          <w:rFonts w:ascii="宋体" w:hAnsi="宋体" w:cs="宋体"/>
          <w:bCs/>
          <w:color w:val="auto"/>
          <w:highlight w:val="none"/>
        </w:rPr>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发包人：（公章）                 承包人：（公章）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地址：                           地址：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法定代表人：                     法定代表人：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委托代表人：                     委托代理人：</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电   话：                        电   话：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传   真：                        传  真：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开户银行：                       开户银行：                      </w:t>
      </w:r>
      <w:r/>
    </w:p>
    <w:p>
      <w:pPr>
        <w:pStyle w:val="1059"/>
        <w:ind w:left="0" w:firstLine="420"/>
        <w:spacing w:line="440" w:lineRule="exact"/>
        <w:rPr>
          <w:rFonts w:ascii="宋体" w:hAnsi="宋体" w:cs="宋体"/>
          <w:bCs/>
          <w:color w:val="auto"/>
          <w:highlight w:val="none"/>
        </w:rPr>
      </w:pPr>
      <w:r>
        <w:rPr>
          <w:rFonts w:hint="eastAsia" w:ascii="宋体" w:hAnsi="宋体" w:cs="宋体"/>
          <w:bCs/>
          <w:color w:val="auto"/>
          <w:highlight w:val="none"/>
        </w:rPr>
        <w:t xml:space="preserve">账 号：                          账  号：    </w:t>
      </w:r>
      <w:r/>
    </w:p>
    <w:p>
      <w:pPr>
        <w:pStyle w:val="1059"/>
        <w:ind w:left="0" w:firstLine="420"/>
        <w:spacing w:line="440" w:lineRule="exact"/>
        <w:rPr>
          <w:rFonts w:ascii="宋体" w:hAnsi="宋体" w:cs="宋体"/>
          <w:bCs/>
          <w:color w:val="auto"/>
          <w:highlight w:val="none"/>
        </w:rPr>
      </w:pPr>
      <w:r>
        <w:rPr>
          <w:rFonts w:ascii="宋体" w:hAnsi="宋体" w:cs="宋体"/>
          <w:bCs/>
          <w:color w:val="auto"/>
          <w:highlight w:val="none"/>
        </w:rPr>
      </w:r>
      <w:r/>
    </w:p>
    <w:p>
      <w:pPr>
        <w:pStyle w:val="1059"/>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059"/>
        <w:ind w:left="0"/>
        <w:spacing w:line="360" w:lineRule="auto"/>
        <w:rPr>
          <w:rFonts w:ascii="宋体" w:hAnsi="宋体" w:cs="宋体"/>
          <w:bCs/>
          <w:color w:val="auto"/>
          <w:highlight w:val="none"/>
        </w:rPr>
      </w:pPr>
      <w:r>
        <w:rPr>
          <w:rFonts w:ascii="宋体" w:hAnsi="宋体" w:cs="宋体"/>
          <w:bCs/>
          <w:color w:val="auto"/>
          <w:highlight w:val="none"/>
        </w:rPr>
      </w:r>
      <w:r/>
    </w:p>
    <w:p>
      <w:pPr>
        <w:pStyle w:val="1059"/>
        <w:ind w:left="0"/>
        <w:spacing w:line="360" w:lineRule="auto"/>
        <w:rPr>
          <w:rFonts w:ascii="宋体" w:hAnsi="宋体" w:cs="宋体"/>
          <w:bCs/>
          <w:color w:val="auto"/>
          <w:highlight w:val="none"/>
        </w:rPr>
      </w:pPr>
      <w:r>
        <w:rPr>
          <w:rFonts w:ascii="宋体" w:hAnsi="宋体" w:cs="宋体"/>
          <w:bCs/>
          <w:color w:val="auto"/>
          <w:highlight w:val="none"/>
        </w:rPr>
      </w:r>
      <w:r/>
    </w:p>
    <w:p>
      <w:pPr>
        <w:pStyle w:val="1059"/>
        <w:ind w:left="0"/>
        <w:spacing w:line="360" w:lineRule="auto"/>
        <w:rPr>
          <w:rFonts w:ascii="宋体" w:hAnsi="宋体" w:cs="宋体"/>
          <w:bCs/>
          <w:color w:val="auto"/>
          <w:highlight w:val="none"/>
        </w:rPr>
        <w:sectPr>
          <w:footerReference w:type="default" r:id="rId14"/>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059"/>
        <w:ind w:left="0"/>
        <w:spacing w:line="360" w:lineRule="auto"/>
        <w:rPr>
          <w:rFonts w:ascii="宋体" w:hAnsi="宋体" w:cs="宋体"/>
          <w:bCs/>
          <w:color w:val="auto"/>
          <w:highlight w:val="none"/>
        </w:rPr>
      </w:pPr>
      <w:r>
        <w:rPr>
          <w:rFonts w:ascii="宋体" w:hAnsi="宋体" w:cs="宋体"/>
          <w:bCs/>
          <w:color w:val="auto"/>
          <w:highlight w:val="none"/>
        </w:rPr>
      </w:r>
      <w:r/>
    </w:p>
    <w:p>
      <w:pPr>
        <w:pStyle w:val="1059"/>
        <w:ind w:left="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第二部分 通用合同条款</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tabs>
          <w:tab w:val="left" w:pos="0" w:leader="none"/>
        </w:tabs>
        <w:rPr>
          <w:rFonts w:ascii="宋体" w:hAnsi="宋体" w:cs="宋体"/>
          <w:color w:val="auto"/>
          <w:szCs w:val="21"/>
          <w:highlight w:val="none"/>
        </w:rPr>
      </w:pPr>
      <w:r>
        <w:rPr>
          <w:rFonts w:ascii="宋体" w:hAnsi="宋体" w:cs="宋体"/>
          <w:color w:val="auto"/>
          <w:szCs w:val="21"/>
          <w:highlight w:val="none"/>
        </w:rPr>
      </w:r>
      <w:r/>
    </w:p>
    <w:p>
      <w:pPr>
        <w:jc w:val="center"/>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第三部分 专用合同条款</w:t>
      </w:r>
      <w:r/>
    </w:p>
    <w:p>
      <w:pPr>
        <w:ind w:firstLine="480"/>
        <w:rPr>
          <w:rFonts w:ascii="宋体" w:hAnsi="宋体" w:cs="宋体"/>
          <w:color w:val="auto"/>
          <w:highlight w:val="none"/>
        </w:rPr>
      </w:pPr>
      <w:r>
        <w:rPr>
          <w:rFonts w:ascii="宋体" w:hAnsi="宋体" w:cs="宋体"/>
          <w:color w:val="auto"/>
          <w:highlight w:val="none"/>
        </w:rPr>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 一般约定</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 词语定义</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1.1.1合同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1.1.1.1其他合同文件包括：</w:t>
      </w:r>
      <w:r>
        <w:rPr>
          <w:rFonts w:hint="eastAsia" w:ascii="宋体" w:hAnsi="宋体" w:cs="宋体"/>
          <w:color w:val="auto"/>
          <w:highlight w:val="none"/>
          <w:u w:val="single"/>
        </w:rPr>
        <w:t xml:space="preserve">合同履行中，发包人、承包人有关工程的洽商、变更等书面协议或文件视为本合同的组成部分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1.1.2 合同当事人及其他相关方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1.1.3 工程和设备</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1.1.3.1 作为施工现场组成部分的其他场所包括：</w:t>
      </w:r>
      <w:r>
        <w:rPr>
          <w:rFonts w:hint="eastAsia" w:ascii="宋体" w:hAnsi="宋体" w:cs="宋体"/>
          <w:color w:val="auto"/>
          <w:highlight w:val="none"/>
          <w:u w:val="single"/>
        </w:rPr>
        <w:t xml:space="preserve">临时设施及永久占地</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1.1.3.2 永久占地包括：。</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1.1.3.3 临时占地包括：</w:t>
      </w:r>
      <w:r>
        <w:rPr>
          <w:rFonts w:hint="eastAsia" w:ascii="宋体" w:hAnsi="宋体" w:cs="宋体"/>
          <w:color w:val="auto"/>
          <w:highlight w:val="none"/>
          <w:u w:val="single"/>
        </w:rPr>
        <w:t xml:space="preserve">  无</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1.3法律 </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适用于合同的其他规范性文件：</w:t>
      </w:r>
      <w:r>
        <w:rPr>
          <w:rFonts w:hint="eastAsia" w:ascii="宋体" w:hAnsi="宋体" w:cs="宋体"/>
          <w:color w:val="auto"/>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 标准和规范</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1.4.1适用于工程的标准规范包括：</w:t>
      </w:r>
      <w:r>
        <w:rPr>
          <w:rFonts w:hint="eastAsia" w:ascii="宋体" w:hAnsi="宋体" w:cs="宋体"/>
          <w:color w:val="auto"/>
          <w:highlight w:val="none"/>
          <w:u w:val="single"/>
        </w:rPr>
        <w:t xml:space="preserve">详见竞争性磋商文件</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1.4.2 发包人提供国外标准、规范的名称：</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发包人提供国外标准、规范的份数：</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发包人提供国外标准、规范的名称：</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1.4.3发包人对工程的技术标准和功能要求的特殊要求：</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 合同文件组成及优先顺序为：</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(1) 合同协议书</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(2) 中标（成交）通知书</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(3) 响应文件及其附件</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(4) 专用合同条款及其附件</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(5) 通用合同条款</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(6) 磋商文件及澄清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(7) 标准、规范及有关技术文件</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(8) 图纸</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(9) 工程量清单及编制说明</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(10) 工程量报价表（预算书）</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u w:val="single"/>
        </w:rPr>
        <w:t xml:space="preserve">(11) 其他合同文件</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 图纸和承包人文件</w:t>
      </w:r>
      <w:r>
        <w:rPr>
          <w:rFonts w:hint="eastAsia" w:ascii="宋体" w:hAnsi="宋体" w:cs="宋体"/>
          <w:color w:val="auto"/>
          <w:highlight w:val="none"/>
        </w:rPr>
        <w:tab/>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1.6.1 图纸的提供</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发包人向承包人提供图纸的期限：</w:t>
      </w:r>
      <w:r>
        <w:rPr>
          <w:rFonts w:hint="eastAsia" w:ascii="宋体" w:hAnsi="宋体" w:cs="宋体"/>
          <w:color w:val="auto"/>
          <w:highlight w:val="none"/>
          <w:u w:val="single"/>
        </w:rPr>
        <w:t xml:space="preserve">由承包人按实际施工情况提供工程照片及竣工图</w:t>
      </w:r>
      <w:r>
        <w:rPr>
          <w:rFonts w:hint="eastAsia" w:ascii="宋体" w:hAnsi="宋体" w:cs="宋体"/>
          <w:color w:val="auto"/>
          <w:highlight w:val="none"/>
        </w:rPr>
        <w:t xml:space="preserve">，经发包人及总监确认后，作为竣工结算依据。</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发包人对图纸的保密要求：</w:t>
      </w:r>
      <w:r>
        <w:rPr>
          <w:rFonts w:hint="eastAsia" w:ascii="宋体" w:hAnsi="宋体" w:cs="宋体"/>
          <w:color w:val="auto"/>
          <w:highlight w:val="none"/>
          <w:u w:val="single"/>
        </w:rPr>
        <w:t xml:space="preserve">未经发包人同意不得复制，不得向承包人以外的人员泄露图纸的有关内容</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发包人向承包人提供图纸的数量：</w:t>
      </w:r>
      <w:r>
        <w:rPr>
          <w:rFonts w:hint="eastAsia" w:ascii="宋体" w:hAnsi="宋体" w:cs="宋体"/>
          <w:color w:val="auto"/>
          <w:highlight w:val="none"/>
          <w:u w:val="single"/>
        </w:rPr>
        <w:t xml:space="preserve"> 肆套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发包人向承包人提供图纸的内容：</w:t>
      </w:r>
      <w:r>
        <w:rPr>
          <w:rFonts w:hint="eastAsia" w:ascii="宋体" w:hAnsi="宋体" w:cs="宋体"/>
          <w:color w:val="auto"/>
          <w:highlight w:val="none"/>
          <w:u w:val="single"/>
        </w:rPr>
        <w:t xml:space="preserve"> 施工图纸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1.6.2 承包人文件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需要由承包人提供的文件，包括：</w:t>
      </w:r>
      <w:r>
        <w:rPr>
          <w:rFonts w:hint="eastAsia" w:ascii="宋体" w:hAnsi="宋体" w:cs="宋体"/>
          <w:color w:val="auto"/>
          <w:highlight w:val="none"/>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承包人提供的文件的期限为：</w:t>
      </w:r>
      <w:r>
        <w:rPr>
          <w:rFonts w:hint="eastAsia" w:ascii="宋体" w:hAnsi="宋体" w:cs="宋体"/>
          <w:color w:val="auto"/>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承包人提供的文件的数量为：</w:t>
      </w:r>
      <w:r>
        <w:rPr>
          <w:rFonts w:hint="eastAsia" w:ascii="宋体" w:hAnsi="宋体" w:cs="宋体"/>
          <w:color w:val="auto"/>
          <w:highlight w:val="none"/>
          <w:u w:val="single"/>
        </w:rPr>
        <w:t xml:space="preserve">叁套</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承包人提供的文件的形式为：</w:t>
      </w:r>
      <w:r>
        <w:rPr>
          <w:rFonts w:hint="eastAsia" w:ascii="宋体" w:hAnsi="宋体" w:cs="宋体"/>
          <w:color w:val="auto"/>
          <w:highlight w:val="none"/>
          <w:u w:val="single"/>
        </w:rPr>
        <w:t xml:space="preserve">书面文件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发包人审批承包人文件的期限：</w:t>
      </w:r>
      <w:r>
        <w:rPr>
          <w:rFonts w:hint="eastAsia" w:ascii="宋体" w:hAnsi="宋体" w:cs="宋体"/>
          <w:color w:val="auto"/>
          <w:highlight w:val="none"/>
          <w:u w:val="single"/>
        </w:rPr>
        <w:t xml:space="preserve">收到书面文件后7日内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1.6.3 现场图纸准备</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关于现场图纸准备的约定：</w:t>
      </w:r>
      <w:r>
        <w:rPr>
          <w:rFonts w:hint="eastAsia" w:ascii="宋体" w:hAnsi="宋体" w:cs="宋体"/>
          <w:color w:val="auto"/>
          <w:highlight w:val="none"/>
          <w:u w:val="single"/>
        </w:rPr>
        <w:t xml:space="preserve">承包人应在施工现场保留一套完整图纸，供工程师及有关人员进行工程检查时使用</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1.7 联络</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1.7.1发包人和承包人应当在</w:t>
      </w:r>
      <w:r>
        <w:rPr>
          <w:rFonts w:hint="eastAsia" w:ascii="宋体" w:hAnsi="宋体" w:cs="宋体"/>
          <w:color w:val="auto"/>
          <w:highlight w:val="none"/>
          <w:u w:val="single"/>
        </w:rPr>
        <w:t xml:space="preserve"> 3 </w:t>
      </w:r>
      <w:r>
        <w:rPr>
          <w:rFonts w:hint="eastAsia" w:ascii="宋体" w:hAnsi="宋体" w:cs="宋体"/>
          <w:color w:val="auto"/>
          <w:highlight w:val="none"/>
        </w:rPr>
        <w:t xml:space="preserve">天内将与合同有关的通知、批准、证明、证书、指示、指令、要求、请求、同意、意见、确定和决定等书面函件送达对方当事人。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1.7.2 发包人接收文件的地点：</w:t>
      </w:r>
      <w:r>
        <w:rPr>
          <w:rFonts w:hint="eastAsia" w:ascii="宋体" w:hAnsi="宋体" w:cs="宋体"/>
          <w:color w:val="auto"/>
          <w:highlight w:val="none"/>
          <w:u w:val="single"/>
        </w:rPr>
        <w:t xml:space="preserve">工地业主办公室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发包人指定的接收人为：</w:t>
      </w:r>
      <w:r>
        <w:rPr>
          <w:rFonts w:hint="eastAsia" w:ascii="宋体" w:hAnsi="宋体" w:cs="宋体"/>
          <w:color w:val="auto"/>
          <w:highlight w:val="none"/>
          <w:u w:val="single"/>
        </w:rPr>
        <w:t xml:space="preserve"> 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承包人接收文件的地点：</w:t>
      </w:r>
      <w:r>
        <w:rPr>
          <w:rFonts w:hint="eastAsia" w:ascii="宋体" w:hAnsi="宋体" w:cs="宋体"/>
          <w:color w:val="auto"/>
          <w:highlight w:val="none"/>
          <w:u w:val="single"/>
        </w:rPr>
        <w:t xml:space="preserve">工地承包人项目部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承包人指定的接收人为：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监理人接收文件的地点：</w:t>
      </w:r>
      <w:r>
        <w:rPr>
          <w:rFonts w:hint="eastAsia" w:ascii="宋体" w:hAnsi="宋体" w:cs="宋体"/>
          <w:color w:val="auto"/>
          <w:highlight w:val="none"/>
          <w:u w:val="single"/>
        </w:rPr>
        <w:t xml:space="preserve">工地监理部办公室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监理人指定的接收人为：</w:t>
      </w:r>
      <w:r>
        <w:rPr>
          <w:rFonts w:hint="eastAsia" w:ascii="宋体" w:hAnsi="宋体" w:cs="宋体"/>
          <w:color w:val="auto"/>
          <w:highlight w:val="none"/>
          <w:u w:val="single"/>
        </w:rPr>
        <w:t xml:space="preserve">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 交通运输</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1.8.1 出入现场的权利</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关于出入现场的权利的约定：</w:t>
      </w:r>
      <w:r>
        <w:rPr>
          <w:rFonts w:hint="eastAsia" w:ascii="宋体" w:hAnsi="宋体" w:cs="宋体"/>
          <w:color w:val="auto"/>
          <w:highlight w:val="none"/>
          <w:u w:val="single"/>
        </w:rPr>
        <w:t xml:space="preserve">由承包人统一管理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1.8.2 场内交通</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关于场外交通和场内交通的边界的约定：</w:t>
      </w:r>
      <w:r>
        <w:rPr>
          <w:rFonts w:hint="eastAsia" w:ascii="宋体" w:hAnsi="宋体" w:cs="宋体"/>
          <w:color w:val="auto"/>
          <w:highlight w:val="none"/>
          <w:u w:val="single"/>
        </w:rPr>
        <w:t xml:space="preserve">无</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关于发包人向承包人免费提供满足工程施工需要的场内道路和交通设施的约定：</w:t>
      </w:r>
      <w:r>
        <w:rPr>
          <w:rFonts w:hint="eastAsia" w:ascii="宋体" w:hAnsi="宋体" w:cs="宋体"/>
          <w:color w:val="auto"/>
          <w:highlight w:val="none"/>
          <w:u w:val="single"/>
        </w:rPr>
        <w:t xml:space="preserve">现状 </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1.8.3超大件和超重件的运输</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运输超大件或超重件所需的道路和桥梁临时加固改造费用和其他有关费用由</w:t>
      </w:r>
      <w:r>
        <w:rPr>
          <w:rFonts w:hint="eastAsia" w:ascii="宋体" w:hAnsi="宋体" w:cs="宋体"/>
          <w:color w:val="auto"/>
          <w:highlight w:val="none"/>
          <w:u w:val="single"/>
        </w:rPr>
        <w:t xml:space="preserve"> 承包人 </w:t>
      </w:r>
      <w:r>
        <w:rPr>
          <w:rFonts w:hint="eastAsia" w:ascii="宋体" w:hAnsi="宋体" w:cs="宋体"/>
          <w:color w:val="auto"/>
          <w:highlight w:val="none"/>
        </w:rPr>
        <w:t xml:space="preserve">承担。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 知识产权</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highlight w:val="none"/>
          <w:u w:val="single"/>
        </w:rPr>
        <w:t xml:space="preserve">发包人</w:t>
      </w:r>
      <w:r>
        <w:rPr>
          <w:rFonts w:hint="eastAsia" w:ascii="宋体" w:hAnsi="宋体" w:cs="宋体"/>
          <w:color w:val="auto"/>
          <w:highlight w:val="none"/>
        </w:rPr>
        <w:t xml:space="preserve">。关于发包人提供的上述文件的使用限制的要求：</w:t>
      </w:r>
      <w:r>
        <w:rPr>
          <w:rFonts w:hint="eastAsia" w:ascii="宋体" w:hAnsi="宋体" w:cs="宋体"/>
          <w:color w:val="auto"/>
          <w:highlight w:val="none"/>
          <w:u w:val="single"/>
        </w:rPr>
        <w:t xml:space="preserve">适用本工程、严禁外流</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1.9.2 关于承包人为实施工程所编制文件的著作权的归属：</w:t>
      </w:r>
      <w:r>
        <w:rPr>
          <w:rFonts w:hint="eastAsia" w:ascii="宋体" w:hAnsi="宋体" w:cs="宋体"/>
          <w:color w:val="auto"/>
          <w:highlight w:val="none"/>
          <w:u w:val="single"/>
        </w:rPr>
        <w:t xml:space="preserve"> 发包人</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关于承包人提供的上述文件的使用限制的要求：</w:t>
      </w:r>
      <w:r>
        <w:rPr>
          <w:rFonts w:hint="eastAsia" w:ascii="宋体" w:hAnsi="宋体" w:cs="宋体"/>
          <w:color w:val="auto"/>
          <w:highlight w:val="none"/>
          <w:u w:val="single"/>
        </w:rPr>
        <w:t xml:space="preserve">适用本工程、严禁外流</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1.9.3 承包人在施工过程中所采用的专利、专有技术、技术秘密的使用费的承担方式：</w:t>
      </w:r>
      <w:r>
        <w:rPr>
          <w:rFonts w:hint="eastAsia" w:ascii="宋体" w:hAnsi="宋体" w:cs="宋体"/>
          <w:color w:val="auto"/>
          <w:highlight w:val="none"/>
          <w:u w:val="single"/>
        </w:rPr>
        <w:t xml:space="preserve">由承包人承担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 发包人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2.1 发包人代表</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发包人代表：</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姓    名：</w:t>
      </w:r>
      <w:r>
        <w:rPr>
          <w:rFonts w:hint="eastAsia" w:ascii="宋体" w:hAnsi="宋体" w:cs="宋体"/>
          <w:color w:val="auto"/>
          <w:highlight w:val="none"/>
          <w:u w:val="single"/>
        </w:rPr>
        <w:t xml:space="preserve">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职    务：</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通信地址：</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发包人对发包人代表的授权范围如下：</w:t>
      </w:r>
      <w:r>
        <w:rPr>
          <w:rFonts w:hint="eastAsia" w:ascii="宋体" w:hAnsi="宋体" w:cs="宋体"/>
          <w:color w:val="auto"/>
          <w:highlight w:val="none"/>
          <w:u w:val="single"/>
        </w:rPr>
        <w:t xml:space="preserve">负责本工程项目的管理、协调、控制，保证合同的全面落实，施工中有关情况的上报，业主指令的下达，相关问题的处理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2.2 施工现场、施工条件和基础资料的提供：（发包人应按约定的时间和要求完成以下工作）</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2.2.1 提供施工现场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关于发包人移交施工现场的期限要求：</w:t>
      </w:r>
      <w:r>
        <w:rPr>
          <w:rFonts w:hint="eastAsia" w:ascii="宋体" w:hAnsi="宋体" w:cs="宋体"/>
          <w:color w:val="auto"/>
          <w:highlight w:val="none"/>
          <w:u w:val="single"/>
        </w:rPr>
        <w:t xml:space="preserve">开工日期7天前</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2.2.2 提供施工条件</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关于发包人应负责提供施工所需要的条件，包括：</w:t>
      </w:r>
      <w:r>
        <w:rPr>
          <w:rFonts w:hint="eastAsia" w:ascii="宋体" w:hAnsi="宋体" w:cs="宋体"/>
          <w:color w:val="auto"/>
          <w:highlight w:val="none"/>
          <w:u w:val="single"/>
        </w:rPr>
        <w:t xml:space="preserve">由承包人考察现场自行解决，承包人负责施工现场的清障工作，负责安装水电的计量表具，水电费用自理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⑴施工场地具备施工条件的要求及完成的时间：</w:t>
      </w:r>
      <w:r>
        <w:rPr>
          <w:rFonts w:hint="eastAsia" w:ascii="宋体" w:hAnsi="宋体" w:cs="宋体"/>
          <w:color w:val="auto"/>
          <w:highlight w:val="none"/>
          <w:u w:val="single"/>
        </w:rPr>
        <w:t xml:space="preserve">已具备</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⑵将施工所需的水、电、电讯线路接至施工场地的时间地点和供应要求：</w:t>
      </w:r>
      <w:r>
        <w:rPr>
          <w:rFonts w:hint="eastAsia" w:ascii="宋体" w:hAnsi="宋体" w:cs="宋体"/>
          <w:color w:val="auto"/>
          <w:highlight w:val="none"/>
          <w:u w:val="single"/>
        </w:rPr>
        <w:t xml:space="preserve">由承包人考察现场自行解决，负责安装水电的计量表具，水电费用自理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⑶施工场地与公共道路的通道开通时间和要求：</w:t>
      </w:r>
      <w:r>
        <w:rPr>
          <w:rFonts w:hint="eastAsia" w:ascii="宋体" w:hAnsi="宋体" w:cs="宋体"/>
          <w:color w:val="auto"/>
          <w:highlight w:val="none"/>
          <w:u w:val="single"/>
        </w:rPr>
        <w:t xml:space="preserve">已开通</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⑷工程地质和地下管线资料的提供时间：</w:t>
      </w:r>
      <w:r>
        <w:rPr>
          <w:rFonts w:hint="eastAsia" w:ascii="宋体" w:hAnsi="宋体" w:cs="宋体"/>
          <w:color w:val="auto"/>
          <w:highlight w:val="none"/>
          <w:u w:val="single"/>
        </w:rPr>
        <w:t xml:space="preserve">承包人进场施工前</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⑸由发包人办理的施工所需证件、批件的名称和完成时间：</w:t>
      </w:r>
      <w:r>
        <w:rPr>
          <w:rFonts w:hint="eastAsia" w:ascii="宋体" w:hAnsi="宋体" w:cs="宋体"/>
          <w:color w:val="auto"/>
          <w:highlight w:val="none"/>
          <w:u w:val="single"/>
        </w:rPr>
        <w:t xml:space="preserve">开工前办妥相关开工手续</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⑹水准点、坐标控制点交验要求：</w:t>
      </w:r>
      <w:r>
        <w:rPr>
          <w:rFonts w:hint="eastAsia" w:ascii="宋体" w:hAnsi="宋体" w:cs="宋体"/>
          <w:color w:val="auto"/>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⑺图纸会审和设计交底时间：</w:t>
      </w:r>
      <w:r>
        <w:rPr>
          <w:rFonts w:hint="eastAsia" w:ascii="宋体" w:hAnsi="宋体" w:cs="宋体"/>
          <w:color w:val="auto"/>
          <w:highlight w:val="none"/>
          <w:u w:val="single"/>
        </w:rPr>
        <w:t xml:space="preserve">开工前一日</w:t>
      </w:r>
      <w:r>
        <w:rPr>
          <w:rFonts w:hint="eastAsia" w:ascii="宋体" w:hAnsi="宋体" w:cs="宋体"/>
          <w:color w:val="auto"/>
          <w:highlight w:val="none"/>
        </w:rPr>
        <w:t xml:space="preserve">。</w:t>
      </w:r>
      <w:r/>
    </w:p>
    <w:p>
      <w:pPr>
        <w:pStyle w:val="1060"/>
        <w:ind w:left="0" w:firstLine="480"/>
        <w:spacing w:line="440" w:lineRule="exact"/>
        <w:rPr>
          <w:rFonts w:ascii="宋体" w:hAnsi="宋体" w:cs="宋体"/>
          <w:color w:val="auto"/>
          <w:spacing w:val="6"/>
          <w:szCs w:val="24"/>
          <w:highlight w:val="none"/>
          <w:u w:val="single"/>
        </w:rPr>
      </w:pPr>
      <w:r>
        <w:rPr>
          <w:rFonts w:hint="eastAsia" w:ascii="宋体" w:hAnsi="宋体" w:cs="宋体"/>
          <w:color w:val="auto"/>
          <w:highlight w:val="none"/>
        </w:rPr>
        <w:t xml:space="preserve">⑻协调处理施工现场周围地下管线和邻近建筑物、构筑物的保护工作：</w:t>
      </w:r>
      <w:r>
        <w:rPr>
          <w:rFonts w:hint="eastAsia" w:ascii="宋体" w:hAnsi="宋体" w:cs="宋体"/>
          <w:color w:val="auto"/>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cs="宋体"/>
          <w:color w:val="auto"/>
          <w:szCs w:val="24"/>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⑼双方约定发包人应做的其他工作：</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(10）发包人委托承包人办理的工作：</w:t>
      </w:r>
      <w:r>
        <w:rPr>
          <w:rFonts w:hint="eastAsia" w:ascii="宋体" w:hAnsi="宋体" w:cs="宋体"/>
          <w:color w:val="auto"/>
          <w:highlight w:val="none"/>
          <w:u w:val="single"/>
        </w:rPr>
        <w:t xml:space="preserve">双方视现场情况协商办理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2.3 资金来源证明及支付担保：</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发包人提供资金来源证明的期限要求：</w:t>
      </w:r>
      <w:r>
        <w:rPr>
          <w:rFonts w:hint="eastAsia" w:ascii="宋体" w:hAnsi="宋体" w:cs="宋体"/>
          <w:color w:val="auto"/>
          <w:highlight w:val="none"/>
          <w:u w:val="single"/>
        </w:rPr>
        <w:t xml:space="preserve">无</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发包人是否提供支付担保：</w:t>
      </w:r>
      <w:r>
        <w:rPr>
          <w:rFonts w:hint="eastAsia" w:ascii="宋体" w:hAnsi="宋体" w:cs="宋体"/>
          <w:color w:val="auto"/>
          <w:highlight w:val="none"/>
          <w:u w:val="single"/>
        </w:rPr>
        <w:t xml:space="preserve">不提供</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 承包人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3.1 承包人的一般义务</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承包人应按约定的时间和要求完成以下工作：</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⑴需由设计资质等级和业务范围允许的承包人完成的设计文件提交时间：</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⑵应提供计划、报表的名称和完成时间：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⑶承担施工安全保卫工作及非夜间施工照明的责任和要求：</w:t>
      </w:r>
      <w:r>
        <w:rPr>
          <w:rFonts w:hint="eastAsia" w:ascii="宋体" w:hAnsi="宋体" w:cs="宋体"/>
          <w:color w:val="auto"/>
          <w:highlight w:val="none"/>
          <w:u w:val="single"/>
        </w:rPr>
        <w:t xml:space="preserve">安全保卫工作由承包人负责实施，费用自理；非夜间照明由承包人负责，费用自理</w:t>
      </w:r>
      <w:r>
        <w:rPr>
          <w:rFonts w:hint="eastAsia" w:ascii="宋体" w:hAnsi="宋体" w:cs="宋体"/>
          <w:color w:val="auto"/>
          <w:highlight w:val="none"/>
        </w:rPr>
        <w:t xml:space="preserve">。</w:t>
      </w:r>
      <w:r/>
    </w:p>
    <w:p>
      <w:pPr>
        <w:ind w:firstLine="480"/>
        <w:spacing w:line="440" w:lineRule="exact"/>
        <w:rPr>
          <w:rFonts w:ascii="宋体" w:hAnsi="宋体" w:cs="宋体"/>
          <w:color w:val="auto"/>
          <w:spacing w:val="4"/>
          <w:highlight w:val="none"/>
          <w:u w:val="single"/>
        </w:rPr>
      </w:pPr>
      <w:r>
        <w:rPr>
          <w:rFonts w:hint="eastAsia" w:ascii="宋体" w:hAnsi="宋体" w:cs="宋体"/>
          <w:color w:val="auto"/>
          <w:highlight w:val="none"/>
        </w:rPr>
        <w:t xml:space="preserve">⑷向发包人提供的办公和生活房屋及设施的要求：</w:t>
      </w:r>
      <w:r>
        <w:rPr>
          <w:rFonts w:hint="eastAsia" w:ascii="宋体" w:hAnsi="宋体" w:cs="宋体"/>
          <w:color w:val="auto"/>
          <w:highlight w:val="none"/>
          <w:u w:val="single"/>
        </w:rPr>
        <w:t xml:space="preserve">执行通用条款（根据现场情况定）</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⑸需承包人办理的有关施工场地交通、环卫和施工噪音管理等手续：</w:t>
      </w:r>
      <w:r>
        <w:rPr>
          <w:rFonts w:hint="eastAsia" w:ascii="宋体" w:hAnsi="宋体" w:cs="宋体"/>
          <w:color w:val="auto"/>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⑹已完工程成品保护的特殊要求及费用承担：</w:t>
      </w:r>
      <w:r>
        <w:rPr>
          <w:rFonts w:hint="eastAsia" w:ascii="宋体" w:hAnsi="宋体" w:cs="宋体"/>
          <w:color w:val="auto"/>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⑺施工场地周围地下管线和邻近建筑物、构筑物（含文物保护建筑）、古树名木的保护要求及费用承担：</w:t>
      </w:r>
      <w:r>
        <w:rPr>
          <w:rFonts w:hint="eastAsia" w:ascii="宋体" w:hAnsi="宋体" w:cs="宋体"/>
          <w:color w:val="auto"/>
          <w:highlight w:val="none"/>
          <w:u w:val="single"/>
        </w:rPr>
        <w:t xml:space="preserve">如发现地下管线、文物等，因承包方原因造成破坏的，承包方必须无条件及时修复，并承担由此发生的全部费用和责任</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⑻施工场地清洁卫生的要求：</w:t>
      </w:r>
      <w:r>
        <w:rPr>
          <w:rFonts w:hint="eastAsia" w:ascii="宋体" w:hAnsi="宋体" w:cs="宋体"/>
          <w:color w:val="auto"/>
          <w:highlight w:val="none"/>
          <w:u w:val="single"/>
        </w:rPr>
        <w:t xml:space="preserve">按标准化施工现场要求办理，交工前清理现场，垃圾外运，费用由施工单位自理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⑼双方约定承包人应做的其他工作：</w:t>
      </w:r>
      <w:r>
        <w:rPr>
          <w:rFonts w:hint="eastAsia" w:ascii="宋体" w:hAnsi="宋体" w:cs="宋体"/>
          <w:color w:val="auto"/>
          <w:highlight w:val="none"/>
          <w:u w:val="single"/>
        </w:rPr>
        <w:t xml:space="preserve">承包人有义务对本工程图纸详细审阅，并提出合理化建议，确保施工期间尽量少发生拆除变更等浪费现象</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施工过程中与周围发生的纠纷由承包人自行协商解决，费用由施工单位自理。</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承包方项目经理、项目工程师、质量员、安全员、资料员必须准时参加每周工程例会及其他业主召开的会议，对不参加会议、不住工地者采取处罚措施。</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参加各类施工协调、配合会，对于工地交叉施工引起的问题，有义务进行配合协商解决，服从发包方及监理方现场总协调作出的决定。</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其他</w:t>
      </w:r>
      <w:r>
        <w:rPr>
          <w:rFonts w:hint="eastAsia" w:ascii="宋体" w:hAnsi="宋体" w:cs="宋体"/>
          <w:color w:val="auto"/>
          <w:highlight w:val="none"/>
          <w:u w:val="single"/>
        </w:rPr>
        <w:t xml:space="preserve">1、竣工资料符合连云港市城建档案局关于档案资料的要求；2、准时参加监理组织的每周工程例会和专题会议；3、其它事宜由双方协商另定</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3.2 项目经理</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3.2.1 项目经理：</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姓    名：</w:t>
      </w:r>
      <w:r>
        <w:rPr>
          <w:rFonts w:hint="eastAsia" w:ascii="宋体" w:hAnsi="宋体" w:cs="宋体"/>
          <w:color w:val="auto"/>
          <w:highlight w:val="none"/>
          <w:u w:val="single"/>
        </w:rPr>
        <w:t xml:space="preserve">  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建造师执业资格等级：</w:t>
      </w:r>
      <w:r>
        <w:rPr>
          <w:rFonts w:hint="eastAsia" w:ascii="宋体" w:hAnsi="宋体" w:cs="宋体"/>
          <w:color w:val="auto"/>
          <w:highlight w:val="none"/>
          <w:u w:val="single"/>
        </w:rPr>
        <w:t xml:space="preserve">  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建造师注册证书号：</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建造师执业印章号：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安全生产考核合格证书号：；</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通信地址：</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承包人对项目经理的授权范围如下：</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关于项目经理每月在施工现场的时间要求：</w:t>
      </w:r>
      <w:r>
        <w:rPr>
          <w:rFonts w:hint="eastAsia" w:ascii="宋体" w:hAnsi="宋体" w:cs="宋体"/>
          <w:color w:val="auto"/>
          <w:highlight w:val="none"/>
          <w:u w:val="single"/>
        </w:rPr>
        <w:t xml:space="preserve">项目经理在现场每日8小时以上，每周不少于5日，如有特殊情况，须提供书面请假经发包人批准</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承包人未提交劳动合同，以及没有为项目经理缴纳社会保险证明的违约责任：</w:t>
      </w:r>
      <w:r>
        <w:rPr>
          <w:rFonts w:hint="eastAsia" w:ascii="宋体" w:hAnsi="宋体" w:cs="宋体"/>
          <w:color w:val="auto"/>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项目经理未经批准，擅自离开施工现场的违约责任：</w:t>
      </w:r>
      <w:r>
        <w:rPr>
          <w:rFonts w:hint="eastAsia" w:ascii="宋体" w:hAnsi="宋体" w:cs="宋体"/>
          <w:color w:val="auto"/>
          <w:highlight w:val="none"/>
          <w:u w:val="single"/>
        </w:rPr>
        <w:t xml:space="preserve">发包人每发现一次项目经理擅自离开施工现场的，承包人</w:t>
      </w:r>
      <w:r>
        <w:rPr>
          <w:rFonts w:hint="eastAsia" w:ascii="宋体" w:hAnsi="宋体" w:cs="宋体"/>
          <w:b/>
          <w:color w:val="auto"/>
          <w:highlight w:val="none"/>
          <w:u w:val="single"/>
        </w:rPr>
        <w:t xml:space="preserve">向发包人支付违约金10000元，</w:t>
      </w:r>
      <w:r>
        <w:rPr>
          <w:rFonts w:hint="eastAsia" w:ascii="宋体" w:hAnsi="宋体" w:cs="宋体"/>
          <w:color w:val="auto"/>
          <w:highlight w:val="none"/>
          <w:u w:val="single"/>
        </w:rPr>
        <w:t xml:space="preserve">累计发现五次项目经理擅自离开施工现场，视为承包人擅自更换项目经理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3.2.2 承包人擅自更换项目经理的违约责任：</w:t>
      </w:r>
      <w:r>
        <w:rPr>
          <w:rFonts w:hint="eastAsia" w:ascii="宋体" w:hAnsi="宋体" w:cs="宋体"/>
          <w:color w:val="auto"/>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3.2.3承包人无正当理由拒绝更换项目经理的违约责任：</w:t>
      </w:r>
      <w:r>
        <w:rPr>
          <w:rFonts w:hint="eastAsia" w:ascii="宋体" w:hAnsi="宋体" w:cs="宋体"/>
          <w:color w:val="auto"/>
          <w:highlight w:val="none"/>
          <w:u w:val="single"/>
        </w:rPr>
        <w:t xml:space="preserve">扣除承包人的全部质保金并解除施工合同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3.4 分包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3.4.1 分包的一般约定</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禁止分包的工程包括：</w:t>
      </w:r>
      <w:r>
        <w:rPr>
          <w:rFonts w:hint="eastAsia" w:ascii="宋体" w:hAnsi="宋体" w:cs="宋体"/>
          <w:color w:val="auto"/>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主体结构、关键性工作的范围：</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3.4.2分包的确定</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允许分包的专业工程包括：</w:t>
      </w:r>
      <w:r>
        <w:rPr>
          <w:rFonts w:hint="eastAsia" w:ascii="宋体" w:hAnsi="宋体" w:cs="宋体"/>
          <w:color w:val="auto"/>
          <w:highlight w:val="none"/>
          <w:u w:val="single"/>
        </w:rPr>
        <w:t xml:space="preserve">发包人有权决定分包内容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其他关于分包的约定：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3.4.3 分包合同价款</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关于分包合同价款支付的约定：</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3.5 工程照管与成品、半成品保护</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承包人负责照管工程及工程相关的材料、工程设备的起始时间：</w:t>
      </w:r>
      <w:r>
        <w:rPr>
          <w:rFonts w:hint="eastAsia" w:ascii="宋体" w:hAnsi="宋体" w:cs="宋体"/>
          <w:color w:val="auto"/>
          <w:highlight w:val="none"/>
          <w:u w:val="single"/>
        </w:rPr>
        <w:t xml:space="preserve">自发包人向承包人移交施工现场之日起，承包人应负责照管工程及工程相关的材料、工程设备，直到颁发工程接收证书之日止</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3.6 履约担保</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履约担保：</w:t>
      </w:r>
      <w:r>
        <w:rPr>
          <w:rFonts w:hint="eastAsia" w:ascii="宋体" w:hAnsi="宋体" w:eastAsia="宋体" w:cs="宋体"/>
          <w:color w:val="auto"/>
          <w:highlight w:val="none"/>
        </w:rPr>
        <w:t xml:space="preserve">承包人是否提</w:t>
      </w:r>
      <w:r>
        <w:rPr>
          <w:rFonts w:hint="eastAsia" w:ascii="宋体" w:hAnsi="宋体" w:eastAsia="宋体" w:cs="宋体"/>
          <w:color w:val="auto"/>
          <w:highlight w:val="none"/>
          <w:lang w:val="en-US" w:eastAsia="zh-CN"/>
        </w:rPr>
        <w:t xml:space="preserve">供履约担保：是；</w:t>
      </w:r>
      <w:r/>
    </w:p>
    <w:p>
      <w:pPr>
        <w:ind w:firstLine="48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履约保证金的形式:支票、汇票、本票或者金融机构、担保机构出具的保函（保险）等非现金形式提交。(承包人可自愿使用履约保函(保险)代替交纳履约保证金，详情请见《关于在全省政府采购领域推行电子履约保函(保险)的通知》(苏财购(2023)150号)规定)。</w:t>
      </w:r>
      <w:r/>
    </w:p>
    <w:p>
      <w:pPr>
        <w:ind w:firstLine="48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履约担保的金额：签约合同价的10%；承包人必须在中标结果公告发出之日起7日内，向发包人提交合同价10%的履约担保，否则发包人可以取消其中标资格。</w:t>
      </w:r>
      <w:r/>
    </w:p>
    <w:p>
      <w:pPr>
        <w:ind w:firstLine="48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承包人违约的，发包人将按照合同约定扣除其全部或部分履约保证金。如承包人违约给发包人造成的损失超过履约保证金的，应当依法赔偿超过部分的损失。</w:t>
      </w:r>
      <w:r/>
    </w:p>
    <w:p>
      <w:pPr>
        <w:ind w:firstLine="48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履约保证金自合同生效之日起至合同约定的承包人主要义务履行完毕止，发包人应当按合同约定及时退还履约保证金。</w:t>
      </w:r>
      <w:r/>
    </w:p>
    <w:p>
      <w:pPr>
        <w:ind w:firstLine="48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逾期退还履约保证金的发包人承担违约责任，按照中国人民银行同期贷款基准利率向成交供应商支付超期资金占用费。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 监理人员</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4.1 总监理工程师：</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姓    名：</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职    务：</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监理工程师执业资格证书号：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通信地址：</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关于监理人的其他约定：</w:t>
      </w:r>
      <w:r>
        <w:rPr>
          <w:rFonts w:hint="eastAsia" w:ascii="宋体" w:hAnsi="宋体" w:cs="宋体"/>
          <w:color w:val="auto"/>
          <w:highlight w:val="none"/>
          <w:u w:val="single"/>
        </w:rPr>
        <w:t xml:space="preserve">总监工程师签发的工程变更和付款凭证需发包人签字认可</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4.2 商定或确定</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在发包人和承包人不能通过协商达成一致意见时，发包人授权监理人对以下事项进行确定：</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 工程质量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5.1 质量要求</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5.1.1 特殊质量标准和要求：</w:t>
      </w:r>
      <w:r>
        <w:rPr>
          <w:rFonts w:hint="eastAsia" w:ascii="宋体" w:hAnsi="宋体" w:cs="宋体"/>
          <w:color w:val="auto"/>
          <w:highlight w:val="none"/>
          <w:u w:val="single"/>
        </w:rPr>
        <w:t xml:space="preserve">工程质量必须达到《施工质量验收统一标准》的合格标准规定</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关于工程奖项的约定：</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5.2 隐蔽工程检查</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5.2.2承包人提前通知监理人隐蔽工程检查的期限的约定：</w:t>
      </w:r>
      <w:r>
        <w:rPr>
          <w:rFonts w:hint="eastAsia" w:ascii="宋体" w:hAnsi="宋体" w:cs="宋体"/>
          <w:color w:val="auto"/>
          <w:highlight w:val="none"/>
          <w:u w:val="single"/>
        </w:rPr>
        <w:t xml:space="preserve">承包人在检查前12小时以书面形式通知监理人</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监理人不能按时进行检查时，应提前</w:t>
      </w:r>
      <w:r>
        <w:rPr>
          <w:rFonts w:hint="eastAsia" w:ascii="宋体" w:hAnsi="宋体" w:cs="宋体"/>
          <w:color w:val="auto"/>
          <w:highlight w:val="none"/>
          <w:u w:val="single"/>
        </w:rPr>
        <w:t xml:space="preserve"> 12 </w:t>
      </w:r>
      <w:r>
        <w:rPr>
          <w:rFonts w:hint="eastAsia" w:ascii="宋体" w:hAnsi="宋体" w:cs="宋体"/>
          <w:color w:val="auto"/>
          <w:highlight w:val="none"/>
        </w:rPr>
        <w:t xml:space="preserve">小时提交书面延期要求。</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关于延期最长不得超过：</w:t>
      </w:r>
      <w:r>
        <w:rPr>
          <w:rFonts w:hint="eastAsia" w:ascii="宋体" w:hAnsi="宋体" w:cs="宋体"/>
          <w:color w:val="auto"/>
          <w:highlight w:val="none"/>
          <w:u w:val="single"/>
        </w:rPr>
        <w:t xml:space="preserve"> 24 </w:t>
      </w:r>
      <w:r>
        <w:rPr>
          <w:rFonts w:hint="eastAsia" w:ascii="宋体" w:hAnsi="宋体" w:cs="宋体"/>
          <w:color w:val="auto"/>
          <w:highlight w:val="none"/>
        </w:rPr>
        <w:t xml:space="preserve">小时。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6. 安全文明施工与环境保护</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6.1安全文明施工</w:t>
      </w:r>
      <w:r/>
    </w:p>
    <w:p>
      <w:pPr>
        <w:ind w:firstLine="480"/>
        <w:jc w:val="left"/>
        <w:spacing w:line="440" w:lineRule="exact"/>
        <w:rPr>
          <w:rFonts w:ascii="宋体" w:hAnsi="宋体" w:cs="宋体"/>
          <w:color w:val="auto"/>
          <w:highlight w:val="none"/>
        </w:rPr>
      </w:pPr>
      <w:r>
        <w:rPr>
          <w:rFonts w:hint="eastAsia" w:ascii="宋体" w:hAnsi="宋体" w:cs="宋体"/>
          <w:color w:val="auto"/>
          <w:highlight w:val="none"/>
        </w:rPr>
        <w:t xml:space="preserve">6.1.1 项目安全生产的达标目标及相应事项的约定：</w:t>
      </w:r>
      <w:r>
        <w:rPr>
          <w:rFonts w:hint="eastAsia" w:ascii="宋体" w:hAnsi="宋体" w:cs="宋体"/>
          <w:color w:val="auto"/>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color w:val="auto"/>
          <w:highlight w:val="none"/>
        </w:rPr>
        <w:t xml:space="preserve">。 </w:t>
      </w:r>
      <w:r/>
    </w:p>
    <w:p>
      <w:pPr>
        <w:ind w:firstLine="480"/>
        <w:jc w:val="left"/>
        <w:spacing w:line="440" w:lineRule="exact"/>
        <w:rPr>
          <w:rFonts w:ascii="宋体" w:hAnsi="宋体" w:cs="宋体"/>
          <w:color w:val="auto"/>
          <w:highlight w:val="none"/>
          <w:u w:val="single"/>
        </w:rPr>
      </w:pPr>
      <w:r>
        <w:rPr>
          <w:rFonts w:hint="eastAsia" w:ascii="宋体" w:hAnsi="宋体" w:cs="宋体"/>
          <w:color w:val="auto"/>
          <w:highlight w:val="none"/>
        </w:rPr>
        <w:t xml:space="preserve">6.1.2 关于治安保卫的特别约定：</w:t>
      </w:r>
      <w:r>
        <w:rPr>
          <w:rFonts w:hint="eastAsia" w:ascii="宋体" w:hAnsi="宋体" w:cs="宋体"/>
          <w:color w:val="auto"/>
          <w:highlight w:val="none"/>
          <w:u w:val="single"/>
        </w:rPr>
        <w:t xml:space="preserve">建立治安管理机构或联防组织，统一管理施工场地的治安保卫事项，履行合同工程的治安保卫职责</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关于编制施工场地治安管理计划的约定：</w:t>
      </w:r>
      <w:r>
        <w:rPr>
          <w:rFonts w:hint="eastAsia" w:ascii="宋体" w:hAnsi="宋体" w:cs="宋体"/>
          <w:color w:val="auto"/>
          <w:highlight w:val="none"/>
          <w:u w:val="single"/>
        </w:rPr>
        <w:t xml:space="preserve">由发包人和承包人共同编制</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6.1.3 文明施工</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合同当事人对文明施工的要求：</w:t>
      </w:r>
      <w:r>
        <w:rPr>
          <w:rFonts w:hint="eastAsia" w:ascii="宋体" w:hAnsi="宋体" w:cs="宋体"/>
          <w:color w:val="auto"/>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承包人要制定生活和环境卫生管理制度，要搞好职工宿舍卫生和食堂的饮食卫生，并做好厕所保洁工作。临时搭建须经发包人批准，且应整齐美观。</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6.1.4 关于安全文明施工费支付比例和支付期限的约定：</w:t>
      </w:r>
      <w:r>
        <w:rPr>
          <w:rFonts w:hint="eastAsia" w:ascii="宋体" w:hAnsi="宋体" w:cs="宋体"/>
          <w:color w:val="auto"/>
          <w:highlight w:val="none"/>
          <w:u w:val="single"/>
        </w:rPr>
        <w:t xml:space="preserve">现场安全文明施工措施费按照连建发[2019]36号文执行，未经核定，不得计取</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承包方必须按发包方要求做好安全文明施工工作，设置必须的围挡及安全警示标志，如达不到发包方要求，发包方有权扣除安全文明措施费。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 工期和进度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7.1 施工组织设计</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7.1.1 合同当事人约定的施工组织设计应包括的其他内容：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(1）总体概述：施工组织总体设想、方案针对性及施工标段划分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(2）施工现场平面布置和临时设施、临时道路布置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(3）施工进度计划和各阶段进度的保证措施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(4）劳动力、机械设备和材料投入计划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(5）关键施工技术、工艺及工程项目实施的重点、难点和解决方案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(6）新技术、新产品、新工艺、新材料应用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供应商应保证一旦中标，在施工组织设计中列明的人员应确保参加工程的实施，列明的机具应保证工程随时调用，否则承担违约责任。</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7.1.2 施工组织设计的提交和修改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承包人提交详细施工组织设计的期限的约定：</w:t>
      </w:r>
      <w:r>
        <w:rPr>
          <w:rFonts w:hint="eastAsia" w:ascii="宋体" w:hAnsi="宋体" w:cs="宋体"/>
          <w:color w:val="auto"/>
          <w:highlight w:val="none"/>
          <w:u w:val="single"/>
        </w:rPr>
        <w:t xml:space="preserve">合同签订后14日内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发包人和监理人在收到详细的施工组织设计后确认或提出修改意见的期限：</w:t>
      </w:r>
      <w:r>
        <w:rPr>
          <w:rFonts w:hint="eastAsia" w:ascii="宋体" w:hAnsi="宋体" w:cs="宋体"/>
          <w:color w:val="auto"/>
          <w:highlight w:val="none"/>
          <w:u w:val="single"/>
        </w:rPr>
        <w:t xml:space="preserve">收到施工组织设计后7天内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7.2 施工进度计划</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7.2.1 施工进度计划的修订</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发包人和监理人在收到修订的施工进度计划后确认或提出修改意见的期限：</w:t>
      </w:r>
      <w:r>
        <w:rPr>
          <w:rFonts w:hint="eastAsia" w:ascii="宋体" w:hAnsi="宋体" w:cs="宋体"/>
          <w:color w:val="auto"/>
          <w:highlight w:val="none"/>
          <w:u w:val="single"/>
        </w:rPr>
        <w:t xml:space="preserve">收到修订的施工进度计划后7天内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7.3 开工</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7.3.1 开工准备</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关于承包人提交工程开工报审表的期限：</w:t>
      </w:r>
      <w:r>
        <w:rPr>
          <w:rFonts w:hint="eastAsia" w:ascii="宋体" w:hAnsi="宋体" w:cs="宋体"/>
          <w:color w:val="auto"/>
          <w:highlight w:val="none"/>
          <w:u w:val="single"/>
        </w:rPr>
        <w:t xml:space="preserve">合同签订后7日内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关于发包人应完成的其他开工准备工作及期限：</w:t>
      </w:r>
      <w:r>
        <w:rPr>
          <w:rFonts w:hint="eastAsia" w:ascii="宋体" w:hAnsi="宋体" w:cs="宋体"/>
          <w:color w:val="auto"/>
          <w:highlight w:val="none"/>
          <w:u w:val="single"/>
        </w:rPr>
        <w:t xml:space="preserve">开工日期7天前向承包人移交场地、提供测量基准点、基准线、水准点，工程地质和地下管线书面资料</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关于承包人应完成的其他开工准备工作及期限：</w:t>
      </w:r>
      <w:r>
        <w:rPr>
          <w:rFonts w:hint="eastAsia" w:ascii="宋体" w:hAnsi="宋体" w:cs="宋体"/>
          <w:color w:val="auto"/>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7.3.2开工通知</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因发包人原因造成监理人未能在计划开工日期之日起</w:t>
      </w:r>
      <w:r>
        <w:rPr>
          <w:rFonts w:hint="eastAsia" w:ascii="宋体" w:hAnsi="宋体" w:cs="宋体"/>
          <w:color w:val="auto"/>
          <w:highlight w:val="none"/>
          <w:u w:val="single"/>
        </w:rPr>
        <w:t xml:space="preserve">180</w:t>
      </w:r>
      <w:r>
        <w:rPr>
          <w:rFonts w:hint="eastAsia" w:ascii="宋体" w:hAnsi="宋体" w:cs="宋体"/>
          <w:color w:val="auto"/>
          <w:highlight w:val="none"/>
        </w:rPr>
        <w:t xml:space="preserve">天内发出开工通知的，承包人有权提出价格调整要求，或者解除合同。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7.4 测量放线</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7.4.1发包人通过监理人向承包人提供测量基准点、基准线和水准点及其书面资料的期限：</w:t>
      </w:r>
      <w:r>
        <w:rPr>
          <w:rFonts w:hint="eastAsia" w:ascii="宋体" w:hAnsi="宋体" w:cs="宋体"/>
          <w:color w:val="auto"/>
          <w:highlight w:val="none"/>
          <w:u w:val="single"/>
        </w:rPr>
        <w:t xml:space="preserve">开工日期7天前</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7.5 工期延误</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7.5.1 因发包人原因导致工期延误</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因发包人原因导致工期延误的其他情形：</w:t>
      </w:r>
      <w:r>
        <w:rPr>
          <w:rFonts w:hint="eastAsia" w:ascii="宋体" w:hAnsi="宋体" w:cs="宋体"/>
          <w:color w:val="auto"/>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7.5.2 因承包人原因导致工期延误</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因承包人原因造成工期延误，逾期竣工违约金的计算方法为：</w:t>
      </w:r>
      <w:r>
        <w:rPr>
          <w:rFonts w:hint="eastAsia" w:ascii="宋体" w:hAnsi="宋体" w:cs="宋体"/>
          <w:b/>
          <w:color w:val="auto"/>
          <w:highlight w:val="none"/>
          <w:u w:val="single"/>
        </w:rPr>
        <w:t xml:space="preserve">每延误一天，承包人赔偿给发包人合同价的万分之一违约金</w:t>
      </w:r>
      <w:r>
        <w:rPr>
          <w:rFonts w:hint="eastAsia" w:ascii="宋体" w:hAnsi="宋体" w:cs="宋体"/>
          <w:b/>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7.6 不利物质条件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不利物质条件的其他情形和有关约定：</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7.7异常恶劣的气候条件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发包人和承包人同意以下情形视为异常恶劣的气候条件：</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日降雨量大于50mm的雨日超过1天</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6级以上台风灾害</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(3）</w:t>
      </w:r>
      <w:r>
        <w:rPr>
          <w:rFonts w:hint="eastAsia" w:ascii="宋体" w:hAnsi="宋体" w:cs="宋体"/>
          <w:color w:val="auto"/>
          <w:highlight w:val="none"/>
          <w:u w:val="single"/>
        </w:rPr>
        <w:t xml:space="preserve">日气温超过38℃ 的高温大于3天</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(4）</w:t>
      </w:r>
      <w:r>
        <w:rPr>
          <w:rFonts w:hint="eastAsia" w:ascii="宋体" w:hAnsi="宋体" w:cs="宋体"/>
          <w:color w:val="auto"/>
          <w:highlight w:val="none"/>
          <w:u w:val="single"/>
        </w:rPr>
        <w:t xml:space="preserve">日气温低于－20℃的严寒大于3天</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u w:val="single"/>
        </w:rPr>
        <w:t xml:space="preserve">造成工程损坏的冰雹和大雪灾害：日降雪量10mm及以上</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7.8 提前竣工的奖励</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7.8.1提前竣工的奖励：</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8. 材料与设备</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8.1 施工设备和临时设施</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8.1.1 承包人提供的施工设备和临时设施关于修建临时设施费用承担的约定：</w:t>
      </w:r>
      <w:r>
        <w:rPr>
          <w:rFonts w:hint="eastAsia" w:ascii="宋体" w:hAnsi="宋体" w:cs="宋体"/>
          <w:color w:val="auto"/>
          <w:highlight w:val="none"/>
          <w:u w:val="single"/>
        </w:rPr>
        <w:t xml:space="preserve">由承包人承担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9. 试验与检验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9.1试验设备与试验人员</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9.1.1 试验设备</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施工现场需要配置的试验场所：</w:t>
      </w:r>
      <w:r>
        <w:rPr>
          <w:rFonts w:hint="eastAsia" w:ascii="宋体" w:hAnsi="宋体" w:cs="宋体"/>
          <w:color w:val="auto"/>
          <w:highlight w:val="none"/>
          <w:u w:val="single"/>
        </w:rPr>
        <w:t xml:space="preserve">  由承包人提供  </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施工现场需要配备的试验设备：</w:t>
      </w:r>
      <w:r>
        <w:rPr>
          <w:rFonts w:hint="eastAsia" w:ascii="宋体" w:hAnsi="宋体" w:cs="宋体"/>
          <w:color w:val="auto"/>
          <w:highlight w:val="none"/>
          <w:u w:val="single"/>
        </w:rPr>
        <w:t xml:space="preserve">  由承包人提供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施工现场需要具备的其他试验条件：</w:t>
      </w:r>
      <w:r>
        <w:rPr>
          <w:rFonts w:hint="eastAsia" w:ascii="宋体" w:hAnsi="宋体" w:cs="宋体"/>
          <w:color w:val="auto"/>
          <w:highlight w:val="none"/>
          <w:u w:val="single"/>
        </w:rPr>
        <w:t xml:space="preserve">  由承包人提供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9.2 现场工艺试验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现场工艺试验的有关约定：</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 变更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10.1变更的范围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关于变更的范围的约定：</w:t>
      </w:r>
      <w:r>
        <w:rPr>
          <w:rFonts w:hint="eastAsia" w:ascii="宋体" w:hAnsi="宋体" w:cs="宋体"/>
          <w:color w:val="auto"/>
          <w:highlight w:val="none"/>
          <w:u w:val="single"/>
        </w:rPr>
        <w:t xml:space="preserve">  按通用条款执行 </w:t>
      </w:r>
      <w:r>
        <w:rPr>
          <w:rFonts w:hint="eastAsia" w:ascii="宋体" w:hAnsi="宋体" w:cs="宋体"/>
          <w:color w:val="auto"/>
          <w:highlight w:val="none"/>
        </w:rPr>
        <w:t xml:space="preserve">。</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10.2 变更估价</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本公司(中标单位)郑重承诺:在本工程实施期间，实时进行已完工程量核算，保证不超过合同价的10%</w:t>
      </w:r>
      <w:r>
        <w:rPr>
          <w:rFonts w:hint="eastAsia" w:ascii="宋体" w:hAnsi="宋体" w:cs="宋体"/>
          <w:color w:val="auto"/>
          <w:highlight w:val="none"/>
        </w:rPr>
        <w:t xml:space="preserve">；</w:t>
      </w:r>
      <w:r>
        <w:rPr>
          <w:rFonts w:hint="eastAsia" w:ascii="宋体" w:hAnsi="宋体" w:cs="宋体"/>
          <w:b/>
          <w:bCs/>
          <w:color w:val="auto"/>
          <w:highlight w:val="none"/>
        </w:rPr>
        <w:t xml:space="preserve">工程结算时，本公司无条件放弃超过合同价10%以上部分的工程款。该条为优先执行条款，且不接受任何形式(口头、书面及录音等)的解释。</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合同中没有适用或类似的综合单价，按以下方法确定综合单价：执行2014版江苏省计价定额及其他使用中定额，材料价格参照施工期间连云港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10.4暂估价</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10.5 暂列金额</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 价格调整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11.1 市场价格波动引起的调整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市场价格波动是否调整合同价格的约定：</w:t>
      </w:r>
      <w:r>
        <w:rPr>
          <w:rFonts w:hint="eastAsia" w:ascii="宋体" w:hAnsi="宋体" w:cs="宋体"/>
          <w:color w:val="auto"/>
          <w:highlight w:val="none"/>
          <w:u w:val="single"/>
        </w:rPr>
        <w:t xml:space="preserve">  不调整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 合同价格、计量与支付</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12.1 合同价格形式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(1)本工程采用</w:t>
      </w:r>
      <w:r>
        <w:rPr>
          <w:rFonts w:hint="eastAsia" w:ascii="宋体" w:hAnsi="宋体" w:cs="宋体"/>
          <w:b/>
          <w:color w:val="auto"/>
          <w:highlight w:val="none"/>
        </w:rPr>
        <w:t xml:space="preserve">固定单价合同。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综合单价包含的风险范围：</w:t>
      </w:r>
      <w:r>
        <w:rPr>
          <w:rFonts w:hint="eastAsia" w:ascii="宋体" w:hAnsi="宋体" w:cs="宋体"/>
          <w:color w:val="auto"/>
          <w:highlight w:val="none"/>
          <w:u w:val="single"/>
        </w:rPr>
        <w:t xml:space="preserve">施工期间市场风险、政策风险</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风险费用的计算方法：</w:t>
      </w:r>
      <w:r>
        <w:rPr>
          <w:rFonts w:hint="eastAsia" w:ascii="宋体" w:hAnsi="宋体" w:cs="宋体"/>
          <w:color w:val="auto"/>
          <w:highlight w:val="none"/>
          <w:u w:val="single"/>
        </w:rPr>
        <w:t xml:space="preserve">施工期间人工费、材料费、机械费及规费、税金的调整风险由供应商自行考虑</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风险范围以外合同价格的调整方法：</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本工程结算时按照苏建价[2016]154号文执行，采用一般计税法结算。</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本工程采用“固定单价合同”。</w:t>
      </w:r>
      <w:r/>
    </w:p>
    <w:p>
      <w:pPr>
        <w:ind w:firstLine="48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12.2 预付款</w:t>
      </w:r>
      <w:r/>
    </w:p>
    <w:p>
      <w:pPr>
        <w:ind w:firstLine="48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12.2.1 预付款的支付</w:t>
      </w:r>
      <w:r/>
    </w:p>
    <w:p>
      <w:pPr>
        <w:ind w:firstLine="48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预付款支付比例或金额：发包人向承包人预付工程款为签约合同价的10%（凭承包人出具正规发票）。</w:t>
      </w:r>
      <w:r/>
    </w:p>
    <w:p>
      <w:pPr>
        <w:ind w:firstLine="48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预付款扣回的方式：不扣回，直接视为进度款。</w:t>
      </w:r>
      <w:r/>
    </w:p>
    <w:p>
      <w:pPr>
        <w:ind w:firstLine="48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12.2.2 预付款担保</w:t>
      </w:r>
      <w:r/>
    </w:p>
    <w:p>
      <w:pPr>
        <w:ind w:firstLine="48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承包人提交预付款担保的期限：</w:t>
      </w:r>
      <w:r>
        <w:rPr>
          <w:rFonts w:hint="eastAsia" w:ascii="宋体" w:hAnsi="宋体" w:eastAsia="宋体" w:cs="宋体"/>
          <w:b/>
          <w:bCs/>
          <w:color w:val="auto"/>
          <w:highlight w:val="none"/>
          <w:u w:val="single"/>
          <w:lang w:val="en-US" w:eastAsia="zh-CN"/>
        </w:rPr>
        <w:t xml:space="preserve"> 自提交电子履约保函（保险）之日至本工程竣工验收合格之日 </w:t>
      </w:r>
      <w:r>
        <w:rPr>
          <w:rFonts w:hint="eastAsia" w:ascii="宋体" w:hAnsi="宋体" w:eastAsia="宋体" w:cs="宋体"/>
          <w:b/>
          <w:bCs/>
          <w:color w:val="auto"/>
          <w:highlight w:val="none"/>
        </w:rPr>
        <w:t xml:space="preserve">。</w:t>
      </w:r>
      <w:r/>
    </w:p>
    <w:p>
      <w:pPr>
        <w:ind w:firstLine="48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预付款担保的形式为：</w:t>
      </w:r>
      <w:r>
        <w:rPr>
          <w:rFonts w:hint="eastAsia" w:ascii="宋体" w:hAnsi="宋体" w:eastAsia="宋体" w:cs="宋体"/>
          <w:b/>
          <w:bCs/>
          <w:color w:val="auto"/>
          <w:highlight w:val="none"/>
          <w:u w:val="single"/>
          <w:lang w:eastAsia="zh-CN"/>
        </w:rPr>
        <w:t xml:space="preserve">“</w:t>
      </w:r>
      <w:r>
        <w:rPr>
          <w:rFonts w:hint="eastAsia" w:ascii="宋体" w:hAnsi="宋体" w:eastAsia="宋体" w:cs="宋体"/>
          <w:b/>
          <w:bCs/>
          <w:color w:val="auto"/>
          <w:highlight w:val="none"/>
          <w:u w:val="single"/>
          <w:lang w:val="en-US" w:eastAsia="zh-CN"/>
        </w:rPr>
        <w:t xml:space="preserve">政府采购电子履约保函（保险）平台</w:t>
      </w:r>
      <w:r>
        <w:rPr>
          <w:rFonts w:hint="eastAsia" w:ascii="宋体" w:hAnsi="宋体" w:eastAsia="宋体" w:cs="宋体"/>
          <w:b/>
          <w:bCs/>
          <w:color w:val="auto"/>
          <w:highlight w:val="none"/>
          <w:u w:val="single"/>
          <w:lang w:eastAsia="zh-CN"/>
        </w:rPr>
        <w:t xml:space="preserve">”</w:t>
      </w:r>
      <w:r>
        <w:rPr>
          <w:rFonts w:hint="eastAsia" w:ascii="宋体" w:hAnsi="宋体" w:eastAsia="宋体" w:cs="宋体"/>
          <w:b/>
          <w:bCs/>
          <w:color w:val="auto"/>
          <w:highlight w:val="none"/>
          <w:u w:val="single"/>
          <w:lang w:val="en-US" w:eastAsia="zh-CN"/>
        </w:rPr>
        <w:t xml:space="preserve">出具的电子履约保函（保险）  </w:t>
      </w:r>
      <w:r>
        <w:rPr>
          <w:rFonts w:hint="eastAsia" w:ascii="宋体" w:hAnsi="宋体" w:eastAsia="宋体" w:cs="宋体"/>
          <w:b/>
          <w:bCs/>
          <w:color w:val="auto"/>
          <w:highlight w:val="none"/>
        </w:rPr>
        <w:t xml:space="preserve">。</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12.3 计量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12.3.1 计量原则</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工程量计算规则：</w:t>
      </w:r>
      <w:r>
        <w:rPr>
          <w:rFonts w:hint="eastAsia" w:ascii="宋体" w:hAnsi="宋体" w:cs="宋体"/>
          <w:color w:val="auto"/>
          <w:highlight w:val="none"/>
          <w:u w:val="single"/>
        </w:rPr>
        <w:t xml:space="preserve">执行《建设工程工程量清单计价规范》GB50500-2013清单计算规则</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12.3.2 计量周期</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关于计量周期的约定：</w:t>
      </w:r>
      <w:r>
        <w:rPr>
          <w:rFonts w:hint="eastAsia" w:ascii="宋体" w:hAnsi="宋体" w:cs="宋体"/>
          <w:color w:val="auto"/>
          <w:highlight w:val="none"/>
          <w:u w:val="single"/>
        </w:rPr>
        <w:t xml:space="preserve">  按</w:t>
      </w:r>
      <w:r>
        <w:rPr>
          <w:rFonts w:hint="eastAsia" w:ascii="宋体" w:hAnsi="宋体" w:cs="宋体"/>
          <w:color w:val="auto"/>
          <w:highlight w:val="none"/>
          <w:u w:val="single"/>
          <w:lang w:val="en-US" w:eastAsia="zh-CN"/>
        </w:rPr>
        <w:t xml:space="preserve">节点</w:t>
      </w:r>
      <w:r>
        <w:rPr>
          <w:rFonts w:hint="eastAsia" w:ascii="宋体" w:hAnsi="宋体" w:cs="宋体"/>
          <w:color w:val="auto"/>
          <w:highlight w:val="none"/>
          <w:u w:val="single"/>
        </w:rPr>
        <w:t xml:space="preserve">计量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12.3.3 单价合同的计量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关于单价合同计量的约定：</w:t>
      </w:r>
      <w:r>
        <w:rPr>
          <w:rFonts w:hint="eastAsia" w:ascii="宋体" w:hAnsi="宋体" w:cs="宋体"/>
          <w:color w:val="auto"/>
          <w:highlight w:val="none"/>
          <w:u w:val="single"/>
        </w:rPr>
        <w:t xml:space="preserve">  工程量按实计量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12.3.4 总价合同的计量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关于总价合同计量的约定：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12.3.5总价合同采用支付分解表计量支付的，是否适用第12.3.4 项〔总价合同的计量〕约定进行计量：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12.3.6 其他价格形式合同的计量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其他价格形式的计量方式和程序：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 工程进度款支付</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12.4.1 付款周期</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付款方式：本项目</w:t>
      </w:r>
      <w:r>
        <w:rPr>
          <w:rFonts w:hint="eastAsia" w:ascii="宋体" w:hAnsi="宋体" w:eastAsia="宋体" w:cs="宋体"/>
          <w:b/>
          <w:bCs/>
          <w:color w:val="auto"/>
          <w:highlight w:val="none"/>
          <w:lang w:val="en-US" w:eastAsia="zh-CN"/>
        </w:rPr>
        <w:t xml:space="preserve">预付工程款为签约合同价的10%（需提供</w:t>
      </w:r>
      <w:r>
        <w:rPr>
          <w:rFonts w:hint="eastAsia" w:ascii="宋体" w:hAnsi="宋体" w:eastAsia="宋体" w:cs="宋体"/>
          <w:b/>
          <w:bCs/>
          <w:color w:val="auto"/>
          <w:highlight w:val="none"/>
          <w:u w:val="none"/>
          <w:lang w:eastAsia="zh-CN"/>
        </w:rPr>
        <w:t xml:space="preserve">“</w:t>
      </w:r>
      <w:r>
        <w:rPr>
          <w:rFonts w:hint="eastAsia" w:ascii="宋体" w:hAnsi="宋体" w:eastAsia="宋体" w:cs="宋体"/>
          <w:b/>
          <w:bCs/>
          <w:color w:val="auto"/>
          <w:highlight w:val="none"/>
          <w:u w:val="none"/>
          <w:lang w:val="en-US" w:eastAsia="zh-CN"/>
        </w:rPr>
        <w:t xml:space="preserve">政府采购电子履约保函（保险）平台</w:t>
      </w:r>
      <w:r>
        <w:rPr>
          <w:rFonts w:hint="eastAsia" w:ascii="宋体" w:hAnsi="宋体" w:eastAsia="宋体" w:cs="宋体"/>
          <w:b/>
          <w:bCs/>
          <w:color w:val="auto"/>
          <w:highlight w:val="none"/>
          <w:u w:val="none"/>
          <w:lang w:eastAsia="zh-CN"/>
        </w:rPr>
        <w:t xml:space="preserve">”</w:t>
      </w:r>
      <w:r>
        <w:rPr>
          <w:rFonts w:hint="eastAsia" w:ascii="宋体" w:hAnsi="宋体" w:eastAsia="宋体" w:cs="宋体"/>
          <w:b/>
          <w:bCs/>
          <w:color w:val="auto"/>
          <w:highlight w:val="none"/>
          <w:u w:val="none"/>
          <w:lang w:val="en-US" w:eastAsia="zh-CN"/>
        </w:rPr>
        <w:t xml:space="preserve">出具的电子履约保函（保险），否则不予支付</w:t>
      </w:r>
      <w:r>
        <w:rPr>
          <w:rFonts w:hint="eastAsia" w:ascii="宋体" w:hAnsi="宋体" w:eastAsia="宋体" w:cs="宋体"/>
          <w:b/>
          <w:bCs/>
          <w:color w:val="auto"/>
          <w:highlight w:val="none"/>
          <w:lang w:val="en-US" w:eastAsia="zh-CN"/>
        </w:rPr>
        <w:t xml:space="preserve">）；</w:t>
      </w:r>
      <w:r>
        <w:rPr>
          <w:rFonts w:hint="eastAsia" w:ascii="宋体" w:hAnsi="宋体" w:cs="宋体"/>
          <w:b/>
          <w:bCs/>
          <w:color w:val="auto"/>
          <w:highlight w:val="none"/>
        </w:rPr>
        <w:t xml:space="preserve">工程完工经验收合格(出具竣工验收报告)后付至合同价款的</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0%，工程结算审计完成(出具审计报告)后付至结算价款的 97%，余款在缺陷期满后一次性付清(无息)。</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注：每次付款前乙方应根据招标人要求向甲方出具正规发票，甲方自收到发票后10个工作日内将资金支付至合同约定的乙方账户（发票开具日期计算）。</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乙方账户信息：</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单位名称：</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纳税人识别号：</w:t>
      </w:r>
      <w:r/>
    </w:p>
    <w:p>
      <w:pPr>
        <w:ind w:firstLine="480"/>
        <w:spacing w:line="440" w:lineRule="exact"/>
        <w:rPr>
          <w:rFonts w:ascii="宋体" w:hAnsi="宋体" w:cs="宋体"/>
          <w:b/>
          <w:bCs/>
          <w:color w:val="auto"/>
          <w:highlight w:val="none"/>
        </w:rPr>
      </w:pPr>
      <w:r>
        <w:rPr>
          <w:rFonts w:hint="eastAsia" w:ascii="宋体" w:hAnsi="宋体" w:cs="宋体"/>
          <w:b/>
          <w:bCs/>
          <w:color w:val="auto"/>
          <w:highlight w:val="none"/>
        </w:rPr>
        <w:t xml:space="preserve">开户银行：</w:t>
      </w:r>
      <w:r/>
    </w:p>
    <w:p>
      <w:pPr>
        <w:ind w:firstLine="480"/>
        <w:spacing w:line="440" w:lineRule="exact"/>
        <w:rPr>
          <w:rFonts w:ascii="宋体" w:hAnsi="宋体" w:cs="宋体"/>
          <w:color w:val="auto"/>
          <w:highlight w:val="none"/>
        </w:rPr>
      </w:pPr>
      <w:r>
        <w:rPr>
          <w:rFonts w:hint="eastAsia" w:ascii="宋体" w:hAnsi="宋体" w:cs="宋体"/>
          <w:b/>
          <w:bCs/>
          <w:color w:val="auto"/>
          <w:highlight w:val="none"/>
        </w:rPr>
        <w:t xml:space="preserve">银行帐号：</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12.4.2 进度付款申请单的编制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关于进度付款申请单编制的约定：</w:t>
      </w:r>
      <w:r>
        <w:rPr>
          <w:rFonts w:hint="eastAsia" w:ascii="宋体" w:hAnsi="宋体" w:cs="宋体"/>
          <w:color w:val="auto"/>
          <w:highlight w:val="none"/>
          <w:u w:val="single"/>
        </w:rPr>
        <w:t xml:space="preserve"> 不含工程变更、签证、索赔费用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12.4.3 进度付款申请单的提交</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(1）单价合同进度付款申请单提交的约定：</w:t>
      </w:r>
      <w:r>
        <w:rPr>
          <w:rFonts w:hint="eastAsia" w:ascii="宋体" w:hAnsi="宋体" w:cs="宋体"/>
          <w:color w:val="auto"/>
          <w:highlight w:val="none"/>
          <w:u w:val="single"/>
        </w:rPr>
        <w:t xml:space="preserve">  按月提交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(2）总价合同进度付款申请单提交的约定：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(3）其他价格形式合同进度付款申请单提交的约定：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12.4.4 进度款审核和支付</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(1）监理人审查并报送发包人的期限：</w:t>
      </w:r>
      <w:r>
        <w:rPr>
          <w:rFonts w:hint="eastAsia" w:ascii="宋体" w:hAnsi="宋体" w:cs="宋体"/>
          <w:color w:val="auto"/>
          <w:highlight w:val="none"/>
          <w:u w:val="single"/>
        </w:rPr>
        <w:t xml:space="preserve">在收到承包人进度付款申请单以及相关资料后7日内完成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发包人完成审批并签发进度款支付证书的期限：</w:t>
      </w:r>
      <w:r>
        <w:rPr>
          <w:rFonts w:hint="eastAsia" w:ascii="宋体" w:hAnsi="宋体" w:cs="宋体"/>
          <w:color w:val="auto"/>
          <w:highlight w:val="none"/>
          <w:u w:val="single"/>
        </w:rPr>
        <w:t xml:space="preserve">在收到监理人报送的进度付款申请单及相关资料后7日内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(2）发包人支付进度款的期限：</w:t>
      </w:r>
      <w:r>
        <w:rPr>
          <w:rFonts w:hint="eastAsia" w:ascii="宋体" w:hAnsi="宋体" w:cs="宋体"/>
          <w:color w:val="auto"/>
          <w:highlight w:val="none"/>
          <w:u w:val="single"/>
        </w:rPr>
        <w:t xml:space="preserve">  在进度款支付证书签发后14天内完成支付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发包人逾期支付进度款的违约金的计算方式：</w:t>
      </w:r>
      <w:r>
        <w:rPr>
          <w:rFonts w:hint="eastAsia" w:ascii="宋体" w:hAnsi="宋体" w:cs="宋体"/>
          <w:color w:val="auto"/>
          <w:highlight w:val="none"/>
          <w:u w:val="single"/>
        </w:rPr>
        <w:t xml:space="preserve">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12.4.5 支付分解表的编制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12.4.5</w:t>
      </w:r>
      <w:r>
        <w:rPr>
          <w:rFonts w:hint="eastAsia" w:ascii="宋体" w:hAnsi="宋体" w:cs="宋体"/>
          <w:b/>
          <w:color w:val="auto"/>
          <w:highlight w:val="none"/>
        </w:rPr>
        <w:t xml:space="preserve">.</w:t>
      </w:r>
      <w:r>
        <w:rPr>
          <w:rFonts w:hint="eastAsia" w:ascii="宋体" w:hAnsi="宋体" w:cs="宋体"/>
          <w:color w:val="auto"/>
          <w:highlight w:val="none"/>
        </w:rPr>
        <w:t xml:space="preserve">1、总价合同支付分解表的编制与审批：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12.4.5</w:t>
      </w:r>
      <w:r>
        <w:rPr>
          <w:rFonts w:hint="eastAsia" w:ascii="宋体" w:hAnsi="宋体" w:cs="宋体"/>
          <w:b/>
          <w:color w:val="auto"/>
          <w:highlight w:val="none"/>
        </w:rPr>
        <w:t xml:space="preserve">.</w:t>
      </w:r>
      <w:r>
        <w:rPr>
          <w:rFonts w:hint="eastAsia" w:ascii="宋体" w:hAnsi="宋体" w:cs="宋体"/>
          <w:color w:val="auto"/>
          <w:highlight w:val="none"/>
        </w:rPr>
        <w:t xml:space="preserve">2、单价合同的总价项目支付分解表的编制与审批：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 验收和工程试车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13.1 分部分项工程验收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13.1.1监理人不能按时进行验收时，应提前</w:t>
      </w:r>
      <w:r>
        <w:rPr>
          <w:rFonts w:hint="eastAsia" w:ascii="宋体" w:hAnsi="宋体" w:cs="宋体"/>
          <w:color w:val="auto"/>
          <w:highlight w:val="none"/>
          <w:u w:val="single"/>
        </w:rPr>
        <w:t xml:space="preserve">  24  </w:t>
      </w:r>
      <w:r>
        <w:rPr>
          <w:rFonts w:hint="eastAsia" w:ascii="宋体" w:hAnsi="宋体" w:cs="宋体"/>
          <w:color w:val="auto"/>
          <w:highlight w:val="none"/>
        </w:rPr>
        <w:t xml:space="preserve">小时提交书面延期要求。</w:t>
      </w:r>
      <w:r/>
    </w:p>
    <w:p>
      <w:pPr>
        <w:ind w:firstLine="480"/>
        <w:spacing w:line="440" w:lineRule="exact"/>
        <w:rPr>
          <w:rFonts w:ascii="宋体" w:hAnsi="宋体" w:cs="宋体"/>
          <w:b/>
          <w:color w:val="auto"/>
          <w:highlight w:val="none"/>
        </w:rPr>
      </w:pPr>
      <w:r>
        <w:rPr>
          <w:rFonts w:hint="eastAsia" w:ascii="宋体" w:hAnsi="宋体" w:cs="宋体"/>
          <w:color w:val="auto"/>
          <w:highlight w:val="none"/>
        </w:rPr>
        <w:t xml:space="preserve">关于延期最长不得超过：</w:t>
      </w:r>
      <w:r>
        <w:rPr>
          <w:rFonts w:hint="eastAsia" w:ascii="宋体" w:hAnsi="宋体" w:cs="宋体"/>
          <w:color w:val="auto"/>
          <w:highlight w:val="none"/>
          <w:u w:val="single"/>
        </w:rPr>
        <w:t xml:space="preserve">  48  </w:t>
      </w:r>
      <w:r>
        <w:rPr>
          <w:rFonts w:hint="eastAsia" w:ascii="宋体" w:hAnsi="宋体" w:cs="宋体"/>
          <w:color w:val="auto"/>
          <w:highlight w:val="none"/>
        </w:rPr>
        <w:t xml:space="preserve">小时。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13.2 竣工验收</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13.2.1竣工验收程序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关于竣工验收程序的约定：</w:t>
      </w:r>
      <w:r>
        <w:rPr>
          <w:rFonts w:hint="eastAsia" w:ascii="宋体" w:hAnsi="宋体" w:cs="宋体"/>
          <w:color w:val="auto"/>
          <w:highlight w:val="none"/>
          <w:u w:val="single"/>
        </w:rPr>
        <w:t xml:space="preserve">  按通用条款执行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发包人不按照本项约定组织竣工验收、颁发工程接收证书的违约金的计算方法：</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13.2.2移交、接收全部与部分工程</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承包人向发包人移交工程的期限：</w:t>
      </w:r>
      <w:r>
        <w:rPr>
          <w:rFonts w:hint="eastAsia" w:ascii="宋体" w:hAnsi="宋体" w:cs="宋体"/>
          <w:color w:val="auto"/>
          <w:highlight w:val="none"/>
          <w:u w:val="single"/>
        </w:rPr>
        <w:t xml:space="preserve">在颁发工程接收证书后7日内完成工程的移交</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发包人未按本合同约定接收全部或部分工程的，违约金的计算方法为：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b/>
          <w:color w:val="auto"/>
          <w:highlight w:val="none"/>
        </w:rPr>
      </w:pPr>
      <w:r>
        <w:rPr>
          <w:rFonts w:hint="eastAsia" w:ascii="宋体" w:hAnsi="宋体" w:cs="宋体"/>
          <w:color w:val="auto"/>
          <w:highlight w:val="none"/>
        </w:rPr>
        <w:t xml:space="preserve">承包人未按时移交工程的，违约金的计算方法为：</w:t>
      </w:r>
      <w:r>
        <w:rPr>
          <w:rFonts w:hint="eastAsia" w:ascii="宋体" w:hAnsi="宋体" w:cs="宋体"/>
          <w:color w:val="auto"/>
          <w:highlight w:val="none"/>
          <w:u w:val="single"/>
        </w:rPr>
        <w:t xml:space="preserve">每推迟一天，承</w:t>
      </w:r>
      <w:r>
        <w:rPr>
          <w:rFonts w:hint="eastAsia" w:ascii="宋体" w:hAnsi="宋体" w:cs="宋体"/>
          <w:b/>
          <w:color w:val="auto"/>
          <w:highlight w:val="none"/>
          <w:u w:val="single"/>
        </w:rPr>
        <w:t xml:space="preserve">包人赔偿给发包人合同价万分之一违约金</w:t>
      </w:r>
      <w:r>
        <w:rPr>
          <w:rFonts w:hint="eastAsia" w:ascii="宋体" w:hAnsi="宋体" w:cs="宋体"/>
          <w:b/>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13.3 工程试车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13.3.1 试车程序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工程试车内容：</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numPr>
          <w:ilvl w:val="0"/>
          <w:numId w:val="3"/>
        </w:numPr>
        <w:ind w:firstLine="480"/>
        <w:spacing w:line="440" w:lineRule="exact"/>
        <w:rPr>
          <w:rFonts w:ascii="宋体" w:hAnsi="宋体" w:cs="宋体"/>
          <w:color w:val="auto"/>
          <w:highlight w:val="none"/>
        </w:rPr>
      </w:pPr>
      <w:r>
        <w:rPr>
          <w:rFonts w:hint="eastAsia" w:ascii="宋体" w:hAnsi="宋体" w:cs="宋体"/>
          <w:color w:val="auto"/>
          <w:highlight w:val="none"/>
        </w:rPr>
        <w:t xml:space="preserve">单机无负荷试车费用由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承担；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 无负荷联动试车费用由</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承担。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13.3.2 投料试车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关于投料试车相关事项的约定：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13.4 竣工退场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13.4.1 竣工退场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承包人完成竣工退场的期限：</w:t>
      </w:r>
      <w:r>
        <w:rPr>
          <w:rFonts w:hint="eastAsia" w:ascii="宋体" w:hAnsi="宋体" w:cs="宋体"/>
          <w:color w:val="auto"/>
          <w:highlight w:val="none"/>
          <w:u w:val="single"/>
        </w:rPr>
        <w:t xml:space="preserve">  在移交结束后7日内完成竣工退场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 竣工结算</w:t>
      </w:r>
      <w:r/>
    </w:p>
    <w:p>
      <w:pPr>
        <w:ind w:firstLine="482"/>
        <w:spacing w:line="440" w:lineRule="exact"/>
        <w:rPr>
          <w:rFonts w:ascii="宋体" w:hAnsi="宋体" w:cs="宋体"/>
          <w:color w:val="auto"/>
          <w:highlight w:val="none"/>
        </w:rPr>
      </w:pPr>
      <w:r>
        <w:rPr>
          <w:rFonts w:hint="eastAsia" w:ascii="宋体" w:hAnsi="宋体" w:cs="宋体"/>
          <w:color w:val="auto"/>
          <w:highlight w:val="none"/>
          <w:u w:val="single"/>
        </w:rPr>
        <w:t xml:space="preserve">执行《建设工程工程量清单计价规范》GB50500-2013的规定</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14.1 竣工付款申请</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承包人提交竣工付款申请单的期限：</w:t>
      </w:r>
      <w:r>
        <w:rPr>
          <w:rFonts w:hint="eastAsia" w:ascii="宋体" w:hAnsi="宋体" w:cs="宋体"/>
          <w:color w:val="auto"/>
          <w:highlight w:val="none"/>
          <w:u w:val="single"/>
        </w:rPr>
        <w:t xml:space="preserve">在工程竣工验收合格后28天内向发包人和监理人提交竣工结算申请单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竣工付款申请单应包括的内容：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(1）竣工结算合同价格；</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(2）发包人已支付承包人的款项；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(3）应扣留的质量保证金；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(4）发包人应支付承包人的合同价款。</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14.2 竣工结算审核</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发包人审批竣工付款申请单的期限：</w:t>
      </w:r>
      <w:r>
        <w:rPr>
          <w:rFonts w:hint="eastAsia" w:ascii="宋体" w:hAnsi="宋体" w:cs="宋体"/>
          <w:color w:val="auto"/>
          <w:highlight w:val="none"/>
          <w:u w:val="single"/>
        </w:rPr>
        <w:t xml:space="preserve">发包人在收到承包人提交竣工结算申请书后2个月内完成审批</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发包人完成竣工付款的期限：</w:t>
      </w:r>
      <w:r>
        <w:rPr>
          <w:rFonts w:hint="eastAsia" w:ascii="宋体" w:hAnsi="宋体" w:cs="宋体"/>
          <w:color w:val="auto"/>
          <w:highlight w:val="none"/>
          <w:u w:val="single"/>
        </w:rPr>
        <w:t xml:space="preserve">发包人应在签发竣工付款证书后的3个月内，完成对承包人的竣工付款</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关于竣工付款证书异议部分复核的方式和程序：</w:t>
      </w:r>
      <w:r>
        <w:rPr>
          <w:rFonts w:hint="eastAsia" w:ascii="宋体" w:hAnsi="宋体" w:cs="宋体"/>
          <w:color w:val="auto"/>
          <w:highlight w:val="none"/>
          <w:u w:val="single"/>
        </w:rPr>
        <w:t xml:space="preserve">按照第19条〔争议解决〕约定处理</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14.3 最终结清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14.3.1 最终结清申请单</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承包人提交最终结清申请单的份数：</w:t>
      </w:r>
      <w:r>
        <w:rPr>
          <w:rFonts w:hint="eastAsia" w:ascii="宋体" w:hAnsi="宋体" w:cs="宋体"/>
          <w:color w:val="auto"/>
          <w:highlight w:val="none"/>
          <w:u w:val="single"/>
        </w:rPr>
        <w:t xml:space="preserve">  叁份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承包人提交最终结算申请单的期限：</w:t>
      </w:r>
      <w:r>
        <w:rPr>
          <w:rFonts w:hint="eastAsia" w:ascii="宋体" w:hAnsi="宋体" w:cs="宋体"/>
          <w:color w:val="auto"/>
          <w:highlight w:val="none"/>
          <w:u w:val="single"/>
        </w:rPr>
        <w:t xml:space="preserve">在缺陷责任期终止证书颁发后7日内</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14.3.2 最终结清证书和支付</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(1）发包人完成最终结清申请单的审批并颁发最终结清证书的期限：</w:t>
      </w:r>
      <w:r>
        <w:rPr>
          <w:rFonts w:hint="eastAsia" w:ascii="宋体" w:hAnsi="宋体" w:cs="宋体"/>
          <w:color w:val="auto"/>
          <w:highlight w:val="none"/>
          <w:u w:val="single"/>
        </w:rPr>
        <w:t xml:space="preserve">在收到承包人提交的最终结清申请单后14天内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(2）发包人完成支付的期限：</w:t>
      </w:r>
      <w:r>
        <w:rPr>
          <w:rFonts w:hint="eastAsia" w:ascii="宋体" w:hAnsi="宋体" w:cs="宋体"/>
          <w:color w:val="auto"/>
          <w:highlight w:val="none"/>
          <w:u w:val="single"/>
        </w:rPr>
        <w:t xml:space="preserve">在颁发最终结清证书后30日内完成支付</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 缺陷责任期与保修</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15.1缺陷责任期</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缺陷责任期的具体期限：</w:t>
      </w:r>
      <w:r>
        <w:rPr>
          <w:rFonts w:hint="eastAsia" w:ascii="宋体" w:hAnsi="宋体" w:cs="宋体"/>
          <w:color w:val="auto"/>
          <w:highlight w:val="none"/>
          <w:u w:val="single"/>
        </w:rPr>
        <w:t xml:space="preserve"> 自实际竣工日期起</w:t>
      </w:r>
      <w:r>
        <w:rPr>
          <w:rFonts w:hint="eastAsia" w:ascii="宋体" w:hAnsi="宋体" w:cs="宋体"/>
          <w:b/>
          <w:color w:val="auto"/>
          <w:highlight w:val="none"/>
          <w:u w:val="single"/>
        </w:rPr>
        <w:t xml:space="preserve">24个月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15.2 质量保证金</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关于是否扣留质量保证金的约定：</w:t>
      </w:r>
      <w:r>
        <w:rPr>
          <w:rFonts w:hint="eastAsia" w:ascii="宋体" w:hAnsi="宋体" w:cs="宋体"/>
          <w:color w:val="auto"/>
          <w:highlight w:val="none"/>
          <w:u w:val="single"/>
        </w:rPr>
        <w:t xml:space="preserve"> 扣留质量保证金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15.2.1 承包人提供质量保证金的方式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质量保证金采用以下第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种方式：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(1）质量保证金保函，保证金额为：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b/>
          <w:color w:val="auto"/>
          <w:highlight w:val="none"/>
          <w:u w:val="single"/>
        </w:rPr>
        <w:t xml:space="preserve">3 </w:t>
      </w:r>
      <w:r>
        <w:rPr>
          <w:rFonts w:hint="eastAsia" w:ascii="宋体" w:hAnsi="宋体" w:cs="宋体"/>
          <w:b/>
          <w:color w:val="auto"/>
          <w:highlight w:val="none"/>
        </w:rPr>
        <w:t xml:space="preserve">%</w:t>
      </w:r>
      <w:r>
        <w:rPr>
          <w:rFonts w:hint="eastAsia" w:ascii="宋体" w:hAnsi="宋体" w:cs="宋体"/>
          <w:color w:val="auto"/>
          <w:highlight w:val="none"/>
        </w:rPr>
        <w:t xml:space="preserve">的工程款；</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(3）其他方式：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15.2.2 质量保证金的扣留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质量保证金的扣留采取以下第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种方式：</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(1）在支付工程进度款时逐次扣留，在此情形下，质量保证金的计算基数不包括预付款的支付、扣回以及价格调整的金额；</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(2）工程竣工结算审计结束时一次性扣留质量保证金；</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(3）其他扣留方式：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关于质量保证金的补充约定：</w:t>
      </w:r>
      <w:r>
        <w:rPr>
          <w:rFonts w:hint="eastAsia" w:ascii="宋体" w:hAnsi="宋体" w:cs="宋体"/>
          <w:color w:val="auto"/>
          <w:highlight w:val="none"/>
          <w:u w:val="single"/>
        </w:rPr>
        <w:t xml:space="preserve"> </w:t>
      </w:r>
      <w:r>
        <w:rPr>
          <w:rFonts w:hint="eastAsia" w:ascii="宋体" w:hAnsi="宋体" w:cs="宋体"/>
          <w:color w:val="auto"/>
          <w:highlight w:val="none"/>
          <w:u w:val="single"/>
        </w:rPr>
        <w:t xml:space="preserve"> 在颁发最终结清证书后30日内无息退还</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15.3保修</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15.3.1 保修责任</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工程保修期为：</w:t>
      </w:r>
      <w:r>
        <w:rPr>
          <w:rFonts w:hint="eastAsia" w:ascii="宋体" w:hAnsi="宋体" w:cs="宋体"/>
          <w:color w:val="auto"/>
          <w:highlight w:val="none"/>
          <w:u w:val="single"/>
        </w:rPr>
        <w:t xml:space="preserve">  按国家有关规定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15.3.2 修复通知</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承包人收到保修通知并到达工程现场的合理时间：</w:t>
      </w:r>
      <w:r>
        <w:rPr>
          <w:rFonts w:hint="eastAsia" w:ascii="宋体" w:hAnsi="宋体" w:cs="宋体"/>
          <w:color w:val="auto"/>
          <w:highlight w:val="none"/>
          <w:u w:val="single"/>
        </w:rPr>
        <w:t xml:space="preserve">收到保修通知或口头通知后48小时内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 违约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16.1 发包人违约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16.1.1发包人违约的情形</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发包人违约的其他情形：</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16.1.2 发包人违约的责任</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发包人违约责任的承担方式和计算方法：</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(1）因发包人原因未能在计划开工日期前7天内下达开工通知的违约责任：</w:t>
      </w:r>
      <w:r>
        <w:rPr>
          <w:rFonts w:hint="eastAsia" w:ascii="宋体" w:hAnsi="宋体" w:cs="宋体"/>
          <w:color w:val="auto"/>
          <w:highlight w:val="none"/>
          <w:u w:val="single"/>
        </w:rPr>
        <w:t xml:space="preserve">发包人顺延工期</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cs="宋体"/>
          <w:color w:val="auto"/>
          <w:highlight w:val="none"/>
          <w:u w:val="single"/>
        </w:rPr>
        <w:t xml:space="preserve">发包人顺延工期</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(3）因发包人违反合同约定造成暂停施工的违约责任：</w:t>
      </w:r>
      <w:r>
        <w:rPr>
          <w:rFonts w:hint="eastAsia" w:ascii="宋体" w:hAnsi="宋体" w:cs="宋体"/>
          <w:color w:val="auto"/>
          <w:highlight w:val="none"/>
          <w:u w:val="single"/>
        </w:rPr>
        <w:t xml:space="preserve">发包人顺延工期</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(4）发包人无正当理由没有在约定期限内发出复工指示，导致承包人无法复工的违约责任：</w:t>
      </w:r>
      <w:r>
        <w:rPr>
          <w:rFonts w:hint="eastAsia" w:ascii="宋体" w:hAnsi="宋体" w:cs="宋体"/>
          <w:color w:val="auto"/>
          <w:highlight w:val="none"/>
          <w:u w:val="single"/>
        </w:rPr>
        <w:t xml:space="preserve">发包人顺延工期</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(5）其他：</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16.1.3 因发包人违约解除合同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承包人按16.1.1项〔发包人违约的情形〕约定暂停施工满</w:t>
      </w:r>
      <w:r>
        <w:rPr>
          <w:rFonts w:hint="eastAsia" w:ascii="宋体" w:hAnsi="宋体" w:cs="宋体"/>
          <w:color w:val="auto"/>
          <w:highlight w:val="none"/>
          <w:u w:val="single"/>
        </w:rPr>
        <w:t xml:space="preserve"> 90 </w:t>
      </w:r>
      <w:r>
        <w:rPr>
          <w:rFonts w:hint="eastAsia" w:ascii="宋体" w:hAnsi="宋体" w:cs="宋体"/>
          <w:color w:val="auto"/>
          <w:highlight w:val="none"/>
        </w:rPr>
        <w:t xml:space="preserve">天后发包人仍不纠正其违约行为并致使合同目的不能实现的，承包人有权解除合同。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16.2 承包人违约</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16.2.1 承包人违约的情形</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承包人违约的其他情形：</w:t>
      </w:r>
      <w:r>
        <w:rPr>
          <w:rFonts w:hint="eastAsia" w:ascii="宋体" w:hAnsi="宋体" w:cs="宋体"/>
          <w:color w:val="auto"/>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cs="宋体"/>
          <w:b/>
          <w:color w:val="auto"/>
          <w:highlight w:val="none"/>
          <w:u w:val="single"/>
        </w:rPr>
        <w:t xml:space="preserve">按每拖延一天罚合同总价的万分之一</w:t>
      </w:r>
      <w:r>
        <w:rPr>
          <w:rFonts w:hint="eastAsia" w:ascii="宋体" w:hAnsi="宋体" w:cs="宋体"/>
          <w:color w:val="auto"/>
          <w:highlight w:val="none"/>
          <w:u w:val="single"/>
        </w:rPr>
        <w:t xml:space="preserve">，在结算时扣除</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16.2.2承包人违约的责任</w:t>
      </w:r>
      <w:r/>
    </w:p>
    <w:p>
      <w:pPr>
        <w:ind w:firstLine="480"/>
        <w:spacing w:line="440" w:lineRule="exact"/>
        <w:rPr>
          <w:rFonts w:ascii="宋体" w:hAnsi="宋体" w:cs="宋体"/>
          <w:b/>
          <w:color w:val="auto"/>
          <w:highlight w:val="none"/>
          <w:u w:val="single"/>
        </w:rPr>
      </w:pPr>
      <w:r>
        <w:rPr>
          <w:rFonts w:hint="eastAsia" w:ascii="宋体" w:hAnsi="宋体" w:cs="宋体"/>
          <w:color w:val="auto"/>
          <w:highlight w:val="none"/>
        </w:rPr>
        <w:t xml:space="preserve">承包人违约责任的承担方式和计算方法：</w:t>
      </w:r>
      <w:r>
        <w:rPr>
          <w:rFonts w:hint="eastAsia" w:ascii="宋体" w:hAnsi="宋体" w:cs="宋体"/>
          <w:color w:val="auto"/>
          <w:highlight w:val="none"/>
          <w:u w:val="single"/>
        </w:rPr>
        <w:t xml:space="preserve">  承包人承担全部费用，费用工期不顺延 。工期延误每延误一天，</w:t>
      </w:r>
      <w:r>
        <w:rPr>
          <w:rFonts w:hint="eastAsia" w:ascii="宋体" w:hAnsi="宋体" w:cs="宋体"/>
          <w:b/>
          <w:color w:val="auto"/>
          <w:highlight w:val="none"/>
          <w:u w:val="single"/>
        </w:rPr>
        <w:t xml:space="preserve">承包人赔偿给发包人合同总价的万分之一违约金</w:t>
      </w:r>
      <w:r>
        <w:rPr>
          <w:rFonts w:hint="eastAsia" w:ascii="宋体" w:hAnsi="宋体" w:cs="宋体"/>
          <w:b/>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16.2.3 因承包人违约解除合同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关于承包人违约解除合同的特别约定：</w:t>
      </w:r>
      <w:r>
        <w:rPr>
          <w:rFonts w:hint="eastAsia" w:ascii="宋体" w:hAnsi="宋体" w:cs="宋体"/>
          <w:color w:val="auto"/>
          <w:highlight w:val="none"/>
          <w:u w:val="single"/>
        </w:rPr>
        <w:t xml:space="preserve">发包人没收全部质保金并暂停对承包人的付款</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highlight w:val="none"/>
          <w:u w:val="single"/>
        </w:rPr>
        <w:t xml:space="preserve">施工现场的材料、设备由发包人承担费用，其它费用由承包人承担</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17. 不可抗力 </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17.1 不可抗力的确认</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除通用合同条款约定的不可抗力事件之外，视为不可抗力的其他情形： </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17.2因不可抗力解除合同</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合同解除后，发包人应在商定或确定发包人应支付款项后</w:t>
      </w:r>
      <w:r>
        <w:rPr>
          <w:rFonts w:hint="eastAsia" w:ascii="宋体" w:hAnsi="宋体" w:cs="宋体"/>
          <w:color w:val="auto"/>
          <w:highlight w:val="none"/>
          <w:u w:val="single"/>
        </w:rPr>
        <w:t xml:space="preserve">  28  </w:t>
      </w:r>
      <w:r>
        <w:rPr>
          <w:rFonts w:hint="eastAsia" w:ascii="宋体" w:hAnsi="宋体" w:cs="宋体"/>
          <w:color w:val="auto"/>
          <w:highlight w:val="none"/>
        </w:rPr>
        <w:t xml:space="preserve">天内完成款项的支付。</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 保险</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18.1 工程保险</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关于工程保险的特别约定：</w:t>
      </w:r>
      <w:r>
        <w:rPr>
          <w:rFonts w:hint="eastAsia" w:ascii="宋体" w:hAnsi="宋体" w:cs="宋体"/>
          <w:color w:val="auto"/>
          <w:highlight w:val="none"/>
          <w:u w:val="single"/>
        </w:rPr>
        <w:t xml:space="preserve">为工程购买建筑工程一切险，保险费用由承包人支付</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18.2 其他保险</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关于其他保险的约定：</w:t>
      </w:r>
      <w:r>
        <w:rPr>
          <w:rFonts w:hint="eastAsia" w:ascii="宋体" w:hAnsi="宋体" w:cs="宋体"/>
          <w:color w:val="auto"/>
          <w:highlight w:val="none"/>
          <w:u w:val="single"/>
        </w:rPr>
        <w:t xml:space="preserve">承包人为施工现场的全部人员办理意外伤害保险、工程事故保险。一切事故均与发包方无关</w:t>
      </w:r>
      <w:r>
        <w:rPr>
          <w:rFonts w:hint="eastAsia" w:ascii="宋体" w:hAnsi="宋体" w:cs="宋体"/>
          <w:color w:val="auto"/>
          <w:highlight w:val="none"/>
        </w:rPr>
        <w:t xml:space="preserve">。 </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承包人是否应为其施工设备等办理财产保险：</w:t>
      </w:r>
      <w:r>
        <w:rPr>
          <w:rFonts w:hint="eastAsia" w:ascii="宋体" w:hAnsi="宋体" w:cs="宋体"/>
          <w:color w:val="auto"/>
          <w:highlight w:val="none"/>
          <w:u w:val="single"/>
        </w:rPr>
        <w:t xml:space="preserve">承包人为其施工设备等办理财产保险</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18.3 通知义务</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关于变更保险合同时的通知义务的约定：</w:t>
      </w:r>
      <w:r>
        <w:rPr>
          <w:rFonts w:hint="eastAsia" w:ascii="宋体" w:hAnsi="宋体" w:cs="宋体"/>
          <w:color w:val="auto"/>
          <w:highlight w:val="none"/>
          <w:u w:val="single"/>
        </w:rPr>
        <w:t xml:space="preserve">变更前应事先征得对方同意并通知监理人</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 争议解决</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19.1 争议评审</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合同当事人是否同意将工程争议提交争议评审小组决定：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19.1.1 争议评审小组的确定</w:t>
      </w:r>
      <w:r/>
    </w:p>
    <w:p>
      <w:pPr>
        <w:ind w:firstLine="480"/>
        <w:spacing w:line="440" w:lineRule="exact"/>
        <w:rPr>
          <w:rFonts w:ascii="宋体" w:hAnsi="宋体" w:cs="宋体"/>
          <w:color w:val="auto"/>
          <w:highlight w:val="none"/>
          <w:u w:val="single"/>
        </w:rPr>
      </w:pPr>
      <w:r>
        <w:rPr>
          <w:rFonts w:hint="eastAsia" w:ascii="宋体" w:hAnsi="宋体" w:cs="宋体"/>
          <w:color w:val="auto"/>
          <w:highlight w:val="none"/>
        </w:rPr>
        <w:t xml:space="preserve">争议评审小组成员的确定：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选定争议评审员的期限：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争议评审小组成员的报酬承担方式：</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其他事项的约定：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19.1.2 争议评审小组的决定</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合同当事人关于本项的约定：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19.2仲裁或诉讼</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因合同及合同有关事项发生的争议，按下列第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种方式解决：</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(1）向</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仲裁委员会申请仲裁；</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(2）向</w:t>
      </w:r>
      <w:r>
        <w:rPr>
          <w:rFonts w:hint="eastAsia" w:ascii="宋体" w:hAnsi="宋体" w:cs="宋体"/>
          <w:color w:val="auto"/>
          <w:highlight w:val="none"/>
          <w:u w:val="single"/>
        </w:rPr>
        <w:t xml:space="preserve">  工程所在地由管辖权 </w:t>
      </w:r>
      <w:r>
        <w:rPr>
          <w:rFonts w:hint="eastAsia" w:ascii="宋体" w:hAnsi="宋体" w:cs="宋体"/>
          <w:color w:val="auto"/>
          <w:highlight w:val="none"/>
        </w:rPr>
        <w:t xml:space="preserve">人民法院起诉。</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20、补充条款：</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(1)结算时，以成交价及本合同中明确的调整因素、办法为依据进行调整。</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(2)凡是非设计变更以及发包人造成的施工条件变更原因，施工方案和施工措施的修改而造成增加的费用由承包人承担。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(3)为了确保工程顺利完成，施工期间若承包人有违背磋商文件（含合同条件）有关规定之行为，承包人无条件接受招标人的一切处罚并赔偿所造成的一切损失，在招标人规定的时间内无条件撤出施工现场。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(4)施工期间承包人必须按文明施工规定的具体内容进行实施，若未全部实施，结算时将扣除相应费用。</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(5)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(6)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(7)无论发包人是否给予了批准或者同意，承包人应对现场作业、施工方法及施工过程的完整性、稳定性和安全性承担全部责任，负责完成对工程的稳定、完整、安全、可靠及有效运行所必需的全部工作。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(8)施工过程中，如发生扰民及正常施工过程民扰的现象，所产生的费用均由承包单位承担。</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(9)因承包人自身原因造成的人员伤害及伤亡，由承包人承担相应责任及经济赔偿。</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(10)因承包人自身原因造成的工期延长，除按照合同要求进行经济处罚以外，还应赔偿监理单位延期产生的监理费。</w:t>
      </w:r>
      <w:r/>
    </w:p>
    <w:p>
      <w:pPr>
        <w:ind w:firstLine="480"/>
        <w:spacing w:line="440" w:lineRule="exact"/>
        <w:rPr>
          <w:rFonts w:ascii="宋体" w:hAnsi="宋体" w:cs="宋体"/>
          <w:color w:val="auto"/>
          <w:highlight w:val="none"/>
        </w:rPr>
      </w:pPr>
      <w:r>
        <w:rPr>
          <w:rFonts w:hint="eastAsia" w:ascii="宋体" w:hAnsi="宋体" w:cs="宋体"/>
          <w:color w:val="auto"/>
          <w:highlight w:val="none"/>
        </w:rPr>
        <w:t xml:space="preserve">(11)竣工验收时如需邀请专家验收，所需专家评审费由承包人支付，承包人在投标报价时应综合考虑。</w:t>
      </w:r>
      <w:r/>
    </w:p>
    <w:p>
      <w:pPr>
        <w:pStyle w:val="757"/>
        <w:rPr>
          <w:rFonts w:ascii="宋体" w:hAnsi="宋体" w:eastAsia="宋体"/>
          <w:color w:val="auto"/>
          <w:sz w:val="21"/>
          <w:szCs w:val="21"/>
          <w:highlight w:val="none"/>
        </w:rPr>
      </w:pPr>
      <w:r>
        <w:rPr>
          <w:rFonts w:ascii="宋体" w:hAnsi="宋体" w:eastAsia="宋体"/>
          <w:color w:val="auto"/>
          <w:sz w:val="21"/>
          <w:szCs w:val="21"/>
          <w:highlight w:val="none"/>
        </w:rPr>
      </w:r>
      <w:r/>
    </w:p>
    <w:p>
      <w:pPr>
        <w:pStyle w:val="757"/>
        <w:rPr>
          <w:rFonts w:ascii="宋体" w:hAnsi="宋体" w:eastAsia="宋体"/>
          <w:color w:val="auto"/>
          <w:sz w:val="21"/>
          <w:szCs w:val="21"/>
          <w:highlight w:val="none"/>
        </w:rPr>
      </w:pPr>
      <w:r>
        <w:rPr>
          <w:rFonts w:ascii="宋体" w:hAnsi="宋体" w:eastAsia="宋体"/>
          <w:color w:val="auto"/>
          <w:sz w:val="21"/>
          <w:szCs w:val="21"/>
          <w:highlight w:val="none"/>
        </w:rPr>
      </w:r>
      <w:r/>
    </w:p>
    <w:p>
      <w:pPr>
        <w:pStyle w:val="757"/>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41"/>
        <w:ind w:left="0" w:right="0"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专用合同条款附件：</w:t>
      </w:r>
      <w:r/>
    </w:p>
    <w:p>
      <w:pPr>
        <w:pStyle w:val="1041"/>
        <w:ind w:left="0" w:right="0"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附件1：工程质量保修书</w:t>
      </w:r>
      <w:r/>
    </w:p>
    <w:p>
      <w:pPr>
        <w:pStyle w:val="1041"/>
        <w:ind w:left="0" w:right="0"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附件2：安全生产责任承诺书</w:t>
      </w:r>
      <w:r/>
    </w:p>
    <w:p>
      <w:pPr>
        <w:pStyle w:val="1041"/>
        <w:ind w:left="0" w:right="0"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附件3：成交供应商诚信承诺书</w:t>
      </w:r>
      <w:r/>
    </w:p>
    <w:p>
      <w:pPr>
        <w:pStyle w:val="1041"/>
        <w:ind w:left="0" w:right="0"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附件4：项目周边成品保护</w:t>
      </w:r>
      <w:r>
        <w:rPr>
          <w:rFonts w:hint="eastAsia" w:ascii="宋体" w:hAnsi="宋体" w:eastAsia="宋体" w:cs="宋体"/>
          <w:color w:val="auto"/>
          <w:sz w:val="21"/>
          <w:szCs w:val="21"/>
          <w:highlight w:val="none"/>
          <w:lang w:val="en-US" w:eastAsia="zh-CN"/>
        </w:rPr>
        <w:t xml:space="preserve">承诺书</w:t>
      </w:r>
      <w:r/>
    </w:p>
    <w:p>
      <w:pPr>
        <w:pStyle w:val="1041"/>
        <w:ind w:left="0" w:right="0" w:firstLine="420"/>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附件5：不拖欠农民工工资</w:t>
      </w:r>
      <w:r>
        <w:rPr>
          <w:rFonts w:hint="eastAsia" w:ascii="宋体" w:hAnsi="宋体" w:eastAsia="宋体" w:cs="宋体"/>
          <w:color w:val="auto"/>
          <w:sz w:val="21"/>
          <w:szCs w:val="21"/>
          <w:highlight w:val="none"/>
          <w:lang w:val="en-US" w:eastAsia="zh-CN"/>
        </w:rPr>
        <w:t xml:space="preserve">承诺书</w:t>
      </w:r>
      <w:r/>
    </w:p>
    <w:p>
      <w:pPr>
        <w:pStyle w:val="1041"/>
        <w:ind w:left="0" w:right="0"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附件6：</w:t>
      </w:r>
      <w:r>
        <w:rPr>
          <w:rFonts w:hint="eastAsia" w:ascii="宋体" w:hAnsi="宋体" w:eastAsia="宋体" w:cs="宋体"/>
          <w:color w:val="auto"/>
          <w:sz w:val="21"/>
          <w:szCs w:val="21"/>
          <w:highlight w:val="none"/>
        </w:rPr>
        <w:t xml:space="preserve">工程安全环境管理协议</w:t>
      </w:r>
      <w:r/>
    </w:p>
    <w:p>
      <w:pPr>
        <w:pStyle w:val="1041"/>
        <w:ind w:left="0" w:right="0" w:firstLine="420"/>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附件7：</w:t>
      </w:r>
      <w:r>
        <w:rPr>
          <w:rFonts w:hint="eastAsia" w:ascii="宋体" w:hAnsi="宋体" w:eastAsia="宋体" w:cs="宋体"/>
          <w:color w:val="auto"/>
          <w:sz w:val="21"/>
          <w:szCs w:val="21"/>
          <w:highlight w:val="none"/>
        </w:rPr>
        <w:t xml:space="preserve">工程廉政</w:t>
      </w:r>
      <w:r>
        <w:rPr>
          <w:rFonts w:hint="eastAsia" w:ascii="宋体" w:hAnsi="宋体" w:cs="宋体"/>
          <w:color w:val="auto"/>
          <w:sz w:val="21"/>
          <w:szCs w:val="21"/>
          <w:highlight w:val="none"/>
          <w:lang w:val="en-US" w:eastAsia="zh-CN"/>
        </w:rPr>
        <w:t xml:space="preserve">协议</w:t>
      </w:r>
      <w:r/>
    </w:p>
    <w:p>
      <w:pPr>
        <w:pStyle w:val="757"/>
        <w:rPr>
          <w:rFonts w:hint="eastAsia" w:ascii="楷体_GB2312" w:eastAsia="楷体_GB2312"/>
          <w:color w:val="auto"/>
          <w:sz w:val="24"/>
          <w:highlight w:val="none"/>
        </w:rPr>
      </w:pPr>
      <w:r>
        <w:rPr>
          <w:rFonts w:hint="eastAsia" w:ascii="楷体_GB2312" w:eastAsia="楷体_GB2312"/>
          <w:color w:val="auto"/>
          <w:sz w:val="24"/>
          <w:highlight w:val="none"/>
        </w:rPr>
      </w:r>
      <w:r/>
    </w:p>
    <w:p>
      <w:pPr>
        <w:pStyle w:val="757"/>
        <w:rPr>
          <w:rFonts w:hint="default" w:ascii="宋体" w:hAnsi="宋体" w:eastAsia="宋体"/>
          <w:color w:val="auto"/>
          <w:sz w:val="21"/>
          <w:szCs w:val="21"/>
          <w:highlight w:val="none"/>
          <w:lang w:val="en-US" w:eastAsia="zh-CN"/>
        </w:rPr>
        <w:sectPr>
          <w:footnotePr/>
          <w:endnotePr/>
          <w:type w:val="nextPage"/>
          <w:pgSz w:w="11906" w:h="16838" w:orient="portrait"/>
          <w:pgMar w:top="1134" w:right="1134" w:bottom="1134" w:left="1134" w:header="851" w:footer="828" w:gutter="0"/>
          <w:cols w:num="1" w:sep="0" w:space="720" w:equalWidth="1"/>
          <w:docGrid w:linePitch="360"/>
        </w:sectPr>
      </w:pPr>
      <w:r>
        <w:rPr>
          <w:rFonts w:hint="default" w:ascii="宋体" w:hAnsi="宋体" w:eastAsia="宋体"/>
          <w:color w:val="auto"/>
          <w:sz w:val="21"/>
          <w:szCs w:val="21"/>
          <w:highlight w:val="none"/>
          <w:lang w:val="en-US" w:eastAsia="zh-CN"/>
        </w:rPr>
      </w:r>
      <w:r/>
    </w:p>
    <w:p>
      <w:pPr>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附件1：</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工程质量保修书</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发包人（全称）：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承包人（全称）：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（工程全称）签订工程质量保修书。 </w:t>
      </w:r>
      <w:r/>
    </w:p>
    <w:p>
      <w:pPr>
        <w:ind w:firstLine="422"/>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一、工程质量保修范围和内容</w:t>
      </w:r>
      <w:r>
        <w:rPr>
          <w:rFonts w:hint="eastAsia" w:ascii="宋体" w:hAnsi="宋体" w:eastAsia="宋体" w:cs="宋体"/>
          <w:color w:val="auto"/>
          <w:sz w:val="21"/>
          <w:szCs w:val="21"/>
          <w:highlight w:val="none"/>
          <w:lang w:val="en-US" w:eastAsia="zh-CN"/>
        </w:rPr>
        <w:t xml:space="preserve"> </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承包人在质量保修期内，按照有关法律规定和合同约定，承担工程质量保修责任。</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lang w:val="en-US" w:eastAsia="zh-CN"/>
        </w:rPr>
        <w:t xml:space="preserve"> 凡因承包人因施工原因造成的质量缺陷均属保修范围 </w:t>
      </w:r>
      <w:r>
        <w:rPr>
          <w:rFonts w:hint="eastAsia" w:ascii="宋体" w:hAnsi="宋体" w:eastAsia="宋体" w:cs="宋体"/>
          <w:color w:val="auto"/>
          <w:sz w:val="21"/>
          <w:szCs w:val="21"/>
          <w:highlight w:val="none"/>
          <w:lang w:val="en-US" w:eastAsia="zh-CN"/>
        </w:rPr>
        <w:t xml:space="preserve">。 </w:t>
      </w:r>
      <w:r/>
    </w:p>
    <w:p>
      <w:pPr>
        <w:ind w:firstLine="422"/>
        <w:jc w:val="left"/>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二、质量保修期 </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根据《建设工程质量管理条例》及有关规定，工程的质量保修期如下：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1.基础设施工程、房屋建筑的地基基础工程和主体结构工程，为设计文件规定的该工程的合理使用年限；</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2.屋面防水工程、有防水要求的卫生间、房间和外墙面的防渗漏，为5年；</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3.装修工程为2年；</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4.电气管线、给排水管道、设备安装工程，为2年。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5.供热与供冷系统为2个采暖期、供冷期；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6.其他项目保修期限约定如下：</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其他项目保修期按图纸设计使用年限和国家现行法律法规规定执行。</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质量保修期自工程竣工验收合格之日起计算。</w:t>
      </w:r>
      <w:r/>
    </w:p>
    <w:p>
      <w:pPr>
        <w:ind w:firstLine="422"/>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三、缺陷责任期</w:t>
      </w:r>
      <w:r>
        <w:rPr>
          <w:rFonts w:hint="eastAsia" w:ascii="宋体" w:hAnsi="宋体" w:eastAsia="宋体" w:cs="宋体"/>
          <w:color w:val="auto"/>
          <w:sz w:val="21"/>
          <w:szCs w:val="21"/>
          <w:highlight w:val="none"/>
          <w:lang w:val="en-US" w:eastAsia="zh-CN"/>
        </w:rPr>
        <w:t xml:space="preserve">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工程缺陷责任期为24个月，缺陷责任期自工程通过竣工验收之日起计算。单位工程先于全部工程进行验收，单位工程缺陷责任期自单位工程验收合格之日起算。</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缺陷责任期终止后，发包人应退还剩余的质量保证金。 </w:t>
      </w:r>
      <w:r/>
    </w:p>
    <w:p>
      <w:pPr>
        <w:ind w:firstLine="422"/>
        <w:jc w:val="left"/>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四、质量保修责任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1．属于保修范围、内容的项目，承包人应当在接到保修通知之日起7天内派人保修。承包人不在约定期限内派人保修的，发包人可以委托他人修理。</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2．发生紧急事故需抢修的，承包人在接到事故通知后，应当立即到达事故现场抢修。</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4．质量保修完成后，由发包人组织验收。</w:t>
      </w:r>
      <w:r/>
    </w:p>
    <w:p>
      <w:pPr>
        <w:ind w:firstLine="422"/>
        <w:jc w:val="left"/>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五、保修费用</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保修费用由造成质量缺陷的责任方承担。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双方约定的其他工程质量保修事项：本工程约定的工程质量保修金为工程竣工结算审定价的3%。</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工程质量保修书由发包人、承包人在工程竣工验收前共同签署，作为施工合同附件，其有效期限至保修期满。</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发包人(公章)：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承包人(公章)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地  址：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法定代表人(签字)：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法定代表(签字)：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委托代理人(签字)：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委托代理人(签字)：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电  话：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开户银行：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开户银行：          </w:t>
      </w:r>
      <w:r/>
    </w:p>
    <w:p>
      <w:pPr>
        <w:ind w:firstLine="42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账  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账  号：      </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邮政编码：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邮政编码：</w:t>
      </w:r>
      <w:r>
        <w:rPr>
          <w:rFonts w:hint="eastAsia" w:ascii="宋体" w:hAnsi="宋体" w:eastAsia="宋体" w:cs="宋体"/>
          <w:bCs/>
          <w:color w:val="auto"/>
          <w:spacing w:val="2"/>
          <w:sz w:val="21"/>
          <w:szCs w:val="21"/>
          <w:highlight w:val="none"/>
          <w:lang w:val="en-US" w:eastAsia="zh-CN" w:bidi="ar-SA"/>
        </w:rPr>
        <w:t xml:space="preserve">  </w:t>
      </w:r>
      <w:r/>
    </w:p>
    <w:p>
      <w:pPr>
        <w:ind w:firstLine="1920"/>
        <w:spacing w:line="360" w:lineRule="auto"/>
        <w:rPr>
          <w:rFonts w:hint="eastAsia" w:ascii="宋体" w:hAnsi="宋体" w:cs="宋体"/>
          <w:bCs/>
          <w:color w:val="auto"/>
          <w:spacing w:val="5"/>
          <w:szCs w:val="21"/>
          <w:highlight w:val="none"/>
        </w:rPr>
      </w:pPr>
      <w:r>
        <w:rPr>
          <w:rFonts w:hint="eastAsia" w:ascii="宋体" w:hAnsi="宋体" w:cs="宋体"/>
          <w:bCs/>
          <w:color w:val="auto"/>
          <w:spacing w:val="5"/>
          <w:szCs w:val="21"/>
          <w:highlight w:val="none"/>
        </w:rPr>
      </w:r>
      <w:r/>
    </w:p>
    <w:p>
      <w:pPr>
        <w:ind w:firstLine="1920"/>
        <w:jc w:val="right"/>
        <w:spacing w:line="360" w:lineRule="auto"/>
        <w:rPr>
          <w:rFonts w:hint="eastAsia" w:ascii="宋体" w:hAnsi="宋体" w:eastAsia="宋体" w:cs="宋体"/>
          <w:color w:val="auto"/>
          <w:sz w:val="21"/>
          <w:szCs w:val="21"/>
          <w:highlight w:val="none"/>
        </w:rPr>
      </w:pPr>
      <w:r>
        <w:rPr>
          <w:rFonts w:hint="eastAsia" w:ascii="宋体" w:hAnsi="宋体" w:cs="宋体"/>
          <w:bCs/>
          <w:color w:val="auto"/>
          <w:spacing w:val="5"/>
          <w:szCs w:val="21"/>
          <w:highlight w:val="none"/>
        </w:rPr>
        <w:t xml:space="preserve"> 日期：    年  月   日</w:t>
      </w:r>
      <w:r/>
    </w:p>
    <w:p>
      <w:pPr>
        <w:jc w:val="righ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ascii="宋体" w:hAnsi="宋体" w:cs="宋体"/>
          <w:b/>
          <w:bCs/>
          <w:color w:val="auto"/>
          <w:szCs w:val="21"/>
          <w:highlight w:val="none"/>
        </w:rPr>
      </w:pPr>
      <w:r>
        <w:rPr>
          <w:rFonts w:hint="eastAsia" w:ascii="宋体" w:hAnsi="宋体" w:cs="宋体"/>
          <w:color w:val="auto"/>
          <w:szCs w:val="21"/>
          <w:highlight w:val="none"/>
        </w:rPr>
        <w:t xml:space="preserve">附件2：      </w:t>
      </w:r>
      <w:r/>
    </w:p>
    <w:p>
      <w:pPr>
        <w:ind w:firstLine="602"/>
        <w:jc w:val="center"/>
        <w:rPr>
          <w:rFonts w:ascii="宋体" w:hAnsi="宋体" w:cs="宋体"/>
          <w:b/>
          <w:bCs/>
          <w:color w:val="auto"/>
          <w:szCs w:val="21"/>
          <w:highlight w:val="none"/>
        </w:rPr>
        <w:outlineLvl w:val="0"/>
      </w:pPr>
      <w:r>
        <w:rPr>
          <w:rFonts w:ascii="宋体" w:hAnsi="宋体" w:cs="宋体"/>
          <w:b/>
          <w:bCs/>
          <w:color w:val="auto"/>
          <w:szCs w:val="21"/>
          <w:highlight w:val="none"/>
        </w:rPr>
      </w:r>
      <w:r/>
    </w:p>
    <w:p>
      <w:pPr>
        <w:ind w:firstLine="602"/>
        <w:jc w:val="center"/>
        <w:rPr>
          <w:rFonts w:ascii="宋体" w:hAnsi="宋体" w:cs="宋体"/>
          <w:b/>
          <w:color w:val="auto"/>
          <w:szCs w:val="21"/>
          <w:highlight w:val="none"/>
        </w:rPr>
        <w:outlineLvl w:val="0"/>
      </w:pPr>
      <w:r>
        <w:rPr>
          <w:rFonts w:hint="eastAsia" w:ascii="宋体" w:hAnsi="宋体" w:cs="宋体"/>
          <w:b/>
          <w:bCs/>
          <w:color w:val="auto"/>
          <w:szCs w:val="21"/>
          <w:highlight w:val="none"/>
        </w:rPr>
        <w:t xml:space="preserve">安全生产责任承诺书</w:t>
      </w:r>
      <w:r/>
    </w:p>
    <w:p>
      <w:pPr>
        <w:ind w:firstLine="560"/>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连云港市板桥中心小学：</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我单位在</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（项目名称）磋商中有幸成交，承诺现场安全文明施工措施费必须全部用于本工程中，保证不发生重大人员伤亡事故，在此工程施工过程中所发生的一切工伤事故或安全事故，均由我单位承担一切责任。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520" w:lineRule="exact"/>
        <w:rPr>
          <w:rFonts w:ascii="宋体" w:hAnsi="宋体" w:cs="宋体"/>
          <w:color w:val="auto"/>
          <w:szCs w:val="21"/>
          <w:highlight w:val="none"/>
        </w:rPr>
      </w:pPr>
      <w:r>
        <w:rPr>
          <w:rFonts w:ascii="宋体" w:hAnsi="宋体" w:cs="宋体"/>
          <w:color w:val="auto"/>
          <w:szCs w:val="21"/>
          <w:highlight w:val="none"/>
        </w:rPr>
      </w:r>
      <w:r/>
    </w:p>
    <w:p>
      <w:pPr>
        <w:ind w:firstLine="500"/>
        <w:spacing w:line="520" w:lineRule="exact"/>
        <w:rPr>
          <w:rFonts w:ascii="宋体" w:hAnsi="宋体" w:cs="宋体"/>
          <w:bCs/>
          <w:color w:val="auto"/>
          <w:spacing w:val="5"/>
          <w:szCs w:val="21"/>
          <w:highlight w:val="none"/>
          <w:u w:val="single"/>
        </w:rPr>
      </w:pPr>
      <w:r>
        <w:rPr>
          <w:rFonts w:hint="eastAsia" w:ascii="宋体" w:hAnsi="宋体" w:cs="宋体"/>
          <w:bCs/>
          <w:color w:val="auto"/>
          <w:spacing w:val="5"/>
          <w:szCs w:val="21"/>
          <w:highlight w:val="none"/>
        </w:rPr>
        <w:t xml:space="preserve">                     </w:t>
      </w:r>
      <w:r>
        <w:rPr>
          <w:rFonts w:hint="eastAsia" w:ascii="宋体" w:hAnsi="宋体" w:cs="宋体"/>
          <w:bCs/>
          <w:color w:val="auto"/>
          <w:spacing w:val="5"/>
          <w:szCs w:val="21"/>
          <w:highlight w:val="none"/>
          <w:lang w:val="en-US" w:eastAsia="zh-CN"/>
        </w:rPr>
        <w:t xml:space="preserve">                </w:t>
      </w:r>
      <w:r>
        <w:rPr>
          <w:rFonts w:hint="eastAsia" w:ascii="宋体" w:hAnsi="宋体" w:cs="宋体"/>
          <w:bCs/>
          <w:color w:val="auto"/>
          <w:spacing w:val="5"/>
          <w:szCs w:val="21"/>
          <w:highlight w:val="none"/>
        </w:rPr>
        <w:t xml:space="preserve"> </w:t>
      </w:r>
      <w:r/>
    </w:p>
    <w:p>
      <w:pPr>
        <w:ind w:firstLine="500"/>
        <w:spacing w:line="520" w:lineRule="exact"/>
        <w:rPr>
          <w:rFonts w:ascii="宋体" w:hAnsi="宋体" w:cs="宋体"/>
          <w:bCs/>
          <w:color w:val="auto"/>
          <w:spacing w:val="5"/>
          <w:szCs w:val="21"/>
          <w:highlight w:val="none"/>
          <w:u w:val="single"/>
        </w:rPr>
      </w:pPr>
      <w:r>
        <w:rPr>
          <w:rFonts w:hint="eastAsia" w:ascii="宋体" w:hAnsi="宋体" w:cs="宋体"/>
          <w:bCs/>
          <w:color w:val="auto"/>
          <w:spacing w:val="5"/>
          <w:szCs w:val="21"/>
          <w:highlight w:val="none"/>
        </w:rPr>
        <w:t xml:space="preserve">                      </w:t>
      </w:r>
      <w:r>
        <w:rPr>
          <w:rFonts w:hint="eastAsia" w:ascii="宋体" w:hAnsi="宋体" w:cs="宋体"/>
          <w:bCs/>
          <w:color w:val="auto"/>
          <w:spacing w:val="5"/>
          <w:szCs w:val="21"/>
          <w:highlight w:val="none"/>
          <w:lang w:val="en-US" w:eastAsia="zh-CN"/>
        </w:rPr>
        <w:t xml:space="preserve">               </w:t>
      </w:r>
      <w:r>
        <w:rPr>
          <w:rFonts w:hint="eastAsia" w:ascii="宋体" w:hAnsi="宋体" w:cs="宋体"/>
          <w:bCs/>
          <w:color w:val="auto"/>
          <w:spacing w:val="5"/>
          <w:szCs w:val="21"/>
          <w:highlight w:val="none"/>
        </w:rPr>
        <w:t xml:space="preserve">法定代表人（签字）：</w:t>
      </w:r>
      <w:r/>
    </w:p>
    <w:p>
      <w:pPr>
        <w:ind w:firstLine="500"/>
        <w:spacing w:line="520" w:lineRule="exact"/>
        <w:rPr>
          <w:rFonts w:hint="eastAsia" w:ascii="宋体" w:hAnsi="宋体" w:cs="宋体"/>
          <w:bCs/>
          <w:color w:val="auto"/>
          <w:spacing w:val="5"/>
          <w:szCs w:val="21"/>
          <w:highlight w:val="none"/>
          <w:lang w:val="en-US" w:eastAsia="zh-CN"/>
        </w:rPr>
      </w:pPr>
      <w:r>
        <w:rPr>
          <w:rFonts w:hint="eastAsia" w:ascii="宋体" w:hAnsi="宋体" w:cs="宋体"/>
          <w:bCs/>
          <w:color w:val="auto"/>
          <w:spacing w:val="5"/>
          <w:szCs w:val="21"/>
          <w:highlight w:val="none"/>
        </w:rPr>
        <w:t xml:space="preserve">                     </w:t>
      </w:r>
      <w:r>
        <w:rPr>
          <w:rFonts w:hint="eastAsia" w:ascii="宋体" w:hAnsi="宋体" w:cs="宋体"/>
          <w:bCs/>
          <w:color w:val="auto"/>
          <w:spacing w:val="5"/>
          <w:szCs w:val="21"/>
          <w:highlight w:val="none"/>
          <w:lang w:val="en-US" w:eastAsia="zh-CN"/>
        </w:rPr>
        <w:t xml:space="preserve">            </w:t>
      </w:r>
      <w:r>
        <w:rPr>
          <w:rFonts w:hint="eastAsia" w:ascii="宋体" w:hAnsi="宋体" w:cs="宋体"/>
          <w:bCs/>
          <w:color w:val="auto"/>
          <w:spacing w:val="5"/>
          <w:szCs w:val="21"/>
          <w:highlight w:val="none"/>
        </w:rPr>
        <w:t xml:space="preserve"> </w:t>
      </w:r>
      <w:r>
        <w:rPr>
          <w:rFonts w:hint="eastAsia" w:ascii="宋体" w:hAnsi="宋体" w:cs="宋体"/>
          <w:bCs/>
          <w:color w:val="auto"/>
          <w:spacing w:val="5"/>
          <w:szCs w:val="21"/>
          <w:highlight w:val="none"/>
          <w:lang w:val="en-US" w:eastAsia="zh-CN"/>
        </w:rPr>
        <w:t xml:space="preserve">   </w:t>
      </w:r>
      <w:r/>
    </w:p>
    <w:p>
      <w:pPr>
        <w:ind w:firstLine="5581"/>
        <w:spacing w:line="520" w:lineRule="exact"/>
        <w:rPr>
          <w:rFonts w:hint="eastAsia" w:ascii="宋体" w:hAnsi="宋体" w:cs="宋体"/>
          <w:bCs/>
          <w:color w:val="auto"/>
          <w:spacing w:val="5"/>
          <w:szCs w:val="21"/>
          <w:highlight w:val="none"/>
        </w:rPr>
      </w:pPr>
      <w:r>
        <w:rPr>
          <w:rFonts w:hint="eastAsia" w:ascii="宋体" w:hAnsi="宋体" w:cs="宋体"/>
          <w:bCs/>
          <w:color w:val="auto"/>
          <w:spacing w:val="5"/>
          <w:szCs w:val="21"/>
          <w:highlight w:val="none"/>
        </w:rPr>
        <w:t xml:space="preserve">承诺单位（盖章）：</w:t>
      </w:r>
      <w:r/>
    </w:p>
    <w:p>
      <w:pPr>
        <w:ind w:firstLine="5361"/>
        <w:spacing w:line="520" w:lineRule="exact"/>
        <w:rPr>
          <w:rFonts w:ascii="宋体" w:hAnsi="宋体" w:cs="宋体"/>
          <w:bCs/>
          <w:color w:val="auto"/>
          <w:spacing w:val="5"/>
          <w:szCs w:val="21"/>
          <w:highlight w:val="none"/>
        </w:rPr>
      </w:pPr>
      <w:r>
        <w:rPr>
          <w:rFonts w:hint="eastAsia" w:ascii="宋体" w:hAnsi="宋体" w:cs="宋体"/>
          <w:bCs/>
          <w:color w:val="auto"/>
          <w:spacing w:val="5"/>
          <w:szCs w:val="21"/>
          <w:highlight w:val="none"/>
        </w:rPr>
        <w:t xml:space="preserve">日期：    年  月   日</w:t>
      </w:r>
      <w:r/>
    </w:p>
    <w:p>
      <w:pPr>
        <w:spacing w:line="520" w:lineRule="exact"/>
        <w:rPr>
          <w:rFonts w:ascii="宋体" w:hAnsi="宋体" w:cs="宋体"/>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附件3：</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成交供应商诚信承诺书</w:t>
      </w:r>
      <w:r/>
    </w:p>
    <w:p>
      <w:pPr>
        <w:ind w:firstLine="2648"/>
        <w:spacing w:line="240" w:lineRule="exact"/>
        <w:rPr>
          <w:rFonts w:ascii="宋体" w:hAnsi="宋体" w:cs="宋体"/>
          <w:b/>
          <w:color w:val="auto"/>
          <w:sz w:val="44"/>
          <w:szCs w:val="44"/>
          <w:highlight w:val="none"/>
        </w:rPr>
      </w:pPr>
      <w:r>
        <w:rPr>
          <w:rFonts w:ascii="宋体" w:hAnsi="宋体" w:cs="宋体"/>
          <w:b/>
          <w:color w:val="auto"/>
          <w:sz w:val="44"/>
          <w:szCs w:val="44"/>
          <w:highlight w:val="none"/>
        </w:rPr>
      </w:r>
      <w:r/>
    </w:p>
    <w:p>
      <w:pPr>
        <w:ind w:firstLine="480"/>
        <w:jc w:val="left"/>
        <w:spacing w:line="520" w:lineRule="exact"/>
        <w:rPr>
          <w:rFonts w:ascii="宋体" w:hAnsi="宋体" w:cs="宋体"/>
          <w:color w:val="auto"/>
          <w:highlight w:val="none"/>
        </w:rPr>
      </w:pPr>
      <w:r>
        <w:rPr>
          <w:rFonts w:hint="eastAsia" w:ascii="宋体" w:hAnsi="宋体" w:cs="宋体"/>
          <w:color w:val="auto"/>
          <w:highlight w:val="none"/>
        </w:rPr>
        <w:t xml:space="preserve">我单位系</w:t>
      </w:r>
      <w:r>
        <w:rPr>
          <w:rFonts w:hint="eastAsia" w:ascii="宋体" w:hAnsi="宋体" w:cs="宋体"/>
          <w:i w:val="0"/>
          <w:iCs w:val="0"/>
          <w:color w:val="auto"/>
          <w:highlight w:val="none"/>
          <w:u w:val="single"/>
          <w:lang w:val="en-US" w:eastAsia="zh-CN"/>
        </w:rPr>
        <w:t xml:space="preserve">               </w:t>
      </w:r>
      <w:r>
        <w:rPr>
          <w:rFonts w:hint="eastAsia" w:ascii="宋体" w:hAnsi="宋体" w:cs="宋体"/>
          <w:color w:val="auto"/>
          <w:highlight w:val="none"/>
        </w:rPr>
        <w:t xml:space="preserve">，作为</w:t>
      </w:r>
      <w:r>
        <w:rPr>
          <w:rFonts w:hint="eastAsia" w:ascii="宋体" w:hAnsi="宋体" w:cs="宋体"/>
          <w:color w:val="auto"/>
          <w:highlight w:val="none"/>
          <w:u w:val="single"/>
        </w:rPr>
        <w:t xml:space="preserve"> 连云港市板桥中心小学（</w:t>
      </w:r>
      <w:r>
        <w:rPr>
          <w:rFonts w:hint="eastAsia" w:ascii="宋体" w:hAnsi="宋体" w:cs="宋体"/>
          <w:color w:val="auto"/>
          <w:highlight w:val="none"/>
        </w:rPr>
        <w:t xml:space="preserve">采购人）的</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ascii="宋体" w:hAnsi="宋体" w:cs="宋体"/>
          <w:color w:val="auto"/>
          <w:highlight w:val="none"/>
        </w:rPr>
      </w:pPr>
      <w:r>
        <w:rPr>
          <w:rFonts w:ascii="宋体" w:hAnsi="宋体" w:cs="宋体"/>
          <w:color w:val="auto"/>
          <w:highlight w:val="none"/>
        </w:rPr>
      </w:r>
      <w:r/>
    </w:p>
    <w:p>
      <w:pPr>
        <w:ind w:left="240" w:hanging="240"/>
        <w:spacing w:line="520" w:lineRule="exact"/>
        <w:rPr>
          <w:rFonts w:ascii="宋体" w:hAnsi="宋体" w:cs="宋体"/>
          <w:color w:val="auto"/>
          <w:highlight w:val="none"/>
          <w:u w:val="single"/>
        </w:rPr>
      </w:pPr>
      <w:r>
        <w:rPr>
          <w:rFonts w:hint="eastAsia" w:ascii="宋体" w:hAnsi="宋体" w:cs="宋体"/>
          <w:color w:val="auto"/>
          <w:highlight w:val="none"/>
        </w:rPr>
        <w:t xml:space="preserve">                        项目负责人（签字）：</w:t>
      </w:r>
      <w:r/>
    </w:p>
    <w:p>
      <w:pPr>
        <w:ind w:firstLine="2520"/>
        <w:spacing w:line="520" w:lineRule="exact"/>
        <w:rPr>
          <w:rFonts w:ascii="宋体" w:hAnsi="宋体" w:cs="宋体"/>
          <w:color w:val="auto"/>
          <w:highlight w:val="none"/>
        </w:rPr>
      </w:pPr>
      <w:r>
        <w:rPr>
          <w:rFonts w:hint="eastAsia" w:ascii="宋体" w:hAnsi="宋体" w:cs="宋体"/>
          <w:color w:val="auto"/>
          <w:highlight w:val="none"/>
        </w:rPr>
        <w:t xml:space="preserve">法定代表人（签字）：</w:t>
      </w:r>
      <w:r/>
    </w:p>
    <w:p>
      <w:pPr>
        <w:ind w:firstLine="480"/>
        <w:spacing w:line="520" w:lineRule="exact"/>
        <w:rPr>
          <w:rFonts w:ascii="宋体" w:hAnsi="宋体" w:cs="宋体"/>
          <w:color w:val="auto"/>
          <w:highlight w:val="none"/>
        </w:rPr>
      </w:pPr>
      <w:r>
        <w:rPr>
          <w:rFonts w:ascii="宋体" w:hAnsi="宋体" w:cs="宋体"/>
          <w:color w:val="auto"/>
          <w:highlight w:val="none"/>
        </w:rPr>
      </w:r>
      <w:r/>
    </w:p>
    <w:p>
      <w:pPr>
        <w:ind w:firstLine="480"/>
        <w:spacing w:line="520" w:lineRule="exact"/>
        <w:rPr>
          <w:rFonts w:hint="eastAsia" w:ascii="宋体" w:hAnsi="宋体" w:cs="宋体"/>
          <w:bCs/>
          <w:color w:val="auto"/>
          <w:spacing w:val="5"/>
          <w:szCs w:val="21"/>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bCs/>
          <w:color w:val="auto"/>
          <w:spacing w:val="5"/>
          <w:szCs w:val="21"/>
          <w:highlight w:val="none"/>
        </w:rPr>
        <w:t xml:space="preserve">承诺单位（盖章）：</w:t>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日期：  </w:t>
      </w:r>
      <w:r>
        <w:rPr>
          <w:rFonts w:hint="eastAsia" w:ascii="宋体" w:hAnsi="宋体" w:cs="宋体"/>
          <w:color w:val="auto"/>
          <w:highlight w:val="none"/>
        </w:rPr>
        <w:t xml:space="preserve">年   月    日</w:t>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rPr>
          <w:rFonts w:ascii="宋体" w:hAnsi="宋体" w:cs="宋体"/>
          <w:color w:val="auto"/>
          <w:highlight w:val="none"/>
        </w:rPr>
      </w:pPr>
      <w:r>
        <w:rPr>
          <w:rFonts w:hint="eastAsia" w:ascii="宋体" w:hAnsi="宋体" w:cs="宋体"/>
          <w:color w:val="auto"/>
          <w:highlight w:val="none"/>
        </w:rPr>
        <w:t xml:space="preserve">附件4</w:t>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00" w:lineRule="auto"/>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rPr>
        <w:t xml:space="preserve">项目周边成品保护</w:t>
      </w:r>
      <w:r>
        <w:rPr>
          <w:rFonts w:hint="eastAsia" w:ascii="宋体" w:hAnsi="宋体" w:cs="宋体"/>
          <w:b/>
          <w:bCs/>
          <w:color w:val="auto"/>
          <w:sz w:val="21"/>
          <w:szCs w:val="21"/>
          <w:highlight w:val="none"/>
          <w:lang w:val="en-US" w:eastAsia="zh-CN"/>
        </w:rPr>
        <w:t xml:space="preserve">承诺书</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连云港市板桥中心小学</w:t>
      </w:r>
      <w:r>
        <w:rPr>
          <w:rFonts w:hint="eastAsia" w:ascii="宋体" w:hAnsi="宋体" w:eastAsia="宋体" w:cs="宋体"/>
          <w:color w:val="auto"/>
          <w:sz w:val="21"/>
          <w:szCs w:val="21"/>
          <w:highlight w:val="none"/>
        </w:rPr>
        <w:t xml:space="preserve">：</w:t>
      </w:r>
      <w:r/>
    </w:p>
    <w:p>
      <w:pPr>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项目投标中有幸中标，</w:t>
      </w:r>
      <w:r>
        <w:rPr>
          <w:rFonts w:hint="eastAsia" w:ascii="宋体" w:hAnsi="宋体" w:cs="宋体"/>
          <w:color w:val="auto"/>
          <w:sz w:val="21"/>
          <w:szCs w:val="21"/>
          <w:highlight w:val="none"/>
          <w:lang w:val="en-US" w:eastAsia="zh-CN"/>
        </w:rPr>
        <w:t xml:space="preserve">现承诺</w:t>
      </w:r>
      <w:r>
        <w:rPr>
          <w:rFonts w:hint="eastAsia" w:ascii="宋体" w:hAnsi="宋体" w:eastAsia="宋体" w:cs="宋体"/>
          <w:color w:val="auto"/>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14"/>
        <w:spacing w:line="52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firstLine="5514"/>
        <w:spacing w:line="52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法定代表人（签字）：</w:t>
      </w:r>
      <w:r/>
    </w:p>
    <w:p>
      <w:pPr>
        <w:ind w:firstLine="5514"/>
        <w:spacing w:line="5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单位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盖章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304"/>
        <w:spacing w:line="5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cs="宋体"/>
          <w:color w:val="auto"/>
          <w:sz w:val="21"/>
          <w:szCs w:val="21"/>
          <w:highlight w:val="none"/>
          <w:lang w:val="en-US" w:eastAsia="zh-CN"/>
        </w:rPr>
        <w:t xml:space="preserve">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highlight w:val="none"/>
        </w:rPr>
      </w:r>
      <w:r/>
    </w:p>
    <w:p>
      <w:pPr>
        <w:spacing w:line="520" w:lineRule="exact"/>
        <w:rPr>
          <w:rFonts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eastAsia="宋体" w:cs="宋体"/>
          <w:color w:val="auto"/>
          <w:highlight w:val="none"/>
          <w:lang w:eastAsia="zh-CN"/>
        </w:rPr>
      </w:pP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5</w:t>
      </w:r>
      <w:r/>
    </w:p>
    <w:p>
      <w:pPr>
        <w:pStyle w:val="784"/>
        <w:ind w:firstLine="643"/>
        <w:jc w:val="center"/>
        <w:rPr>
          <w:rFonts w:ascii="宋体" w:eastAsia="宋体" w:cs="宋体"/>
          <w:color w:val="auto"/>
          <w:sz w:val="32"/>
          <w:szCs w:val="32"/>
          <w:highlight w:val="none"/>
        </w:rPr>
      </w:pPr>
      <w:r>
        <w:rPr>
          <w:rFonts w:ascii="宋体" w:eastAsia="宋体" w:cs="宋体"/>
          <w:color w:val="auto"/>
          <w:sz w:val="32"/>
          <w:szCs w:val="32"/>
          <w:highlight w:val="none"/>
        </w:rPr>
      </w:r>
      <w:r/>
    </w:p>
    <w:p>
      <w:pPr>
        <w:pStyle w:val="784"/>
        <w:ind w:firstLine="643"/>
        <w:jc w:val="center"/>
        <w:rPr>
          <w:rFonts w:ascii="宋体" w:eastAsia="宋体" w:cs="宋体"/>
          <w:b/>
          <w:bCs/>
          <w:color w:val="auto"/>
          <w:sz w:val="21"/>
          <w:szCs w:val="21"/>
          <w:highlight w:val="none"/>
        </w:rPr>
      </w:pPr>
      <w:r>
        <w:rPr>
          <w:rFonts w:hint="eastAsia" w:ascii="宋体" w:eastAsia="宋体" w:cs="宋体"/>
          <w:b/>
          <w:bCs/>
          <w:color w:val="auto"/>
          <w:sz w:val="21"/>
          <w:szCs w:val="21"/>
          <w:highlight w:val="none"/>
        </w:rPr>
        <w:t xml:space="preserve">不拖欠农民工工资承诺书</w:t>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rPr>
        <w:t xml:space="preserve">：连云港市板桥中心小学</w:t>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为保护农民工的合法权益，不拖欠农民工工资，本人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（法定代表人姓名）以</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（承包人全称）法定代表人的资格，郑重承诺：</w:t>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本单位中标承建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（项目名称）需要使用农民工时，将保证做到：</w:t>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按照《劳动法》规定雇用和使用农民工，工资将直接发给农民工本人，严禁发放给“包工头”。</w:t>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严格遵守国家和地方关于农民工工资的其他有关规定。</w:t>
      </w:r>
      <w:r/>
    </w:p>
    <w:p>
      <w:pPr>
        <w:pStyle w:val="1041"/>
        <w:ind w:left="0" w:right="0" w:firstLine="48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如果发生违反规定拖欠或克扣农民工工资行为，造成农民工上访，本单位愿意无条件接受发包人采取的经济等处罚，同时愿意接受建设行政主管部门依照有关规定作出的其它处罚决定。</w:t>
      </w:r>
      <w:r/>
    </w:p>
    <w:p>
      <w:pPr>
        <w:pStyle w:val="1041"/>
        <w:ind w:left="0" w:right="0" w:firstLine="480"/>
        <w:spacing w:before="0" w:after="0" w:line="5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41"/>
        <w:ind w:left="0" w:right="0" w:firstLine="480"/>
        <w:spacing w:before="0" w:after="0" w:line="5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41"/>
        <w:ind w:left="0" w:right="0" w:firstLine="480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承包人（公章）： </w:t>
      </w:r>
      <w:r/>
    </w:p>
    <w:p>
      <w:pPr>
        <w:pStyle w:val="1041"/>
        <w:ind w:left="0" w:right="0" w:firstLine="480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w:t>
      </w:r>
      <w:r/>
    </w:p>
    <w:p>
      <w:pPr>
        <w:pStyle w:val="1041"/>
        <w:ind w:left="0" w:right="0" w:firstLine="4800"/>
        <w:spacing w:before="0" w:after="0" w:line="5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  期：     年  月   日</w:t>
      </w:r>
      <w:r/>
    </w:p>
    <w:p>
      <w:pPr>
        <w:ind w:left="1205" w:hanging="1205"/>
        <w:spacing w:line="520" w:lineRule="exact"/>
        <w:rPr>
          <w:rFonts w:ascii="宋体" w:hAnsi="宋体" w:cs="宋体"/>
          <w:b/>
          <w:bCs/>
          <w:color w:val="auto"/>
          <w:szCs w:val="21"/>
          <w:highlight w:val="none"/>
        </w:rPr>
      </w:pPr>
      <w:r>
        <w:rPr>
          <w:rFonts w:ascii="宋体" w:hAnsi="宋体" w:cs="宋体"/>
          <w:b/>
          <w:bCs/>
          <w:color w:val="auto"/>
          <w:szCs w:val="21"/>
          <w:highlight w:val="none"/>
        </w:rPr>
      </w:r>
      <w:r/>
    </w:p>
    <w:p>
      <w:pPr>
        <w:ind w:left="1205" w:hanging="1205"/>
        <w:rPr>
          <w:rFonts w:ascii="宋体" w:hAnsi="宋体" w:cs="宋体"/>
          <w:b/>
          <w:bCs/>
          <w:color w:val="auto"/>
          <w:highlight w:val="none"/>
        </w:rPr>
      </w:pPr>
      <w:r>
        <w:rPr>
          <w:rFonts w:hint="eastAsia" w:ascii="宋体" w:hAnsi="宋体" w:cs="宋体"/>
          <w:b/>
          <w:bCs/>
          <w:color w:val="auto"/>
          <w:highlight w:val="none"/>
        </w:rPr>
        <w:br w:type="page" w:clear="all"/>
      </w:r>
      <w:r/>
    </w:p>
    <w:p>
      <w:pPr>
        <w:rPr>
          <w:rFonts w:hint="eastAsia" w:ascii="宋体" w:hAnsi="宋体" w:eastAsia="宋体" w:cs="宋体"/>
          <w:b/>
          <w:bCs/>
          <w:color w:val="auto"/>
          <w:highlight w:val="none"/>
          <w:lang w:val="en-US" w:eastAsia="zh-CN"/>
        </w:rPr>
      </w:pP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6</w:t>
      </w:r>
      <w:r/>
    </w:p>
    <w:p>
      <w:pPr>
        <w:jc w:val="center"/>
        <w:spacing w:line="24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工程安全环境管理协议</w:t>
      </w:r>
      <w:r/>
    </w:p>
    <w:p>
      <w:pPr>
        <w:ind w:firstLine="480"/>
        <w:rPr>
          <w:rFonts w:ascii="宋体" w:hAnsi="宋体" w:cs="宋体"/>
          <w:color w:val="auto"/>
          <w:sz w:val="22"/>
          <w:szCs w:val="22"/>
          <w:highlight w:val="none"/>
        </w:rPr>
      </w:pPr>
      <w:r>
        <w:rPr>
          <w:rFonts w:ascii="宋体" w:hAnsi="宋体" w:cs="宋体"/>
          <w:color w:val="auto"/>
          <w:sz w:val="22"/>
          <w:szCs w:val="22"/>
          <w:highlight w:val="none"/>
        </w:rPr>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发包人：连云港市板桥中心小学</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承包人：</w:t>
      </w:r>
      <w:r/>
    </w:p>
    <w:p>
      <w:pPr>
        <w:ind w:firstLine="44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安全文明施工管理目标</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（1）杜绝重伤及以上事故；</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（2）杜绝重大机械设备事故；</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（3）杜绝重大火灾事故；</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（4）杜绝负主要责任的重大交通事故；</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（5）杜绝重复发生相同性质的事故；</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（6）创建安全文明施工样板工程；</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（7）杜绝重大设备损坏事故。</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安全文明施工和环境管理执行标准：</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以下标准双方均应认真执行：</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（1）《建设工程安全管理条例》；</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（2）国家有关部、委、各级政府部门和上级主管部门颁发的有关安全生产和环境保护工作的法令、法规、规定、制度； </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（3）发包人有关安全文明施工及环境保护的规定、制度。</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发包人的权利和义务：</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（1）发包人按有关规定对承包人的资质进行审查，确认承包人承包的工程与其资质相符合；</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（2）发包人在施工前负责审核承包人的施工组织设计；</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（4）对承包人在施工中新增的施工人员，发包人有权按以上要求进行检查；</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（5）施工前发包人有权对承包人的电动工器具、仪表等进行抽样检查；</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（6）施工期间，发包人设专职安监人员负责联系、检查、督促承包人执行有关安全、防火规定，并协助检查和处理工程施工中有关的安全、防火工作、预防事故发生；</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（8）发包人不得要求承包人违反安全管理规定进行施工。因发包人原因导致事故由发包人承担责任；</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（9）由发包人提供的机械设备、安全设施，在安装完毕提交使用前，发包人应配合承包人共同按规定验收，并做好验收及交付使用的书面手续。</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承包人的权利和义务：</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（1）承包人需根据现场的实际开工情况，找出危险源，列出《风险源清单》，根据风险的大小，编制《施工现场工作风险评估》；</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（4）承包人在项目施工开始前要根据《施工组织设计》或《安全施工方案（措施）》向施工人员进行安全技术交底；</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（7）承包人施工人员应经安规考试合格后上岗；</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（8）承包人施工人员应对所在的施工区域、作业环境、操作设施设备、工器具等进行认真检查，发现隐患立即处理，落实整改措施；</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（9）承包人在施工期间由于施工机械、工器具原因或使用操作不当而造成伤亡事故，由承包人负责；</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（10）承包人对施工现场安全设施（如脚手架等）每天开工前必须检查，发现隐患及时整改；</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（12）承包人必须按规定为作业人员配备应有的劳动保护用品、用具。承包人所属人员的身体健康状况必须能满足所从事工作的要求；</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及地方有关事故报告规定，在事故发生后 24 小时内报告各自上级主管部门及省、市、区等有关部门。承包人人员施工中发生的不安全情况应及时向发包人通报；</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其他</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（1）承包人工程施工方案中必须包括安全、健康、环保等措施，并贯彻落实到具体工作中，确保施工安全及当地环境不受工程施工破坏；</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（2）施工过程中产生的废弃物、噪音等排放必须符合相关规定标准；</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（3）由于承包人施工破坏周围环境，造成恶劣影响引发纠纷和社会矛盾等由承包人承担全部责任；</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（4）承包人按月（年）向发包人报送企业职工伤亡事故月（年）报告；</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（5）对发包人组织的安全环境大检查、安全工作会议，承包人应及时派员参加，认真贯彻落实；</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本协议执行过程中如遇有与国家和地方政府的有关规定不一致时，按国家和地方政府的有关规定执行；</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本协议经甲乙双方签字、盖章后生效，作为工程合同的附件与合同具有同等的法律效力；</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甲乙双方必须严格执行本协议，因违反本协议而造成设备、伤亡事故，由违约方承担一切经济损失。</w:t>
      </w:r>
      <w:r/>
    </w:p>
    <w:p>
      <w:pPr>
        <w:ind w:firstLine="480"/>
        <w:spacing w:line="480" w:lineRule="exact"/>
        <w:rPr>
          <w:rFonts w:ascii="宋体" w:hAnsi="宋体" w:cs="宋体"/>
          <w:color w:val="auto"/>
          <w:szCs w:val="21"/>
          <w:highlight w:val="none"/>
        </w:rPr>
      </w:pPr>
      <w:r>
        <w:rPr>
          <w:rFonts w:ascii="宋体" w:hAnsi="宋体" w:cs="宋体"/>
          <w:color w:val="auto"/>
          <w:szCs w:val="21"/>
          <w:highlight w:val="none"/>
        </w:rPr>
      </w:r>
      <w:r/>
    </w:p>
    <w:p>
      <w:pP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发包人（盖章）：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承包人（盖章）：</w:t>
      </w:r>
      <w:r/>
    </w:p>
    <w:p>
      <w:pP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发包人安全第一责任人（签字）：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承包人安全第一责任人（签字）：</w:t>
      </w:r>
      <w:r/>
    </w:p>
    <w:p>
      <w:pPr>
        <w:jc w:val="righ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签约日期：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  </w:t>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pStyle w:val="1046"/>
        <w:ind w:firstLine="0"/>
        <w:rPr>
          <w:rFonts w:ascii="宋体" w:hAnsi="宋体" w:cs="宋体"/>
          <w:color w:val="auto"/>
          <w:highlight w:val="none"/>
        </w:rPr>
      </w:pPr>
      <w:r>
        <w:rPr>
          <w:rFonts w:ascii="宋体" w:hAnsi="宋体" w:cs="宋体"/>
          <w:color w:val="auto"/>
          <w:highlight w:val="none"/>
        </w:rPr>
      </w:r>
      <w:r/>
    </w:p>
    <w:p>
      <w:pPr>
        <w:jc w:val="left"/>
        <w:rPr>
          <w:rFonts w:ascii="宋体" w:hAnsi="宋体" w:cs="宋体"/>
          <w:b/>
          <w:bCs/>
          <w:color w:val="auto"/>
          <w:highlight w:val="none"/>
        </w:rPr>
      </w:pPr>
      <w:r>
        <w:rPr>
          <w:rFonts w:hint="eastAsia" w:ascii="宋体" w:hAnsi="宋体" w:cs="宋体"/>
          <w:b/>
          <w:bCs/>
          <w:color w:val="auto"/>
          <w:highlight w:val="none"/>
        </w:rPr>
        <w:br w:type="page" w:clear="all"/>
      </w:r>
      <w:r/>
    </w:p>
    <w:p>
      <w:pPr>
        <w:jc w:val="left"/>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7</w:t>
      </w:r>
      <w:r/>
    </w:p>
    <w:p>
      <w:pPr>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工程廉政</w:t>
      </w:r>
      <w:r>
        <w:rPr>
          <w:rFonts w:hint="eastAsia" w:ascii="宋体" w:hAnsi="宋体" w:cs="宋体"/>
          <w:b/>
          <w:bCs/>
          <w:color w:val="auto"/>
          <w:szCs w:val="21"/>
          <w:highlight w:val="none"/>
          <w:lang w:val="en-US" w:eastAsia="zh-CN"/>
        </w:rPr>
        <w:t xml:space="preserve">协议</w:t>
      </w:r>
      <w:r/>
    </w:p>
    <w:p>
      <w:pPr>
        <w:ind w:firstLine="420"/>
        <w:rPr>
          <w:rFonts w:ascii="宋体" w:hAnsi="宋体" w:cs="宋体"/>
          <w:color w:val="auto"/>
          <w:szCs w:val="21"/>
          <w:highlight w:val="none"/>
        </w:rPr>
      </w:pPr>
      <w:r>
        <w:rPr>
          <w:rFonts w:ascii="宋体" w:hAnsi="宋体" w:cs="宋体"/>
          <w:color w:val="auto"/>
          <w:szCs w:val="21"/>
          <w:highlight w:val="none"/>
        </w:rPr>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color w:val="auto"/>
          <w:szCs w:val="21"/>
          <w:highlight w:val="none"/>
          <w:u w:val="single"/>
          <w:lang w:val="en-US" w:eastAsia="zh-CN"/>
        </w:rPr>
        <w:t xml:space="preserve">连云港市板桥中心小学    </w:t>
      </w:r>
      <w:r>
        <w:rPr>
          <w:rFonts w:hint="eastAsia" w:ascii="宋体" w:hAnsi="宋体" w:cs="宋体"/>
          <w:color w:val="auto"/>
          <w:szCs w:val="21"/>
          <w:highlight w:val="none"/>
        </w:rPr>
        <w:t xml:space="preserve">（以下简称“发包人”）与中标单位（全称）</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（以下简称“承包人”），特订立如下</w:t>
      </w:r>
      <w:r>
        <w:rPr>
          <w:rFonts w:hint="eastAsia" w:ascii="宋体" w:hAnsi="宋体" w:cs="宋体"/>
          <w:color w:val="auto"/>
          <w:szCs w:val="21"/>
          <w:highlight w:val="none"/>
          <w:lang w:val="en-US" w:eastAsia="zh-CN"/>
        </w:rPr>
        <w:t xml:space="preserve">协议</w:t>
      </w:r>
      <w:r>
        <w:rPr>
          <w:rFonts w:hint="eastAsia" w:ascii="宋体" w:hAnsi="宋体" w:cs="宋体"/>
          <w:color w:val="auto"/>
          <w:szCs w:val="21"/>
          <w:highlight w:val="none"/>
        </w:rPr>
        <w:t xml:space="preserve">。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甲乙双方的权利和义务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（1）严格遵守党的政策规定和国家、省、市有关法律法规有关规定。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（2）严格执行工程的合同文件，自觉按合同办事。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（4）建立健全廉政制度，开展廉政教育，设计廉政告示牌，公布举报电话，监督并认真查处违法违纪行为。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（5）发现对方在业务活动中有违反廉政规定的行为，有及时提醒对方纠正的权利和义务。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（6）发现对方严重违反合同义务条款的行为，有向其上级有关部门举报、建议给予处理并要求告知 处理结果的权利。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发包人的义务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（2）发包人工作人员不得参加承包人安排的超标准宴请和娱乐活动；不得接受承包人提供的通讯工具、交通工具和高档办公用品等。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（3）发包人及其工作人员不得要求或者接受承包人为其住房装修、婚丧嫁娶活动、配偶子女的工作安排以及出国出境、旅游等提供方便等。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（4）发包人工作人员及其配偶、子女不得从事与发包人工程有关的材料设备供应、工程分包、劳务等经济活动等。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（5）发包人及其工作人员不得以任何理由向承包人推荐分包单位或推销材料，不得要求承包人购买合同规定外的材料和设备。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（6）发包人工作人员要秉公办事，不准营私舞弊，不准利用职权从事各种个人有偿中介活动和安排个人施工队伍。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承包人义务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（1）承包人不得以任何理由向发包人及其工作人员行贿或馈赠礼金、有价证券、贵重礼品。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（2）承包人不得以任何名义为发包人及其工作人员报销应由发包人单位或个人支付的任何费用。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（3）承包人不得以任何理由安排发包人工作人员参加超标准宴请及娱乐活动。</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（4）承包人不得为发包人单位和个人购置或提供通讯工具、交通工具和高档办公用品等。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违约责任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双方约定：本</w:t>
      </w:r>
      <w:r>
        <w:rPr>
          <w:rFonts w:hint="eastAsia" w:ascii="宋体" w:hAnsi="宋体" w:cs="宋体"/>
          <w:color w:val="auto"/>
          <w:szCs w:val="21"/>
          <w:highlight w:val="none"/>
          <w:lang w:val="en-US" w:eastAsia="zh-CN"/>
        </w:rPr>
        <w:t xml:space="preserve">协议</w:t>
      </w:r>
      <w:r>
        <w:rPr>
          <w:rFonts w:hint="eastAsia" w:ascii="宋体" w:hAnsi="宋体" w:cs="宋体"/>
          <w:color w:val="auto"/>
          <w:szCs w:val="21"/>
          <w:highlight w:val="none"/>
        </w:rPr>
        <w:t xml:space="preserve">由双方或双方上级单位的纪检监察机关负责监督执行。由发包人或发包人上级单位的纪检监察机关约请承包人或承包人上级单位纪检监察机关对本合同执行情况进行检查，提出在本</w:t>
      </w:r>
      <w:r>
        <w:rPr>
          <w:rFonts w:hint="eastAsia" w:ascii="宋体" w:hAnsi="宋体" w:cs="宋体"/>
          <w:color w:val="auto"/>
          <w:szCs w:val="21"/>
          <w:highlight w:val="none"/>
          <w:lang w:val="en-US" w:eastAsia="zh-CN"/>
        </w:rPr>
        <w:t xml:space="preserve">协议</w:t>
      </w:r>
      <w:r>
        <w:rPr>
          <w:rFonts w:hint="eastAsia" w:ascii="宋体" w:hAnsi="宋体" w:cs="宋体"/>
          <w:color w:val="auto"/>
          <w:szCs w:val="21"/>
          <w:highlight w:val="none"/>
        </w:rPr>
        <w:t xml:space="preserve">规定范围内的裁定意见。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w:t>
      </w:r>
      <w:r>
        <w:rPr>
          <w:rFonts w:hint="eastAsia" w:ascii="宋体" w:hAnsi="宋体" w:cs="宋体"/>
          <w:color w:val="auto"/>
          <w:szCs w:val="21"/>
          <w:highlight w:val="none"/>
          <w:lang w:val="en-US" w:eastAsia="zh-CN"/>
        </w:rPr>
        <w:t xml:space="preserve">协议</w:t>
      </w:r>
      <w:r>
        <w:rPr>
          <w:rFonts w:hint="eastAsia" w:ascii="宋体" w:hAnsi="宋体" w:cs="宋体"/>
          <w:color w:val="auto"/>
          <w:szCs w:val="21"/>
          <w:highlight w:val="none"/>
        </w:rPr>
        <w:t xml:space="preserve">有效期为甲乙双方签署之日起至该工程项目竣工验收后止。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w:t>
      </w:r>
      <w:r>
        <w:rPr>
          <w:rFonts w:hint="eastAsia" w:ascii="宋体" w:hAnsi="宋体" w:cs="宋体"/>
          <w:color w:val="auto"/>
          <w:szCs w:val="21"/>
          <w:highlight w:val="none"/>
          <w:lang w:val="en-US" w:eastAsia="zh-CN"/>
        </w:rPr>
        <w:t xml:space="preserve">协议</w:t>
      </w:r>
      <w:r>
        <w:rPr>
          <w:rFonts w:hint="eastAsia" w:ascii="宋体" w:hAnsi="宋体" w:cs="宋体"/>
          <w:color w:val="auto"/>
          <w:szCs w:val="21"/>
          <w:highlight w:val="none"/>
        </w:rPr>
        <w:t xml:space="preserve">作为工程施工合同的附件，与工程施工合同具有同等的法律效力，经合同双方签署立即生效。 </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w:t>
      </w:r>
      <w:r>
        <w:rPr>
          <w:rFonts w:hint="eastAsia" w:ascii="宋体" w:hAnsi="宋体" w:cs="宋体"/>
          <w:color w:val="auto"/>
          <w:szCs w:val="21"/>
          <w:highlight w:val="none"/>
          <w:lang w:val="en-US" w:eastAsia="zh-CN"/>
        </w:rPr>
        <w:t xml:space="preserve">协议</w:t>
      </w:r>
      <w:r>
        <w:rPr>
          <w:rFonts w:hint="eastAsia" w:ascii="宋体" w:hAnsi="宋体" w:cs="宋体"/>
          <w:color w:val="auto"/>
          <w:szCs w:val="21"/>
          <w:highlight w:val="none"/>
        </w:rPr>
        <w:t xml:space="preserve">一式四份，由甲乙双方各执一份，送交甲乙双方的监督单位各一份。</w:t>
      </w:r>
      <w:r/>
    </w:p>
    <w:p>
      <w:pPr>
        <w:contextualSpacing/>
        <w:spacing w:line="520" w:lineRule="exact"/>
        <w:rPr>
          <w:rFonts w:ascii="宋体" w:hAnsi="宋体" w:cs="宋体"/>
          <w:color w:val="auto"/>
          <w:szCs w:val="21"/>
          <w:highlight w:val="none"/>
        </w:rPr>
      </w:pPr>
      <w:r>
        <w:rPr>
          <w:rFonts w:ascii="宋体" w:hAnsi="宋体" w:cs="宋体"/>
          <w:color w:val="auto"/>
          <w:szCs w:val="21"/>
          <w:highlight w:val="none"/>
        </w:rPr>
      </w:r>
      <w:r/>
    </w:p>
    <w:p>
      <w:pPr>
        <w:pStyle w:val="1046"/>
        <w:spacing w:line="520" w:lineRule="exact"/>
        <w:rPr>
          <w:rFonts w:ascii="宋体" w:hAnsi="宋体" w:cs="宋体"/>
          <w:color w:val="auto"/>
          <w:szCs w:val="21"/>
          <w:highlight w:val="none"/>
        </w:rPr>
      </w:pPr>
      <w:r>
        <w:rPr>
          <w:rFonts w:ascii="宋体" w:hAnsi="宋体" w:cs="宋体"/>
          <w:color w:val="auto"/>
          <w:szCs w:val="21"/>
          <w:highlight w:val="none"/>
        </w:rPr>
      </w:r>
      <w:r/>
    </w:p>
    <w:p>
      <w:pPr>
        <w:pStyle w:val="1046"/>
        <w:spacing w:line="520" w:lineRule="exact"/>
        <w:rPr>
          <w:rFonts w:ascii="宋体" w:hAnsi="宋体" w:cs="宋体"/>
          <w:color w:val="auto"/>
          <w:szCs w:val="21"/>
          <w:highlight w:val="none"/>
        </w:rPr>
      </w:pPr>
      <w:r>
        <w:rPr>
          <w:rFonts w:ascii="宋体" w:hAnsi="宋体" w:cs="宋体"/>
          <w:color w:val="auto"/>
          <w:szCs w:val="21"/>
          <w:highlight w:val="none"/>
        </w:rPr>
      </w:r>
      <w:r/>
    </w:p>
    <w:p>
      <w:pPr>
        <w:contextualSpacing/>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发包人（盖章）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承包人（盖章）              </w:t>
      </w:r>
      <w:r/>
    </w:p>
    <w:p>
      <w:pPr>
        <w:contextualSpacing/>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法定代表人（签字或盖章）：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法定代表人（签字或盖章）：　　　　 　</w:t>
      </w:r>
      <w:r/>
    </w:p>
    <w:p>
      <w:pPr>
        <w:contextualSpacing/>
        <w:jc w:val="right"/>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w:t>
      </w:r>
      <w:r/>
    </w:p>
    <w:p>
      <w:pPr>
        <w:contextualSpacing/>
        <w:jc w:val="right"/>
        <w:spacing w:line="520" w:lineRule="exact"/>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jc w:val="right"/>
        <w:spacing w:line="520" w:lineRule="exact"/>
        <w:rPr>
          <w:rFonts w:hint="eastAsia" w:ascii="宋体" w:hAnsi="宋体" w:cs="宋体"/>
          <w:color w:val="auto"/>
          <w:szCs w:val="21"/>
          <w:highlight w:val="none"/>
        </w:rPr>
      </w:pPr>
      <w:r>
        <w:rPr>
          <w:rFonts w:hint="eastAsia" w:ascii="宋体" w:hAnsi="宋体" w:cs="宋体"/>
          <w:color w:val="auto"/>
          <w:szCs w:val="21"/>
          <w:highlight w:val="none"/>
        </w:rPr>
      </w:r>
      <w:r/>
    </w:p>
    <w:p>
      <w:pPr>
        <w:contextualSpacing/>
        <w:jc w:val="right"/>
        <w:spacing w:line="52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keepLines/>
        <w:keepNext/>
        <w:spacing w:line="520" w:lineRule="exact"/>
        <w:rPr>
          <w:b/>
          <w:color w:val="auto"/>
          <w:szCs w:val="21"/>
          <w:highlight w:val="none"/>
        </w:rPr>
        <w:outlineLvl w:val="0"/>
      </w:pPr>
      <w:r>
        <w:rPr>
          <w:b/>
          <w:color w:val="auto"/>
          <w:szCs w:val="21"/>
          <w:highlight w:val="none"/>
        </w:rPr>
      </w:r>
      <w:r/>
    </w:p>
    <w:p>
      <w:pPr>
        <w:jc w:val="center"/>
        <w:keepLines/>
        <w:keepNext/>
        <w:spacing w:line="520" w:lineRule="exact"/>
        <w:rPr>
          <w:b/>
          <w:color w:val="auto"/>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outlineLvl w:val="0"/>
      </w:pPr>
      <w:r>
        <w:rPr>
          <w:b/>
          <w:color w:val="auto"/>
          <w:szCs w:val="21"/>
          <w:highlight w:val="none"/>
        </w:rPr>
      </w:r>
      <w:r/>
    </w:p>
    <w:p>
      <w:pPr>
        <w:pStyle w:val="757"/>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198" w:name="_Toc28833"/>
      <w:r>
        <w:rPr>
          <w:rFonts w:hint="eastAsia"/>
          <w:b/>
          <w:color w:val="auto"/>
          <w:sz w:val="36"/>
          <w:szCs w:val="36"/>
          <w:highlight w:val="none"/>
        </w:rPr>
        <w:t xml:space="preserve">第四章项目需求</w:t>
      </w:r>
      <w:bookmarkEnd w:id="198"/>
      <w:r/>
      <w:r/>
    </w:p>
    <w:p>
      <w:pPr>
        <w:ind w:firstLine="517"/>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说明：项目采购方式为竞争性磋商，项目属性为工程，采购标的对应的中小企业划分标准所属行业为</w:t>
      </w:r>
      <w:r>
        <w:rPr>
          <w:rFonts w:hint="eastAsia" w:ascii="宋体" w:hAnsi="宋体" w:cs="宋体"/>
          <w:b/>
          <w:bCs/>
          <w:color w:val="auto"/>
          <w:szCs w:val="21"/>
          <w:highlight w:val="none"/>
          <w:u w:val="single"/>
        </w:rPr>
        <w:t xml:space="preserve">“建筑业”</w:t>
      </w:r>
      <w:r>
        <w:rPr>
          <w:rFonts w:hint="eastAsia" w:ascii="宋体" w:hAnsi="宋体" w:cs="宋体"/>
          <w:b/>
          <w:bCs/>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b/>
          <w:bCs/>
          <w:color w:val="auto"/>
          <w:sz w:val="24"/>
          <w:highlight w:val="none"/>
        </w:rPr>
      </w:pPr>
      <w:r>
        <w:rPr>
          <w:rFonts w:hint="eastAsia"/>
          <w:b/>
          <w:color w:val="auto"/>
          <w:szCs w:val="21"/>
          <w:highlight w:val="none"/>
        </w:rPr>
        <w:t xml:space="preserve">本磋商文件中</w:t>
      </w:r>
      <w:r>
        <w:rPr>
          <w:rFonts w:hint="eastAsia"/>
          <w:b/>
          <w:i/>
          <w:color w:val="auto"/>
          <w:szCs w:val="21"/>
          <w:highlight w:val="none"/>
          <w:u w:val="single"/>
        </w:rPr>
        <w:t xml:space="preserve">斜体且有下划线部分</w:t>
      </w:r>
      <w:r>
        <w:rPr>
          <w:rFonts w:hint="eastAsia"/>
          <w:b/>
          <w:color w:val="auto"/>
          <w:szCs w:val="21"/>
          <w:highlight w:val="none"/>
        </w:rPr>
        <w:t xml:space="preserve">为实质性要求和条件</w:t>
      </w:r>
      <w:r>
        <w:rPr>
          <w:rFonts w:hint="eastAsia"/>
          <w:color w:val="auto"/>
          <w:szCs w:val="21"/>
          <w:highlight w:val="none"/>
        </w:rPr>
        <w:t xml:space="preserve">，由采购人根据实际情况设置，</w:t>
      </w:r>
      <w:r>
        <w:rPr>
          <w:rFonts w:hint="eastAsia"/>
          <w:b/>
          <w:bCs/>
          <w:color w:val="auto"/>
          <w:szCs w:val="21"/>
          <w:highlight w:val="none"/>
        </w:rPr>
        <w:t xml:space="preserve">供应商须逐条明确作出满足实质性要求和条件的响应，否则将按无效响应处理。</w:t>
      </w:r>
      <w:r/>
    </w:p>
    <w:p>
      <w:pPr>
        <w:pStyle w:val="790"/>
        <w:contextualSpacing/>
        <w:ind w:firstLine="422"/>
        <w:spacing w:before="0" w:beforeAutospacing="0" w:after="0" w:afterAutospacing="0" w:line="360" w:lineRule="auto"/>
        <w:rPr>
          <w:rFonts w:hAnsi="宋体"/>
          <w:color w:val="auto"/>
          <w:szCs w:val="21"/>
          <w:highlight w:val="none"/>
        </w:rPr>
      </w:pPr>
      <w:r>
        <w:rPr>
          <w:rFonts w:hint="eastAsia" w:ascii="Times New Roman" w:cs="Times New Roman"/>
          <w:b/>
          <w:bCs/>
          <w:color w:val="auto"/>
          <w:sz w:val="21"/>
          <w:szCs w:val="21"/>
          <w:highlight w:val="none"/>
        </w:rPr>
        <w:t xml:space="preserve">一、</w:t>
      </w:r>
      <w:r>
        <w:rPr>
          <w:rFonts w:hint="eastAsia" w:ascii="Times New Roman"/>
          <w:b/>
          <w:bCs/>
          <w:color w:val="auto"/>
          <w:sz w:val="21"/>
          <w:szCs w:val="21"/>
          <w:highlight w:val="none"/>
        </w:rPr>
        <w:t xml:space="preserve">采购范围：</w:t>
      </w:r>
      <w:r>
        <w:rPr>
          <w:rFonts w:hint="eastAsia" w:ascii="Times New Roman" w:cs="Times New Roman"/>
          <w:color w:val="auto"/>
          <w:sz w:val="21"/>
          <w:szCs w:val="21"/>
          <w:highlight w:val="none"/>
          <w:lang w:val="zh-CN"/>
        </w:rPr>
        <w:t xml:space="preserve">板桥小学田径场拆除重建工程（政府采购工程）（专门面向中小企业）；</w:t>
      </w:r>
      <w:r>
        <w:rPr>
          <w:rFonts w:hint="eastAsia" w:ascii="Times New Roman" w:cs="Times New Roman"/>
          <w:color w:val="auto"/>
          <w:sz w:val="21"/>
          <w:szCs w:val="21"/>
          <w:highlight w:val="none"/>
        </w:rPr>
        <w:t xml:space="preserve">具体详见磋商文件项目需求和工程量清单</w:t>
      </w:r>
      <w:r>
        <w:rPr>
          <w:rFonts w:hint="eastAsia"/>
          <w:color w:val="auto"/>
          <w:sz w:val="21"/>
          <w:szCs w:val="21"/>
          <w:highlight w:val="none"/>
        </w:rPr>
        <w:t xml:space="preserve">。</w:t>
      </w:r>
      <w:r>
        <w:rPr>
          <w:rFonts w:hint="eastAsia" w:ascii="Times New Roman"/>
          <w:b/>
          <w:bCs/>
          <w:color w:val="auto"/>
          <w:sz w:val="21"/>
          <w:szCs w:val="21"/>
          <w:highlight w:val="none"/>
        </w:rPr>
        <w:t xml:space="preserve">图纸和工程量清单：另附。</w:t>
      </w:r>
      <w:r/>
    </w:p>
    <w:p>
      <w:pPr>
        <w:ind w:firstLine="422"/>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二、技术条款</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（一）本工程采用的计价规范</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1、《建设工程工程量清单计价规范》(GB50500-2013)；</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2、《江苏省建设工程费用定额》(2014)；</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3、《江苏省市政工程计价定额》(2014)；</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4、连云港市及江苏省相关文件精神。</w:t>
      </w:r>
      <w:r/>
    </w:p>
    <w:p>
      <w:pPr>
        <w:ind w:firstLine="42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（二）本工程采用的技术规范</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《市政基础设施工程施工质量验收统一标准》</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《城镇道路工程施工与质量验收规范》(CJJ1-2008)</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《公路工程质量检验评定标准》(JTF80/1-2004)</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《建筑工程施工质量验收统一标准》(DB13(J)53-2005)</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《公路路面基层施工技术规范》(JTJ034-2000)</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其他详见施工图说明以及国家有关的工程建设标准强制性条文。</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1、同类标准中若国家有新颁布实施的，按新标准执行。</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2、若没有国颁标准的，按相应的行业标准执行。</w:t>
      </w:r>
      <w:r/>
    </w:p>
    <w:p>
      <w:pPr>
        <w:ind w:firstLine="211"/>
        <w:jc w:val="left"/>
        <w:spacing w:line="400" w:lineRule="exact"/>
        <w:rPr>
          <w:rFonts w:ascii="宋体" w:hAnsi="宋体" w:cs="宋体"/>
          <w:b/>
          <w:color w:val="auto"/>
          <w:highlight w:val="none"/>
        </w:rPr>
      </w:pPr>
      <w:r>
        <w:rPr>
          <w:rFonts w:hint="eastAsia" w:ascii="宋体" w:hAnsi="宋体" w:cs="宋体"/>
          <w:b/>
          <w:color w:val="auto"/>
          <w:highlight w:val="none"/>
        </w:rPr>
        <w:t xml:space="preserve">（三）跑道及草坪技术要求及标准</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塑胶跑道技术需求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1、塑胶面层带有较强的专业性，为确保运动场完成的最终质量，保护使用人的身心健康，达到绿色环保的要求。强度和软硬度都应满足国内田径赛的要求，塑胶面层施工完后不得有明显的臭味、异味。</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2、具体要求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（1）技术标准和要求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依据设计文件的要求，材料、设备、实施及建设成果须符合现行的国家标准及相关行业标准，运动场地面层验收质量须满足《中小学合成材料面层运动场地》（GB36246-2018）的要求。项目的质量要求为一次验收合格。</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（2）田径场塑胶跑道要求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Ⅰ 外观：无裂痕或分层现象；防滑层与底胶粘合牢固、均匀；接缝平直、无明显凹凸现象；表面色泽均匀。</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Ⅱ 标志线：标志线应清晰、不反光，无明显虚边，与面层粘合牢固。各标志线位置距终点线间的距离长度不允许出现负差，其正差应小于1/10000，跑道线宽5厘米； 画线，符合国际田径协会联合会场地设施标准相关规定，按标准尺寸量度定位，标出界线位置，标志线应清淅、不反光、无明显虚边、与面层粘合牢固，各标志线位置终点的距离长度不允许出现负差，其正差≤1%。</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Ⅲ 平整度合格率：塑胶跑道平整合格率不小于95％，在任何方向和位置上，在每4米的丈量距离上不能超过4毫米的起伏，在1米的丈量距离上不能有超过3毫米的起伏。</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Ⅳ 坡度：塑胶跑道的横向坡度不大于1：100，纵向坡度不大于1：1000。</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Ⅴ 塑胶跑道材料需符合《中小学合成材料面层运动场地》（GB36246-2018）环保要求。</w:t>
      </w:r>
      <w:r/>
    </w:p>
    <w:p>
      <w:pPr>
        <w:ind w:firstLine="3584"/>
        <w:rPr>
          <w:rFonts w:ascii="宋体" w:hAnsi="宋体" w:cs="宋体"/>
          <w:b/>
          <w:color w:val="auto"/>
          <w:szCs w:val="22"/>
          <w:highlight w:val="none"/>
        </w:rPr>
      </w:pPr>
      <w:r>
        <w:rPr>
          <w:rFonts w:ascii="宋体" w:hAnsi="宋体" w:cs="宋体"/>
          <w:b/>
          <w:color w:val="auto"/>
          <w:szCs w:val="22"/>
          <w:highlight w:val="none"/>
        </w:rPr>
      </w:r>
      <w:r/>
    </w:p>
    <w:p>
      <w:pPr>
        <w:ind w:firstLine="3584"/>
        <w:rPr>
          <w:rFonts w:ascii="宋体" w:hAnsi="宋体" w:cs="宋体"/>
          <w:b/>
          <w:color w:val="auto"/>
          <w:szCs w:val="22"/>
          <w:highlight w:val="none"/>
        </w:rPr>
      </w:pPr>
      <w:r>
        <w:rPr>
          <w:rFonts w:hint="eastAsia" w:ascii="宋体" w:hAnsi="宋体" w:cs="宋体"/>
          <w:b/>
          <w:color w:val="auto"/>
          <w:szCs w:val="22"/>
          <w:highlight w:val="none"/>
        </w:rPr>
        <w:t xml:space="preserve">物理性能</w:t>
      </w:r>
      <w:r/>
    </w:p>
    <w:p>
      <w:pPr>
        <w:pStyle w:val="962"/>
        <w:rPr>
          <w:color w:val="auto"/>
          <w:highlight w:val="none"/>
        </w:rPr>
      </w:pPr>
      <w:r>
        <w:rPr>
          <w:color w:val="auto"/>
          <w:highlight w:val="none"/>
        </w:rPr>
      </w:r>
      <w:r/>
    </w:p>
    <w:tbl>
      <w:tblPr>
        <w:tblStyle w:val="756"/>
        <w:tblW w:w="9258" w:type="dxa"/>
        <w:jc w:val="center"/>
        <w:tblLayout w:type="fixed"/>
        <w:tblCellMar>
          <w:left w:w="108" w:type="dxa"/>
          <w:top w:w="0" w:type="dxa"/>
          <w:right w:w="108" w:type="dxa"/>
          <w:bottom w:w="0" w:type="dxa"/>
        </w:tblCellMar>
        <w:tblLook w:val="04A0" w:firstRow="1" w:lastRow="0" w:firstColumn="1" w:lastColumn="0" w:noHBand="0" w:noVBand="1"/>
      </w:tblPr>
      <w:tblGrid>
        <w:gridCol w:w="2996"/>
        <w:gridCol w:w="6262"/>
      </w:tblGrid>
      <w:tr>
        <w:trPr>
          <w:jc w:val="center"/>
          <w:trHeight w:val="454"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jc w:val="center"/>
          <w:trHeight w:val="747"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冲击吸收/%</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田径场地</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35~50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垂直变形/mm</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0.6~3.0</w:t>
            </w:r>
            <w:r/>
          </w:p>
        </w:tc>
      </w:tr>
      <w:tr>
        <w:trPr>
          <w:jc w:val="center"/>
          <w:trHeight w:val="788"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抗滑值（20℃）/BPN</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田径场地</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≥47（湿测）</w:t>
            </w:r>
            <w:r/>
          </w:p>
        </w:tc>
      </w:tr>
      <w:tr>
        <w:trPr>
          <w:jc w:val="center"/>
          <w:trHeight w:val="761"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拉伸强度/MPa</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≥0.</w:t>
            </w:r>
            <w:r>
              <w:rPr>
                <w:rFonts w:hint="eastAsia" w:ascii="宋体" w:hAnsi="宋体" w:cs="宋体"/>
                <w:color w:val="auto"/>
                <w:szCs w:val="21"/>
                <w:highlight w:val="none"/>
                <w:lang w:val="en-US" w:eastAsia="zh-CN"/>
              </w:rPr>
              <w:t xml:space="preserve">4</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拉断伸长率/%</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≥40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阻燃性能/级</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Ⅰ</w:t>
            </w:r>
            <w:r/>
          </w:p>
        </w:tc>
      </w:tr>
    </w:tbl>
    <w:p>
      <w:pPr>
        <w:ind w:firstLine="2319"/>
        <w:rPr>
          <w:rFonts w:ascii="宋体" w:hAnsi="宋体" w:cs="宋体"/>
          <w:b/>
          <w:color w:val="auto"/>
          <w:szCs w:val="22"/>
          <w:highlight w:val="none"/>
        </w:rPr>
      </w:pPr>
      <w:r>
        <w:rPr>
          <w:rFonts w:ascii="宋体" w:hAnsi="宋体" w:cs="宋体"/>
          <w:b/>
          <w:color w:val="auto"/>
          <w:szCs w:val="22"/>
          <w:highlight w:val="none"/>
        </w:rPr>
      </w:r>
      <w:r/>
    </w:p>
    <w:p>
      <w:pPr>
        <w:ind w:firstLine="2319"/>
        <w:rPr>
          <w:rFonts w:ascii="宋体" w:hAnsi="宋体" w:cs="宋体"/>
          <w:b/>
          <w:color w:val="auto"/>
          <w:szCs w:val="22"/>
          <w:highlight w:val="none"/>
        </w:rPr>
      </w:pPr>
      <w:r>
        <w:rPr>
          <w:rFonts w:hint="eastAsia" w:ascii="宋体" w:hAnsi="宋体" w:cs="宋体"/>
          <w:b/>
          <w:color w:val="auto"/>
          <w:szCs w:val="22"/>
          <w:highlight w:val="none"/>
        </w:rPr>
        <w:t xml:space="preserve">塑胶面层成品中有害物质限量及气味要求</w:t>
      </w:r>
      <w:r/>
    </w:p>
    <w:tbl>
      <w:tblPr>
        <w:tblStyle w:val="796"/>
        <w:tblW w:w="9250" w:type="dxa"/>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6433"/>
        <w:gridCol w:w="1434"/>
      </w:tblGrid>
      <w:tr>
        <w:trPr>
          <w:trHeight w:val="454" w:hRule="exact"/>
        </w:trPr>
        <w:tc>
          <w:tcPr>
            <w:gridSpan w:val="2"/>
            <w:tcW w:w="781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454" w:hRule="exact"/>
        </w:trPr>
        <w:tc>
          <w:tcPr>
            <w:tcW w:w="1383"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有害物质含量</w:t>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3种邻苯二甲酸酯类化合物（DBP、BBP、DEHP）总和/（g/kg）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3种邻苯二甲酸酯类化合物（DNOP、DINP、DIDPP）总和/（g/kg）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18种多环芳烃总和/（mg/kg）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47"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苯并（a）芘/（mg/kg）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短链氯化石蜡（Cl0-C13）/（g/kg）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 4' 一二氨基一3, 3' 一二氯二 苯甲烷（MOCA）/（g/kg）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952"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游离甲苯二异氰酸酯(TDI)和游离六亚甲基二异氰酸酯（HDI）总和/（g/kg）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≤0.2</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游离二苯基甲烷二异氰酸酯（MDI）/（g/kg）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可溶性铅/（mg/kg）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可溶性镉/（mg/kg）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可溶性铬/（mg/kg）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350"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可溶性汞/（mg/kg）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367" w:hRule="exact"/>
        </w:trPr>
        <w:tc>
          <w:tcPr>
            <w:tcW w:w="1383"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有害物质释放量</w:t>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总挥发性有机化合物（TVOC）/（mg/（㎡.h））</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367"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甲醛/（mg/（㎡.h））</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≤0.4</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苯/（mg/（㎡.h））</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≤0.1</w:t>
            </w:r>
            <w:r/>
          </w:p>
        </w:tc>
      </w:tr>
      <w:tr>
        <w:trPr>
          <w:trHeight w:val="367"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甲苯、二甲苯和乙苯总和/（mg/（㎡.h））</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二硫化碳/（mg/（㎡.h））</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≤7.0</w:t>
            </w:r>
            <w:r/>
          </w:p>
        </w:tc>
      </w:tr>
      <w:tr>
        <w:trPr>
          <w:trHeight w:val="454" w:hRule="exact"/>
        </w:trPr>
        <w:tc>
          <w:tcPr>
            <w:tcW w:w="1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气味</w:t>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气味等级/级</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r>
    </w:tbl>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0mm人造草坪技术参数 </w:t>
      </w:r>
      <w:r/>
    </w:p>
    <w:tbl>
      <w:tblPr>
        <w:tblStyle w:val="756"/>
        <w:tblW w:w="9680"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838"/>
        <w:gridCol w:w="7842"/>
      </w:tblGrid>
      <w:tr>
        <w:trPr>
          <w:jc w:val="center"/>
          <w:trHeight w:val="38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草坪颜色</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双色（翠绿和柠檬黄4米相间斑马铺装）</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卷宽</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4.0m</w:t>
            </w:r>
            <w:r/>
          </w:p>
        </w:tc>
      </w:tr>
      <w:tr>
        <w:trPr>
          <w:jc w:val="center"/>
          <w:trHeight w:val="9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卷长</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按实际需要</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应用场地</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足球场</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草丝描述</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直曲混织</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草丝材质</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高分子材料PE聚乙烯</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草丝磅重（Dtex）</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14000</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草丝厚度</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250±15µm</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草丝宽度</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1.2-1.4mm</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草高</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0mm±1mm</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行距</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/8inch</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织距</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20±1（针/10cm)</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每平方米簇数</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21000</w:t>
            </w:r>
            <w:r>
              <w:rPr>
                <w:rFonts w:hint="eastAsia" w:ascii="宋体" w:hAnsi="宋体" w:cs="宋体"/>
                <w:color w:val="auto"/>
                <w:szCs w:val="21"/>
                <w:highlight w:val="none"/>
              </w:rPr>
              <w:t xml:space="preserve">簇/平方米</w:t>
            </w:r>
            <w:r/>
          </w:p>
        </w:tc>
      </w:tr>
      <w:tr>
        <w:trPr>
          <w:jc w:val="center"/>
          <w:trHeight w:val="20"/>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底布材质</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单层加网格底布</w:t>
            </w:r>
            <w:r/>
          </w:p>
        </w:tc>
      </w:tr>
      <w:tr>
        <w:trPr>
          <w:jc w:val="center"/>
          <w:trHeight w:val="403"/>
        </w:trPr>
        <w:tc>
          <w:tcPr>
            <w:shd w:val="clear" w:color="auto" w:fill="ffffff"/>
            <w:tcBorders>
              <w:top w:val="single" w:color="000000" w:sz="2" w:space="0"/>
              <w:left w:val="single" w:color="000000" w:sz="2" w:space="0"/>
              <w:bottom w:val="single" w:color="000000" w:sz="2" w:space="0"/>
              <w:right w:val="single" w:color="000000" w:sz="2" w:space="0"/>
            </w:tcBorders>
            <w:tcW w:w="1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背胶</w:t>
            </w:r>
            <w:r/>
          </w:p>
        </w:tc>
        <w:tc>
          <w:tcPr>
            <w:shd w:val="clear" w:color="auto" w:fill="ffffff"/>
            <w:tcBorders>
              <w:top w:val="single" w:color="000000" w:sz="2" w:space="0"/>
              <w:left w:val="single" w:color="000000" w:sz="2" w:space="0"/>
              <w:bottom w:val="single" w:color="000000" w:sz="2" w:space="0"/>
              <w:right w:val="single" w:color="000000" w:sz="2" w:space="0"/>
            </w:tcBorders>
            <w:tcW w:w="784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丁苯乳胶</w:t>
            </w:r>
            <w:r/>
          </w:p>
        </w:tc>
      </w:tr>
    </w:tbl>
    <w:p>
      <w:pPr>
        <w:jc w:val="cente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ind w:firstLine="2530"/>
        <w:rPr>
          <w:rFonts w:ascii="宋体" w:hAnsi="宋体" w:cs="宋体"/>
          <w:b/>
          <w:color w:val="auto"/>
          <w:szCs w:val="22"/>
          <w:highlight w:val="none"/>
        </w:rPr>
      </w:pPr>
      <w:r>
        <w:rPr>
          <w:rFonts w:hint="eastAsia" w:ascii="宋体" w:hAnsi="宋体" w:cs="宋体"/>
          <w:b/>
          <w:color w:val="auto"/>
          <w:szCs w:val="22"/>
          <w:highlight w:val="none"/>
        </w:rPr>
        <w:t xml:space="preserve">人造草面层成品及草丝的物理机械性能要求</w:t>
      </w:r>
      <w:r/>
    </w:p>
    <w:p>
      <w:pPr>
        <w:jc w:val="center"/>
        <w:rPr>
          <w:rFonts w:ascii="宋体" w:hAnsi="宋体" w:cs="宋体"/>
          <w:color w:val="auto"/>
          <w:sz w:val="18"/>
          <w:szCs w:val="18"/>
          <w:highlight w:val="none"/>
        </w:rPr>
      </w:pPr>
      <w:r>
        <w:rPr>
          <w:rFonts w:ascii="宋体" w:hAnsi="宋体" w:cs="宋体"/>
          <w:color w:val="auto"/>
          <w:sz w:val="18"/>
          <w:szCs w:val="18"/>
          <w:highlight w:val="none"/>
        </w:rPr>
      </w:r>
      <w:r/>
    </w:p>
    <w:tbl>
      <w:tblPr>
        <w:tblStyle w:val="756"/>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3"/>
        <w:gridCol w:w="2940"/>
        <w:gridCol w:w="3743"/>
      </w:tblGrid>
      <w:tr>
        <w:trPr>
          <w:jc w:val="center"/>
          <w:trHeight w:val="363"/>
        </w:trPr>
        <w:tc>
          <w:tcPr>
            <w:gridSpan w:val="2"/>
            <w:tcW w:w="5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37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jc w:val="center"/>
          <w:trHeight w:val="363"/>
        </w:trPr>
        <w:tc>
          <w:tcPr>
            <w:gridSpan w:val="2"/>
            <w:tcW w:w="5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冲击吸收/(%)</w:t>
            </w:r>
            <w:r/>
          </w:p>
        </w:tc>
        <w:tc>
          <w:tcPr>
            <w:tcW w:w="37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45~70</w:t>
            </w:r>
            <w:r/>
          </w:p>
        </w:tc>
      </w:tr>
      <w:tr>
        <w:trPr>
          <w:jc w:val="center"/>
          <w:trHeight w:val="363"/>
        </w:trPr>
        <w:tc>
          <w:tcPr>
            <w:gridSpan w:val="2"/>
            <w:tcW w:w="5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垂直变形/(mm)</w:t>
            </w:r>
            <w:r/>
          </w:p>
        </w:tc>
        <w:tc>
          <w:tcPr>
            <w:tcW w:w="37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4~11</w:t>
            </w:r>
            <w:r/>
          </w:p>
        </w:tc>
      </w:tr>
      <w:tr>
        <w:trPr>
          <w:jc w:val="center"/>
          <w:trHeight w:val="363"/>
        </w:trPr>
        <w:tc>
          <w:tcPr>
            <w:tcW w:w="2443"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草丝拉断力/N</w:t>
            </w:r>
            <w:r/>
          </w:p>
        </w:tc>
        <w:tc>
          <w:tcPr>
            <w:tcW w:w="29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单丝</w:t>
            </w:r>
            <w:r/>
          </w:p>
        </w:tc>
        <w:tc>
          <w:tcPr>
            <w:tcW w:w="37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363"/>
        </w:trPr>
        <w:tc>
          <w:tcPr>
            <w:gridSpan w:val="2"/>
            <w:tcW w:w="5383"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单簇草丝拔出力/N</w:t>
            </w:r>
            <w:r/>
          </w:p>
        </w:tc>
        <w:tc>
          <w:tcPr>
            <w:tcW w:w="37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≥20</w:t>
            </w:r>
            <w:r/>
          </w:p>
        </w:tc>
      </w:tr>
      <w:tr>
        <w:trPr>
          <w:jc w:val="center"/>
          <w:trHeight w:val="363"/>
        </w:trPr>
        <w:tc>
          <w:tcPr>
            <w:gridSpan w:val="2"/>
            <w:tcW w:w="5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加速老化500h后，草丝拉断力</w:t>
            </w:r>
            <w:r/>
          </w:p>
        </w:tc>
        <w:tc>
          <w:tcPr>
            <w:tcW w:w="37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≥80</w:t>
            </w:r>
            <w:r/>
          </w:p>
        </w:tc>
      </w:tr>
    </w:tbl>
    <w:p>
      <w:pPr>
        <w:ind w:firstLine="2530"/>
        <w:rPr>
          <w:rFonts w:ascii="宋体" w:hAnsi="宋体" w:cs="宋体"/>
          <w:b/>
          <w:color w:val="auto"/>
          <w:szCs w:val="22"/>
          <w:highlight w:val="none"/>
        </w:rPr>
      </w:pPr>
      <w:r>
        <w:rPr>
          <w:rFonts w:ascii="宋体" w:hAnsi="宋体" w:cs="宋体"/>
          <w:b/>
          <w:color w:val="auto"/>
          <w:szCs w:val="22"/>
          <w:highlight w:val="none"/>
        </w:rPr>
      </w:r>
      <w:r/>
    </w:p>
    <w:p>
      <w:pPr>
        <w:ind w:firstLine="2530"/>
        <w:rPr>
          <w:rFonts w:ascii="宋体" w:hAnsi="宋体" w:cs="宋体"/>
          <w:b/>
          <w:color w:val="auto"/>
          <w:szCs w:val="22"/>
          <w:highlight w:val="none"/>
        </w:rPr>
      </w:pPr>
      <w:r>
        <w:rPr>
          <w:rFonts w:hint="eastAsia" w:ascii="宋体" w:hAnsi="宋体" w:cs="宋体"/>
          <w:b/>
          <w:color w:val="auto"/>
          <w:szCs w:val="22"/>
          <w:highlight w:val="none"/>
        </w:rPr>
        <w:t xml:space="preserve">人造草面层成品中有害物质限量要求</w:t>
      </w:r>
      <w:r/>
    </w:p>
    <w:tbl>
      <w:tblPr>
        <w:tblStyle w:val="756"/>
        <w:tblpPr w:horzAnchor="page" w:tblpX="1520" w:vertAnchor="text" w:tblpY="511" w:leftFromText="180" w:topFromText="0" w:rightFromText="180" w:bottomFromText="0"/>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7"/>
        <w:gridCol w:w="6614"/>
        <w:gridCol w:w="995"/>
      </w:tblGrid>
      <w:tr>
        <w:trPr>
          <w:trHeight w:val="454" w:hRule="exact"/>
        </w:trPr>
        <w:tc>
          <w:tcPr>
            <w:gridSpan w:val="2"/>
            <w:tcBorders>
              <w:top w:val="single" w:color="auto" w:sz="4" w:space="0"/>
              <w:left w:val="single" w:color="auto" w:sz="4" w:space="0"/>
              <w:bottom w:val="single" w:color="auto" w:sz="4" w:space="0"/>
              <w:right w:val="single" w:color="auto" w:sz="4" w:space="0"/>
            </w:tcBorders>
            <w:tcW w:w="8361"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有害物质含量</w:t>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3种邻苯二甲酸酯类化合物（DBP、BBP、DEHP）总和a/（g/kg）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3种邻苯二甲酸酯类化合物（DNOP、DINP、DIDP）总和a/（g/kg）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18种多环芳烃总和b/（mg/kg）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苯并[a]芘/（mg/kg）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可溶性铅/（mg/kg）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可溶性镉/（mg/kg）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可溶性铬/（mg/kg）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可溶性汞/（mg/kg）</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有害物质释放量</w:t>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总挥发性有机化合物（TVOC）/（mg/（m2.h））</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甲醛/（mg/（m2.h））</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≤0.4</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苯/（mg/（m2.h））</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≤0.1</w:t>
            </w:r>
            <w:r/>
          </w:p>
        </w:tc>
      </w:tr>
      <w:tr>
        <w:trPr>
          <w:trHeight w:val="454" w:hRule="exact"/>
        </w:trPr>
        <w:tc>
          <w:tcPr>
            <w:tcBorders>
              <w:top w:val="single" w:color="auto" w:sz="4" w:space="0"/>
              <w:left w:val="single" w:color="auto" w:sz="4" w:space="0"/>
              <w:bottom w:val="single" w:color="auto" w:sz="4" w:space="0"/>
              <w:right w:val="single" w:color="auto" w:sz="4" w:space="0"/>
            </w:tcBorders>
            <w:tcW w:w="1747"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甲苯、二甲苯和乙苯总和/（mg/（m2.h））</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bl>
    <w:p>
      <w:pPr>
        <w:rPr>
          <w:rFonts w:ascii="宋体" w:hAnsi="宋体" w:cs="宋体"/>
          <w:color w:val="auto"/>
          <w:highlight w:val="none"/>
        </w:rPr>
      </w:pPr>
      <w:r>
        <w:rPr>
          <w:rFonts w:ascii="宋体" w:hAnsi="宋体" w:cs="宋体"/>
          <w:color w:val="auto"/>
          <w:highlight w:val="none"/>
        </w:rPr>
      </w:r>
      <w:r/>
    </w:p>
    <w:p>
      <w:pPr>
        <w:ind w:firstLine="2970"/>
        <w:jc w:val="left"/>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固体原料</w:t>
      </w:r>
      <w:r>
        <w:rPr>
          <w:rFonts w:hint="eastAsia" w:ascii="宋体" w:hAnsi="宋体" w:cs="宋体"/>
          <w:b/>
          <w:color w:val="auto"/>
          <w:szCs w:val="21"/>
          <w:highlight w:val="none"/>
          <w:lang w:eastAsia="zh-CN"/>
        </w:rPr>
        <w:t xml:space="preserve">（缓冲减震垫）</w:t>
      </w:r>
      <w:r>
        <w:rPr>
          <w:rFonts w:hint="eastAsia" w:ascii="宋体" w:hAnsi="宋体" w:cs="宋体"/>
          <w:b/>
          <w:color w:val="auto"/>
          <w:szCs w:val="21"/>
          <w:highlight w:val="none"/>
        </w:rPr>
        <w:t xml:space="preserve">中有害物质限量及气味要求</w:t>
      </w:r>
      <w:r/>
    </w:p>
    <w:tbl>
      <w:tblPr>
        <w:tblStyle w:val="796"/>
        <w:tblW w:w="9250" w:type="dxa"/>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6433"/>
        <w:gridCol w:w="1434"/>
      </w:tblGrid>
      <w:tr>
        <w:trPr>
          <w:trHeight w:val="454" w:hRule="exact"/>
        </w:trPr>
        <w:tc>
          <w:tcPr>
            <w:gridSpan w:val="2"/>
            <w:tcW w:w="781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454" w:hRule="exact"/>
        </w:trPr>
        <w:tc>
          <w:tcPr>
            <w:tcW w:w="1383"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有害物质含量</w:t>
            </w:r>
            <w:r/>
          </w:p>
        </w:tc>
        <w:tc>
          <w:tcPr>
            <w:tcW w:w="6433"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18种多环芳烃总和"/(mg/kg)</w:t>
            </w:r>
            <w:r/>
          </w:p>
        </w:tc>
        <w:tc>
          <w:tcPr>
            <w:tcW w:w="143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50</w:t>
            </w:r>
            <w:r/>
          </w:p>
        </w:tc>
      </w:tr>
      <w:tr>
        <w:trPr>
          <w:trHeight w:val="454" w:hRule="exact"/>
        </w:trPr>
        <w:tc>
          <w:tcPr>
            <w:tcW w:w="138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643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3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≤20b</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苯并[a]芘/(mg/kg)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可溶性铅/(mg/kg)</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可溶性镉/(mg/kg)</w:t>
            </w:r>
            <w:r/>
          </w:p>
        </w:tc>
        <w:tc>
          <w:tcPr>
            <w:tcW w:w="1434"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可溶性铬/(mg/kg)</w:t>
            </w:r>
            <w:r/>
          </w:p>
        </w:tc>
        <w:tc>
          <w:tcPr>
            <w:tcW w:w="1434"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r>
      <w:tr>
        <w:trPr>
          <w:trHeight w:val="454" w:hRule="exact"/>
        </w:trPr>
        <w:tc>
          <w:tcPr>
            <w:tcW w:w="138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3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可溶性汞/(mg/kg)</w:t>
            </w:r>
            <w:r/>
          </w:p>
        </w:tc>
        <w:tc>
          <w:tcPr>
            <w:tcW w:w="1434"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p>
        </w:tc>
      </w:tr>
      <w:tr>
        <w:trPr>
          <w:trHeight w:val="454" w:hRule="exact"/>
        </w:trPr>
        <w:tc>
          <w:tcPr>
            <w:tcW w:w="13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气味</w:t>
            </w:r>
            <w:r/>
          </w:p>
        </w:tc>
        <w:tc>
          <w:tcPr>
            <w:tcW w:w="64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气味等级b/级</w:t>
            </w:r>
            <w:r/>
          </w:p>
        </w:tc>
        <w:tc>
          <w:tcPr>
            <w:tcW w:w="14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r>
    </w:tbl>
    <w:p>
      <w:pPr>
        <w:pStyle w:val="757"/>
        <w:rPr>
          <w:rFonts w:hint="eastAsia"/>
          <w:color w:val="auto"/>
          <w:highlight w:val="none"/>
        </w:rPr>
      </w:pPr>
      <w:r>
        <w:rPr>
          <w:rFonts w:hint="eastAsia"/>
          <w:color w:val="auto"/>
          <w:highlight w:val="none"/>
        </w:rPr>
      </w:r>
      <w:r/>
    </w:p>
    <w:p>
      <w:pPr>
        <w:ind w:firstLine="442"/>
        <w:jc w:val="left"/>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42"/>
        <w:jc w:val="left"/>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42"/>
        <w:jc w:val="left"/>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42"/>
        <w:jc w:val="left"/>
        <w:spacing w:line="480" w:lineRule="exact"/>
        <w:rPr>
          <w:rFonts w:ascii="宋体" w:hAnsi="宋体" w:cs="宋体"/>
          <w:b/>
          <w:color w:val="auto"/>
          <w:szCs w:val="21"/>
          <w:highlight w:val="none"/>
        </w:rPr>
      </w:pPr>
      <w:r>
        <w:rPr>
          <w:rFonts w:hint="eastAsia" w:ascii="宋体" w:hAnsi="宋体" w:cs="宋体"/>
          <w:b/>
          <w:color w:val="auto"/>
          <w:szCs w:val="21"/>
          <w:highlight w:val="none"/>
        </w:rPr>
        <w:t xml:space="preserve">三、商务条款</w:t>
      </w:r>
      <w:r/>
    </w:p>
    <w:p>
      <w:pPr>
        <w:ind w:firstLine="480"/>
        <w:spacing w:line="480" w:lineRule="exact"/>
        <w:rPr>
          <w:rFonts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1、本项目预付工程款为签约合同价的10%（需提供“政府采购电子履约保函（保险）平台”出具的电子履约保函（保险），否则不予支付）；工程完工经验收合格(出具竣工验收报告)后付至合同价款的70%，工程结算审计完成(出具审计报告)后付至结算价款的 97%，余款在缺陷期满后一次性付清(无息)。</w:t>
      </w:r>
      <w:r/>
    </w:p>
    <w:p>
      <w:pPr>
        <w:ind w:firstLine="482"/>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注：每次付款前乙方应根据招标人要求向甲方出具正规发票，甲方自收到发票后10个工作日内将资金支付至合同约定的乙方账户（发票开具日期计算）。</w:t>
      </w:r>
      <w:r/>
    </w:p>
    <w:p>
      <w:pPr>
        <w:pStyle w:val="770"/>
        <w:ind w:firstLine="442"/>
        <w:jc w:val="left"/>
        <w:spacing w:line="480" w:lineRule="exact"/>
        <w:rPr>
          <w:rFonts w:hAnsi="宋体" w:cs="宋体"/>
          <w:b/>
          <w:bCs/>
          <w:i/>
          <w:iCs/>
          <w:color w:val="auto"/>
          <w:szCs w:val="21"/>
          <w:highlight w:val="none"/>
          <w:u w:val="single"/>
        </w:rPr>
      </w:pPr>
      <w:r>
        <w:rPr>
          <w:rFonts w:hint="eastAsia" w:hAnsi="宋体" w:cs="宋体"/>
          <w:b/>
          <w:bCs/>
          <w:i/>
          <w:iCs/>
          <w:color w:val="auto"/>
          <w:szCs w:val="21"/>
          <w:highlight w:val="none"/>
          <w:u w:val="single"/>
        </w:rPr>
        <w:t xml:space="preserve">★2、工期要求：30日历天（以实际开工日起计算）。</w:t>
      </w:r>
      <w:r/>
    </w:p>
    <w:p>
      <w:pPr>
        <w:ind w:firstLine="442"/>
        <w:spacing w:line="480" w:lineRule="exact"/>
        <w:rPr>
          <w:rFonts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★3、质量标准：合格。</w:t>
      </w:r>
      <w:r/>
    </w:p>
    <w:p>
      <w:pPr>
        <w:ind w:firstLine="422"/>
        <w:spacing w:line="480" w:lineRule="exact"/>
        <w:rPr>
          <w:rFonts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★4、质保期：本项目质保期为5年；质量保修期从采购人批准的竣工验收通过之日起计算。</w:t>
      </w:r>
      <w:r/>
    </w:p>
    <w:p>
      <w:pPr>
        <w:ind w:firstLine="422"/>
        <w:spacing w:line="480" w:lineRule="exact"/>
        <w:rPr>
          <w:rFonts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注：质量保修期内供应商须免费负责修理和替换任何由于自身的质量问题造成的损坏。</w:t>
      </w:r>
      <w:r/>
    </w:p>
    <w:p>
      <w:pPr>
        <w:ind w:firstLine="422"/>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四、验收要求</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1、验收检验</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1.1材料进场由采购人和项目监理随机抽取不同批次的材料进行送检，检验结果须符合采购人需求中规定技术等级。</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1.2塑胶、人造草坪成品验收检验项目为厚度、物理机械性能、合成材料面层中无机填料及高聚物的含量、合成材料面层成品和原料中有害物质限量及气味，具体根据采购人及项目需求决定检测范围和内容。</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2、型式检验</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型式检验项目具体详见“《中小学合成材料面层运动场地》GB36246-2018”的技术要求的5.2～5.6,出现下列情况之一时,产品应进行型式检验:</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a)新产品、新工艺、新配方定型鉴定时;</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b)正常生产后,原材料、生产工艺、配方有重大变化时;</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c)停产或未施工6个月及以上恢复生产或施工时;</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d)正常生产或施工时,每年进行一次;</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e)质量主管部门监督抽查时。</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3、检验结果的判定</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经检验，检验项目全部合格,判定所检样品符合本标准要求；检验项目中任一项或一项以上不合格，</w:t>
      </w:r>
      <w:r/>
    </w:p>
    <w:p>
      <w:pPr>
        <w:pStyle w:val="1062"/>
        <w:ind w:left="0"/>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判定所检样品不符合本标准要求。</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4、 复验规则</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4.1原料样品经检验不符合本标准要求的,可另取双倍样品进行复验,检验项目全部合格，判定所检样品复验符合本标准要求,否则判定不符合本标准要求。</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4.2 成品样品经</w:t>
      </w:r>
      <w:r>
        <w:rPr>
          <w:rFonts w:hint="eastAsia" w:ascii="宋体" w:hAnsi="宋体" w:cs="宋体"/>
          <w:color w:val="auto"/>
          <w:szCs w:val="21"/>
          <w:highlight w:val="none"/>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5、场地符合性判定原则</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所有检验项目，包括复验项目(如有)均符合本标准要求时,判定该场地符合本标准要求。</w:t>
      </w:r>
      <w:r/>
    </w:p>
    <w:p>
      <w:pPr>
        <w:pStyle w:val="1062"/>
        <w:ind w:left="0" w:firstLine="567"/>
        <w:spacing w:after="0" w:line="480" w:lineRule="exact"/>
        <w:rPr>
          <w:rFonts w:ascii="宋体" w:hAnsi="宋体" w:cs="宋体"/>
          <w:color w:val="auto"/>
          <w:szCs w:val="21"/>
          <w:highlight w:val="none"/>
        </w:rPr>
      </w:pPr>
      <w:r>
        <w:rPr>
          <w:rFonts w:hint="eastAsia" w:ascii="宋体" w:hAnsi="宋体" w:cs="宋体"/>
          <w:color w:val="auto"/>
          <w:szCs w:val="21"/>
          <w:highlight w:val="none"/>
        </w:rPr>
        <w:t xml:space="preserve">6、若供应商提供的材料或成品检验结果不合格由供应商承担一切后果，采购人有权依据相关法律法规进行索赔。</w:t>
      </w:r>
      <w:r/>
    </w:p>
    <w:p>
      <w:pPr>
        <w:ind w:firstLine="422"/>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五、材料和成品检测的其他要求</w:t>
      </w:r>
      <w:r/>
    </w:p>
    <w:p>
      <w:pPr>
        <w:pStyle w:val="1063"/>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1、施工完成后需对产品进行检测，检测费由发包人支付，检测不合格的产品进行铲除，重新铺设的产品待检验合格后重新铺设，期间所有费用由供应商自行承担。</w:t>
      </w:r>
      <w:r/>
    </w:p>
    <w:p>
      <w:pPr>
        <w:ind w:firstLine="482"/>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六、现场施工要求</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color w:val="auto"/>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6、成交供应商负责工程验收及交付使用前的工程卫生清理工作，该费用包含在报价中。</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7、本工程技术规范高于国家标准的，按相应的规范执行；低于国家标准的，按国家标准执行。</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9、本工程工期紧，如需赶工施工，以保证项目顺利完成，报价时包含赶工、雨季施工、反季节施工等措施费用。</w:t>
      </w:r>
      <w:r/>
    </w:p>
    <w:p>
      <w:pPr>
        <w:ind w:firstLine="482"/>
        <w:spacing w:line="520" w:lineRule="exact"/>
        <w:rPr>
          <w:rFonts w:ascii="宋体" w:hAnsi="宋体" w:cs="宋体"/>
          <w:b/>
          <w:bCs/>
          <w:color w:val="auto"/>
          <w:szCs w:val="21"/>
          <w:highlight w:val="none"/>
        </w:rPr>
      </w:pPr>
      <w:r/>
      <w:bookmarkStart w:id="199" w:name="_Toc9279"/>
      <w:r>
        <w:rPr>
          <w:rFonts w:hint="eastAsia" w:ascii="宋体" w:hAnsi="宋体" w:cs="宋体"/>
          <w:b/>
          <w:color w:val="auto"/>
          <w:szCs w:val="21"/>
          <w:highlight w:val="none"/>
        </w:rPr>
        <w:t xml:space="preserve">七、报价及其他要求</w:t>
      </w:r>
      <w:bookmarkEnd w:id="199"/>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1、报价要求：本工程合同形式为固定综合单价合同。合同价款应包括磋商文</w:t>
      </w:r>
      <w:r>
        <w:rPr>
          <w:rFonts w:hint="eastAsia" w:ascii="宋体" w:hAnsi="宋体" w:cs="宋体"/>
          <w:color w:val="auto"/>
          <w:szCs w:val="21"/>
          <w:highlight w:val="none"/>
        </w:rPr>
        <w:t xml:space="preserve">件所确定的招标范围内相应图纸的全部内容（如图纸和清单不符以清单为准），和为完成上述内容所必须的附属工程和临时工程的全部费用，即包括工程项目的成本、利润、税金、开办费、运输费、装卸费、安装费、技术措施费、大型机械进出场费、风险费（包括气候变化引起的）和政策性文件规定费用，报价中还应充分考虑工程及材料涉及的相关试验、测试费用（试验应在国家认可的权威机构进行，对确需到其它实验室进行的试验，应报采购人及监理认可；未经认可的，采购人有权要求重新检测、试验）。报价如有优惠，须在单价中反映。在合同执行期内，合同单价不变。</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pStyle w:val="757"/>
        <w:rPr>
          <w:rFonts w:hint="eastAsia"/>
          <w:b/>
          <w:color w:val="auto"/>
          <w:sz w:val="36"/>
          <w:szCs w:val="36"/>
          <w:highlight w:val="none"/>
        </w:rPr>
      </w:pPr>
      <w:r>
        <w:rPr>
          <w:rFonts w:hint="eastAsia"/>
          <w:b/>
          <w:color w:val="auto"/>
          <w:sz w:val="36"/>
          <w:szCs w:val="36"/>
          <w:highlight w:val="none"/>
        </w:rPr>
      </w:r>
      <w:r/>
    </w:p>
    <w:p>
      <w:pPr>
        <w:pStyle w:val="757"/>
        <w:rPr>
          <w:rFonts w:hint="eastAsia"/>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b/>
          <w:color w:val="auto"/>
          <w:sz w:val="36"/>
          <w:szCs w:val="36"/>
          <w:highlight w:val="none"/>
        </w:rPr>
      </w:r>
      <w:r/>
    </w:p>
    <w:p>
      <w:pPr>
        <w:pStyle w:val="757"/>
        <w:rPr>
          <w:rFonts w:hint="eastAsia"/>
          <w:b/>
          <w:color w:val="auto"/>
          <w:sz w:val="36"/>
          <w:szCs w:val="36"/>
          <w:highlight w:val="none"/>
        </w:rPr>
      </w:pPr>
      <w:r>
        <w:rPr>
          <w:rFonts w:hint="eastAsia"/>
          <w:b/>
          <w:color w:val="auto"/>
          <w:sz w:val="36"/>
          <w:szCs w:val="36"/>
          <w:highlight w:val="none"/>
        </w:rPr>
      </w:r>
      <w:r/>
    </w:p>
    <w:p>
      <w:pPr>
        <w:pStyle w:val="746"/>
        <w:jc w:val="center"/>
        <w:spacing w:line="500" w:lineRule="exact"/>
        <w:rPr>
          <w:rFonts w:ascii="Times New Roman" w:eastAsia="宋体"/>
          <w:b/>
          <w:color w:val="auto"/>
          <w:sz w:val="36"/>
          <w:szCs w:val="36"/>
          <w:highlight w:val="none"/>
        </w:rPr>
      </w:pPr>
      <w:r/>
      <w:bookmarkStart w:id="200" w:name="_Toc20093"/>
      <w:r/>
      <w:bookmarkStart w:id="201" w:name="_Toc61149622"/>
      <w:r/>
      <w:bookmarkStart w:id="202" w:name="_Toc23828480"/>
      <w:r/>
      <w:bookmarkStart w:id="203" w:name="_Toc26554097"/>
      <w:r>
        <w:rPr>
          <w:rFonts w:ascii="Times New Roman" w:eastAsia="宋体"/>
          <w:b/>
          <w:color w:val="auto"/>
          <w:sz w:val="36"/>
          <w:szCs w:val="36"/>
          <w:highlight w:val="none"/>
        </w:rPr>
        <w:t xml:space="preserve">第五章 评审方法和评审标准</w:t>
      </w:r>
      <w:bookmarkEnd w:id="200"/>
      <w:r/>
      <w:r/>
    </w:p>
    <w:p>
      <w:pPr>
        <w:rPr>
          <w:color w:val="auto"/>
          <w:highlight w:val="none"/>
        </w:rPr>
      </w:pPr>
      <w:r>
        <w:rPr>
          <w:color w:val="auto"/>
          <w:highlight w:val="none"/>
        </w:rPr>
      </w:r>
      <w:r/>
    </w:p>
    <w:p>
      <w:pPr>
        <w:rPr>
          <w:color w:val="auto"/>
          <w:highlight w:val="none"/>
        </w:rPr>
      </w:pPr>
      <w:r>
        <w:rPr>
          <w:color w:val="auto"/>
          <w:highlight w:val="none"/>
        </w:rPr>
      </w:r>
      <w:r/>
    </w:p>
    <w:p>
      <w:pPr>
        <w:pStyle w:val="1012"/>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12"/>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12"/>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12"/>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12"/>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770"/>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770"/>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770"/>
        <w:ind w:firstLine="420"/>
        <w:jc w:val="left"/>
        <w:spacing w:line="480" w:lineRule="exact"/>
        <w:rPr>
          <w:rFonts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Cs w:val="21"/>
          <w:highlight w:val="none"/>
        </w:rPr>
      </w:pPr>
      <w:r>
        <w:rPr>
          <w:rFonts w:hint="eastAsia" w:ascii="宋体" w:hAnsi="宋体"/>
          <w:b/>
          <w:color w:val="auto"/>
          <w:szCs w:val="21"/>
          <w:highlight w:val="none"/>
        </w:rPr>
        <w:t xml:space="preserve">综合评分法</w:t>
      </w:r>
      <w:r/>
    </w:p>
    <w:tbl>
      <w:tblPr>
        <w:tblStyle w:val="756"/>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080"/>
        <w:gridCol w:w="1183"/>
        <w:gridCol w:w="6272"/>
      </w:tblGrid>
      <w:tr>
        <w:trPr>
          <w:jc w:val="center"/>
          <w:trHeight w:val="203"/>
        </w:trPr>
        <w:tc>
          <w:tcPr>
            <w:tcW w:w="1232" w:type="dxa"/>
            <w:vAlign w:val="center"/>
            <w:textDirection w:val="lrTb"/>
            <w:noWrap/>
          </w:tcPr>
          <w:p>
            <w:pPr>
              <w:widowControl/>
              <w:rPr>
                <w:rFonts w:ascii="宋体" w:hAnsi="宋体" w:cs="宋体"/>
                <w:b/>
                <w:bCs/>
                <w:color w:val="auto"/>
                <w:szCs w:val="21"/>
                <w:highlight w:val="none"/>
              </w:rPr>
            </w:pPr>
            <w:r>
              <w:rPr>
                <w:rFonts w:hint="eastAsia" w:ascii="宋体" w:hAnsi="宋体" w:cs="宋体"/>
                <w:color w:val="auto"/>
                <w:szCs w:val="21"/>
                <w:highlight w:val="none"/>
              </w:rPr>
              <w:t xml:space="preserve">项目细则</w:t>
            </w:r>
            <w:r/>
          </w:p>
        </w:tc>
        <w:tc>
          <w:tcPr>
            <w:tcW w:w="1080" w:type="dxa"/>
            <w:vAlign w:val="center"/>
            <w:textDirection w:val="lrTb"/>
            <w:noWrap/>
          </w:tcPr>
          <w:p>
            <w:pPr>
              <w:widowControl/>
              <w:rPr>
                <w:rFonts w:ascii="宋体" w:hAnsi="宋体" w:cs="宋体"/>
                <w:b/>
                <w:color w:val="auto"/>
                <w:szCs w:val="21"/>
                <w:highlight w:val="none"/>
              </w:rPr>
            </w:pPr>
            <w:r>
              <w:rPr>
                <w:rFonts w:hint="eastAsia" w:ascii="宋体" w:hAnsi="宋体" w:cs="宋体"/>
                <w:color w:val="auto"/>
                <w:szCs w:val="21"/>
                <w:highlight w:val="none"/>
              </w:rPr>
              <w:t xml:space="preserve">评议内容</w:t>
            </w:r>
            <w:r/>
          </w:p>
        </w:tc>
        <w:tc>
          <w:tcPr>
            <w:tcW w:w="1183" w:type="dxa"/>
            <w:vAlign w:val="center"/>
            <w:textDirection w:val="lrTb"/>
            <w:noWrap/>
          </w:tcPr>
          <w:p>
            <w:pPr>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分值</w:t>
            </w:r>
            <w:r/>
          </w:p>
        </w:tc>
        <w:tc>
          <w:tcPr>
            <w:tcW w:w="6272" w:type="dxa"/>
            <w:vAlign w:val="center"/>
            <w:textDirection w:val="lrTb"/>
            <w:noWrap/>
          </w:tcPr>
          <w:p>
            <w:pPr>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232" w:type="dxa"/>
            <w:vAlign w:val="center"/>
            <w:textDirection w:val="lrTb"/>
            <w:noWrap/>
          </w:tcPr>
          <w:p>
            <w:pPr>
              <w:rPr>
                <w:rFonts w:ascii="宋体" w:hAnsi="宋体" w:cs="宋体"/>
                <w:b/>
                <w:bCs/>
                <w:color w:val="auto"/>
                <w:szCs w:val="21"/>
                <w:highlight w:val="none"/>
              </w:rPr>
            </w:pPr>
            <w:r>
              <w:rPr>
                <w:rFonts w:hint="eastAsia" w:ascii="宋体" w:hAnsi="宋体" w:cs="宋体"/>
                <w:b/>
                <w:bCs/>
                <w:color w:val="auto"/>
                <w:szCs w:val="21"/>
                <w:highlight w:val="none"/>
              </w:rPr>
              <w:t xml:space="preserve">报价分</w:t>
            </w:r>
            <w:r/>
          </w:p>
          <w:p>
            <w:pPr>
              <w:rPr>
                <w:rFonts w:ascii="宋体" w:hAnsi="宋体" w:cs="宋体"/>
                <w:b/>
                <w:bCs/>
                <w:color w:val="auto"/>
                <w:szCs w:val="21"/>
                <w:highlight w:val="none"/>
              </w:rPr>
            </w:pPr>
            <w:r>
              <w:rPr>
                <w:rFonts w:hint="eastAsia" w:ascii="宋体" w:hAnsi="宋体" w:cs="宋体"/>
                <w:b/>
                <w:bCs/>
                <w:color w:val="auto"/>
                <w:szCs w:val="21"/>
                <w:highlight w:val="none"/>
              </w:rPr>
              <w:t xml:space="preserve">（50分）</w:t>
            </w:r>
            <w:r/>
          </w:p>
        </w:tc>
        <w:tc>
          <w:tcPr>
            <w:tcBorders>
              <w:left w:val="single" w:color="auto" w:sz="4" w:space="0"/>
              <w:bottom w:val="single" w:color="auto" w:sz="4" w:space="0"/>
              <w:right w:val="single" w:color="auto" w:sz="4" w:space="0"/>
            </w:tcBorders>
            <w:tcW w:w="1080" w:type="dxa"/>
            <w:vAlign w:val="center"/>
            <w:textDirection w:val="lrTb"/>
            <w:noWrap/>
          </w:tcPr>
          <w:p>
            <w:pPr>
              <w:ind w:left="210" w:hanging="210"/>
              <w:rPr>
                <w:rFonts w:ascii="宋体" w:hAnsi="宋体" w:cs="宋体"/>
                <w:color w:val="auto"/>
                <w:szCs w:val="21"/>
                <w:highlight w:val="none"/>
              </w:rPr>
            </w:pPr>
            <w:r>
              <w:rPr>
                <w:rFonts w:hint="eastAsia" w:ascii="宋体" w:hAnsi="宋体" w:cs="宋体"/>
                <w:color w:val="auto"/>
                <w:szCs w:val="21"/>
                <w:highlight w:val="none"/>
              </w:rPr>
              <w:t xml:space="preserve">价格评分50分</w:t>
            </w:r>
            <w:r/>
          </w:p>
        </w:tc>
        <w:tc>
          <w:tcPr>
            <w:tcBorders>
              <w:left w:val="single" w:color="auto" w:sz="4" w:space="0"/>
            </w:tcBorders>
            <w:tcW w:w="1183"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50分</w:t>
            </w:r>
            <w:r/>
          </w:p>
        </w:tc>
        <w:tc>
          <w:tcPr>
            <w:tcW w:w="6272" w:type="dxa"/>
            <w:vAlign w:val="center"/>
            <w:textDirection w:val="lrTb"/>
            <w:noWrap/>
          </w:tcPr>
          <w:p>
            <w:pPr>
              <w:spacing w:line="400" w:lineRule="exact"/>
              <w:rPr>
                <w:rFonts w:ascii="宋体" w:hAnsi="宋体" w:cs="宋体"/>
                <w:color w:val="auto"/>
                <w:szCs w:val="21"/>
                <w:highlight w:val="none"/>
              </w:rPr>
            </w:pPr>
            <w:r/>
            <w:bookmarkStart w:id="204" w:name="OLE_LINK104"/>
            <w:r/>
            <w:bookmarkStart w:id="205" w:name="OLE_LINK55"/>
            <w:r>
              <w:rPr>
                <w:rFonts w:hint="eastAsia" w:ascii="宋体" w:hAnsi="宋体" w:cs="宋体"/>
                <w:color w:val="auto"/>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磋商报价得分=(磋商基准价/最后磋商报价)×50分</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项目评审过程中，不得去掉最后报价中的最高报价和最低报价</w:t>
            </w:r>
            <w:bookmarkEnd w:id="204"/>
            <w:r>
              <w:rPr>
                <w:rFonts w:hint="eastAsia" w:ascii="宋体" w:hAnsi="宋体" w:cs="宋体"/>
                <w:color w:val="auto"/>
                <w:szCs w:val="21"/>
                <w:highlight w:val="none"/>
              </w:rPr>
              <w:t xml:space="preserve">。</w:t>
            </w:r>
            <w:bookmarkEnd w:id="205"/>
            <w:r/>
            <w:r/>
          </w:p>
        </w:tc>
      </w:tr>
      <w:tr>
        <w:trPr>
          <w:jc w:val="center"/>
          <w:trHeight w:val="1973"/>
        </w:trPr>
        <w:tc>
          <w:tcPr>
            <w:tcBorders>
              <w:left w:val="single" w:color="auto" w:sz="4" w:space="0"/>
              <w:right w:val="single" w:color="auto" w:sz="4" w:space="0"/>
            </w:tcBorders>
            <w:tcW w:w="1232" w:type="dxa"/>
            <w:vAlign w:val="center"/>
            <w:vMerge w:val="restart"/>
            <w:textDirection w:val="lrTb"/>
            <w:noWrap/>
          </w:tcPr>
          <w:p>
            <w:pPr>
              <w:rPr>
                <w:rFonts w:ascii="宋体" w:hAnsi="宋体" w:cs="宋体"/>
                <w:b/>
                <w:bCs/>
                <w:color w:val="auto"/>
                <w:szCs w:val="21"/>
                <w:highlight w:val="none"/>
              </w:rPr>
            </w:pPr>
            <w:r>
              <w:rPr>
                <w:rFonts w:hint="eastAsia" w:ascii="宋体" w:hAnsi="宋体" w:cs="宋体"/>
                <w:b/>
                <w:bCs/>
                <w:color w:val="auto"/>
                <w:szCs w:val="21"/>
                <w:highlight w:val="none"/>
              </w:rPr>
              <w:t xml:space="preserve">样品分</w:t>
            </w:r>
            <w:r/>
          </w:p>
          <w:p>
            <w:pPr>
              <w:rPr>
                <w:rFonts w:ascii="宋体" w:hAnsi="宋体" w:cs="宋体"/>
                <w:b/>
                <w:bCs/>
                <w:color w:val="auto"/>
                <w:szCs w:val="21"/>
                <w:highlight w:val="none"/>
              </w:rPr>
            </w:pPr>
            <w:r>
              <w:rPr>
                <w:rFonts w:hint="eastAsia" w:ascii="宋体" w:hAnsi="宋体" w:cs="宋体"/>
                <w:b/>
                <w:bCs/>
                <w:color w:val="auto"/>
                <w:szCs w:val="21"/>
                <w:highlight w:val="none"/>
              </w:rPr>
              <w:t xml:space="preserve">(14分）</w:t>
            </w:r>
            <w:r/>
          </w:p>
        </w:tc>
        <w:tc>
          <w:tcPr>
            <w:tcBorders>
              <w:left w:val="single" w:color="auto" w:sz="4" w:space="0"/>
              <w:right w:val="single" w:color="auto" w:sz="4" w:space="0"/>
            </w:tcBorders>
            <w:tcW w:w="1080" w:type="dxa"/>
            <w:vAlign w:val="center"/>
            <w:vMerge w:val="restart"/>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样品分</w:t>
            </w:r>
            <w:r/>
          </w:p>
          <w:p>
            <w:pPr>
              <w:rPr>
                <w:rFonts w:ascii="宋体" w:hAnsi="宋体" w:cs="宋体"/>
                <w:color w:val="auto"/>
                <w:szCs w:val="21"/>
                <w:highlight w:val="none"/>
              </w:rPr>
            </w:pPr>
            <w:r>
              <w:rPr>
                <w:rFonts w:hint="eastAsia" w:ascii="宋体" w:hAnsi="宋体" w:cs="宋体"/>
                <w:color w:val="auto"/>
                <w:szCs w:val="21"/>
                <w:highlight w:val="none"/>
              </w:rPr>
              <w:t xml:space="preserve">14分</w:t>
            </w:r>
            <w:r/>
          </w:p>
        </w:tc>
        <w:tc>
          <w:tcPr>
            <w:tcBorders>
              <w:left w:val="single" w:color="auto" w:sz="4" w:space="0"/>
            </w:tcBorders>
            <w:tcW w:w="1183"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现浇型塑胶5分</w:t>
            </w:r>
            <w:r/>
          </w:p>
        </w:tc>
        <w:tc>
          <w:tcPr>
            <w:tcW w:w="6272" w:type="dxa"/>
            <w:vAlign w:val="center"/>
            <w:textDirection w:val="lrTb"/>
            <w:noWrap/>
          </w:tcPr>
          <w:p>
            <w:pPr>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按磋商文件技术规格要求</w:t>
            </w:r>
            <w:r>
              <w:rPr>
                <w:rFonts w:hint="eastAsia" w:ascii="宋体" w:hAnsi="宋体" w:cs="宋体"/>
                <w:b/>
                <w:bCs/>
                <w:color w:val="auto"/>
                <w:szCs w:val="21"/>
                <w:highlight w:val="none"/>
              </w:rPr>
              <w:t xml:space="preserve">分别提供13mm现浇型塑胶、8mm现浇型硅PU、30mm人造草坪及10mm缓冲减震垫</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各一块</w:t>
            </w:r>
            <w:r>
              <w:rPr>
                <w:rFonts w:hint="eastAsia" w:ascii="宋体" w:hAnsi="宋体" w:cs="宋体"/>
                <w:b/>
                <w:bCs/>
                <w:color w:val="auto"/>
                <w:szCs w:val="21"/>
                <w:highlight w:val="none"/>
              </w:rPr>
              <w:t xml:space="preserve">，规格为30cm×30cm。未提供或未按要求提供此项不得分。</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（评委需对各供应商的样品进行横向比较）</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（1）气味评分：根据所提供现浇型塑胶样品的气味；</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（2）材质评分：根据所提供现浇型塑胶样品的材质进行评分；</w:t>
            </w:r>
            <w:r>
              <w:rPr>
                <w:rFonts w:hint="eastAsia" w:ascii="宋体" w:hAnsi="宋体" w:cs="宋体"/>
                <w:color w:val="auto"/>
                <w:szCs w:val="21"/>
                <w:highlight w:val="none"/>
                <w:lang w:val="en-US" w:eastAsia="zh-CN"/>
              </w:rPr>
              <w:t xml:space="preserve">塑胶</w:t>
            </w:r>
            <w:r>
              <w:rPr>
                <w:rFonts w:hint="eastAsia" w:ascii="宋体" w:hAnsi="宋体" w:cs="宋体"/>
                <w:color w:val="auto"/>
                <w:szCs w:val="21"/>
                <w:highlight w:val="none"/>
              </w:rPr>
              <w:t xml:space="preserve">材质密实度高、</w:t>
            </w:r>
            <w:r>
              <w:rPr>
                <w:rFonts w:hint="eastAsia" w:ascii="宋体" w:hAnsi="宋体" w:cs="宋体"/>
                <w:color w:val="auto"/>
                <w:szCs w:val="21"/>
                <w:highlight w:val="none"/>
                <w:lang w:val="en-US" w:eastAsia="zh-CN"/>
              </w:rPr>
              <w:t xml:space="preserve">塑胶</w:t>
            </w:r>
            <w:r>
              <w:rPr>
                <w:rFonts w:hint="eastAsia" w:ascii="宋体" w:hAnsi="宋体" w:cs="宋体"/>
                <w:color w:val="auto"/>
                <w:szCs w:val="21"/>
                <w:highlight w:val="none"/>
              </w:rPr>
              <w:t xml:space="preserve">侧面有无气孔等；</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（3）结构评分：根据所提供现浇型塑胶样品的结构进行评分；</w:t>
            </w:r>
            <w:r>
              <w:rPr>
                <w:rFonts w:hint="eastAsia" w:ascii="宋体" w:hAnsi="宋体" w:cs="宋体"/>
                <w:color w:val="auto"/>
                <w:szCs w:val="21"/>
                <w:highlight w:val="none"/>
                <w:lang w:val="en-US" w:eastAsia="zh-CN"/>
              </w:rPr>
              <w:t xml:space="preserve">塑胶</w:t>
            </w:r>
            <w:r>
              <w:rPr>
                <w:rFonts w:hint="eastAsia" w:ascii="宋体" w:hAnsi="宋体" w:cs="宋体"/>
                <w:color w:val="auto"/>
                <w:szCs w:val="21"/>
                <w:highlight w:val="none"/>
              </w:rPr>
              <w:t xml:space="preserve">为上下通体不分层结构，在弯折情况下观察出现细微裂纹等情况。</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优：5分；良：3分；一般：2分；差1；此项满分5分。</w:t>
            </w:r>
            <w:r/>
          </w:p>
        </w:tc>
      </w:tr>
      <w:tr>
        <w:trPr>
          <w:jc w:val="center"/>
          <w:trHeight w:val="90"/>
        </w:trPr>
        <w:tc>
          <w:tcPr>
            <w:tcBorders>
              <w:left w:val="single" w:color="auto" w:sz="4" w:space="0"/>
              <w:right w:val="single" w:color="auto" w:sz="4" w:space="0"/>
            </w:tcBorders>
            <w:tcW w:w="1232" w:type="dxa"/>
            <w:vAlign w:val="center"/>
            <w:vMerge w:val="continue"/>
            <w:textDirection w:val="lrTb"/>
            <w:noWrap/>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left w:val="single" w:color="auto" w:sz="4" w:space="0"/>
              <w:right w:val="single" w:color="auto" w:sz="4" w:space="0"/>
            </w:tcBorders>
            <w:tcW w:w="1080" w:type="dxa"/>
            <w:vAlign w:val="center"/>
            <w:vMerge w:val="continue"/>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tcBorders>
            <w:tcW w:w="1183" w:type="dxa"/>
            <w:vAlign w:val="center"/>
            <w:textDirection w:val="lrTb"/>
            <w:noWrap/>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现浇型</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硅PU</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6272" w:type="dxa"/>
            <w:vAlign w:val="center"/>
            <w:textDirection w:val="lrTb"/>
            <w:noWrap/>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（1）气味评分：根据所提供现浇型硅PU样品的气味；</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（2）材质评分：根据所提供现浇型硅PU样品的材质进行评分，</w:t>
            </w:r>
            <w:r>
              <w:rPr>
                <w:rFonts w:hint="eastAsia" w:ascii="宋体" w:hAnsi="宋体" w:cs="宋体"/>
                <w:color w:val="auto"/>
                <w:szCs w:val="21"/>
                <w:highlight w:val="none"/>
                <w:lang w:val="en-US" w:eastAsia="zh-CN"/>
              </w:rPr>
              <w:t xml:space="preserve">硅Pu</w:t>
            </w:r>
            <w:r>
              <w:rPr>
                <w:rFonts w:hint="eastAsia" w:ascii="宋体" w:hAnsi="宋体" w:cs="宋体"/>
                <w:color w:val="auto"/>
                <w:szCs w:val="21"/>
                <w:highlight w:val="none"/>
              </w:rPr>
              <w:t xml:space="preserve">材质密实度高、</w:t>
            </w:r>
            <w:r>
              <w:rPr>
                <w:rFonts w:hint="eastAsia" w:ascii="宋体" w:hAnsi="宋体" w:cs="宋体"/>
                <w:color w:val="auto"/>
                <w:szCs w:val="21"/>
                <w:highlight w:val="none"/>
                <w:lang w:val="en-US" w:eastAsia="zh-CN"/>
              </w:rPr>
              <w:t xml:space="preserve">塑胶</w:t>
            </w:r>
            <w:r>
              <w:rPr>
                <w:rFonts w:hint="eastAsia" w:ascii="宋体" w:hAnsi="宋体" w:cs="宋体"/>
                <w:color w:val="auto"/>
                <w:szCs w:val="21"/>
                <w:highlight w:val="none"/>
              </w:rPr>
              <w:t xml:space="preserve">侧面有无气孔等；</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（3）结构评分：根据所提供现浇型硅PU样品的结构进行评分，</w:t>
            </w:r>
            <w:r>
              <w:rPr>
                <w:rFonts w:hint="eastAsia" w:ascii="宋体" w:hAnsi="宋体" w:cs="宋体"/>
                <w:color w:val="auto"/>
                <w:szCs w:val="21"/>
                <w:highlight w:val="none"/>
                <w:lang w:val="en-US" w:eastAsia="zh-CN"/>
              </w:rPr>
              <w:t xml:space="preserve">硅Pu</w:t>
            </w:r>
            <w:r>
              <w:rPr>
                <w:rFonts w:hint="eastAsia" w:ascii="宋体" w:hAnsi="宋体" w:cs="宋体"/>
                <w:color w:val="auto"/>
                <w:szCs w:val="21"/>
                <w:highlight w:val="none"/>
              </w:rPr>
              <w:t xml:space="preserve">为上下通体不分层结构，在弯折情况下观察出现细微裂纹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优：5分；良：3分；一般：2分；差1；此项满分5分。</w:t>
            </w:r>
            <w:r/>
          </w:p>
        </w:tc>
      </w:tr>
      <w:tr>
        <w:trPr>
          <w:jc w:val="center"/>
          <w:trHeight w:val="90"/>
        </w:trPr>
        <w:tc>
          <w:tcPr>
            <w:tcBorders>
              <w:left w:val="single" w:color="auto" w:sz="4" w:space="0"/>
              <w:right w:val="single" w:color="auto" w:sz="4" w:space="0"/>
            </w:tcBorders>
            <w:tcW w:w="1232" w:type="dxa"/>
            <w:vAlign w:val="center"/>
            <w:vMerge w:val="continue"/>
            <w:textDirection w:val="lrTb"/>
            <w:noWrap/>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left w:val="single" w:color="auto" w:sz="4" w:space="0"/>
              <w:right w:val="single" w:color="auto" w:sz="4" w:space="0"/>
            </w:tcBorders>
            <w:tcW w:w="1080" w:type="dxa"/>
            <w:vAlign w:val="center"/>
            <w:vMerge w:val="continue"/>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tcBorders>
            <w:tcW w:w="1183"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p>
            <w:pPr>
              <w:ind w:left="210" w:hanging="210"/>
              <w:rPr>
                <w:rFonts w:ascii="宋体" w:hAnsi="宋体" w:cs="宋体"/>
                <w:color w:val="auto"/>
                <w:szCs w:val="21"/>
                <w:highlight w:val="none"/>
              </w:rPr>
            </w:pPr>
            <w:r>
              <w:rPr>
                <w:rFonts w:hint="eastAsia" w:ascii="宋体" w:hAnsi="宋体" w:cs="宋体"/>
                <w:color w:val="auto"/>
                <w:szCs w:val="21"/>
                <w:highlight w:val="none"/>
              </w:rPr>
              <w:t xml:space="preserve">人造草皮4分</w:t>
            </w:r>
            <w:r/>
          </w:p>
        </w:tc>
        <w:tc>
          <w:tcPr>
            <w:tcW w:w="6272" w:type="dxa"/>
            <w:vAlign w:val="center"/>
            <w:textDirection w:val="lrTb"/>
            <w:noWrap/>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评委根据所提供样品的表面处理工艺、表面光洁度、外观、颜色、气味等情况评分：处理工艺、表面光洁度、外观、颜色、气味进行打分：优：4分；良：3分；一般：2分；差1；此项满分4分。</w:t>
            </w:r>
            <w:r/>
          </w:p>
        </w:tc>
      </w:tr>
      <w:tr>
        <w:trPr>
          <w:jc w:val="center"/>
          <w:trHeight w:val="1185"/>
        </w:trPr>
        <w:tc>
          <w:tcPr>
            <w:tcBorders>
              <w:left w:val="single" w:color="auto" w:sz="4" w:space="0"/>
              <w:bottom w:val="single" w:color="auto" w:sz="4" w:space="0"/>
              <w:right w:val="single" w:color="auto" w:sz="4" w:space="0"/>
            </w:tcBorders>
            <w:tcW w:w="1232" w:type="dxa"/>
            <w:vAlign w:val="center"/>
            <w:vMerge w:val="continue"/>
            <w:textDirection w:val="lrTb"/>
            <w:noWrap/>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gridSpan w:val="2"/>
            <w:tcBorders>
              <w:left w:val="single" w:color="auto" w:sz="4" w:space="0"/>
            </w:tcBorders>
            <w:tcW w:w="7455"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备注：供应商磋商按要求</w:t>
            </w:r>
            <w:r>
              <w:rPr>
                <w:rFonts w:hint="eastAsia" w:ascii="宋体" w:hAnsi="宋体" w:cs="宋体"/>
                <w:b/>
                <w:bCs/>
                <w:color w:val="auto"/>
                <w:szCs w:val="21"/>
                <w:highlight w:val="none"/>
                <w:lang w:val="en-US" w:eastAsia="zh-CN"/>
              </w:rPr>
              <w:t xml:space="preserve">分别</w:t>
            </w:r>
            <w:r>
              <w:rPr>
                <w:rFonts w:hint="eastAsia" w:ascii="宋体" w:hAnsi="宋体" w:cs="宋体"/>
                <w:b/>
                <w:bCs/>
                <w:color w:val="auto"/>
                <w:szCs w:val="21"/>
                <w:highlight w:val="none"/>
              </w:rPr>
              <w:t xml:space="preserve">提供30x30规格13mm现浇型</w:t>
            </w:r>
            <w:r>
              <w:rPr>
                <w:rFonts w:hint="eastAsia" w:ascii="宋体" w:hAnsi="宋体" w:cs="宋体"/>
                <w:b/>
                <w:bCs/>
                <w:color w:val="auto"/>
                <w:szCs w:val="21"/>
                <w:highlight w:val="none"/>
                <w:lang w:val="en-US" w:eastAsia="zh-CN"/>
              </w:rPr>
              <w:t xml:space="preserve">塑</w:t>
            </w:r>
            <w:r>
              <w:rPr>
                <w:rFonts w:hint="eastAsia" w:ascii="宋体" w:hAnsi="宋体" w:cs="宋体"/>
                <w:b/>
                <w:bCs/>
                <w:color w:val="auto"/>
                <w:szCs w:val="21"/>
                <w:highlight w:val="none"/>
              </w:rPr>
              <w:t xml:space="preserve">胶样品、8mm现浇型硅PU 样品、30mm人造草坪及10mm缓冲减震垫</w:t>
            </w:r>
            <w:r>
              <w:rPr>
                <w:rFonts w:hint="eastAsia" w:ascii="宋体" w:hAnsi="宋体" w:cs="宋体"/>
                <w:b/>
                <w:bCs/>
                <w:color w:val="auto"/>
                <w:szCs w:val="21"/>
                <w:highlight w:val="none"/>
                <w:lang w:val="en-US" w:eastAsia="zh-CN"/>
              </w:rPr>
              <w:t xml:space="preserve">各一块</w:t>
            </w:r>
            <w:r>
              <w:rPr>
                <w:rFonts w:hint="eastAsia" w:ascii="宋体" w:hAnsi="宋体" w:cs="宋体"/>
                <w:b/>
                <w:bCs/>
                <w:color w:val="auto"/>
                <w:szCs w:val="21"/>
                <w:highlight w:val="none"/>
              </w:rPr>
              <w:t xml:space="preserve">，成交后样品须进行封存，实际到货产品须与封样一致，材料进场后须随机抽检塑胶跑道材料的环保可塑性。样品小样上贴上标签，写明供应商名称、所投标号、制造厂家名称等相关信息</w:t>
            </w:r>
            <w:r>
              <w:rPr>
                <w:rFonts w:hint="eastAsia" w:ascii="宋体" w:hAnsi="宋体" w:cs="宋体"/>
                <w:color w:val="auto"/>
                <w:szCs w:val="21"/>
                <w:highlight w:val="none"/>
              </w:rPr>
              <w:t xml:space="preserve">。</w:t>
            </w:r>
            <w:r/>
          </w:p>
        </w:tc>
      </w:tr>
      <w:tr>
        <w:trPr>
          <w:jc w:val="center"/>
          <w:trHeight w:val="438"/>
        </w:trPr>
        <w:tc>
          <w:tcPr>
            <w:tcBorders>
              <w:top w:val="single" w:color="auto" w:sz="4" w:space="0"/>
            </w:tcBorders>
            <w:tcW w:w="1232" w:type="dxa"/>
            <w:vAlign w:val="center"/>
            <w:vMerge w:val="restart"/>
            <w:textDirection w:val="lrTb"/>
            <w:noWrap/>
          </w:tcPr>
          <w:p>
            <w:pPr>
              <w:rPr>
                <w:rFonts w:ascii="宋体" w:hAnsi="宋体" w:cs="宋体"/>
                <w:b/>
                <w:bCs/>
                <w:color w:val="auto"/>
                <w:szCs w:val="21"/>
                <w:highlight w:val="none"/>
              </w:rPr>
            </w:pPr>
            <w:r>
              <w:rPr>
                <w:rFonts w:hint="eastAsia" w:ascii="宋体" w:hAnsi="宋体" w:cs="宋体"/>
                <w:b/>
                <w:bCs/>
                <w:color w:val="auto"/>
                <w:szCs w:val="21"/>
                <w:highlight w:val="none"/>
              </w:rPr>
              <w:t xml:space="preserve">技术分</w:t>
            </w:r>
            <w:r/>
          </w:p>
          <w:p>
            <w:pPr>
              <w:spacing w:line="312" w:lineRule="atLeast"/>
              <w:tabs>
                <w:tab w:val="left" w:pos="1160" w:leader="none"/>
                <w:tab w:val="left" w:pos="2423" w:leader="none"/>
              </w:tabs>
              <w:rPr>
                <w:rFonts w:ascii="宋体" w:hAnsi="宋体" w:cs="宋体"/>
                <w:bCs/>
                <w:color w:val="auto"/>
                <w:szCs w:val="21"/>
                <w:highlight w:val="none"/>
              </w:rPr>
            </w:pPr>
            <w:r>
              <w:rPr>
                <w:rFonts w:hint="eastAsia" w:ascii="宋体" w:hAnsi="宋体" w:cs="宋体"/>
                <w:bCs/>
                <w:color w:val="auto"/>
                <w:szCs w:val="21"/>
                <w:highlight w:val="none"/>
              </w:rPr>
              <w:t xml:space="preserve">（24分）</w:t>
            </w:r>
            <w:r/>
          </w:p>
        </w:tc>
        <w:tc>
          <w:tcPr>
            <w:tcBorders>
              <w:top w:val="single" w:color="auto" w:sz="4" w:space="0"/>
            </w:tcBorders>
            <w:tcW w:w="1080"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项目实施组织方案   15分</w:t>
            </w:r>
            <w:r/>
          </w:p>
        </w:tc>
        <w:tc>
          <w:tcPr>
            <w:gridSpan w:val="2"/>
            <w:tcW w:w="7455" w:type="dxa"/>
            <w:vAlign w:val="center"/>
            <w:textDirection w:val="lrTb"/>
            <w:noWrap/>
          </w:tcPr>
          <w:p>
            <w:pPr>
              <w:jc w:val="left"/>
              <w:spacing w:line="400" w:lineRule="exact"/>
              <w:rPr>
                <w:color w:val="auto"/>
                <w:highlight w:val="none"/>
              </w:rPr>
            </w:pPr>
            <w:r>
              <w:rPr>
                <w:rFonts w:hint="eastAsia"/>
                <w:color w:val="auto"/>
                <w:highlight w:val="none"/>
              </w:rPr>
              <w:t xml:space="preserve">（1）施工进度计划和各阶段进度的保证措施</w:t>
            </w:r>
            <w:r/>
          </w:p>
          <w:p>
            <w:pPr>
              <w:ind w:firstLine="210"/>
              <w:spacing w:line="400" w:lineRule="exact"/>
              <w:rPr>
                <w:color w:val="auto"/>
                <w:szCs w:val="21"/>
                <w:highlight w:val="none"/>
              </w:rPr>
            </w:pPr>
            <w:r>
              <w:rPr>
                <w:color w:val="auto"/>
                <w:szCs w:val="21"/>
                <w:highlight w:val="none"/>
              </w:rPr>
              <w:t xml:space="preserve">①</w:t>
            </w:r>
            <w:r>
              <w:rPr>
                <w:rFonts w:hint="eastAsia"/>
                <w:color w:val="auto"/>
                <w:szCs w:val="21"/>
                <w:highlight w:val="none"/>
              </w:rPr>
              <w:t xml:space="preserve">进度计划</w:t>
            </w:r>
            <w:r>
              <w:rPr>
                <w:color w:val="auto"/>
                <w:szCs w:val="21"/>
                <w:highlight w:val="none"/>
              </w:rPr>
              <w:t xml:space="preserve">合理、</w:t>
            </w:r>
            <w:r>
              <w:rPr>
                <w:rFonts w:hint="eastAsia"/>
                <w:color w:val="auto"/>
                <w:szCs w:val="21"/>
                <w:highlight w:val="none"/>
              </w:rPr>
              <w:t xml:space="preserve">保证措施有力</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3</w:t>
            </w:r>
            <w:r>
              <w:rPr>
                <w:b/>
                <w:bCs/>
                <w:color w:val="auto"/>
                <w:szCs w:val="21"/>
                <w:highlight w:val="none"/>
              </w:rPr>
              <w:t xml:space="preserve">分；</w:t>
            </w:r>
            <w:r/>
          </w:p>
          <w:p>
            <w:pPr>
              <w:ind w:firstLine="210"/>
              <w:spacing w:line="400" w:lineRule="exact"/>
              <w:rPr>
                <w:color w:val="auto"/>
                <w:szCs w:val="21"/>
                <w:highlight w:val="none"/>
              </w:rPr>
            </w:pPr>
            <w:r>
              <w:rPr>
                <w:color w:val="auto"/>
                <w:szCs w:val="21"/>
                <w:highlight w:val="none"/>
              </w:rPr>
              <w:t xml:space="preserve">②</w:t>
            </w:r>
            <w:r>
              <w:rPr>
                <w:rFonts w:hint="eastAsia"/>
                <w:color w:val="auto"/>
                <w:szCs w:val="21"/>
                <w:highlight w:val="none"/>
              </w:rPr>
              <w:t xml:space="preserve">进度计划较</w:t>
            </w:r>
            <w:r>
              <w:rPr>
                <w:color w:val="auto"/>
                <w:szCs w:val="21"/>
                <w:highlight w:val="none"/>
              </w:rPr>
              <w:t xml:space="preserve">合理、</w:t>
            </w:r>
            <w:r>
              <w:rPr>
                <w:rFonts w:hint="eastAsia"/>
                <w:color w:val="auto"/>
                <w:szCs w:val="21"/>
                <w:highlight w:val="none"/>
              </w:rPr>
              <w:t xml:space="preserve">保证措施</w:t>
            </w:r>
            <w:r>
              <w:rPr>
                <w:color w:val="auto"/>
                <w:szCs w:val="21"/>
                <w:highlight w:val="none"/>
              </w:rPr>
              <w:t xml:space="preserve">较</w:t>
            </w:r>
            <w:r>
              <w:rPr>
                <w:rFonts w:hint="eastAsia"/>
                <w:color w:val="auto"/>
                <w:szCs w:val="21"/>
                <w:highlight w:val="none"/>
              </w:rPr>
              <w:t xml:space="preserve">有力</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2</w:t>
            </w:r>
            <w:r>
              <w:rPr>
                <w:b/>
                <w:bCs/>
                <w:color w:val="auto"/>
                <w:szCs w:val="21"/>
                <w:highlight w:val="none"/>
              </w:rPr>
              <w:t xml:space="preserve">分；</w:t>
            </w:r>
            <w:r/>
          </w:p>
          <w:p>
            <w:pPr>
              <w:ind w:firstLine="210"/>
              <w:spacing w:line="400" w:lineRule="exact"/>
              <w:rPr>
                <w:color w:val="auto"/>
                <w:szCs w:val="21"/>
                <w:highlight w:val="none"/>
              </w:rPr>
            </w:pPr>
            <w:r>
              <w:rPr>
                <w:rFonts w:hint="eastAsia"/>
                <w:color w:val="auto"/>
                <w:szCs w:val="21"/>
                <w:highlight w:val="none"/>
              </w:rPr>
              <w:t xml:space="preserve">③进度计划一般</w:t>
            </w:r>
            <w:r>
              <w:rPr>
                <w:color w:val="auto"/>
                <w:szCs w:val="21"/>
                <w:highlight w:val="none"/>
              </w:rPr>
              <w:t xml:space="preserve">、</w:t>
            </w:r>
            <w:r>
              <w:rPr>
                <w:rFonts w:hint="eastAsia"/>
                <w:color w:val="auto"/>
                <w:szCs w:val="21"/>
                <w:highlight w:val="none"/>
              </w:rPr>
              <w:t xml:space="preserve">保证措施</w:t>
            </w:r>
            <w:r>
              <w:rPr>
                <w:color w:val="auto"/>
                <w:szCs w:val="21"/>
                <w:highlight w:val="none"/>
              </w:rPr>
              <w:t xml:space="preserve">一般的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1</w:t>
            </w:r>
            <w:r>
              <w:rPr>
                <w:b/>
                <w:bCs/>
                <w:color w:val="auto"/>
                <w:szCs w:val="21"/>
                <w:highlight w:val="none"/>
              </w:rPr>
              <w:t xml:space="preserve">分。</w:t>
            </w:r>
            <w:r/>
          </w:p>
          <w:p>
            <w:pPr>
              <w:ind w:firstLine="211"/>
              <w:spacing w:line="400" w:lineRule="exact"/>
              <w:rPr>
                <w:rFonts w:ascii="宋体" w:hAnsi="宋体" w:cs="宋体"/>
                <w:color w:val="auto"/>
                <w:szCs w:val="21"/>
                <w:highlight w:val="none"/>
              </w:rPr>
            </w:pPr>
            <w:r>
              <w:rPr>
                <w:rFonts w:hint="eastAsia"/>
                <w:b/>
                <w:bCs/>
                <w:color w:val="auto"/>
                <w:szCs w:val="21"/>
                <w:highlight w:val="none"/>
              </w:rPr>
              <w:t xml:space="preserve">满分3分，差或</w:t>
            </w:r>
            <w:r>
              <w:rPr>
                <w:b/>
                <w:bCs/>
                <w:color w:val="auto"/>
                <w:szCs w:val="21"/>
                <w:highlight w:val="none"/>
              </w:rPr>
              <w:t xml:space="preserve">未见阐述</w:t>
            </w:r>
            <w:r>
              <w:rPr>
                <w:rFonts w:hint="eastAsia"/>
                <w:b/>
                <w:bCs/>
                <w:color w:val="auto"/>
                <w:szCs w:val="21"/>
                <w:highlight w:val="none"/>
              </w:rPr>
              <w:t xml:space="preserve">此项</w:t>
            </w:r>
            <w:r>
              <w:rPr>
                <w:b/>
                <w:bCs/>
                <w:color w:val="auto"/>
                <w:szCs w:val="21"/>
                <w:highlight w:val="none"/>
              </w:rPr>
              <w:t xml:space="preserve">不得分。</w:t>
            </w:r>
            <w:r/>
          </w:p>
          <w:p>
            <w:pPr>
              <w:jc w:val="left"/>
              <w:spacing w:line="400" w:lineRule="exact"/>
              <w:rPr>
                <w:color w:val="auto"/>
                <w:highlight w:val="none"/>
              </w:rPr>
            </w:pPr>
            <w:r>
              <w:rPr>
                <w:rFonts w:hint="eastAsia"/>
                <w:color w:val="auto"/>
                <w:highlight w:val="none"/>
              </w:rPr>
              <w:t xml:space="preserve">（2）各分部分项工程的施工方案及质量保证措施</w:t>
            </w:r>
            <w:r/>
          </w:p>
          <w:p>
            <w:pPr>
              <w:ind w:firstLine="210"/>
              <w:spacing w:line="400" w:lineRule="exact"/>
              <w:rPr>
                <w:color w:val="auto"/>
                <w:szCs w:val="21"/>
                <w:highlight w:val="none"/>
              </w:rPr>
            </w:pPr>
            <w:r>
              <w:rPr>
                <w:color w:val="auto"/>
                <w:szCs w:val="21"/>
                <w:highlight w:val="none"/>
              </w:rPr>
              <w:t xml:space="preserve">①</w:t>
            </w:r>
            <w:r>
              <w:rPr>
                <w:rFonts w:hint="eastAsia"/>
                <w:color w:val="auto"/>
                <w:szCs w:val="21"/>
                <w:highlight w:val="none"/>
              </w:rPr>
              <w:t xml:space="preserve">施工方案内容详实可靠</w:t>
            </w:r>
            <w:r>
              <w:rPr>
                <w:color w:val="auto"/>
                <w:szCs w:val="21"/>
                <w:highlight w:val="none"/>
              </w:rPr>
              <w:t xml:space="preserve">、</w:t>
            </w:r>
            <w:r>
              <w:rPr>
                <w:rFonts w:hint="eastAsia"/>
                <w:color w:val="auto"/>
                <w:szCs w:val="21"/>
                <w:highlight w:val="none"/>
              </w:rPr>
              <w:t xml:space="preserve">保证措施有力</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3</w:t>
            </w:r>
            <w:r>
              <w:rPr>
                <w:b/>
                <w:bCs/>
                <w:color w:val="auto"/>
                <w:szCs w:val="21"/>
                <w:highlight w:val="none"/>
              </w:rPr>
              <w:t xml:space="preserve">分；</w:t>
            </w:r>
            <w:r/>
          </w:p>
          <w:p>
            <w:pPr>
              <w:ind w:firstLine="210"/>
              <w:spacing w:line="400" w:lineRule="exact"/>
              <w:rPr>
                <w:b/>
                <w:bCs/>
                <w:color w:val="auto"/>
                <w:szCs w:val="21"/>
                <w:highlight w:val="none"/>
              </w:rPr>
            </w:pPr>
            <w:r>
              <w:rPr>
                <w:color w:val="auto"/>
                <w:szCs w:val="21"/>
                <w:highlight w:val="none"/>
              </w:rPr>
              <w:t xml:space="preserve">②</w:t>
            </w:r>
            <w:r>
              <w:rPr>
                <w:rFonts w:hint="eastAsia"/>
                <w:color w:val="auto"/>
                <w:szCs w:val="21"/>
                <w:highlight w:val="none"/>
              </w:rPr>
              <w:t xml:space="preserve">施工方案内容较详实可靠</w:t>
            </w:r>
            <w:r>
              <w:rPr>
                <w:color w:val="auto"/>
                <w:szCs w:val="21"/>
                <w:highlight w:val="none"/>
              </w:rPr>
              <w:t xml:space="preserve">、</w:t>
            </w:r>
            <w:r>
              <w:rPr>
                <w:rFonts w:hint="eastAsia"/>
                <w:color w:val="auto"/>
                <w:szCs w:val="21"/>
                <w:highlight w:val="none"/>
              </w:rPr>
              <w:t xml:space="preserve">保证措施</w:t>
            </w:r>
            <w:r>
              <w:rPr>
                <w:color w:val="auto"/>
                <w:szCs w:val="21"/>
                <w:highlight w:val="none"/>
              </w:rPr>
              <w:t xml:space="preserve">较</w:t>
            </w:r>
            <w:r>
              <w:rPr>
                <w:rFonts w:hint="eastAsia"/>
                <w:color w:val="auto"/>
                <w:szCs w:val="21"/>
                <w:highlight w:val="none"/>
              </w:rPr>
              <w:t xml:space="preserve">有力</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2</w:t>
            </w:r>
            <w:r>
              <w:rPr>
                <w:b/>
                <w:bCs/>
                <w:color w:val="auto"/>
                <w:szCs w:val="21"/>
                <w:highlight w:val="none"/>
              </w:rPr>
              <w:t xml:space="preserve">分；</w:t>
            </w:r>
            <w:r/>
          </w:p>
          <w:p>
            <w:pPr>
              <w:ind w:firstLine="210"/>
              <w:spacing w:line="400" w:lineRule="exact"/>
              <w:rPr>
                <w:b/>
                <w:bCs/>
                <w:color w:val="auto"/>
                <w:szCs w:val="21"/>
                <w:highlight w:val="none"/>
              </w:rPr>
            </w:pPr>
            <w:r>
              <w:rPr>
                <w:rFonts w:hint="eastAsia"/>
                <w:color w:val="auto"/>
                <w:szCs w:val="21"/>
                <w:highlight w:val="none"/>
              </w:rPr>
              <w:t xml:space="preserve">③施工方案内容一般</w:t>
            </w:r>
            <w:r>
              <w:rPr>
                <w:color w:val="auto"/>
                <w:szCs w:val="21"/>
                <w:highlight w:val="none"/>
              </w:rPr>
              <w:t xml:space="preserve">、</w:t>
            </w:r>
            <w:r>
              <w:rPr>
                <w:rFonts w:hint="eastAsia"/>
                <w:color w:val="auto"/>
                <w:szCs w:val="21"/>
                <w:highlight w:val="none"/>
              </w:rPr>
              <w:t xml:space="preserve">保证措施</w:t>
            </w:r>
            <w:r>
              <w:rPr>
                <w:color w:val="auto"/>
                <w:szCs w:val="21"/>
                <w:highlight w:val="none"/>
              </w:rPr>
              <w:t xml:space="preserve">一般的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1</w:t>
            </w:r>
            <w:r>
              <w:rPr>
                <w:b/>
                <w:bCs/>
                <w:color w:val="auto"/>
                <w:szCs w:val="21"/>
                <w:highlight w:val="none"/>
              </w:rPr>
              <w:t xml:space="preserve">分。</w:t>
            </w:r>
            <w:r/>
          </w:p>
          <w:p>
            <w:pPr>
              <w:ind w:firstLine="211"/>
              <w:spacing w:line="400" w:lineRule="exact"/>
              <w:rPr>
                <w:rFonts w:ascii="宋体" w:hAnsi="宋体" w:cs="宋体"/>
                <w:color w:val="auto"/>
                <w:szCs w:val="21"/>
                <w:highlight w:val="none"/>
              </w:rPr>
            </w:pPr>
            <w:r>
              <w:rPr>
                <w:rFonts w:hint="eastAsia"/>
                <w:b/>
                <w:bCs/>
                <w:color w:val="auto"/>
                <w:szCs w:val="21"/>
                <w:highlight w:val="none"/>
              </w:rPr>
              <w:t xml:space="preserve">满分3分，差或</w:t>
            </w:r>
            <w:r>
              <w:rPr>
                <w:b/>
                <w:bCs/>
                <w:color w:val="auto"/>
                <w:szCs w:val="21"/>
                <w:highlight w:val="none"/>
              </w:rPr>
              <w:t xml:space="preserve">未见阐述</w:t>
            </w:r>
            <w:r>
              <w:rPr>
                <w:rFonts w:hint="eastAsia"/>
                <w:b/>
                <w:bCs/>
                <w:color w:val="auto"/>
                <w:szCs w:val="21"/>
                <w:highlight w:val="none"/>
              </w:rPr>
              <w:t xml:space="preserve">此项</w:t>
            </w:r>
            <w:r>
              <w:rPr>
                <w:b/>
                <w:bCs/>
                <w:color w:val="auto"/>
                <w:szCs w:val="21"/>
                <w:highlight w:val="none"/>
              </w:rPr>
              <w:t xml:space="preserve">不得分。</w:t>
            </w:r>
            <w:r/>
          </w:p>
          <w:p>
            <w:pPr>
              <w:jc w:val="left"/>
              <w:spacing w:line="400" w:lineRule="exact"/>
              <w:rPr>
                <w:color w:val="auto"/>
                <w:highlight w:val="none"/>
              </w:rPr>
            </w:pPr>
            <w:r>
              <w:rPr>
                <w:rFonts w:hint="eastAsia"/>
                <w:color w:val="auto"/>
                <w:highlight w:val="none"/>
              </w:rPr>
              <w:t xml:space="preserve">（3）安全文明施工及环境保护措施</w:t>
            </w:r>
            <w:r/>
          </w:p>
          <w:p>
            <w:pPr>
              <w:ind w:firstLine="210"/>
              <w:spacing w:line="400" w:lineRule="exact"/>
              <w:rPr>
                <w:b/>
                <w:bCs/>
                <w:color w:val="auto"/>
                <w:szCs w:val="21"/>
                <w:highlight w:val="none"/>
              </w:rPr>
            </w:pPr>
            <w:r>
              <w:rPr>
                <w:color w:val="auto"/>
                <w:szCs w:val="21"/>
                <w:highlight w:val="none"/>
              </w:rPr>
              <w:t xml:space="preserve">①</w:t>
            </w:r>
            <w:r>
              <w:rPr>
                <w:rFonts w:hint="eastAsia"/>
                <w:color w:val="auto"/>
                <w:szCs w:val="21"/>
                <w:highlight w:val="none"/>
              </w:rPr>
              <w:t xml:space="preserve">措施得当有力</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3</w:t>
            </w:r>
            <w:r>
              <w:rPr>
                <w:b/>
                <w:bCs/>
                <w:color w:val="auto"/>
                <w:szCs w:val="21"/>
                <w:highlight w:val="none"/>
              </w:rPr>
              <w:t xml:space="preserve">分；</w:t>
            </w:r>
            <w:r/>
          </w:p>
          <w:p>
            <w:pPr>
              <w:ind w:firstLine="210"/>
              <w:spacing w:line="400" w:lineRule="exact"/>
              <w:rPr>
                <w:b/>
                <w:bCs/>
                <w:color w:val="auto"/>
                <w:szCs w:val="21"/>
                <w:highlight w:val="none"/>
              </w:rPr>
            </w:pPr>
            <w:r>
              <w:rPr>
                <w:color w:val="auto"/>
                <w:szCs w:val="21"/>
                <w:highlight w:val="none"/>
              </w:rPr>
              <w:t xml:space="preserve">②</w:t>
            </w:r>
            <w:r>
              <w:rPr>
                <w:rFonts w:hint="eastAsia"/>
                <w:color w:val="auto"/>
                <w:szCs w:val="21"/>
                <w:highlight w:val="none"/>
              </w:rPr>
              <w:t xml:space="preserve">措施</w:t>
            </w:r>
            <w:r>
              <w:rPr>
                <w:color w:val="auto"/>
                <w:szCs w:val="21"/>
                <w:highlight w:val="none"/>
              </w:rPr>
              <w:t xml:space="preserve">较</w:t>
            </w:r>
            <w:r>
              <w:rPr>
                <w:rFonts w:hint="eastAsia"/>
                <w:color w:val="auto"/>
                <w:szCs w:val="21"/>
                <w:highlight w:val="none"/>
              </w:rPr>
              <w:t xml:space="preserve">得当有力</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2</w:t>
            </w:r>
            <w:r>
              <w:rPr>
                <w:b/>
                <w:bCs/>
                <w:color w:val="auto"/>
                <w:szCs w:val="21"/>
                <w:highlight w:val="none"/>
              </w:rPr>
              <w:t xml:space="preserve">分；</w:t>
            </w:r>
            <w:r/>
          </w:p>
          <w:p>
            <w:pPr>
              <w:ind w:firstLine="210"/>
              <w:spacing w:line="400" w:lineRule="exact"/>
              <w:rPr>
                <w:b/>
                <w:bCs/>
                <w:color w:val="auto"/>
                <w:szCs w:val="21"/>
                <w:highlight w:val="none"/>
              </w:rPr>
            </w:pPr>
            <w:r>
              <w:rPr>
                <w:rFonts w:hint="eastAsia"/>
                <w:color w:val="auto"/>
                <w:szCs w:val="21"/>
                <w:highlight w:val="none"/>
              </w:rPr>
              <w:t xml:space="preserve">③措施</w:t>
            </w:r>
            <w:r>
              <w:rPr>
                <w:color w:val="auto"/>
                <w:szCs w:val="21"/>
                <w:highlight w:val="none"/>
              </w:rPr>
              <w:t xml:space="preserve">一般的</w:t>
            </w:r>
            <w:r>
              <w:rPr>
                <w:rFonts w:hint="eastAsia"/>
                <w:b/>
                <w:bCs/>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1</w:t>
            </w:r>
            <w:r>
              <w:rPr>
                <w:b/>
                <w:bCs/>
                <w:color w:val="auto"/>
                <w:szCs w:val="21"/>
                <w:highlight w:val="none"/>
              </w:rPr>
              <w:t xml:space="preserve">分。</w:t>
            </w:r>
            <w:r/>
          </w:p>
          <w:p>
            <w:pPr>
              <w:ind w:firstLine="211"/>
              <w:spacing w:line="400" w:lineRule="exact"/>
              <w:rPr>
                <w:rFonts w:ascii="宋体" w:hAnsi="宋体" w:cs="宋体"/>
                <w:color w:val="auto"/>
                <w:szCs w:val="21"/>
                <w:highlight w:val="none"/>
              </w:rPr>
            </w:pPr>
            <w:r>
              <w:rPr>
                <w:rFonts w:hint="eastAsia"/>
                <w:b/>
                <w:bCs/>
                <w:color w:val="auto"/>
                <w:szCs w:val="21"/>
                <w:highlight w:val="none"/>
              </w:rPr>
              <w:t xml:space="preserve">满分3分，差或</w:t>
            </w:r>
            <w:r>
              <w:rPr>
                <w:b/>
                <w:bCs/>
                <w:color w:val="auto"/>
                <w:szCs w:val="21"/>
                <w:highlight w:val="none"/>
              </w:rPr>
              <w:t xml:space="preserve">未见阐述</w:t>
            </w:r>
            <w:r>
              <w:rPr>
                <w:rFonts w:hint="eastAsia"/>
                <w:b/>
                <w:bCs/>
                <w:color w:val="auto"/>
                <w:szCs w:val="21"/>
                <w:highlight w:val="none"/>
              </w:rPr>
              <w:t xml:space="preserve">此项</w:t>
            </w:r>
            <w:r>
              <w:rPr>
                <w:b/>
                <w:bCs/>
                <w:color w:val="auto"/>
                <w:szCs w:val="21"/>
                <w:highlight w:val="none"/>
              </w:rPr>
              <w:t xml:space="preserve">不得分。</w:t>
            </w:r>
            <w:r/>
          </w:p>
          <w:p>
            <w:pPr>
              <w:jc w:val="left"/>
              <w:spacing w:line="400" w:lineRule="exact"/>
              <w:rPr>
                <w:color w:val="auto"/>
                <w:highlight w:val="none"/>
              </w:rPr>
            </w:pPr>
            <w:r>
              <w:rPr>
                <w:rFonts w:hint="eastAsia"/>
                <w:color w:val="auto"/>
                <w:highlight w:val="none"/>
              </w:rPr>
              <w:t xml:space="preserve">（4）劳动力计划安排合理性</w:t>
            </w:r>
            <w:r/>
          </w:p>
          <w:p>
            <w:pPr>
              <w:ind w:firstLine="210"/>
              <w:spacing w:line="400" w:lineRule="exact"/>
              <w:rPr>
                <w:b/>
                <w:bCs/>
                <w:color w:val="auto"/>
                <w:szCs w:val="21"/>
                <w:highlight w:val="none"/>
              </w:rPr>
            </w:pPr>
            <w:r>
              <w:rPr>
                <w:color w:val="auto"/>
                <w:szCs w:val="21"/>
                <w:highlight w:val="none"/>
              </w:rPr>
              <w:t xml:space="preserve">①</w:t>
            </w:r>
            <w:r>
              <w:rPr>
                <w:rFonts w:hint="eastAsia"/>
                <w:color w:val="auto"/>
                <w:szCs w:val="21"/>
                <w:highlight w:val="none"/>
              </w:rPr>
              <w:t xml:space="preserve">计划安排</w:t>
            </w:r>
            <w:r>
              <w:rPr>
                <w:color w:val="auto"/>
                <w:szCs w:val="21"/>
                <w:highlight w:val="none"/>
              </w:rPr>
              <w:t xml:space="preserve">合理</w:t>
            </w:r>
            <w:r>
              <w:rPr>
                <w:rFonts w:hint="eastAsia"/>
                <w:color w:val="auto"/>
                <w:szCs w:val="21"/>
                <w:highlight w:val="none"/>
              </w:rPr>
              <w:t xml:space="preserve">有序的，</w:t>
            </w:r>
            <w:r>
              <w:rPr>
                <w:b/>
                <w:bCs/>
                <w:color w:val="auto"/>
                <w:szCs w:val="21"/>
                <w:highlight w:val="none"/>
              </w:rPr>
              <w:t xml:space="preserve">得</w:t>
            </w:r>
            <w:r>
              <w:rPr>
                <w:rFonts w:hint="eastAsia"/>
                <w:b/>
                <w:bCs/>
                <w:color w:val="auto"/>
                <w:szCs w:val="21"/>
                <w:highlight w:val="none"/>
              </w:rPr>
              <w:t xml:space="preserve">3</w:t>
            </w:r>
            <w:r>
              <w:rPr>
                <w:b/>
                <w:bCs/>
                <w:color w:val="auto"/>
                <w:szCs w:val="21"/>
                <w:highlight w:val="none"/>
              </w:rPr>
              <w:t xml:space="preserve">分；</w:t>
            </w:r>
            <w:r/>
          </w:p>
          <w:p>
            <w:pPr>
              <w:ind w:firstLine="210"/>
              <w:spacing w:line="400" w:lineRule="exact"/>
              <w:rPr>
                <w:b/>
                <w:bCs/>
                <w:color w:val="auto"/>
                <w:szCs w:val="21"/>
                <w:highlight w:val="none"/>
              </w:rPr>
            </w:pPr>
            <w:r>
              <w:rPr>
                <w:color w:val="auto"/>
                <w:szCs w:val="21"/>
                <w:highlight w:val="none"/>
              </w:rPr>
              <w:t xml:space="preserve">②</w:t>
            </w:r>
            <w:r>
              <w:rPr>
                <w:rFonts w:hint="eastAsia"/>
                <w:color w:val="auto"/>
                <w:szCs w:val="21"/>
                <w:highlight w:val="none"/>
              </w:rPr>
              <w:t xml:space="preserve">计划安排较</w:t>
            </w:r>
            <w:r>
              <w:rPr>
                <w:color w:val="auto"/>
                <w:szCs w:val="21"/>
                <w:highlight w:val="none"/>
              </w:rPr>
              <w:t xml:space="preserve">合理</w:t>
            </w:r>
            <w:r>
              <w:rPr>
                <w:rFonts w:hint="eastAsia"/>
                <w:color w:val="auto"/>
                <w:szCs w:val="21"/>
                <w:highlight w:val="none"/>
              </w:rPr>
              <w:t xml:space="preserve">有序</w:t>
            </w:r>
            <w:r>
              <w:rPr>
                <w:color w:val="auto"/>
                <w:szCs w:val="21"/>
                <w:highlight w:val="none"/>
              </w:rPr>
              <w:t xml:space="preserve">的</w:t>
            </w:r>
            <w:r>
              <w:rPr>
                <w:rFonts w:hint="eastAsia"/>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2</w:t>
            </w:r>
            <w:r>
              <w:rPr>
                <w:b/>
                <w:bCs/>
                <w:color w:val="auto"/>
                <w:szCs w:val="21"/>
                <w:highlight w:val="none"/>
              </w:rPr>
              <w:t xml:space="preserve">分；</w:t>
            </w:r>
            <w:r/>
          </w:p>
          <w:p>
            <w:pPr>
              <w:ind w:firstLine="210"/>
              <w:spacing w:line="400" w:lineRule="exact"/>
              <w:rPr>
                <w:color w:val="auto"/>
                <w:szCs w:val="21"/>
                <w:highlight w:val="none"/>
              </w:rPr>
            </w:pPr>
            <w:r>
              <w:rPr>
                <w:rFonts w:hint="eastAsia"/>
                <w:color w:val="auto"/>
                <w:szCs w:val="21"/>
                <w:highlight w:val="none"/>
              </w:rPr>
              <w:t xml:space="preserve">③计划安排</w:t>
            </w:r>
            <w:r>
              <w:rPr>
                <w:color w:val="auto"/>
                <w:szCs w:val="21"/>
                <w:highlight w:val="none"/>
              </w:rPr>
              <w:t xml:space="preserve">一般的</w:t>
            </w:r>
            <w:r>
              <w:rPr>
                <w:rFonts w:hint="eastAsia"/>
                <w:b/>
                <w:bCs/>
                <w:color w:val="auto"/>
                <w:szCs w:val="21"/>
                <w:highlight w:val="none"/>
              </w:rPr>
              <w:t xml:space="preserve">，</w:t>
            </w:r>
            <w:r>
              <w:rPr>
                <w:b/>
                <w:bCs/>
                <w:color w:val="auto"/>
                <w:szCs w:val="21"/>
                <w:highlight w:val="none"/>
              </w:rPr>
              <w:t xml:space="preserve">得</w:t>
            </w:r>
            <w:r>
              <w:rPr>
                <w:rFonts w:hint="eastAsia"/>
                <w:b/>
                <w:bCs/>
                <w:color w:val="auto"/>
                <w:szCs w:val="21"/>
                <w:highlight w:val="none"/>
              </w:rPr>
              <w:t xml:space="preserve">1</w:t>
            </w:r>
            <w:r>
              <w:rPr>
                <w:b/>
                <w:bCs/>
                <w:color w:val="auto"/>
                <w:szCs w:val="21"/>
                <w:highlight w:val="none"/>
              </w:rPr>
              <w:t xml:space="preserve">分。</w:t>
            </w:r>
            <w:r/>
          </w:p>
          <w:p>
            <w:pPr>
              <w:ind w:firstLine="211"/>
              <w:spacing w:line="400" w:lineRule="exact"/>
              <w:rPr>
                <w:color w:val="auto"/>
                <w:highlight w:val="none"/>
              </w:rPr>
            </w:pPr>
            <w:r>
              <w:rPr>
                <w:rFonts w:hint="eastAsia"/>
                <w:b/>
                <w:bCs/>
                <w:color w:val="auto"/>
                <w:szCs w:val="21"/>
                <w:highlight w:val="none"/>
              </w:rPr>
              <w:t xml:space="preserve">满分3分，差或</w:t>
            </w:r>
            <w:r>
              <w:rPr>
                <w:b/>
                <w:bCs/>
                <w:color w:val="auto"/>
                <w:szCs w:val="21"/>
                <w:highlight w:val="none"/>
              </w:rPr>
              <w:t xml:space="preserve">未见阐述</w:t>
            </w:r>
            <w:r>
              <w:rPr>
                <w:rFonts w:hint="eastAsia"/>
                <w:b/>
                <w:bCs/>
                <w:color w:val="auto"/>
                <w:szCs w:val="21"/>
                <w:highlight w:val="none"/>
              </w:rPr>
              <w:t xml:space="preserve">此项</w:t>
            </w:r>
            <w:r>
              <w:rPr>
                <w:b/>
                <w:bCs/>
                <w:color w:val="auto"/>
                <w:szCs w:val="21"/>
                <w:highlight w:val="none"/>
              </w:rPr>
              <w:t xml:space="preserve">不得分。</w:t>
            </w:r>
            <w:r/>
          </w:p>
          <w:p>
            <w:pPr>
              <w:jc w:val="left"/>
              <w:spacing w:line="400" w:lineRule="exact"/>
              <w:rPr>
                <w:color w:val="auto"/>
                <w:highlight w:val="none"/>
              </w:rPr>
            </w:pPr>
            <w:r>
              <w:rPr>
                <w:rFonts w:hint="eastAsia"/>
                <w:color w:val="auto"/>
                <w:highlight w:val="none"/>
              </w:rPr>
              <w:t xml:space="preserve">（5）</w:t>
            </w:r>
            <w:r>
              <w:rPr>
                <w:rFonts w:hint="eastAsia" w:ascii="宋体" w:hAnsi="宋体" w:cs="宋体"/>
                <w:color w:val="auto"/>
                <w:szCs w:val="21"/>
                <w:highlight w:val="none"/>
              </w:rPr>
              <w:t xml:space="preserve">关键施工技术、工艺及工程项目实施的重点、难点和解决方案</w:t>
            </w:r>
            <w:r/>
          </w:p>
          <w:p>
            <w:pPr>
              <w:pStyle w:val="1014"/>
              <w:ind w:firstLine="210"/>
              <w:jc w:val="left"/>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①非常合理得当、</w:t>
            </w:r>
            <w:r>
              <w:rPr>
                <w:rFonts w:hint="eastAsia" w:ascii="Times New Roman" w:hAnsi="Times New Roman"/>
                <w:color w:val="auto"/>
                <w:szCs w:val="21"/>
                <w:highlight w:val="none"/>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rPr>
              <w:t xml:space="preserve">3</w:t>
            </w:r>
            <w:r>
              <w:rPr>
                <w:rFonts w:ascii="Times New Roman" w:hAnsi="Times New Roman"/>
                <w:b/>
                <w:bCs/>
                <w:color w:val="auto"/>
                <w:szCs w:val="21"/>
                <w:highlight w:val="none"/>
              </w:rPr>
              <w:t xml:space="preserve">分；</w:t>
            </w:r>
            <w:r/>
          </w:p>
          <w:p>
            <w:pPr>
              <w:pStyle w:val="1014"/>
              <w:ind w:firstLine="210"/>
              <w:jc w:val="left"/>
              <w:spacing w:line="400" w:lineRule="exact"/>
              <w:rPr>
                <w:rFonts w:ascii="Times New Roman" w:hAnsi="Times New Roman"/>
                <w:b/>
                <w:bCs/>
                <w:color w:val="auto"/>
                <w:szCs w:val="21"/>
                <w:highlight w:val="none"/>
              </w:rPr>
            </w:pPr>
            <w:r>
              <w:rPr>
                <w:rFonts w:ascii="Times New Roman" w:hAnsi="Times New Roman"/>
                <w:color w:val="auto"/>
                <w:szCs w:val="21"/>
                <w:highlight w:val="none"/>
              </w:rPr>
              <w:t xml:space="preserve">②较为合理得当、</w:t>
            </w:r>
            <w:r>
              <w:rPr>
                <w:rFonts w:hint="eastAsia" w:ascii="Times New Roman" w:hAnsi="Times New Roman"/>
                <w:color w:val="auto"/>
                <w:szCs w:val="21"/>
                <w:highlight w:val="none"/>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rPr>
              <w:t xml:space="preserve">2</w:t>
            </w:r>
            <w:r>
              <w:rPr>
                <w:rFonts w:ascii="Times New Roman" w:hAnsi="Times New Roman"/>
                <w:b/>
                <w:bCs/>
                <w:color w:val="auto"/>
                <w:szCs w:val="21"/>
                <w:highlight w:val="none"/>
              </w:rPr>
              <w:t xml:space="preserve">分；</w:t>
            </w:r>
            <w:r/>
          </w:p>
          <w:p>
            <w:pPr>
              <w:pStyle w:val="1014"/>
              <w:ind w:firstLine="210"/>
              <w:jc w:val="left"/>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③基本合理得当、</w:t>
            </w:r>
            <w:r>
              <w:rPr>
                <w:rFonts w:hint="eastAsia" w:ascii="Times New Roman" w:hAnsi="Times New Roman"/>
                <w:color w:val="auto"/>
                <w:szCs w:val="21"/>
                <w:highlight w:val="none"/>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rPr>
              <w:t xml:space="preserve">1</w:t>
            </w:r>
            <w:r>
              <w:rPr>
                <w:rFonts w:ascii="Times New Roman" w:hAnsi="Times New Roman"/>
                <w:b/>
                <w:bCs/>
                <w:color w:val="auto"/>
                <w:szCs w:val="21"/>
                <w:highlight w:val="none"/>
              </w:rPr>
              <w:t xml:space="preserve">分。</w:t>
            </w:r>
            <w:r/>
          </w:p>
          <w:p>
            <w:pPr>
              <w:ind w:firstLine="211"/>
              <w:spacing w:line="400" w:lineRule="exact"/>
              <w:rPr>
                <w:rFonts w:ascii="宋体" w:hAnsi="宋体" w:cs="宋体"/>
                <w:color w:val="auto"/>
                <w:szCs w:val="21"/>
                <w:highlight w:val="none"/>
              </w:rPr>
            </w:pPr>
            <w:r>
              <w:rPr>
                <w:rFonts w:hint="eastAsia"/>
                <w:b/>
                <w:bCs/>
                <w:color w:val="auto"/>
                <w:szCs w:val="21"/>
                <w:highlight w:val="none"/>
              </w:rPr>
              <w:t xml:space="preserve">满分3分，差或</w:t>
            </w:r>
            <w:r>
              <w:rPr>
                <w:b/>
                <w:bCs/>
                <w:color w:val="auto"/>
                <w:szCs w:val="21"/>
                <w:highlight w:val="none"/>
              </w:rPr>
              <w:t xml:space="preserve">未见阐述</w:t>
            </w:r>
            <w:r>
              <w:rPr>
                <w:rFonts w:hint="eastAsia"/>
                <w:b/>
                <w:bCs/>
                <w:color w:val="auto"/>
                <w:szCs w:val="21"/>
                <w:highlight w:val="none"/>
              </w:rPr>
              <w:t xml:space="preserve">此项</w:t>
            </w:r>
            <w:r>
              <w:rPr>
                <w:b/>
                <w:bCs/>
                <w:color w:val="auto"/>
                <w:szCs w:val="21"/>
                <w:highlight w:val="none"/>
              </w:rPr>
              <w:t xml:space="preserve">不得分。</w:t>
            </w:r>
            <w:r/>
          </w:p>
        </w:tc>
      </w:tr>
      <w:tr>
        <w:trPr>
          <w:jc w:val="center"/>
          <w:trHeight w:val="2085"/>
        </w:trPr>
        <w:tc>
          <w:tcPr>
            <w:tcW w:w="1232" w:type="dxa"/>
            <w:vAlign w:val="center"/>
            <w:vMerge w:val="continue"/>
            <w:textDirection w:val="lrTb"/>
            <w:noWrap/>
          </w:tcPr>
          <w:p>
            <w:pPr>
              <w:spacing w:line="360" w:lineRule="exact"/>
              <w:rPr>
                <w:rFonts w:ascii="宋体" w:hAnsi="宋体" w:cs="宋体"/>
                <w:b/>
                <w:bCs/>
                <w:color w:val="auto"/>
                <w:szCs w:val="21"/>
                <w:highlight w:val="none"/>
              </w:rPr>
            </w:pPr>
            <w:r>
              <w:rPr>
                <w:rFonts w:ascii="宋体" w:hAnsi="宋体" w:cs="宋体"/>
                <w:b/>
                <w:bCs/>
                <w:color w:val="auto"/>
                <w:szCs w:val="21"/>
                <w:highlight w:val="none"/>
              </w:rPr>
            </w:r>
            <w:r/>
          </w:p>
        </w:tc>
        <w:tc>
          <w:tcPr>
            <w:tcW w:w="1080" w:type="dxa"/>
            <w:vAlign w:val="center"/>
            <w:textDirection w:val="lrTb"/>
            <w:noWrap/>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现浇型塑胶跑道、现浇型硅PU、人造草皮质量保证</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（9）分</w:t>
            </w:r>
            <w:r/>
          </w:p>
        </w:tc>
        <w:tc>
          <w:tcPr>
            <w:gridSpan w:val="2"/>
            <w:tcW w:w="7455" w:type="dxa"/>
            <w:vAlign w:val="center"/>
            <w:textDirection w:val="lrTb"/>
            <w:noWrap/>
          </w:tcPr>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供应商提供符合要求的</w:t>
            </w:r>
            <w:r>
              <w:rPr>
                <w:rFonts w:hint="eastAsia" w:ascii="宋体" w:hAnsi="宋体" w:cs="宋体"/>
                <w:b/>
                <w:bCs/>
                <w:color w:val="auto"/>
                <w:szCs w:val="21"/>
                <w:highlight w:val="none"/>
              </w:rPr>
              <w:t xml:space="preserve">①</w:t>
            </w:r>
            <w:r>
              <w:rPr>
                <w:rFonts w:hint="eastAsia" w:ascii="宋体" w:hAnsi="宋体" w:cs="宋体"/>
                <w:color w:val="auto"/>
                <w:szCs w:val="21"/>
                <w:highlight w:val="none"/>
              </w:rPr>
              <w:t xml:space="preserve">现浇型面层物理机械性能要求</w:t>
            </w:r>
            <w:r>
              <w:rPr>
                <w:rFonts w:hint="eastAsia" w:ascii="宋体" w:hAnsi="宋体" w:cs="宋体"/>
                <w:b/>
                <w:bCs/>
                <w:color w:val="auto"/>
                <w:szCs w:val="21"/>
                <w:highlight w:val="none"/>
              </w:rPr>
              <w:t xml:space="preserve">②</w:t>
            </w:r>
            <w:r>
              <w:rPr>
                <w:rFonts w:hint="eastAsia" w:ascii="宋体" w:hAnsi="宋体" w:cs="宋体"/>
                <w:color w:val="auto"/>
                <w:szCs w:val="21"/>
                <w:highlight w:val="none"/>
              </w:rPr>
              <w:t xml:space="preserve">现浇型面层有害物质限量及气味要求</w:t>
            </w:r>
            <w:r>
              <w:rPr>
                <w:rFonts w:hint="eastAsia" w:ascii="宋体" w:hAnsi="宋体" w:cs="宋体"/>
                <w:b/>
                <w:bCs/>
                <w:color w:val="auto"/>
                <w:szCs w:val="21"/>
                <w:highlight w:val="none"/>
              </w:rPr>
              <w:t xml:space="preserve">③</w:t>
            </w:r>
            <w:r>
              <w:rPr>
                <w:rFonts w:hint="eastAsia" w:ascii="宋体" w:hAnsi="宋体" w:cs="宋体"/>
                <w:color w:val="auto"/>
                <w:szCs w:val="21"/>
                <w:highlight w:val="none"/>
              </w:rPr>
              <w:t xml:space="preserve">铺装时使用的</w:t>
            </w:r>
            <w:r>
              <w:rPr>
                <w:rFonts w:hint="eastAsia" w:ascii="宋体" w:hAnsi="宋体" w:cs="宋体"/>
                <w:b/>
                <w:bCs/>
                <w:color w:val="auto"/>
                <w:szCs w:val="21"/>
                <w:highlight w:val="none"/>
              </w:rPr>
              <w:t xml:space="preserve">非固体原料</w:t>
            </w:r>
            <w:r>
              <w:rPr>
                <w:rFonts w:hint="eastAsia" w:ascii="宋体" w:hAnsi="宋体" w:cs="宋体"/>
                <w:color w:val="auto"/>
                <w:szCs w:val="21"/>
                <w:highlight w:val="none"/>
              </w:rPr>
              <w:t xml:space="preserve">（胶粘剂）中有害物质限量应符合非固体原料中有害物质限量要求及</w:t>
            </w:r>
            <w:r>
              <w:rPr>
                <w:rFonts w:hint="eastAsia" w:ascii="宋体" w:hAnsi="宋体" w:cs="宋体"/>
                <w:b/>
                <w:bCs/>
                <w:color w:val="auto"/>
                <w:szCs w:val="21"/>
                <w:highlight w:val="none"/>
              </w:rPr>
              <w:t xml:space="preserve">固体原料</w:t>
            </w:r>
            <w:r>
              <w:rPr>
                <w:rFonts w:hint="eastAsia" w:ascii="宋体" w:hAnsi="宋体" w:cs="宋体"/>
                <w:color w:val="auto"/>
                <w:szCs w:val="21"/>
                <w:highlight w:val="none"/>
              </w:rPr>
              <w:t xml:space="preserve">中有害物质限量要求（以上</w:t>
            </w:r>
            <w:r>
              <w:rPr>
                <w:rFonts w:hint="eastAsia" w:ascii="宋体" w:hAnsi="宋体" w:cs="宋体"/>
                <w:b/>
                <w:bCs/>
                <w:color w:val="auto"/>
                <w:szCs w:val="21"/>
                <w:highlight w:val="none"/>
              </w:rPr>
              <w:t xml:space="preserve">①</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③</w:t>
            </w:r>
            <w:r>
              <w:rPr>
                <w:rFonts w:hint="eastAsia" w:ascii="宋体" w:hAnsi="宋体" w:cs="宋体"/>
                <w:b/>
                <w:bCs/>
                <w:color w:val="auto"/>
                <w:szCs w:val="21"/>
                <w:highlight w:val="none"/>
                <w:lang w:val="en-US" w:eastAsia="zh-CN"/>
              </w:rPr>
              <w:t xml:space="preserve">项</w:t>
            </w:r>
            <w:r>
              <w:rPr>
                <w:rFonts w:hint="eastAsia" w:ascii="宋体" w:hAnsi="宋体" w:cs="宋体"/>
                <w:b/>
                <w:bCs/>
                <w:color w:val="auto"/>
                <w:szCs w:val="21"/>
                <w:highlight w:val="none"/>
              </w:rPr>
              <w:t xml:space="preserve">跑道、硅PU</w:t>
            </w:r>
            <w:r>
              <w:rPr>
                <w:rFonts w:hint="eastAsia" w:ascii="宋体" w:hAnsi="宋体" w:cs="宋体"/>
                <w:color w:val="auto"/>
                <w:szCs w:val="21"/>
                <w:highlight w:val="none"/>
              </w:rPr>
              <w:t xml:space="preserve">均需分别提供检测报告复印件）</w:t>
            </w:r>
            <w:r>
              <w:rPr>
                <w:rFonts w:hint="eastAsia" w:ascii="宋体" w:hAnsi="宋体" w:cs="宋体"/>
                <w:b/>
                <w:bCs/>
                <w:color w:val="auto"/>
                <w:szCs w:val="21"/>
                <w:highlight w:val="none"/>
              </w:rPr>
              <w:t xml:space="preserve">④</w:t>
            </w:r>
            <w:r>
              <w:rPr>
                <w:rFonts w:hint="eastAsia" w:ascii="宋体" w:hAnsi="宋体" w:cs="宋体"/>
                <w:color w:val="auto"/>
                <w:szCs w:val="21"/>
                <w:highlight w:val="none"/>
              </w:rPr>
              <w:t xml:space="preserve">人造草面层成品及草丝的物理机械性能要求</w:t>
            </w:r>
            <w:r>
              <w:rPr>
                <w:rFonts w:hint="eastAsia" w:ascii="宋体" w:hAnsi="宋体" w:cs="宋体"/>
                <w:b/>
                <w:bCs/>
                <w:color w:val="auto"/>
                <w:szCs w:val="21"/>
                <w:highlight w:val="none"/>
              </w:rPr>
              <w:t xml:space="preserve">⑤</w:t>
            </w:r>
            <w:r>
              <w:rPr>
                <w:rFonts w:hint="eastAsia" w:ascii="宋体" w:hAnsi="宋体" w:cs="宋体"/>
                <w:color w:val="auto"/>
                <w:szCs w:val="21"/>
                <w:highlight w:val="none"/>
              </w:rPr>
              <w:t xml:space="preserve">人造草面层成品中有害物质限量要求</w:t>
            </w:r>
            <w:r>
              <w:rPr>
                <w:rFonts w:hint="eastAsia" w:ascii="宋体" w:hAnsi="宋体" w:cs="宋体"/>
                <w:b/>
                <w:bCs/>
                <w:color w:val="auto"/>
                <w:szCs w:val="21"/>
                <w:highlight w:val="none"/>
              </w:rPr>
              <w:t xml:space="preserve">⑥</w:t>
            </w:r>
            <w:r>
              <w:rPr>
                <w:rFonts w:hint="eastAsia" w:ascii="宋体" w:hAnsi="宋体" w:cs="宋体"/>
                <w:b w:val="0"/>
                <w:bCs w:val="0"/>
                <w:color w:val="auto"/>
                <w:szCs w:val="21"/>
                <w:highlight w:val="none"/>
                <w:lang w:val="en-US" w:eastAsia="zh-CN"/>
              </w:rPr>
              <w:t xml:space="preserve">固体</w:t>
            </w:r>
            <w:r>
              <w:rPr>
                <w:rFonts w:hint="eastAsia" w:ascii="宋体" w:hAnsi="宋体" w:cs="宋体"/>
                <w:b w:val="0"/>
                <w:bCs w:val="0"/>
                <w:color w:val="auto"/>
                <w:szCs w:val="21"/>
                <w:highlight w:val="none"/>
              </w:rPr>
              <w:t xml:space="preserve">原料</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缓冲减震垫</w:t>
            </w:r>
            <w:r>
              <w:rPr>
                <w:rFonts w:hint="eastAsia" w:ascii="宋体" w:hAnsi="宋体" w:cs="宋体"/>
                <w:b w:val="0"/>
                <w:bCs w:val="0"/>
                <w:color w:val="auto"/>
                <w:szCs w:val="21"/>
                <w:highlight w:val="none"/>
                <w:lang w:eastAsia="zh-CN"/>
              </w:rPr>
              <w:t xml:space="preserve">）</w:t>
            </w:r>
            <w:r>
              <w:rPr>
                <w:rFonts w:hint="eastAsia" w:ascii="宋体" w:hAnsi="宋体" w:cs="宋体"/>
                <w:color w:val="auto"/>
                <w:szCs w:val="21"/>
                <w:highlight w:val="none"/>
              </w:rPr>
              <w:t xml:space="preserve">中有害物质限量及气味要求检测报告，每提供一个报告得1分，否则不得分。（满分9分）</w:t>
            </w:r>
            <w:r/>
          </w:p>
          <w:p>
            <w:pPr>
              <w:ind w:firstLine="422"/>
              <w:spacing w:line="360" w:lineRule="exact"/>
              <w:rPr>
                <w:rFonts w:ascii="宋体" w:hAnsi="宋体" w:cs="宋体"/>
                <w:color w:val="auto"/>
                <w:szCs w:val="21"/>
                <w:highlight w:val="none"/>
              </w:rPr>
            </w:pPr>
            <w:r>
              <w:rPr>
                <w:rFonts w:hint="eastAsia" w:ascii="宋体" w:hAnsi="宋体" w:cs="宋体"/>
                <w:b/>
                <w:color w:val="auto"/>
                <w:szCs w:val="21"/>
                <w:highlight w:val="none"/>
              </w:rPr>
              <w:t xml:space="preserve">注：证明材料须提供上述检测报告</w:t>
            </w:r>
            <w:r>
              <w:rPr>
                <w:rFonts w:hint="eastAsia" w:ascii="宋体" w:hAnsi="宋体" w:cs="宋体"/>
                <w:b/>
                <w:bCs/>
                <w:color w:val="auto"/>
                <w:szCs w:val="21"/>
                <w:highlight w:val="none"/>
              </w:rPr>
              <w:t xml:space="preserve">彩色扫描件上传至电子响应文件中并加盖供应商电子印章，未提供或未按要求提供此项不得分。</w:t>
            </w:r>
            <w:r/>
          </w:p>
        </w:tc>
      </w:tr>
      <w:tr>
        <w:trPr>
          <w:jc w:val="center"/>
          <w:trHeight w:val="1689"/>
        </w:trPr>
        <w:tc>
          <w:tcPr>
            <w:tcW w:w="1232" w:type="dxa"/>
            <w:vAlign w:val="center"/>
            <w:vMerge w:val="restart"/>
            <w:textDirection w:val="lrTb"/>
            <w:noWrap/>
          </w:tcPr>
          <w:p>
            <w:pPr>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商务分（12分）</w:t>
            </w:r>
            <w:r/>
          </w:p>
        </w:tc>
        <w:tc>
          <w:tcPr>
            <w:tcW w:w="1080" w:type="dxa"/>
            <w:vAlign w:val="center"/>
            <w:vMerge w:val="restart"/>
            <w:textDirection w:val="lrTb"/>
            <w:noWrap/>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商务分12分</w:t>
            </w:r>
            <w:r/>
          </w:p>
        </w:tc>
        <w:tc>
          <w:tcPr>
            <w:tcW w:w="1183" w:type="dxa"/>
            <w:vAlign w:val="center"/>
            <w:textDirection w:val="lrTb"/>
            <w:noWrap/>
          </w:tcPr>
          <w:p>
            <w:pPr>
              <w:ind w:firstLine="21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6分</w:t>
            </w:r>
            <w:r/>
          </w:p>
        </w:tc>
        <w:tc>
          <w:tcPr>
            <w:tcW w:w="6272" w:type="dxa"/>
            <w:vAlign w:val="center"/>
            <w:textDirection w:val="lrTb"/>
            <w:noWrap/>
          </w:tcPr>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供应商2022年1月至今(以竣工验收时间为准）承担过验收合格的类似室内，外运动场业绩，每一个业绩得2分，本项最高得6分。（满分6分）</w:t>
            </w:r>
            <w:r/>
          </w:p>
          <w:p>
            <w:pPr>
              <w:ind w:firstLine="422"/>
              <w:spacing w:line="360" w:lineRule="exact"/>
              <w:rPr>
                <w:rFonts w:ascii="宋体" w:hAnsi="宋体" w:cs="宋体"/>
                <w:color w:val="auto"/>
                <w:szCs w:val="21"/>
                <w:highlight w:val="none"/>
              </w:rPr>
            </w:pPr>
            <w:r>
              <w:rPr>
                <w:rFonts w:hint="eastAsia" w:ascii="宋体" w:hAnsi="宋体" w:cs="宋体"/>
                <w:b/>
                <w:bCs/>
                <w:color w:val="auto"/>
                <w:szCs w:val="21"/>
                <w:highlight w:val="none"/>
              </w:rPr>
              <w:t xml:space="preserve">注：证明材料须同时提供①成交结果通知书②合同③竣工验收证明④检测机构针对本项目的检验报告，以上4个证明材料原件彩色扫描件上传至电子响应文件中并加盖供应商电子印章。合同类似，由磋商小组成员判定。未提供或未按要求提供，此项不得分。</w:t>
            </w:r>
            <w:r/>
          </w:p>
        </w:tc>
      </w:tr>
      <w:tr>
        <w:trPr>
          <w:jc w:val="center"/>
          <w:trHeight w:val="496"/>
        </w:trPr>
        <w:tc>
          <w:tcPr>
            <w:tcW w:w="1232" w:type="dxa"/>
            <w:vAlign w:val="center"/>
            <w:vMerge w:val="continue"/>
            <w:textDirection w:val="lrTb"/>
            <w:noWrap/>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080" w:type="dxa"/>
            <w:vAlign w:val="center"/>
            <w:vMerge w:val="continue"/>
            <w:textDirection w:val="lrTb"/>
            <w:noWrap/>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ind w:firstLine="21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3分</w:t>
            </w:r>
            <w:r/>
          </w:p>
        </w:tc>
        <w:tc>
          <w:tcPr>
            <w:tcW w:w="6272" w:type="dxa"/>
            <w:vAlign w:val="center"/>
            <w:textDirection w:val="lrTb"/>
            <w:noWrap/>
          </w:tcPr>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供应商承诺按国家标准对</w:t>
            </w:r>
            <w:r>
              <w:rPr>
                <w:rFonts w:hint="eastAsia" w:ascii="宋体" w:hAnsi="宋体" w:cs="宋体"/>
                <w:b/>
                <w:bCs/>
                <w:color w:val="auto"/>
                <w:szCs w:val="21"/>
                <w:highlight w:val="none"/>
              </w:rPr>
              <w:t xml:space="preserve">产品</w:t>
            </w:r>
            <w:r>
              <w:rPr>
                <w:rFonts w:hint="eastAsia" w:ascii="宋体" w:hAnsi="宋体" w:cs="宋体"/>
                <w:color w:val="auto"/>
                <w:szCs w:val="21"/>
                <w:highlight w:val="none"/>
              </w:rPr>
              <w:t xml:space="preserve">实行“三包”，提供免费上门维修、维护、更换配件且提供5年免费质保期，在满足免费质保期（5年）基础上，每延长1年的免费质保期加1分，本项最高得3分（</w:t>
            </w:r>
            <w:r>
              <w:rPr>
                <w:rFonts w:hint="eastAsia" w:ascii="宋体" w:hAnsi="宋体" w:cs="宋体"/>
                <w:b/>
                <w:bCs/>
                <w:color w:val="auto"/>
                <w:szCs w:val="21"/>
                <w:highlight w:val="none"/>
              </w:rPr>
              <w:t xml:space="preserve">产品免费质保期8年得满分</w:t>
            </w:r>
            <w:r>
              <w:rPr>
                <w:rFonts w:hint="eastAsia" w:ascii="宋体" w:hAnsi="宋体" w:cs="宋体"/>
                <w:color w:val="auto"/>
                <w:szCs w:val="21"/>
                <w:highlight w:val="none"/>
              </w:rPr>
              <w:t xml:space="preserve">）。</w:t>
            </w:r>
            <w:r/>
          </w:p>
          <w:p>
            <w:pPr>
              <w:spacing w:line="360" w:lineRule="exact"/>
              <w:rPr>
                <w:rFonts w:ascii="宋体" w:hAnsi="宋体" w:cs="宋体"/>
                <w:color w:val="auto"/>
                <w:szCs w:val="21"/>
                <w:highlight w:val="none"/>
              </w:rPr>
            </w:pPr>
            <w:r>
              <w:rPr>
                <w:rFonts w:hint="eastAsia" w:ascii="宋体" w:hAnsi="宋体" w:cs="宋体"/>
                <w:b/>
                <w:bCs/>
                <w:color w:val="auto"/>
                <w:szCs w:val="21"/>
                <w:highlight w:val="none"/>
              </w:rPr>
              <w:t xml:space="preserve">注：证明材料由供应商自行承诺免费质保期限（盖章有效），未承诺或未提供此项不得分。</w:t>
            </w:r>
            <w:r/>
          </w:p>
        </w:tc>
      </w:tr>
      <w:tr>
        <w:trPr>
          <w:jc w:val="center"/>
          <w:trHeight w:val="572"/>
        </w:trPr>
        <w:tc>
          <w:tcPr>
            <w:tcW w:w="1232" w:type="dxa"/>
            <w:vAlign w:val="center"/>
            <w:vMerge w:val="continue"/>
            <w:textDirection w:val="lrTb"/>
            <w:noWrap/>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080" w:type="dxa"/>
            <w:vAlign w:val="center"/>
            <w:vMerge w:val="continue"/>
            <w:textDirection w:val="lrTb"/>
            <w:noWrap/>
          </w:tcPr>
          <w:p>
            <w:pP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tcPr>
          <w:p>
            <w:pPr>
              <w:ind w:firstLine="21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3分</w:t>
            </w:r>
            <w:r/>
          </w:p>
        </w:tc>
        <w:tc>
          <w:tcPr>
            <w:tcW w:w="6272" w:type="dxa"/>
            <w:vAlign w:val="center"/>
            <w:textDirection w:val="lrTb"/>
            <w:noWrap/>
          </w:tcPr>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1、供应商具有质量管理体系认证证书、环境管理体系认证证书、职业健康安全管理体系认证证书的（证书的认证范围需含有</w:t>
            </w:r>
            <w:r>
              <w:rPr>
                <w:rFonts w:hint="eastAsia" w:ascii="宋体" w:hAnsi="宋体" w:cs="宋体"/>
                <w:color w:val="auto"/>
                <w:szCs w:val="21"/>
                <w:highlight w:val="none"/>
                <w:lang w:val="en-US" w:eastAsia="zh-CN"/>
              </w:rPr>
              <w:t xml:space="preserve">运动场地</w:t>
            </w:r>
            <w:r>
              <w:rPr>
                <w:rFonts w:hint="eastAsia" w:ascii="宋体" w:hAnsi="宋体" w:cs="宋体"/>
                <w:color w:val="auto"/>
                <w:szCs w:val="21"/>
                <w:highlight w:val="none"/>
              </w:rPr>
              <w:t xml:space="preserve">施工），有一个得0.5分，最高得1.5分。</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2、供应商拟报的</w:t>
            </w:r>
            <w:r>
              <w:rPr>
                <w:rFonts w:hint="eastAsia" w:ascii="宋体" w:hAnsi="宋体" w:cs="宋体"/>
                <w:color w:val="auto"/>
                <w:szCs w:val="21"/>
                <w:highlight w:val="none"/>
                <w:lang w:val="en-US" w:eastAsia="zh-CN"/>
              </w:rPr>
              <w:t xml:space="preserve">塑胶跑道</w:t>
            </w:r>
            <w:r>
              <w:rPr>
                <w:rFonts w:hint="eastAsia" w:ascii="宋体" w:hAnsi="宋体" w:cs="宋体"/>
                <w:color w:val="auto"/>
                <w:szCs w:val="21"/>
                <w:highlight w:val="none"/>
              </w:rPr>
              <w:t xml:space="preserve">和人造</w:t>
            </w:r>
            <w:r>
              <w:rPr>
                <w:rFonts w:hint="eastAsia" w:ascii="宋体" w:hAnsi="宋体" w:cs="宋体"/>
                <w:color w:val="auto"/>
                <w:szCs w:val="21"/>
                <w:highlight w:val="none"/>
                <w:lang w:val="en-US" w:eastAsia="zh-CN"/>
              </w:rPr>
              <w:t xml:space="preserve">草坪材料</w:t>
            </w:r>
            <w:r>
              <w:rPr>
                <w:rFonts w:hint="eastAsia" w:ascii="宋体" w:hAnsi="宋体" w:cs="宋体"/>
                <w:color w:val="auto"/>
                <w:szCs w:val="21"/>
                <w:highlight w:val="none"/>
              </w:rPr>
              <w:t xml:space="preserve">生产制造商具有质量管理体系认证证书、环境管理体系认证证书、职业健康安全管理体系认证证书的（证书的认证范围需含有塑胶跑道</w:t>
            </w:r>
            <w:r>
              <w:rPr>
                <w:rFonts w:hint="eastAsia" w:ascii="宋体" w:hAnsi="宋体" w:cs="宋体"/>
                <w:color w:val="auto"/>
                <w:szCs w:val="21"/>
                <w:highlight w:val="none"/>
                <w:lang w:val="en-US" w:eastAsia="zh-CN"/>
              </w:rPr>
              <w:t xml:space="preserve">材料</w:t>
            </w:r>
            <w:r>
              <w:rPr>
                <w:rFonts w:hint="eastAsia" w:ascii="宋体" w:hAnsi="宋体" w:cs="宋体"/>
                <w:color w:val="auto"/>
                <w:szCs w:val="21"/>
                <w:highlight w:val="none"/>
              </w:rPr>
              <w:t xml:space="preserve">、人造草皮</w:t>
            </w:r>
            <w:r>
              <w:rPr>
                <w:rFonts w:hint="eastAsia" w:ascii="宋体" w:hAnsi="宋体" w:cs="宋体"/>
                <w:color w:val="auto"/>
                <w:szCs w:val="21"/>
                <w:highlight w:val="none"/>
                <w:lang w:val="en-US" w:eastAsia="zh-CN"/>
              </w:rPr>
              <w:t xml:space="preserve">生产</w:t>
            </w:r>
            <w:r>
              <w:rPr>
                <w:rFonts w:hint="eastAsia" w:ascii="宋体" w:hAnsi="宋体" w:cs="宋体"/>
                <w:color w:val="auto"/>
                <w:szCs w:val="21"/>
                <w:highlight w:val="none"/>
              </w:rPr>
              <w:t xml:space="preserve">），有一个得0.5分，最高得1.5分。</w:t>
            </w:r>
            <w:r/>
          </w:p>
          <w:p>
            <w:pPr>
              <w:ind w:firstLine="422"/>
              <w:spacing w:line="360" w:lineRule="exact"/>
              <w:rPr>
                <w:color w:val="auto"/>
                <w:highlight w:val="none"/>
              </w:rPr>
            </w:pPr>
            <w:r>
              <w:rPr>
                <w:rFonts w:hint="eastAsia" w:ascii="宋体" w:hAnsi="宋体" w:cs="宋体"/>
                <w:b/>
                <w:color w:val="auto"/>
                <w:szCs w:val="21"/>
                <w:highlight w:val="none"/>
              </w:rPr>
              <w:t xml:space="preserve">注：证明材料提供证书原件彩色扫描件和全国认证认可信息公共服务平台网址查询截图（http://cx.cnca.cn）上传至电子响应文件中并加盖供应商电子印章，未提供或未按要求提供此项不得分。</w:t>
            </w:r>
            <w:r/>
          </w:p>
        </w:tc>
      </w:tr>
    </w:tbl>
    <w:p>
      <w:pPr>
        <w:ind w:left="648" w:hanging="257"/>
        <w:jc w:val="center"/>
        <w:spacing w:line="3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Cs w:val="21"/>
          <w:highlight w:val="none"/>
        </w:rPr>
      </w:pPr>
      <w:r>
        <w:rPr>
          <w:rFonts w:ascii="宋体" w:hAnsi="宋体"/>
          <w:b/>
          <w:color w:val="auto"/>
          <w:szCs w:val="21"/>
          <w:highlight w:val="none"/>
        </w:rPr>
      </w:r>
      <w:r/>
    </w:p>
    <w:p>
      <w:pPr>
        <w:ind w:firstLine="422"/>
        <w:spacing w:line="360" w:lineRule="auto"/>
        <w:tabs>
          <w:tab w:val="left" w:pos="360" w:leader="none"/>
        </w:tabs>
        <w:rPr>
          <w:rFonts w:hAnsi="宋体"/>
          <w:b/>
          <w:bCs/>
          <w:color w:val="auto"/>
          <w:szCs w:val="21"/>
          <w:highlight w:val="none"/>
        </w:rPr>
      </w:pPr>
      <w:r>
        <w:rPr>
          <w:rFonts w:hAnsi="宋体"/>
          <w:b/>
          <w:bCs/>
          <w:color w:val="auto"/>
          <w:szCs w:val="21"/>
          <w:highlight w:val="none"/>
        </w:rPr>
        <w:t xml:space="preserve">注：</w:t>
      </w:r>
      <w:r>
        <w:rPr>
          <w:rFonts w:hint="eastAsia" w:hAnsi="宋体"/>
          <w:b/>
          <w:bCs/>
          <w:color w:val="auto"/>
          <w:szCs w:val="21"/>
          <w:highlight w:val="none"/>
        </w:rPr>
        <w:t xml:space="preserve">响应文件中所提供的全部证明材料，评审结束后采购人有权进行核实，如有不实，将按照相关法律法规规定进行处理。</w:t>
      </w:r>
      <w:r/>
    </w:p>
    <w:p>
      <w:pPr>
        <w:pStyle w:val="789"/>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rPr>
          <w:color w:val="auto"/>
          <w:highlight w:val="none"/>
        </w:rPr>
      </w:pPr>
      <w:r>
        <w:rPr>
          <w:color w:val="auto"/>
          <w:highlight w:val="none"/>
        </w:rPr>
      </w:r>
      <w:r/>
    </w:p>
    <w:p>
      <w:pPr>
        <w:pStyle w:val="746"/>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206" w:name="_Toc2747"/>
      <w:r/>
      <w:r/>
    </w:p>
    <w:p>
      <w:pPr>
        <w:pStyle w:val="746"/>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206"/>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rPr>
      </w:pPr>
      <w:r>
        <w:rPr>
          <w:rFonts w:hint="eastAsia" w:ascii="宋体" w:hAnsi="宋体"/>
          <w:b/>
          <w:color w:val="auto"/>
          <w:sz w:val="36"/>
          <w:szCs w:val="21"/>
          <w:highlight w:val="none"/>
        </w:rPr>
        <w:t xml:space="preserve">      日      期 ：</w:t>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i/>
          <w:iCs/>
          <w:color w:val="auto"/>
          <w:sz w:val="24"/>
          <w:szCs w:val="24"/>
          <w:highlight w:val="none"/>
          <w:u w:val="single"/>
        </w:rPr>
      </w:pPr>
      <w:r>
        <w:rPr>
          <w:rFonts w:hint="eastAsia" w:ascii="宋体" w:hAnsi="宋体" w:eastAsia="宋体" w:cs="宋体"/>
          <w:b/>
          <w:bCs/>
          <w:color w:val="auto"/>
          <w:sz w:val="32"/>
          <w:szCs w:val="32"/>
          <w:highlight w:val="none"/>
        </w:rPr>
        <w:t xml:space="preserve">响应文件目录</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hint="default"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二、上一年度的财务状况报告（磋商供应商成立不满一年无需提供）</w:t>
      </w:r>
      <w:r>
        <w:rPr>
          <w:rFonts w:hint="eastAsia" w:ascii="宋体" w:hAnsi="宋体" w:cs="宋体"/>
          <w:i/>
          <w:iCs/>
          <w:color w:val="auto"/>
          <w:sz w:val="24"/>
          <w:szCs w:val="24"/>
          <w:highlight w:val="none"/>
          <w:u w:val="single"/>
          <w:lang w:val="en-US" w:eastAsia="zh-CN"/>
        </w:rPr>
        <w:t xml:space="preserve">或承诺函</w:t>
      </w:r>
      <w:r/>
    </w:p>
    <w:p>
      <w:pPr>
        <w:ind w:firstLine="482"/>
        <w:spacing w:line="360" w:lineRule="auto"/>
        <w:shd w:val="clear" w:color="auto" w:fill="auto"/>
        <w:rPr>
          <w:rFonts w:hint="default"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auto"/>
          <w:sz w:val="24"/>
          <w:szCs w:val="24"/>
          <w:highlight w:val="none"/>
          <w:u w:val="single"/>
          <w:lang w:val="en-US" w:eastAsia="zh-CN"/>
        </w:rPr>
        <w:t xml:space="preserve">或承诺函</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六、法律、行政法规规定的其他条件的证明文件</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如有，请按要求提供</w:t>
      </w:r>
      <w:r>
        <w:rPr>
          <w:rFonts w:hint="eastAsia" w:ascii="宋体" w:hAnsi="宋体" w:eastAsia="宋体" w:cs="宋体"/>
          <w:i/>
          <w:iCs/>
          <w:color w:val="auto"/>
          <w:sz w:val="24"/>
          <w:szCs w:val="24"/>
          <w:highlight w:val="none"/>
          <w:u w:val="single"/>
          <w:lang w:eastAsia="zh-CN"/>
        </w:rPr>
        <w:t xml:space="preserve">）</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七、落实政府采购政策需满足的资格要求的证明文件</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如有，请按要求提供</w:t>
      </w:r>
      <w:r>
        <w:rPr>
          <w:rFonts w:hint="eastAsia" w:ascii="宋体" w:hAnsi="宋体" w:eastAsia="宋体" w:cs="宋体"/>
          <w:i/>
          <w:iCs/>
          <w:color w:val="auto"/>
          <w:sz w:val="24"/>
          <w:szCs w:val="24"/>
          <w:highlight w:val="none"/>
          <w:u w:val="single"/>
          <w:lang w:eastAsia="zh-CN"/>
        </w:rPr>
        <w:t xml:space="preserve">）</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八、特定资格要求的证明文件</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如有，请按要求提供</w:t>
      </w:r>
      <w:r>
        <w:rPr>
          <w:rFonts w:hint="eastAsia" w:ascii="宋体" w:hAnsi="宋体" w:eastAsia="宋体" w:cs="宋体"/>
          <w:i/>
          <w:iCs/>
          <w:color w:val="auto"/>
          <w:sz w:val="24"/>
          <w:szCs w:val="24"/>
          <w:highlight w:val="none"/>
          <w:u w:val="single"/>
          <w:lang w:eastAsia="zh-CN"/>
        </w:rPr>
        <w:t xml:space="preserve">）</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九、授权委托书与法定代表人（单位负责人）身份证明</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highlight w:val="none"/>
          <w:u w:val="single"/>
        </w:rPr>
        <w:t xml:space="preserve">十、磋商响应函</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i/>
          <w:iCs w:val="0"/>
          <w:color w:val="auto"/>
          <w:sz w:val="24"/>
          <w:szCs w:val="21"/>
          <w:highlight w:val="none"/>
          <w:u w:val="single"/>
          <w:lang w:val="en-US" w:eastAsia="zh-CN"/>
        </w:rPr>
        <w:t xml:space="preserve">十一</w:t>
      </w:r>
      <w:r>
        <w:rPr>
          <w:rFonts w:hint="eastAsia" w:ascii="宋体" w:hAnsi="宋体"/>
          <w:i/>
          <w:iCs w:val="0"/>
          <w:color w:val="auto"/>
          <w:sz w:val="24"/>
          <w:szCs w:val="21"/>
          <w:highlight w:val="none"/>
          <w:u w:val="single"/>
        </w:rPr>
        <w:t xml:space="preserve">、开标一览表</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i/>
          <w:iCs/>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iCs/>
          <w:color w:val="auto"/>
          <w:sz w:val="24"/>
          <w:szCs w:val="24"/>
          <w:highlight w:val="none"/>
          <w:u w:val="single"/>
          <w:lang w:val="en-US" w:eastAsia="zh-CN"/>
        </w:rPr>
        <w:t xml:space="preserve">十二</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中</w:t>
      </w:r>
      <w:r>
        <w:rPr>
          <w:rFonts w:hint="eastAsia" w:ascii="宋体" w:hAnsi="宋体" w:eastAsia="宋体" w:cs="宋体"/>
          <w:i/>
          <w:iCs/>
          <w:color w:val="auto"/>
          <w:sz w:val="24"/>
          <w:szCs w:val="24"/>
          <w:highlight w:val="none"/>
          <w:u w:val="single"/>
        </w:rPr>
        <w:t xml:space="preserve">小微企业声明函</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z w:val="24"/>
          <w:szCs w:val="24"/>
          <w:highlight w:val="none"/>
          <w:u w:val="none"/>
          <w:lang w:val="en-US" w:eastAsia="zh-CN"/>
        </w:rPr>
        <w:t xml:space="preserve">十三</w:t>
      </w:r>
      <w:r>
        <w:rPr>
          <w:rFonts w:hint="eastAsia" w:ascii="宋体" w:hAnsi="宋体" w:eastAsia="宋体" w:cs="宋体"/>
          <w:i w:val="0"/>
          <w:iCs w:val="0"/>
          <w:color w:val="auto"/>
          <w:sz w:val="24"/>
          <w:szCs w:val="24"/>
          <w:highlight w:val="none"/>
          <w:u w:val="none"/>
        </w:rPr>
        <w:t xml:space="preserve">、残疾人福利性单位声明函</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宋体"/>
          <w:i w:val="0"/>
          <w:iCs w:val="0"/>
          <w:color w:val="auto"/>
          <w:sz w:val="24"/>
          <w:szCs w:val="24"/>
          <w:highlight w:val="none"/>
          <w:u w:val="none"/>
          <w:lang w:val="en-US" w:eastAsia="zh-CN"/>
        </w:rPr>
        <w:t xml:space="preserve">十四、</w:t>
      </w:r>
      <w:r>
        <w:rPr>
          <w:rFonts w:hint="eastAsia" w:ascii="宋体" w:hAnsi="宋体" w:eastAsia="宋体" w:cs="宋体"/>
          <w:i w:val="0"/>
          <w:iCs w:val="0"/>
          <w:color w:val="auto"/>
          <w:sz w:val="24"/>
          <w:szCs w:val="24"/>
          <w:highlight w:val="none"/>
          <w:u w:val="none"/>
          <w:lang w:val="en-US" w:eastAsia="zh-CN"/>
        </w:rPr>
        <w:t xml:space="preserve">关于符合本国产品标准的声明函</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cs="宋体"/>
          <w:i/>
          <w:iCs/>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十</w:t>
      </w:r>
      <w:r>
        <w:rPr>
          <w:rFonts w:hint="eastAsia"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、报价表</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Times New Roman" w:eastAsia="宋体"/>
          <w:color w:val="auto"/>
          <w:highlight w:val="none"/>
          <w:lang w:val="en-US" w:eastAsia="zh-CN"/>
        </w:rPr>
        <w:t xml:space="preserve">六</w:t>
      </w:r>
      <w:r>
        <w:rPr>
          <w:rFonts w:hint="eastAsia" w:ascii="宋体" w:hAnsi="宋体" w:eastAsia="宋体" w:cs="宋体"/>
          <w:i w:val="0"/>
          <w:iCs w:val="0"/>
          <w:color w:val="auto"/>
          <w:sz w:val="24"/>
          <w:szCs w:val="24"/>
          <w:highlight w:val="none"/>
          <w:u w:val="none"/>
        </w:rPr>
        <w:t xml:space="preserve">、供应商承诺书</w:t>
      </w:r>
      <w:r/>
    </w:p>
    <w:p>
      <w:pPr>
        <w:pStyle w:val="790"/>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十</w:t>
      </w:r>
      <w:r>
        <w:rPr>
          <w:rFonts w:hint="eastAsia" w:cs="宋体"/>
          <w:color w:val="auto"/>
          <w:sz w:val="24"/>
          <w:szCs w:val="24"/>
          <w:highlight w:val="none"/>
          <w:lang w:val="en-US" w:eastAsia="zh-CN"/>
        </w:rPr>
        <w:t xml:space="preserve">七</w:t>
      </w:r>
      <w:r>
        <w:rPr>
          <w:rFonts w:hint="eastAsia"/>
          <w:color w:val="auto"/>
          <w:highlight w:val="none"/>
          <w:lang w:val="en-US" w:eastAsia="zh-CN"/>
        </w:rPr>
        <w:t xml:space="preserve">、</w:t>
      </w:r>
      <w:r>
        <w:rPr>
          <w:rFonts w:hint="eastAsia"/>
          <w:color w:val="auto"/>
          <w:highlight w:val="none"/>
        </w:rPr>
        <w:t xml:space="preserve">技术要求响应及偏离表</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十</w:t>
      </w:r>
      <w:r>
        <w:rPr>
          <w:rFonts w:hint="eastAsia" w:ascii="Times New Roman" w:eastAsia="宋体"/>
          <w:color w:val="auto"/>
          <w:highlight w:val="none"/>
          <w:lang w:val="en-US"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商务要求响应及偏离表</w:t>
      </w:r>
      <w:r/>
    </w:p>
    <w:p>
      <w:pPr>
        <w:pStyle w:val="790"/>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ascii="Times New Roman" w:eastAsia="宋体"/>
          <w:color w:val="auto"/>
          <w:highlight w:val="none"/>
          <w:lang w:val="en-US" w:eastAsia="zh-CN"/>
        </w:rPr>
        <w:t xml:space="preserve">九</w:t>
      </w:r>
      <w:r>
        <w:rPr>
          <w:rFonts w:hint="eastAsia"/>
          <w:color w:val="auto"/>
          <w:highlight w:val="none"/>
        </w:rPr>
        <w:t xml:space="preserve">、类似业绩一览表</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cs="宋体"/>
          <w:i/>
          <w:iCs/>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lang w:val="en-US" w:eastAsia="zh-CN"/>
        </w:rPr>
        <w:t xml:space="preserve">二十</w:t>
      </w:r>
      <w:r>
        <w:rPr>
          <w:rFonts w:hint="eastAsia"/>
          <w:color w:val="auto"/>
          <w:highlight w:val="none"/>
        </w:rPr>
        <w:t xml:space="preserve">、项目团队人员一览表</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lang w:val="en-US" w:eastAsia="zh-CN"/>
        </w:rPr>
        <w:t xml:space="preserve">二十</w:t>
      </w:r>
      <w:r>
        <w:rPr>
          <w:rFonts w:hint="eastAsia" w:cs="宋体"/>
          <w:color w:val="auto"/>
          <w:highlight w:val="none"/>
          <w:lang w:val="en-US" w:eastAsia="zh-CN"/>
        </w:rPr>
        <w:t xml:space="preserve">一</w:t>
      </w:r>
      <w:r>
        <w:rPr>
          <w:rFonts w:hint="eastAsia" w:ascii="宋体" w:hAnsi="Times New Roman" w:eastAsia="宋体" w:cs="宋体"/>
          <w:color w:val="auto"/>
          <w:highlight w:val="none"/>
        </w:rPr>
        <w:t xml:space="preserve">、其他材料</w:t>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rPr>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rPr>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rPr>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rPr>
      </w:r>
      <w:r/>
    </w:p>
    <w:p>
      <w:pPr>
        <w:pStyle w:val="79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auto"/>
          <w:highlight w:val="none"/>
        </w:rPr>
      </w:r>
      <w:bookmarkEnd w:id="201"/>
      <w:bookmarkEnd w:id="202"/>
      <w:bookmarkEnd w:id="203"/>
      <w:r/>
    </w:p>
    <w:p>
      <w:pPr>
        <w:numPr>
          <w:ilvl w:val="0"/>
          <w:numId w:val="4"/>
        </w:numPr>
        <w:rPr>
          <w:rFonts w:hint="eastAsia" w:ascii="宋体" w:hAnsi="宋体" w:cs="宋体"/>
          <w:b/>
          <w:bCs/>
          <w:i/>
          <w:color w:val="auto"/>
          <w:sz w:val="24"/>
          <w:highlight w:val="none"/>
          <w:u w:val="single"/>
        </w:rPr>
      </w:pPr>
      <w:r/>
      <w:bookmarkStart w:id="207" w:name="_Toc2818"/>
      <w:r/>
      <w:bookmarkStart w:id="208" w:name="_Toc23828483"/>
      <w:r/>
      <w:bookmarkStart w:id="209" w:name="_Toc513029281"/>
      <w:r/>
      <w:bookmarkStart w:id="210" w:name="_Toc120614284"/>
      <w:r/>
      <w:bookmarkStart w:id="211" w:name="_Toc120614291"/>
      <w:r/>
      <w:bookmarkStart w:id="212" w:name="_Toc24878535"/>
      <w:r/>
      <w:bookmarkStart w:id="213" w:name="_Toc49090582"/>
      <w:r/>
      <w:bookmarkStart w:id="214" w:name="_Toc22356583"/>
      <w:r/>
      <w:bookmarkStart w:id="215" w:name="_Toc26554103"/>
      <w:r>
        <w:rPr>
          <w:rFonts w:hint="eastAsia" w:ascii="宋体" w:hAnsi="宋体" w:cs="宋体"/>
          <w:b/>
          <w:bCs/>
          <w:i/>
          <w:color w:val="auto"/>
          <w:sz w:val="24"/>
          <w:highlight w:val="none"/>
          <w:u w:val="single"/>
        </w:rPr>
        <w:t xml:space="preserve">法人或者其他组织的营业执照等证明文件，自然人的身份证明</w:t>
      </w:r>
      <w:bookmarkEnd w:id="207"/>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numPr>
          <w:ilvl w:val="0"/>
          <w:numId w:val="0"/>
        </w:numPr>
        <w:jc w:val="both"/>
        <w:widowControl w:val="off"/>
        <w:rPr>
          <w:rFonts w:hint="eastAsia" w:ascii="宋体" w:hAnsi="宋体" w:cs="宋体"/>
          <w:b/>
          <w:bCs/>
          <w:i/>
          <w:color w:val="auto"/>
          <w:sz w:val="24"/>
          <w:highlight w:val="none"/>
          <w:u w:val="single"/>
        </w:rPr>
      </w:pPr>
      <w:r>
        <w:rPr>
          <w:rFonts w:hint="eastAsia" w:ascii="宋体" w:hAnsi="宋体" w:cs="宋体"/>
          <w:b/>
          <w:bCs/>
          <w:i/>
          <w:color w:val="auto"/>
          <w:sz w:val="24"/>
          <w:highlight w:val="none"/>
          <w:u w:val="single"/>
        </w:rPr>
      </w:r>
      <w:r/>
    </w:p>
    <w:p>
      <w:pPr>
        <w:jc w:val="left"/>
        <w:keepLines/>
        <w:keepNext/>
        <w:spacing w:before="360" w:after="200" w:line="360" w:lineRule="auto"/>
        <w:rPr>
          <w:rFonts w:ascii="宋体" w:hAnsi="宋体" w:cs="宋体"/>
          <w:b/>
          <w:bCs/>
          <w:i/>
          <w:color w:val="auto"/>
          <w:sz w:val="24"/>
          <w:highlight w:val="none"/>
          <w:u w:val="single"/>
        </w:rPr>
        <w:outlineLvl w:val="1"/>
      </w:pPr>
      <w:r/>
      <w:bookmarkStart w:id="216" w:name="_Toc6743"/>
      <w:r>
        <w:rPr>
          <w:rFonts w:hint="eastAsia" w:ascii="宋体" w:hAnsi="宋体" w:cs="宋体"/>
          <w:b/>
          <w:bCs/>
          <w:i/>
          <w:color w:val="auto"/>
          <w:sz w:val="24"/>
          <w:highlight w:val="none"/>
          <w:u w:val="single"/>
        </w:rPr>
        <w:t xml:space="preserve">二、上一年度的财务状况报告</w:t>
      </w:r>
      <w:bookmarkEnd w:id="216"/>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（成立不满一年无需提供）</w:t>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jc w:val="left"/>
        <w:keepLines/>
        <w:keepNext/>
        <w:spacing w:before="360" w:after="200" w:line="360" w:lineRule="auto"/>
        <w:rPr>
          <w:rFonts w:ascii="宋体" w:hAnsi="宋体" w:cs="宋体"/>
          <w:b/>
          <w:bCs/>
          <w:i/>
          <w:iCs/>
          <w:color w:val="auto"/>
          <w:sz w:val="24"/>
          <w:highlight w:val="none"/>
          <w:u w:val="single"/>
        </w:rPr>
        <w:outlineLvl w:val="1"/>
      </w:pPr>
      <w:r/>
      <w:bookmarkStart w:id="217" w:name="_Toc28234"/>
      <w:r>
        <w:rPr>
          <w:rFonts w:hint="eastAsia" w:ascii="宋体" w:hAnsi="宋体" w:cs="宋体"/>
          <w:b/>
          <w:bCs/>
          <w:i/>
          <w:iCs/>
          <w:color w:val="auto"/>
          <w:sz w:val="24"/>
          <w:highlight w:val="none"/>
          <w:u w:val="single"/>
        </w:rPr>
        <w:t xml:space="preserve">三、依法缴纳税收和社会保障资金的相关材料</w:t>
      </w:r>
      <w:bookmarkEnd w:id="217"/>
      <w:r/>
      <w:r/>
    </w:p>
    <w:p>
      <w:pPr>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财务状况报告及税收、社会保障资金缴纳情况承诺函</w:t>
      </w:r>
      <w:r/>
    </w:p>
    <w:p>
      <w:pPr>
        <w:jc w:val="left"/>
        <w:rPr>
          <w:rFonts w:ascii="宋体" w:hAnsi="宋体" w:cs="宋体"/>
          <w:color w:val="auto"/>
          <w:sz w:val="24"/>
          <w:highlight w:val="none"/>
        </w:rPr>
      </w:pPr>
      <w:r>
        <w:rPr>
          <w:rFonts w:ascii="宋体" w:hAnsi="宋体" w:cs="宋体"/>
          <w:color w:val="auto"/>
          <w:sz w:val="24"/>
          <w:highlight w:val="none"/>
        </w:rPr>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i/>
          <w:color w:val="auto"/>
          <w:szCs w:val="21"/>
          <w:highlight w:val="none"/>
          <w:u w:val="single"/>
        </w:rPr>
        <w:t xml:space="preserve">采购人名称</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我方</w:t>
      </w:r>
      <w:r>
        <w:rPr>
          <w:rFonts w:hint="eastAsia" w:ascii="宋体" w:hAnsi="宋体" w:cs="宋体"/>
          <w:i/>
          <w:color w:val="auto"/>
          <w:szCs w:val="21"/>
          <w:highlight w:val="none"/>
          <w:u w:val="single"/>
        </w:rPr>
        <w:t xml:space="preserve">供应商名称</w:t>
      </w:r>
      <w:r>
        <w:rPr>
          <w:rFonts w:hint="eastAsia" w:ascii="宋体" w:hAnsi="宋体" w:cs="宋体"/>
          <w:color w:val="auto"/>
          <w:szCs w:val="21"/>
          <w:highlight w:val="none"/>
        </w:rPr>
        <w:t xml:space="preserve">参加</w:t>
      </w:r>
      <w:r>
        <w:rPr>
          <w:rFonts w:hint="eastAsia" w:ascii="宋体" w:hAnsi="宋体" w:cs="宋体"/>
          <w:i/>
          <w:color w:val="auto"/>
          <w:szCs w:val="21"/>
          <w:highlight w:val="none"/>
          <w:u w:val="single"/>
        </w:rPr>
        <w:t xml:space="preserve">项目名称</w:t>
      </w:r>
      <w:r>
        <w:rPr>
          <w:rFonts w:hint="eastAsia" w:ascii="宋体" w:hAnsi="宋体" w:cs="宋体"/>
          <w:color w:val="auto"/>
          <w:szCs w:val="21"/>
          <w:highlight w:val="none"/>
        </w:rPr>
        <w:t xml:space="preserve">（项目编号：</w:t>
      </w:r>
      <w:r>
        <w:rPr>
          <w:rFonts w:hint="eastAsia" w:ascii="宋体" w:hAnsi="宋体" w:cs="宋体"/>
          <w:i/>
          <w:color w:val="auto"/>
          <w:szCs w:val="21"/>
          <w:highlight w:val="none"/>
          <w:u w:val="single"/>
        </w:rPr>
        <w:t xml:space="preserve">项目编号</w:t>
      </w:r>
      <w:r>
        <w:rPr>
          <w:rFonts w:hint="eastAsia" w:ascii="宋体" w:hAnsi="宋体" w:cs="宋体"/>
          <w:color w:val="auto"/>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（1）具有良好的商业信誉和健全的财务会计制度（财务状况报告）；</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（2）有依法缴纳税收和社会保障资金的良好记录。</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特此承诺</w:t>
      </w:r>
      <w:r/>
    </w:p>
    <w:p>
      <w:pPr>
        <w:ind w:firstLine="420"/>
        <w:jc w:val="left"/>
        <w:spacing w:line="50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法定代表人（单位负责人）或委托代理人（签名或签章）：</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keepNext/>
        <w:spacing w:before="360" w:after="200" w:line="360" w:lineRule="auto"/>
        <w:rPr>
          <w:rFonts w:ascii="宋体" w:hAnsi="宋体" w:cs="宋体"/>
          <w:b/>
          <w:bCs/>
          <w:i/>
          <w:iCs/>
          <w:color w:val="auto"/>
          <w:sz w:val="24"/>
          <w:highlight w:val="none"/>
          <w:u w:val="single"/>
        </w:rPr>
        <w:outlineLvl w:val="1"/>
      </w:pPr>
      <w:r/>
      <w:bookmarkStart w:id="218" w:name="_Toc5450"/>
      <w:r>
        <w:rPr>
          <w:rFonts w:hint="eastAsia" w:ascii="宋体" w:hAnsi="宋体" w:cs="宋体"/>
          <w:b/>
          <w:bCs/>
          <w:i/>
          <w:iCs/>
          <w:color w:val="auto"/>
          <w:sz w:val="24"/>
          <w:highlight w:val="none"/>
          <w:u w:val="single"/>
        </w:rPr>
        <w:t xml:space="preserve">四、具备履行合同所必需的设备和专业技术能力的声明及证明材料</w:t>
      </w:r>
      <w:bookmarkEnd w:id="218"/>
      <w:r/>
      <w:r/>
    </w:p>
    <w:p>
      <w:pPr>
        <w:jc w:val="center"/>
        <w:spacing w:line="460" w:lineRule="exact"/>
        <w:rPr>
          <w:rFonts w:hint="eastAsia" w:ascii="黑体" w:hAnsi="黑体" w:eastAsia="黑体" w:cs="黑体"/>
          <w:color w:val="auto"/>
          <w:sz w:val="32"/>
          <w:szCs w:val="32"/>
          <w:highlight w:val="none"/>
        </w:rPr>
      </w:pPr>
      <w:r>
        <w:rPr>
          <w:rFonts w:hint="eastAsia" w:ascii="黑体" w:hAnsi="黑体" w:eastAsia="黑体" w:cs="黑体"/>
          <w:bCs/>
          <w:color w:val="auto"/>
          <w:sz w:val="32"/>
          <w:szCs w:val="32"/>
          <w:highlight w:val="none"/>
        </w:rPr>
        <w:t xml:space="preserve">具备履行合同所必需的设备和专业技术能力的声明及证明材料</w:t>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主要设备有：</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。（须附证明材料）</w:t>
      </w:r>
      <w:r/>
    </w:p>
    <w:p>
      <w:pPr>
        <w:jc w:val="left"/>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主要专业技术能力有：</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。（须附证明材料）</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法定代表人（单位负责人）或委托代理人（签字或盖章）：</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附主要设备和主要专业技术能力的证明材料如下：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keepNext/>
        <w:spacing w:before="360" w:after="200" w:line="360" w:lineRule="auto"/>
        <w:rPr>
          <w:rFonts w:ascii="宋体" w:hAnsi="宋体" w:cs="宋体"/>
          <w:b/>
          <w:bCs/>
          <w:i/>
          <w:iCs/>
          <w:color w:val="auto"/>
          <w:sz w:val="24"/>
          <w:highlight w:val="none"/>
          <w:u w:val="single"/>
        </w:rPr>
        <w:outlineLvl w:val="1"/>
      </w:pPr>
      <w:r>
        <w:rPr>
          <w:rFonts w:ascii="宋体" w:hAnsi="宋体" w:cs="宋体"/>
          <w:b/>
          <w:bCs/>
          <w:i/>
          <w:iCs/>
          <w:color w:val="auto"/>
          <w:sz w:val="24"/>
          <w:highlight w:val="none"/>
          <w:u w:val="single"/>
        </w:rPr>
      </w:r>
      <w:r/>
    </w:p>
    <w:p>
      <w:pPr>
        <w:jc w:val="left"/>
        <w:keepLines/>
        <w:keepNext/>
        <w:spacing w:before="360" w:after="200" w:line="360" w:lineRule="auto"/>
        <w:rPr>
          <w:rFonts w:ascii="宋体" w:hAnsi="宋体" w:cs="宋体"/>
          <w:b/>
          <w:bCs/>
          <w:i/>
          <w:iCs/>
          <w:color w:val="auto"/>
          <w:sz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color w:val="auto"/>
          <w:sz w:val="24"/>
          <w:highlight w:val="none"/>
          <w:u w:val="single"/>
        </w:rPr>
      </w:r>
      <w:r/>
    </w:p>
    <w:p>
      <w:pPr>
        <w:jc w:val="left"/>
        <w:keepLines/>
        <w:keepNext/>
        <w:spacing w:before="360" w:after="200" w:line="360" w:lineRule="auto"/>
        <w:rPr>
          <w:rFonts w:ascii="宋体" w:hAnsi="宋体" w:cs="宋体"/>
          <w:b/>
          <w:bCs/>
          <w:i/>
          <w:iCs/>
          <w:color w:val="auto"/>
          <w:sz w:val="24"/>
          <w:highlight w:val="none"/>
          <w:u w:val="single"/>
        </w:rPr>
        <w:outlineLvl w:val="1"/>
      </w:pPr>
      <w:r/>
      <w:bookmarkStart w:id="219" w:name="_Toc32177"/>
      <w:r>
        <w:rPr>
          <w:rFonts w:hint="eastAsia" w:ascii="宋体" w:hAnsi="宋体" w:cs="宋体"/>
          <w:b/>
          <w:bCs/>
          <w:i/>
          <w:iCs/>
          <w:color w:val="auto"/>
          <w:sz w:val="24"/>
          <w:highlight w:val="none"/>
          <w:u w:val="single"/>
        </w:rPr>
        <w:t xml:space="preserve">五、参加政府采购活动前3年内在经营活动中没有重大违法记录的书面声明</w:t>
      </w:r>
      <w:bookmarkEnd w:id="219"/>
      <w:r/>
      <w:r/>
    </w:p>
    <w:p>
      <w:pPr>
        <w:jc w:val="center"/>
        <w:spacing w:line="460" w:lineRule="exact"/>
        <w:rPr>
          <w:rFonts w:hint="eastAsia" w:ascii="黑体" w:hAnsi="黑体" w:eastAsia="黑体" w:cs="黑体"/>
          <w:b/>
          <w:bCs/>
          <w:color w:val="auto"/>
          <w:sz w:val="32"/>
          <w:szCs w:val="32"/>
          <w:highlight w:val="none"/>
        </w:rPr>
      </w:pPr>
      <w:r>
        <w:rPr>
          <w:rFonts w:hint="eastAsia" w:ascii="黑体" w:hAnsi="黑体" w:eastAsia="黑体" w:cs="黑体"/>
          <w:bCs/>
          <w:color w:val="auto"/>
          <w:sz w:val="32"/>
          <w:szCs w:val="32"/>
          <w:highlight w:val="none"/>
        </w:rPr>
        <w:t xml:space="preserve">声  明</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公</w:t>
      </w:r>
      <w:r>
        <w:rPr>
          <w:rFonts w:hint="eastAsia" w:ascii="宋体" w:hAnsi="宋体" w:cs="宋体"/>
          <w:color w:val="auto"/>
          <w:szCs w:val="21"/>
          <w:highlight w:val="none"/>
        </w:rPr>
        <w:t xml:space="preserve">章）：</w:t>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法定代表人（单位负责人）或委托代理人（签字或盖章）：</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keepNext/>
        <w:spacing w:before="360" w:after="200" w:line="360" w:lineRule="auto"/>
        <w:rPr>
          <w:rFonts w:ascii="宋体" w:hAnsi="宋体" w:cs="宋体"/>
          <w:b/>
          <w:bCs/>
          <w:i/>
          <w:iCs/>
          <w:color w:val="auto"/>
          <w:sz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color w:val="auto"/>
          <w:sz w:val="24"/>
          <w:highlight w:val="none"/>
          <w:u w:val="single"/>
        </w:rPr>
      </w:r>
      <w:r/>
    </w:p>
    <w:p>
      <w:pPr>
        <w:jc w:val="left"/>
        <w:keepLines/>
        <w:keepNext/>
        <w:spacing w:before="360" w:after="200" w:line="360" w:lineRule="auto"/>
        <w:rPr>
          <w:rFonts w:ascii="宋体" w:hAnsi="宋体" w:cs="宋体"/>
          <w:b/>
          <w:bCs/>
          <w:i/>
          <w:iCs/>
          <w:color w:val="auto"/>
          <w:sz w:val="24"/>
          <w:highlight w:val="none"/>
          <w:u w:val="single"/>
        </w:rPr>
        <w:outlineLvl w:val="1"/>
      </w:pPr>
      <w:r/>
      <w:bookmarkStart w:id="220" w:name="_Toc6779"/>
      <w:r>
        <w:rPr>
          <w:rFonts w:hint="eastAsia" w:ascii="宋体" w:hAnsi="宋体" w:cs="宋体"/>
          <w:b/>
          <w:bCs/>
          <w:i/>
          <w:iCs/>
          <w:color w:val="auto"/>
          <w:sz w:val="24"/>
          <w:highlight w:val="none"/>
          <w:u w:val="single"/>
        </w:rPr>
        <w:t xml:space="preserve">六、法律、行政法规规定的其他条件的证明文件</w:t>
      </w:r>
      <w:bookmarkEnd w:id="220"/>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（如有，请按要求提供）</w:t>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jc w:val="left"/>
        <w:keepLines/>
        <w:keepNext/>
        <w:spacing w:before="360" w:after="200" w:line="360" w:lineRule="auto"/>
        <w:rPr>
          <w:rFonts w:ascii="宋体" w:hAnsi="宋体" w:cs="宋体"/>
          <w:b/>
          <w:bCs/>
          <w:i/>
          <w:iCs/>
          <w:color w:val="auto"/>
          <w:sz w:val="24"/>
          <w:highlight w:val="none"/>
          <w:u w:val="single"/>
        </w:rPr>
        <w:outlineLvl w:val="1"/>
      </w:pPr>
      <w:r/>
      <w:bookmarkStart w:id="221" w:name="_Toc14225"/>
      <w:r>
        <w:rPr>
          <w:rFonts w:hint="eastAsia" w:ascii="宋体" w:hAnsi="宋体" w:cs="宋体"/>
          <w:b/>
          <w:bCs/>
          <w:i/>
          <w:iCs/>
          <w:color w:val="auto"/>
          <w:sz w:val="24"/>
          <w:highlight w:val="none"/>
          <w:u w:val="single"/>
        </w:rPr>
        <w:t xml:space="preserve">七、落实政府采购政策需满足的资格要求的证明文件</w:t>
      </w:r>
      <w:bookmarkEnd w:id="221"/>
      <w:r/>
      <w:r/>
    </w:p>
    <w:p>
      <w:pPr>
        <w:ind w:firstLine="420"/>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（如有，请按要求提供）</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jc w:val="left"/>
        <w:keepLines/>
        <w:keepNext/>
        <w:spacing w:before="360" w:after="200" w:line="360" w:lineRule="auto"/>
        <w:rPr>
          <w:rFonts w:ascii="宋体" w:hAnsi="宋体" w:cs="宋体"/>
          <w:b/>
          <w:bCs/>
          <w:i/>
          <w:iCs/>
          <w:color w:val="auto"/>
          <w:sz w:val="24"/>
          <w:highlight w:val="none"/>
          <w:u w:val="single"/>
        </w:rPr>
        <w:outlineLvl w:val="1"/>
      </w:pPr>
      <w:r/>
      <w:bookmarkStart w:id="222" w:name="_Toc26018"/>
      <w:r>
        <w:rPr>
          <w:rFonts w:hint="eastAsia" w:ascii="宋体" w:hAnsi="宋体" w:cs="宋体"/>
          <w:b/>
          <w:bCs/>
          <w:i/>
          <w:iCs/>
          <w:color w:val="auto"/>
          <w:sz w:val="24"/>
          <w:highlight w:val="none"/>
          <w:u w:val="single"/>
        </w:rPr>
        <w:t xml:space="preserve">八、特定资格要求的证明文件</w:t>
      </w:r>
      <w:bookmarkEnd w:id="222"/>
      <w:r/>
      <w:r/>
    </w:p>
    <w:p>
      <w:pPr>
        <w:ind w:firstLine="420"/>
        <w:jc w:val="lef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（如有，请按要求提供）</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jc w:val="left"/>
        <w:keepLines/>
        <w:keepNext/>
        <w:spacing w:before="360" w:after="200" w:line="360" w:lineRule="auto"/>
        <w:rPr>
          <w:rFonts w:hint="eastAsia" w:ascii="宋体" w:hAnsi="宋体" w:eastAsia="宋体" w:cs="宋体"/>
          <w:b/>
          <w:bCs/>
          <w:i/>
          <w:iCs/>
          <w:color w:val="auto"/>
          <w:sz w:val="24"/>
          <w:highlight w:val="none"/>
          <w:u w:val="single"/>
        </w:rPr>
        <w:outlineLvl w:val="1"/>
      </w:pPr>
      <w:r/>
      <w:bookmarkStart w:id="223" w:name="_Toc27747"/>
      <w:r>
        <w:rPr>
          <w:rFonts w:hint="eastAsia" w:ascii="宋体" w:hAnsi="宋体" w:eastAsia="宋体" w:cs="宋体"/>
          <w:b/>
          <w:bCs/>
          <w:i/>
          <w:iCs/>
          <w:color w:val="auto"/>
          <w:sz w:val="24"/>
          <w:highlight w:val="none"/>
          <w:u w:val="single"/>
        </w:rPr>
        <w:t xml:space="preserve">九、授权委托书与法定代表人（单位负责人）身份证明</w:t>
      </w:r>
      <w:bookmarkEnd w:id="223"/>
      <w:r/>
      <w:r/>
    </w:p>
    <w:p>
      <w:pPr>
        <w:jc w:val="center"/>
        <w:spacing w:line="360" w:lineRule="exact"/>
        <w:rPr>
          <w:rFonts w:ascii="宋体" w:hAnsi="宋体" w:cs="宋体"/>
          <w:b/>
          <w:color w:val="auto"/>
          <w:szCs w:val="21"/>
          <w:highlight w:val="none"/>
        </w:rPr>
      </w:pPr>
      <w:r>
        <w:rPr>
          <w:rFonts w:hint="eastAsia" w:ascii="黑体" w:hAnsi="黑体" w:eastAsia="黑体" w:cs="黑体"/>
          <w:b/>
          <w:color w:val="auto"/>
          <w:sz w:val="32"/>
          <w:szCs w:val="32"/>
          <w:highlight w:val="none"/>
        </w:rPr>
        <w:t xml:space="preserve">授权委托书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采购单位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本人</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的法定代表人（单位负责人），现委托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为我方代理人。代理人根据授权，以我方名义签署、澄清确认、提交、撤回、修改</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项目（项目编号：）响应文件和处理有关事宜，其法律后果由我方承担。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委托期限：自本授权委托书签署之日起至响应有效期届满之日止。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rPr>
          <w:rFonts w:hint="eastAsia" w:ascii="宋体" w:hAnsi="宋体" w:cs="宋体"/>
          <w:color w:val="auto"/>
          <w:szCs w:val="21"/>
          <w:highlight w:val="none"/>
        </w:rPr>
        <w:b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法定代表人（单位负责人）（签字、签章或印鉴）：</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委托代理人（签字/签章）：</w:t>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w:t>
      </w:r>
      <w:r>
        <w:rPr>
          <w:rFonts w:hint="eastAsia" w:ascii="宋体" w:hAnsi="宋体" w:cs="宋体"/>
          <w:b/>
          <w:color w:val="auto"/>
          <w:szCs w:val="21"/>
          <w:highlight w:val="none"/>
        </w:rPr>
        <w:t xml:space="preserve">正反面</w:t>
      </w:r>
      <w:r>
        <w:rPr>
          <w:rFonts w:hint="eastAsia" w:ascii="宋体" w:hAnsi="宋体" w:cs="宋体"/>
          <w:color w:val="auto"/>
          <w:szCs w:val="21"/>
          <w:highlight w:val="none"/>
        </w:rPr>
        <w:t xml:space="preserve">电子件：</w:t>
      </w:r>
      <w:r/>
    </w:p>
    <w:tbl>
      <w:tblPr>
        <w:tblStyle w:val="7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614"/>
        </w:trPr>
        <w:tc>
          <w:tcPr>
            <w:tcW w:w="4673" w:type="dxa"/>
            <w:textDirection w:val="lrTb"/>
            <w:noWrap/>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tabs>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委托代理人有效期内的身份证</w:t>
      </w:r>
      <w:r>
        <w:rPr>
          <w:rFonts w:hint="eastAsia" w:ascii="宋体" w:hAnsi="宋体" w:cs="宋体"/>
          <w:b/>
          <w:color w:val="auto"/>
          <w:szCs w:val="21"/>
          <w:highlight w:val="none"/>
        </w:rPr>
        <w:t xml:space="preserve">正反面</w:t>
      </w:r>
      <w:r>
        <w:rPr>
          <w:rFonts w:hint="eastAsia" w:ascii="宋体" w:hAnsi="宋体" w:cs="宋体"/>
          <w:color w:val="auto"/>
          <w:szCs w:val="21"/>
          <w:highlight w:val="none"/>
        </w:rPr>
        <w:t xml:space="preserve">电子件：</w:t>
      </w:r>
      <w:r/>
    </w:p>
    <w:tbl>
      <w:tblPr>
        <w:tblStyle w:val="7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524"/>
        </w:trPr>
        <w:tc>
          <w:tcPr>
            <w:tcW w:w="4673" w:type="dxa"/>
            <w:textDirection w:val="lrTb"/>
            <w:noWrap/>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tabs>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填报说明：</w:t>
      </w:r>
      <w:r/>
    </w:p>
    <w:p>
      <w:pPr>
        <w:ind w:firstLine="420"/>
        <w:jc w:val="left"/>
        <w:spacing w:line="360" w:lineRule="auto"/>
        <w:tabs>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ascii="宋体" w:hAnsi="宋体" w:cs="宋体"/>
          <w:color w:val="auto"/>
          <w:sz w:val="24"/>
          <w:highlight w:val="none"/>
        </w:rPr>
      </w:pPr>
      <w:r>
        <w:rPr>
          <w:rFonts w:hint="eastAsia" w:ascii="宋体" w:hAnsi="宋体" w:cs="宋体"/>
          <w:color w:val="auto"/>
          <w:szCs w:val="21"/>
          <w:highlight w:val="none"/>
        </w:rPr>
        <w:t xml:space="preserve">3、供应商为自然人的情形，可不提供本《授权委托书》。</w:t>
      </w:r>
      <w:r/>
    </w:p>
    <w:p>
      <w:pPr>
        <w:rPr>
          <w:rFonts w:ascii="宋体" w:hAnsi="宋体" w:cs="宋体"/>
          <w:color w:val="auto"/>
          <w:sz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24"/>
          <w:highlight w:val="none"/>
        </w:rPr>
      </w:pPr>
      <w:r>
        <w:rPr>
          <w:rFonts w:hint="eastAsia" w:ascii="黑体" w:hAnsi="黑体" w:eastAsia="黑体" w:cs="黑体"/>
          <w:b/>
          <w:color w:val="auto"/>
          <w:sz w:val="32"/>
          <w:szCs w:val="32"/>
          <w:highlight w:val="none"/>
        </w:rPr>
        <w:t xml:space="preserve">法定代表人（单位负责人）身份证明</w:t>
      </w:r>
      <w:r/>
    </w:p>
    <w:p>
      <w:pPr>
        <w:spacing w:line="200" w:lineRule="exact"/>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auto"/>
          <w:szCs w:val="21"/>
          <w:highlight w:val="none"/>
        </w:rPr>
      </w:pPr>
      <w:r>
        <w:rPr>
          <w:rFonts w:hint="eastAsia" w:ascii="宋体" w:hAnsi="宋体" w:cs="宋体"/>
          <w:color w:val="auto"/>
          <w:szCs w:val="21"/>
          <w:highlight w:val="none"/>
        </w:rPr>
        <w:t xml:space="preserve">兹证明，</w:t>
      </w:r>
      <w:r/>
    </w:p>
    <w:p>
      <w:pPr>
        <w:ind w:firstLine="42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color w:val="auto"/>
          <w:szCs w:val="21"/>
          <w:highlight w:val="none"/>
        </w:rPr>
      </w:pPr>
      <w:r>
        <w:rPr>
          <w:rFonts w:hint="eastAsia" w:ascii="宋体" w:hAnsi="宋体" w:cs="宋体"/>
          <w:color w:val="auto"/>
          <w:szCs w:val="21"/>
          <w:highlight w:val="none"/>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auto"/>
          <w:szCs w:val="21"/>
          <w:highlight w:val="none"/>
        </w:rPr>
      </w:pPr>
      <w:r>
        <w:rPr>
          <w:rFonts w:ascii="宋体" w:hAnsi="宋体" w:cs="宋体"/>
          <w:color w:val="auto"/>
          <w:szCs w:val="21"/>
          <w:highlight w:val="none"/>
        </w:rPr>
      </w:r>
      <w:r/>
    </w:p>
    <w:p>
      <w:pPr>
        <w:ind w:firstLine="42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color w:val="auto"/>
          <w:szCs w:val="21"/>
          <w:highlight w:val="none"/>
        </w:rPr>
      </w:pPr>
      <w:r>
        <w:rPr>
          <w:rFonts w:ascii="宋体" w:hAnsi="宋体" w:cs="宋体"/>
          <w:color w:val="auto"/>
          <w:szCs w:val="21"/>
          <w:highlight w:val="none"/>
        </w:rPr>
      </w:r>
      <w:r/>
    </w:p>
    <w:p>
      <w:pPr>
        <w:ind w:right="-46" w:firstLine="408"/>
        <w:spacing w:before="120" w:line="583" w:lineRule="auto"/>
        <w:tabs>
          <w:tab w:val="left" w:pos="567" w:leader="none"/>
        </w:tabs>
        <w:rPr>
          <w:rFonts w:ascii="宋体" w:hAnsi="宋体" w:cs="宋体"/>
          <w:color w:val="auto"/>
          <w:spacing w:val="-3"/>
          <w:szCs w:val="21"/>
          <w:highlight w:val="none"/>
        </w:rPr>
      </w:pPr>
      <w:r>
        <w:rPr>
          <w:rFonts w:hint="eastAsia" w:ascii="宋体" w:hAnsi="宋体" w:cs="宋体"/>
          <w:color w:val="auto"/>
          <w:spacing w:val="-3"/>
          <w:szCs w:val="21"/>
          <w:highlight w:val="none"/>
        </w:rPr>
        <w:t xml:space="preserve">法</w:t>
      </w:r>
      <w:r>
        <w:rPr>
          <w:rFonts w:hint="eastAsia" w:ascii="宋体" w:hAnsi="宋体" w:cs="宋体"/>
          <w:color w:val="auto"/>
          <w:szCs w:val="21"/>
          <w:highlight w:val="none"/>
        </w:rPr>
        <w:t xml:space="preserve">定</w:t>
      </w:r>
      <w:r>
        <w:rPr>
          <w:rFonts w:hint="eastAsia" w:ascii="宋体" w:hAnsi="宋体" w:cs="宋体"/>
          <w:color w:val="auto"/>
          <w:spacing w:val="-3"/>
          <w:szCs w:val="21"/>
          <w:highlight w:val="none"/>
        </w:rPr>
        <w:t xml:space="preserve">代</w:t>
      </w:r>
      <w:r>
        <w:rPr>
          <w:rFonts w:hint="eastAsia" w:ascii="宋体" w:hAnsi="宋体" w:cs="宋体"/>
          <w:color w:val="auto"/>
          <w:szCs w:val="21"/>
          <w:highlight w:val="none"/>
        </w:rPr>
        <w:t xml:space="preserve">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单</w:t>
      </w:r>
      <w:r>
        <w:rPr>
          <w:rFonts w:hint="eastAsia" w:ascii="宋体" w:hAnsi="宋体" w:cs="宋体"/>
          <w:color w:val="auto"/>
          <w:szCs w:val="21"/>
          <w:highlight w:val="none"/>
        </w:rPr>
        <w:t xml:space="preserve">位</w:t>
      </w:r>
      <w:r>
        <w:rPr>
          <w:rFonts w:hint="eastAsia" w:ascii="宋体" w:hAnsi="宋体" w:cs="宋体"/>
          <w:color w:val="auto"/>
          <w:spacing w:val="-3"/>
          <w:szCs w:val="21"/>
          <w:highlight w:val="none"/>
        </w:rPr>
        <w:t xml:space="preserve">负</w:t>
      </w:r>
      <w:r>
        <w:rPr>
          <w:rFonts w:hint="eastAsia" w:ascii="宋体" w:hAnsi="宋体" w:cs="宋体"/>
          <w:color w:val="auto"/>
          <w:szCs w:val="21"/>
          <w:highlight w:val="none"/>
        </w:rPr>
        <w:t xml:space="preserve">责人</w:t>
      </w:r>
      <w:r>
        <w:rPr>
          <w:rFonts w:hint="eastAsia" w:ascii="宋体" w:hAnsi="宋体" w:cs="宋体"/>
          <w:color w:val="auto"/>
          <w:spacing w:val="-3"/>
          <w:szCs w:val="21"/>
          <w:highlight w:val="none"/>
        </w:rPr>
        <w:t xml:space="preserve">）有效期内的身份证正反面电子件：</w:t>
      </w:r>
      <w:r/>
    </w:p>
    <w:tbl>
      <w:tblPr>
        <w:tblStyle w:val="7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694"/>
        </w:trPr>
        <w:tc>
          <w:tcPr>
            <w:tcW w:w="4673" w:type="dxa"/>
            <w:textDirection w:val="lrTb"/>
            <w:noWrap/>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w:t>
      </w:r>
      <w:r/>
    </w:p>
    <w:p>
      <w:pPr>
        <w:spacing w:line="360" w:lineRule="auto"/>
        <w:rPr>
          <w:rFonts w:ascii="宋体" w:hAnsi="宋体" w:cs="宋体"/>
          <w:color w:val="auto"/>
          <w:szCs w:val="21"/>
          <w:highlight w:val="none"/>
        </w:rPr>
      </w:pPr>
      <w:r>
        <w:rPr>
          <w:rFonts w:hint="eastAsia" w:ascii="宋体" w:hAnsi="宋体" w:cs="宋体"/>
          <w:color w:val="auto"/>
          <w:spacing w:val="-3"/>
          <w:szCs w:val="21"/>
          <w:highlight w:val="none"/>
        </w:rPr>
        <w:t xml:space="preserve">法定代表人（</w:t>
      </w:r>
      <w:r>
        <w:rPr>
          <w:rFonts w:hint="eastAsia" w:ascii="宋体" w:hAnsi="宋体" w:cs="宋体"/>
          <w:color w:val="auto"/>
          <w:szCs w:val="21"/>
          <w:highlight w:val="none"/>
        </w:rPr>
        <w:t xml:space="preserve">单位负责人</w:t>
      </w:r>
      <w:r>
        <w:rPr>
          <w:rFonts w:hint="eastAsia" w:ascii="宋体" w:hAnsi="宋体" w:cs="宋体"/>
          <w:color w:val="auto"/>
          <w:spacing w:val="-3"/>
          <w:szCs w:val="21"/>
          <w:highlight w:val="none"/>
        </w:rPr>
        <w:t xml:space="preserve">）（签字、签章或印鉴）：</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keepLines/>
        <w:keepNext/>
        <w:spacing w:before="260" w:after="260" w:line="416" w:lineRule="auto"/>
        <w:rPr>
          <w:rFonts w:ascii="宋体" w:hAnsi="宋体" w:cs="宋体"/>
          <w:b/>
          <w:bCs/>
          <w:i/>
          <w:iCs/>
          <w:color w:val="auto"/>
          <w:sz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color w:val="auto"/>
          <w:sz w:val="24"/>
          <w:highlight w:val="none"/>
          <w:u w:val="single"/>
        </w:rPr>
      </w:r>
      <w:r/>
    </w:p>
    <w:p>
      <w:pPr>
        <w:jc w:val="left"/>
        <w:keepLines/>
        <w:keepNext/>
        <w:spacing w:before="260" w:after="260" w:line="416" w:lineRule="auto"/>
        <w:rPr>
          <w:rFonts w:ascii="宋体" w:hAnsi="宋体" w:cs="宋体"/>
          <w:b/>
          <w:bCs/>
          <w:i/>
          <w:color w:val="auto"/>
          <w:sz w:val="24"/>
          <w:highlight w:val="none"/>
          <w:u w:val="single"/>
        </w:rPr>
        <w:outlineLvl w:val="1"/>
      </w:pPr>
      <w:r/>
      <w:bookmarkStart w:id="224" w:name="_Toc625"/>
      <w:r>
        <w:rPr>
          <w:rFonts w:hint="eastAsia" w:ascii="宋体" w:hAnsi="宋体" w:cs="宋体"/>
          <w:b/>
          <w:bCs/>
          <w:i/>
          <w:iCs/>
          <w:color w:val="auto"/>
          <w:sz w:val="24"/>
          <w:highlight w:val="none"/>
          <w:u w:val="single"/>
        </w:rPr>
        <w:t xml:space="preserve">十、磋商响应函</w:t>
      </w:r>
      <w:bookmarkEnd w:id="224"/>
      <w:r/>
      <w:r/>
    </w:p>
    <w:p>
      <w:pPr>
        <w:jc w:val="center"/>
        <w:spacing w:line="360" w:lineRule="auto"/>
        <w:tabs>
          <w:tab w:val="left" w:pos="360" w:leader="none"/>
        </w:tabs>
        <w:rPr>
          <w:rFonts w:hint="eastAsia" w:ascii="黑体" w:hAnsi="黑体" w:eastAsia="黑体" w:cs="黑体"/>
          <w:color w:val="auto"/>
          <w:sz w:val="32"/>
          <w:szCs w:val="32"/>
          <w:highlight w:val="none"/>
        </w:rPr>
      </w:pPr>
      <w:r>
        <w:rPr>
          <w:rFonts w:hint="eastAsia" w:ascii="黑体" w:hAnsi="黑体" w:eastAsia="黑体" w:cs="黑体"/>
          <w:bCs/>
          <w:color w:val="auto"/>
          <w:sz w:val="32"/>
          <w:szCs w:val="32"/>
          <w:highlight w:val="none"/>
        </w:rPr>
        <w:t xml:space="preserve">磋商响应函</w:t>
      </w:r>
      <w:r/>
    </w:p>
    <w:p>
      <w:pPr>
        <w:pStyle w:val="79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lang w:val="en-US" w:eastAsia="zh-CN"/>
        </w:rPr>
        <w:t xml:space="preserve">（项目编号）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号磋商文件，正式授权下述签字人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(姓名)代表我方______________（供应商的名称），全权处理本次项目磋商的有关事宜。</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据此函，__________签字人兹宣布同意如下：</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1.按磋商文件规定的各项要求，向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提供所需</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相关的服务及与</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相关的货物）。</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t xml:space="preserve">2.我们完全理解贵方不一定将合同授予最低报价的供应商。</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4.我们同意从规定的开标日期起遵循本响应文件，并在规定的磋商有效期期满之前均具有约束力。</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5.同意向贵方提供贵方可能另外要求的与磋商有关的任何证据或资料，并保证我方已提供和将要提供的文件是真实的、准确的。</w:t>
      </w:r>
      <w:r/>
    </w:p>
    <w:p>
      <w:pPr>
        <w:pStyle w:val="790"/>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w:t>
      </w:r>
      <w:r>
        <w:rPr>
          <w:rFonts w:hint="eastAsia" w:ascii="宋体" w:hAnsi="宋体" w:eastAsia="宋体" w:cs="宋体"/>
          <w:color w:val="auto"/>
          <w:sz w:val="21"/>
          <w:szCs w:val="21"/>
          <w:highlight w:val="none"/>
          <w:lang w:val="en-US" w:eastAsia="zh-CN"/>
        </w:rPr>
        <w:t xml:space="preserve">贵</w:t>
      </w:r>
      <w:r>
        <w:rPr>
          <w:rFonts w:hint="eastAsia" w:ascii="宋体" w:hAnsi="宋体" w:eastAsia="宋体" w:cs="宋体"/>
          <w:color w:val="auto"/>
          <w:sz w:val="21"/>
          <w:szCs w:val="21"/>
          <w:highlight w:val="none"/>
        </w:rPr>
        <w:t xml:space="preserve">方验收、使用。</w:t>
      </w:r>
      <w:r/>
    </w:p>
    <w:p>
      <w:pPr>
        <w:pStyle w:val="790"/>
        <w:ind w:left="425"/>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t xml:space="preserve">7.我方与本磋商有关的正式通讯地址为：</w:t>
      </w:r>
      <w:r/>
    </w:p>
    <w:p>
      <w:pPr>
        <w:pStyle w:val="790"/>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地 址：</w:t>
      </w:r>
      <w:r/>
    </w:p>
    <w:p>
      <w:pPr>
        <w:pStyle w:val="790"/>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邮 编：</w:t>
      </w:r>
      <w:r/>
    </w:p>
    <w:p>
      <w:pPr>
        <w:pStyle w:val="790"/>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电 话：</w:t>
      </w:r>
      <w:r/>
    </w:p>
    <w:p>
      <w:pPr>
        <w:pStyle w:val="790"/>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传 真：</w:t>
      </w:r>
      <w:r/>
    </w:p>
    <w:p>
      <w:pPr>
        <w:pStyle w:val="790"/>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供应商开户行：</w:t>
      </w:r>
      <w:r/>
    </w:p>
    <w:p>
      <w:pPr>
        <w:pStyle w:val="790"/>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账 号：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keepNext/>
        <w:spacing w:before="260" w:after="260" w:line="416" w:lineRule="auto"/>
        <w:rPr>
          <w:rFonts w:hint="eastAsia" w:ascii="宋体" w:hAnsi="宋体" w:eastAsia="宋体" w:cs="宋体"/>
          <w:b/>
          <w:bCs/>
          <w:i/>
          <w:iCs/>
          <w:color w:val="auto"/>
          <w:sz w:val="24"/>
          <w:highlight w:val="none"/>
          <w:u w:val="single"/>
        </w:rPr>
        <w:outlineLvl w:val="1"/>
      </w:pPr>
      <w:r>
        <w:rPr>
          <w:rFonts w:hint="eastAsia" w:ascii="宋体" w:hAnsi="宋体" w:eastAsia="宋体" w:cs="宋体"/>
          <w:b/>
          <w:bCs/>
          <w:i/>
          <w:iCs/>
          <w:color w:val="auto"/>
          <w:sz w:val="24"/>
          <w:highlight w:val="none"/>
          <w:u w:val="single"/>
          <w:lang w:val="en-US" w:eastAsia="zh-CN"/>
        </w:rPr>
        <w:t xml:space="preserve">十一</w:t>
      </w:r>
      <w:r>
        <w:rPr>
          <w:rFonts w:hint="eastAsia" w:ascii="宋体" w:hAnsi="宋体" w:eastAsia="宋体" w:cs="宋体"/>
          <w:b/>
          <w:bCs/>
          <w:i/>
          <w:iCs/>
          <w:color w:val="auto"/>
          <w:sz w:val="24"/>
          <w:highlight w:val="none"/>
          <w:u w:val="single"/>
        </w:rPr>
        <w:t xml:space="preserve">、开标一览表</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center"/>
        <w:spacing w:line="360" w:lineRule="auto"/>
        <w:tabs>
          <w:tab w:val="left" w:pos="360" w:leader="none"/>
        </w:tabs>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开标一览表</w:t>
      </w:r>
      <w:r/>
    </w:p>
    <w:p>
      <w:pPr>
        <w:jc w:val="center"/>
        <w:spacing w:line="360" w:lineRule="auto"/>
        <w:tabs>
          <w:tab w:val="left" w:pos="36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7666"/>
      </w:tblGrid>
      <w:tr>
        <w:trPr>
          <w:jc w:val="center"/>
          <w:trHeight w:val="1319"/>
        </w:trPr>
        <w:tc>
          <w:tcPr>
            <w:tcW w:w="1411" w:type="dxa"/>
            <w:vAlign w:val="center"/>
            <w:textDirection w:val="lrTb"/>
            <w:noWrap w:val="false"/>
          </w:tcPr>
          <w:p>
            <w:pPr>
              <w:pStyle w:val="1059"/>
              <w:ind w:left="0" w:firstLine="0"/>
              <w:jc w:val="center"/>
              <w:rPr>
                <w:rFonts w:ascii="宋体" w:eastAsia="宋体" w:cs="宋体"/>
                <w:bCs/>
                <w:color w:val="auto"/>
                <w:highlight w:val="none"/>
              </w:rPr>
            </w:pPr>
            <w:r>
              <w:rPr>
                <w:rFonts w:hint="eastAsia" w:ascii="宋体" w:eastAsia="宋体" w:cs="宋体"/>
                <w:bCs/>
                <w:color w:val="auto"/>
                <w:highlight w:val="none"/>
              </w:rPr>
              <w:t xml:space="preserve">项   目</w:t>
            </w:r>
            <w:r/>
          </w:p>
        </w:tc>
        <w:tc>
          <w:tcPr>
            <w:tcW w:w="7666" w:type="dxa"/>
            <w:vAlign w:val="center"/>
            <w:textDirection w:val="lrTb"/>
            <w:noWrap w:val="false"/>
          </w:tcPr>
          <w:p>
            <w:pPr>
              <w:pStyle w:val="1059"/>
              <w:ind w:left="0" w:firstLine="0"/>
              <w:rPr>
                <w:rFonts w:ascii="宋体" w:eastAsia="宋体" w:cs="宋体"/>
                <w:bCs/>
                <w:color w:val="auto"/>
                <w:highlight w:val="none"/>
              </w:rPr>
            </w:pPr>
            <w:r>
              <w:rPr>
                <w:rFonts w:hint="eastAsia" w:ascii="宋体" w:eastAsia="宋体" w:cs="宋体"/>
                <w:bCs/>
                <w:color w:val="auto"/>
                <w:highlight w:val="none"/>
              </w:rPr>
              <w:t xml:space="preserve">项目名称：</w:t>
            </w:r>
            <w:r/>
          </w:p>
          <w:p>
            <w:pPr>
              <w:pStyle w:val="1059"/>
              <w:ind w:left="0" w:firstLine="0"/>
              <w:rPr>
                <w:rFonts w:ascii="宋体" w:eastAsia="宋体" w:cs="宋体"/>
                <w:bCs/>
                <w:color w:val="auto"/>
                <w:highlight w:val="none"/>
              </w:rPr>
            </w:pPr>
            <w:r>
              <w:rPr>
                <w:rFonts w:hint="eastAsia" w:ascii="宋体" w:eastAsia="宋体" w:cs="宋体"/>
                <w:bCs/>
                <w:color w:val="auto"/>
                <w:highlight w:val="none"/>
              </w:rPr>
              <w:t xml:space="preserve">项目编号：</w:t>
            </w:r>
            <w:r/>
          </w:p>
        </w:tc>
      </w:tr>
      <w:tr>
        <w:trPr>
          <w:cantSplit/>
          <w:jc w:val="center"/>
          <w:trHeight w:val="1974"/>
        </w:trPr>
        <w:tc>
          <w:tcPr>
            <w:tcW w:w="1411" w:type="dxa"/>
            <w:vAlign w:val="center"/>
            <w:textDirection w:val="lrTb"/>
            <w:noWrap w:val="false"/>
          </w:tcPr>
          <w:p>
            <w:pPr>
              <w:pStyle w:val="1059"/>
              <w:ind w:left="0" w:firstLine="0"/>
              <w:jc w:val="center"/>
              <w:rPr>
                <w:rFonts w:ascii="宋体" w:eastAsia="宋体" w:cs="宋体"/>
                <w:bCs/>
                <w:color w:val="auto"/>
                <w:highlight w:val="none"/>
              </w:rPr>
            </w:pPr>
            <w:r>
              <w:rPr>
                <w:rFonts w:hint="eastAsia" w:ascii="宋体" w:eastAsia="宋体" w:cs="宋体"/>
                <w:bCs/>
                <w:color w:val="auto"/>
                <w:highlight w:val="none"/>
              </w:rPr>
              <w:t xml:space="preserve">响</w:t>
            </w:r>
            <w:r>
              <w:rPr>
                <w:rFonts w:hint="eastAsia" w:ascii="宋体" w:eastAsia="宋体" w:cs="宋体"/>
                <w:bCs/>
                <w:color w:val="auto"/>
                <w:highlight w:val="none"/>
                <w:lang w:val="en-US" w:eastAsia="zh-CN"/>
              </w:rPr>
              <w:t xml:space="preserve">  </w:t>
            </w:r>
            <w:r>
              <w:rPr>
                <w:rFonts w:hint="eastAsia" w:ascii="宋体" w:eastAsia="宋体" w:cs="宋体"/>
                <w:bCs/>
                <w:color w:val="auto"/>
                <w:highlight w:val="none"/>
              </w:rPr>
              <w:t xml:space="preserve">应</w:t>
            </w:r>
            <w:r/>
          </w:p>
          <w:p>
            <w:pPr>
              <w:pStyle w:val="1059"/>
              <w:ind w:left="0" w:firstLine="0"/>
              <w:jc w:val="center"/>
              <w:rPr>
                <w:rFonts w:ascii="宋体" w:eastAsia="宋体" w:cs="宋体"/>
                <w:bCs/>
                <w:color w:val="auto"/>
                <w:highlight w:val="none"/>
              </w:rPr>
            </w:pPr>
            <w:r>
              <w:rPr>
                <w:rFonts w:hint="eastAsia" w:ascii="宋体" w:eastAsia="宋体" w:cs="宋体"/>
                <w:bCs/>
                <w:color w:val="auto"/>
                <w:highlight w:val="none"/>
              </w:rPr>
              <w:t xml:space="preserve">报</w:t>
            </w:r>
            <w:r>
              <w:rPr>
                <w:rFonts w:hint="eastAsia" w:ascii="宋体" w:eastAsia="宋体" w:cs="宋体"/>
                <w:bCs/>
                <w:color w:val="auto"/>
                <w:highlight w:val="none"/>
                <w:lang w:val="en-US" w:eastAsia="zh-CN"/>
              </w:rPr>
              <w:t xml:space="preserve">  </w:t>
            </w:r>
            <w:r>
              <w:rPr>
                <w:rFonts w:hint="eastAsia" w:ascii="宋体" w:eastAsia="宋体" w:cs="宋体"/>
                <w:bCs/>
                <w:color w:val="auto"/>
                <w:highlight w:val="none"/>
              </w:rPr>
              <w:t xml:space="preserve">价</w:t>
            </w:r>
            <w:r/>
          </w:p>
        </w:tc>
        <w:tc>
          <w:tcPr>
            <w:tcW w:w="7666"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w:t>
            </w:r>
            <w:r/>
          </w:p>
          <w:p>
            <w:pPr>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w:t>
            </w:r>
            <w:r/>
          </w:p>
          <w:p>
            <w:pPr>
              <w:ind w:firstLine="720"/>
              <w:jc w:val="right"/>
              <w:spacing w:line="560" w:lineRule="exact"/>
              <w:rPr>
                <w:rFonts w:hint="eastAsia" w:ascii="宋体" w:hAnsi="宋体" w:cs="宋体"/>
                <w:color w:val="auto"/>
                <w:sz w:val="24"/>
                <w:highlight w:val="none"/>
              </w:rPr>
            </w:pP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（人民币：元）</w:t>
            </w:r>
            <w:r/>
          </w:p>
        </w:tc>
      </w:tr>
      <w:tr>
        <w:trPr>
          <w:cantSplit/>
          <w:jc w:val="center"/>
          <w:trHeight w:val="1651"/>
        </w:trPr>
        <w:tc>
          <w:tcPr>
            <w:tcW w:w="1411" w:type="dxa"/>
            <w:vAlign w:val="center"/>
            <w:textDirection w:val="lrTb"/>
            <w:noWrap w:val="false"/>
          </w:tcPr>
          <w:p>
            <w:pPr>
              <w:pStyle w:val="1059"/>
              <w:ind w:left="0" w:firstLine="0"/>
              <w:jc w:val="center"/>
              <w:rPr>
                <w:rFonts w:ascii="宋体" w:eastAsia="宋体" w:cs="宋体"/>
                <w:bCs/>
                <w:color w:val="auto"/>
                <w:highlight w:val="none"/>
              </w:rPr>
            </w:pPr>
            <w:r>
              <w:rPr>
                <w:rFonts w:hint="eastAsia" w:ascii="宋体" w:eastAsia="宋体" w:cs="宋体"/>
                <w:bCs/>
                <w:color w:val="auto"/>
                <w:highlight w:val="none"/>
              </w:rPr>
              <w:t xml:space="preserve">预</w:t>
            </w:r>
            <w:r>
              <w:rPr>
                <w:rFonts w:hint="eastAsia" w:ascii="宋体" w:eastAsia="宋体" w:cs="宋体"/>
                <w:bCs/>
                <w:color w:val="auto"/>
                <w:highlight w:val="none"/>
                <w:lang w:val="en-US" w:eastAsia="zh-CN"/>
              </w:rPr>
              <w:t xml:space="preserve">  </w:t>
            </w:r>
            <w:r>
              <w:rPr>
                <w:rFonts w:hint="eastAsia" w:ascii="宋体" w:eastAsia="宋体" w:cs="宋体"/>
                <w:bCs/>
                <w:color w:val="auto"/>
                <w:highlight w:val="none"/>
              </w:rPr>
              <w:t xml:space="preserve">计</w:t>
            </w:r>
            <w:r/>
          </w:p>
          <w:p>
            <w:pPr>
              <w:pStyle w:val="1059"/>
              <w:ind w:left="0" w:firstLine="0"/>
              <w:jc w:val="center"/>
              <w:rPr>
                <w:rFonts w:ascii="宋体" w:eastAsia="宋体" w:cs="宋体"/>
                <w:bCs/>
                <w:color w:val="auto"/>
                <w:highlight w:val="none"/>
              </w:rPr>
            </w:pPr>
            <w:r>
              <w:rPr>
                <w:rFonts w:hint="eastAsia" w:ascii="宋体" w:eastAsia="宋体" w:cs="宋体"/>
                <w:bCs/>
                <w:color w:val="auto"/>
                <w:highlight w:val="none"/>
              </w:rPr>
              <w:t xml:space="preserve">工</w:t>
            </w:r>
            <w:r>
              <w:rPr>
                <w:rFonts w:hint="eastAsia" w:ascii="宋体" w:eastAsia="宋体" w:cs="宋体"/>
                <w:bCs/>
                <w:color w:val="auto"/>
                <w:highlight w:val="none"/>
                <w:lang w:val="en-US" w:eastAsia="zh-CN"/>
              </w:rPr>
              <w:t xml:space="preserve">  </w:t>
            </w:r>
            <w:r>
              <w:rPr>
                <w:rFonts w:hint="eastAsia" w:ascii="宋体" w:eastAsia="宋体" w:cs="宋体"/>
                <w:bCs/>
                <w:color w:val="auto"/>
                <w:highlight w:val="none"/>
              </w:rPr>
              <w:t xml:space="preserve">期</w:t>
            </w:r>
            <w:r/>
          </w:p>
        </w:tc>
        <w:tc>
          <w:tcPr>
            <w:tcW w:w="7666" w:type="dxa"/>
            <w:vAlign w:val="center"/>
            <w:textDirection w:val="lrTb"/>
            <w:noWrap w:val="false"/>
          </w:tcPr>
          <w:p>
            <w:pPr>
              <w:pStyle w:val="1059"/>
              <w:ind w:left="0" w:firstLine="0"/>
              <w:rPr>
                <w:rFonts w:ascii="宋体" w:eastAsia="宋体" w:cs="宋体"/>
                <w:bCs/>
                <w:color w:val="auto"/>
                <w:highlight w:val="none"/>
              </w:rPr>
            </w:pPr>
            <w:r>
              <w:rPr>
                <w:rFonts w:ascii="宋体" w:eastAsia="宋体" w:cs="宋体"/>
                <w:bCs/>
                <w:color w:val="auto"/>
                <w:highlight w:val="none"/>
                <w:u w:val="single"/>
              </w:rPr>
              <w:t xml:space="preserve">        </w:t>
            </w:r>
            <w:r>
              <w:rPr>
                <w:rFonts w:hint="eastAsia" w:ascii="宋体" w:eastAsia="宋体" w:cs="宋体"/>
                <w:bCs/>
                <w:color w:val="auto"/>
                <w:highlight w:val="none"/>
              </w:rPr>
              <w:t xml:space="preserve">日历天，实际开工日期以采购人发出的书面通知（开工令）为准。</w:t>
            </w:r>
            <w:r/>
          </w:p>
        </w:tc>
      </w:tr>
      <w:tr>
        <w:trPr>
          <w:cantSplit/>
          <w:jc w:val="center"/>
          <w:trHeight w:val="1651"/>
        </w:trPr>
        <w:tc>
          <w:tcPr>
            <w:gridSpan w:val="2"/>
            <w:tcW w:w="9077" w:type="dxa"/>
            <w:vAlign w:val="center"/>
            <w:textDirection w:val="lrTb"/>
            <w:noWrap w:val="false"/>
          </w:tcPr>
          <w:p>
            <w:pPr>
              <w:pStyle w:val="1059"/>
              <w:ind w:left="410" w:firstLine="480"/>
              <w:rPr>
                <w:rFonts w:ascii="宋体" w:eastAsia="宋体" w:cs="宋体"/>
                <w:color w:val="auto"/>
                <w:highlight w:val="none"/>
              </w:rPr>
            </w:pPr>
            <w:r>
              <w:rPr>
                <w:rFonts w:hint="eastAsia" w:ascii="宋体" w:eastAsia="宋体" w:cs="宋体"/>
                <w:color w:val="auto"/>
                <w:highlight w:val="none"/>
              </w:rPr>
              <w:t xml:space="preserve">质量标准：</w:t>
            </w:r>
            <w:r/>
          </w:p>
          <w:p>
            <w:pPr>
              <w:pStyle w:val="1059"/>
              <w:ind w:left="410" w:firstLine="480"/>
              <w:rPr>
                <w:rFonts w:ascii="宋体" w:eastAsia="宋体" w:cs="宋体"/>
                <w:color w:val="auto"/>
                <w:highlight w:val="none"/>
              </w:rPr>
            </w:pPr>
            <w:r>
              <w:rPr>
                <w:rFonts w:hint="eastAsia" w:ascii="宋体" w:eastAsia="宋体" w:cs="宋体"/>
                <w:color w:val="auto"/>
                <w:highlight w:val="none"/>
              </w:rPr>
              <w:t xml:space="preserve">项目负责人：</w:t>
            </w:r>
            <w:r/>
          </w:p>
        </w:tc>
      </w:tr>
    </w:tbl>
    <w:p>
      <w:pPr>
        <w:pStyle w:val="1059"/>
        <w:ind w:left="410" w:firstLine="420"/>
        <w:rPr>
          <w:rFonts w:ascii="宋体" w:eastAsia="宋体" w:cs="宋体"/>
          <w:bCs/>
          <w:color w:val="auto"/>
          <w:highlight w:val="none"/>
        </w:rPr>
      </w:pPr>
      <w:r>
        <w:rPr>
          <w:rFonts w:ascii="宋体" w:eastAsia="宋体" w:cs="宋体"/>
          <w:bCs/>
          <w:color w:val="auto"/>
          <w:highlight w:val="none"/>
        </w:rPr>
      </w:r>
      <w:r/>
    </w:p>
    <w:p>
      <w:pPr>
        <w:ind w:firstLine="480"/>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盖章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法定代表人（授权代表）签名：  </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注：①磋商报价应包括磋商文件所确定的采购范围的全部内容，但</w:t>
      </w:r>
      <w:r>
        <w:rPr>
          <w:rFonts w:hint="eastAsia" w:ascii="宋体" w:hAnsi="宋体" w:cs="宋体"/>
          <w:color w:val="auto"/>
          <w:sz w:val="21"/>
          <w:szCs w:val="21"/>
          <w:highlight w:val="none"/>
          <w:lang w:eastAsia="zh-CN"/>
        </w:rPr>
        <w:t xml:space="preserve">该</w:t>
      </w:r>
      <w:r>
        <w:rPr>
          <w:rFonts w:hint="eastAsia" w:ascii="宋体" w:hAnsi="宋体" w:cs="宋体"/>
          <w:b/>
          <w:bCs/>
          <w:color w:val="auto"/>
          <w:sz w:val="21"/>
          <w:szCs w:val="21"/>
          <w:highlight w:val="none"/>
        </w:rPr>
        <w:t xml:space="preserve">报价非本次磋商的最后报价</w:t>
      </w:r>
      <w:r>
        <w:rPr>
          <w:rFonts w:hint="eastAsia" w:ascii="宋体" w:hAnsi="宋体" w:cs="宋体"/>
          <w:color w:val="auto"/>
          <w:sz w:val="21"/>
          <w:szCs w:val="21"/>
          <w:highlight w:val="none"/>
        </w:rPr>
        <w:t xml:space="preserve">。</w:t>
      </w:r>
      <w:r/>
    </w:p>
    <w:p>
      <w:pPr>
        <w:ind w:firstLine="840"/>
        <w:rPr>
          <w:rFonts w:hint="eastAsia" w:ascii="宋体" w:hAnsi="宋体"/>
          <w:color w:val="auto"/>
          <w:sz w:val="21"/>
          <w:szCs w:val="21"/>
          <w:highlight w:val="none"/>
          <w:lang w:val="en-US" w:eastAsia="zh-CN"/>
        </w:rPr>
      </w:pPr>
      <w:r>
        <w:rPr>
          <w:rFonts w:hint="eastAsia" w:ascii="宋体" w:hAnsi="宋体" w:cs="宋体"/>
          <w:color w:val="auto"/>
          <w:sz w:val="21"/>
          <w:szCs w:val="21"/>
          <w:highlight w:val="none"/>
        </w:rPr>
        <w:t xml:space="preserve">②此表格式不得自行改动。</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20"/>
        <w:jc w:val="righ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righ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keepLines/>
        <w:keepNext/>
        <w:spacing w:before="120" w:after="120" w:line="560" w:lineRule="exact"/>
        <w:rPr>
          <w:rFonts w:hint="eastAsia" w:ascii="宋体" w:hAnsi="宋体" w:eastAsia="宋体" w:cs="宋体"/>
          <w:bCs/>
          <w:color w:val="auto"/>
          <w:sz w:val="21"/>
          <w:szCs w:val="21"/>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Cs/>
          <w:color w:val="auto"/>
          <w:sz w:val="21"/>
          <w:szCs w:val="21"/>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225" w:name="_Toc27079"/>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黑体" w:hAnsi="黑体" w:eastAsia="黑体" w:cs="宋体"/>
          <w:bCs/>
          <w:color w:val="auto"/>
          <w:sz w:val="24"/>
          <w:szCs w:val="28"/>
          <w:highlight w:val="none"/>
        </w:rPr>
        <w:t xml:space="preserve">中小企业声明函</w:t>
      </w:r>
      <w:bookmarkEnd w:id="225"/>
      <w:r/>
      <w:r/>
    </w:p>
    <w:p>
      <w:pPr>
        <w:jc w:val="center"/>
        <w:spacing w:line="360" w:lineRule="auto"/>
        <w:rPr>
          <w:rFonts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w:t>
      </w:r>
      <w:r>
        <w:rPr>
          <w:rFonts w:hint="eastAsia" w:ascii="宋体" w:hAnsi="宋体"/>
          <w:color w:val="auto"/>
          <w:szCs w:val="21"/>
          <w:highlight w:val="none"/>
          <w:lang w:val="en-US" w:eastAsia="zh-CN"/>
        </w:rPr>
        <w:t xml:space="preserve">工程的施工单位</w:t>
      </w:r>
      <w:r>
        <w:rPr>
          <w:rFonts w:ascii="宋体" w:hAnsi="宋体"/>
          <w:color w:val="auto"/>
          <w:szCs w:val="21"/>
          <w:highlight w:val="none"/>
        </w:rPr>
        <w:t xml:space="preserve">全部</w:t>
      </w:r>
      <w:r>
        <w:rPr>
          <w:rFonts w:hint="eastAsia" w:ascii="宋体" w:hAnsi="宋体"/>
          <w:color w:val="auto"/>
          <w:szCs w:val="21"/>
          <w:highlight w:val="none"/>
          <w:lang w:val="en-US" w:eastAsia="zh-CN"/>
        </w:rPr>
        <w:t xml:space="preserve">为</w:t>
      </w:r>
      <w:r>
        <w:rPr>
          <w:rFonts w:ascii="宋体" w:hAnsi="宋体"/>
          <w:color w:val="auto"/>
          <w:szCs w:val="21"/>
          <w:highlight w:val="none"/>
        </w:rPr>
        <w:t xml:space="preserve">符合政策要求的中小企业。</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人，营业收入为</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万元，资产总额为</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120" w:after="120" w:line="560" w:lineRule="exact"/>
        <w:rPr>
          <w:rFonts w:ascii="宋体" w:hAnsi="宋体" w:cs="宋体"/>
          <w:color w:val="auto"/>
          <w:sz w:val="24"/>
          <w:highlight w:val="none"/>
        </w:rPr>
        <w:outlineLvl w:val="1"/>
      </w:pPr>
      <w:r/>
      <w:bookmarkStart w:id="226" w:name="_Toc32240"/>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、残疾人福利性单位声明函</w:t>
      </w:r>
      <w:bookmarkEnd w:id="226"/>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残疾人福利性单位声明函</w:t>
      </w:r>
      <w:r/>
    </w:p>
    <w:p>
      <w:pPr>
        <w:ind w:firstLine="420"/>
        <w:jc w:val="left"/>
        <w:spacing w:line="560" w:lineRule="exact"/>
        <w:rPr>
          <w:rFonts w:hint="eastAsia"/>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p>
    <w:p>
      <w:pPr>
        <w:jc w:val="left"/>
        <w:spacing w:line="560" w:lineRule="exact"/>
        <w:rPr>
          <w:color w:val="auto"/>
          <w:szCs w:val="21"/>
          <w:highlight w:val="none"/>
        </w:rPr>
      </w:pPr>
      <w:r>
        <w:rPr>
          <w:rFonts w:hint="eastAsia"/>
          <w:color w:val="auto"/>
          <w:szCs w:val="21"/>
          <w:highlight w:val="none"/>
          <w:u w:val="single"/>
          <w:lang w:val="en-US" w:eastAsia="zh-CN"/>
        </w:rPr>
        <w:t xml:space="preserve">           </w:t>
      </w:r>
      <w:r>
        <w:rPr>
          <w:rFonts w:hint="eastAsia"/>
          <w:color w:val="auto"/>
          <w:szCs w:val="21"/>
          <w:highlight w:val="none"/>
          <w:u w:val="none"/>
        </w:rPr>
        <w:t xml:space="preserve">单位的</w:t>
      </w:r>
      <w:r>
        <w:rPr>
          <w:rFonts w:hint="eastAsia"/>
          <w:color w:val="auto"/>
          <w:szCs w:val="21"/>
          <w:highlight w:val="none"/>
          <w:u w:val="single"/>
          <w:lang w:val="en-US" w:eastAsia="zh-CN"/>
        </w:rPr>
        <w:t xml:space="preserve">        </w:t>
      </w:r>
      <w:r>
        <w:rPr>
          <w:rFonts w:hint="eastAsia"/>
          <w:color w:val="auto"/>
          <w:szCs w:val="21"/>
          <w:highlight w:val="none"/>
        </w:rPr>
        <w:t xml:space="preserve">项目由本单位</w:t>
      </w:r>
      <w:r>
        <w:rPr>
          <w:rFonts w:hint="eastAsia"/>
          <w:color w:val="auto"/>
          <w:szCs w:val="21"/>
          <w:highlight w:val="none"/>
          <w:lang w:val="en-US" w:eastAsia="zh-CN"/>
        </w:rPr>
        <w:t xml:space="preserve">承建</w:t>
      </w:r>
      <w:r>
        <w:rPr>
          <w:rFonts w:hint="eastAsia"/>
          <w:color w:val="auto"/>
          <w:szCs w:val="21"/>
          <w:highlight w:val="none"/>
        </w:rPr>
        <w:t xml:space="preserve">。</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5460"/>
        <w:spacing w:line="560" w:lineRule="exact"/>
        <w:rPr>
          <w:color w:val="auto"/>
          <w:szCs w:val="21"/>
          <w:highlight w:val="none"/>
        </w:rPr>
      </w:pPr>
      <w:r>
        <w:rPr>
          <w:rFonts w:hint="eastAsia" w:ascii="宋体" w:hAnsi="宋体"/>
          <w:bCs/>
          <w:color w:val="auto"/>
          <w:szCs w:val="21"/>
          <w:highlight w:val="none"/>
        </w:rPr>
        <w:t xml:space="preserve">供应商（盖章）</w:t>
      </w:r>
      <w:r>
        <w:rPr>
          <w:rFonts w:hint="eastAsia"/>
          <w:color w:val="auto"/>
          <w:szCs w:val="21"/>
          <w:highlight w:val="none"/>
        </w:rPr>
        <w:t xml:space="preserve">：</w:t>
      </w:r>
      <w:r/>
    </w:p>
    <w:p>
      <w:pPr>
        <w:ind w:firstLine="525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bookmarkEnd w:id="208"/>
      <w:bookmarkEnd w:id="209"/>
      <w:bookmarkEnd w:id="210"/>
      <w:bookmarkEnd w:id="211"/>
      <w:bookmarkEnd w:id="212"/>
      <w:bookmarkEnd w:id="213"/>
      <w:bookmarkEnd w:id="214"/>
      <w:bookmarkEnd w:id="215"/>
      <w:r/>
    </w:p>
    <w:p>
      <w:pPr>
        <w:jc w:val="left"/>
        <w:keepLines/>
        <w:keepNext/>
        <w:spacing w:before="120" w:after="120" w:line="560" w:lineRule="exact"/>
        <w:rPr>
          <w:rFonts w:hint="eastAsia" w:ascii="宋体" w:hAnsi="宋体" w:cs="宋体"/>
          <w:color w:val="auto"/>
          <w:sz w:val="24"/>
          <w:highlight w:val="none"/>
          <w:lang w:val="en-US" w:eastAsia="zh-CN"/>
        </w:rPr>
        <w:outlineLvl w:val="1"/>
      </w:pPr>
      <w:r/>
      <w:bookmarkStart w:id="227" w:name="_Toc20198"/>
      <w:r>
        <w:rPr>
          <w:rFonts w:hint="eastAsia" w:ascii="宋体" w:hAnsi="宋体" w:cs="宋体"/>
          <w:color w:val="auto"/>
          <w:sz w:val="24"/>
          <w:highlight w:val="none"/>
          <w:lang w:val="en-US" w:eastAsia="zh-CN"/>
        </w:rPr>
        <w:t xml:space="preserve">十四、关于符合本国产品标准的声明函</w:t>
      </w:r>
      <w:r/>
    </w:p>
    <w:p>
      <w:pPr>
        <w:jc w:val="center"/>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center"/>
        <w:rPr>
          <w:rFonts w:hint="eastAsia" w:ascii="黑体" w:hAnsi="黑体" w:eastAsia="黑体" w:cs="宋体"/>
          <w:bCs/>
          <w:color w:val="auto"/>
          <w:sz w:val="32"/>
          <w:szCs w:val="32"/>
          <w:highlight w:val="none"/>
          <w:lang w:val="en-US" w:eastAsia="zh-CN"/>
        </w:rPr>
      </w:pPr>
      <w:r>
        <w:rPr>
          <w:rFonts w:hint="eastAsia" w:ascii="黑体" w:hAnsi="黑体" w:eastAsia="黑体" w:cs="宋体"/>
          <w:bCs/>
          <w:color w:val="auto"/>
          <w:sz w:val="32"/>
          <w:szCs w:val="32"/>
          <w:highlight w:val="none"/>
          <w:lang w:val="en-US" w:eastAsia="zh-CN"/>
        </w:rPr>
        <w:t xml:space="preserve">关于符合本国产品标准的声明函</w:t>
      </w:r>
      <w:r/>
    </w:p>
    <w:p>
      <w:pPr>
        <w:jc w:val="left"/>
        <w:keepLines/>
        <w:keepNext/>
        <w:pageBreakBefore w:val="0"/>
        <w:spacing w:before="120" w:after="120" w:line="360" w:lineRule="auto"/>
        <w:widowControl w:val="off"/>
        <w:rPr>
          <w:rFonts w:hint="eastAsia" w:ascii="宋体" w:hAnsi="宋体" w:eastAsia="宋体" w:cs="Times New Roman"/>
          <w:color w:val="auto"/>
          <w:sz w:val="21"/>
          <w:szCs w:val="21"/>
          <w:highlight w:val="none"/>
        </w:rPr>
        <w:outlineLvl w:val="1"/>
      </w:pPr>
      <w:r>
        <w:rPr>
          <w:rFonts w:hint="eastAsia" w:ascii="宋体" w:hAnsi="宋体" w:eastAsia="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1，生产厂为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2，厂址为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3。</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4在中国境内生产。</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5在中国境内完成。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u w:val="singl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在中国境内生产。</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本公司（单位）对上述声明内容的真实性负责。如有虚假，愿承担相应法律责任。</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公司（单位）名称（盖章）：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日期：　     年　  月　  日</w:t>
      </w:r>
      <w:r/>
    </w:p>
    <w:p>
      <w:p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1、产品如有型号，请在“产品名称”栏一并填写。</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2、生产厂名与厂址应与生产厂营业执照载明的相关信息保持一致。</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3、该产品的中国境内生产的组件成本占比相关要求实施前，“规定比例”栏可不填，下同。</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4、该产品的关键组件要求实施前，“关键组件”栏可不填。</w:t>
      </w:r>
      <w:r/>
    </w:p>
    <w:p>
      <w:pPr>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5、该产品的关键工序要求实施前，“关键工序”栏可不填。</w:t>
      </w:r>
      <w:r/>
    </w:p>
    <w:p>
      <w:pPr>
        <w:jc w:val="both"/>
        <w:spacing w:line="360" w:lineRule="auto"/>
        <w:rPr>
          <w:rFonts w:hint="eastAsia" w:ascii="宋体" w:hAnsi="宋体" w:eastAsia="宋体" w:cs="宋体"/>
          <w:color w:val="auto"/>
          <w:sz w:val="21"/>
          <w:szCs w:val="21"/>
          <w:highlight w:val="none"/>
          <w:lang w:val="en-US" w:eastAsia="zh-CN"/>
        </w:rPr>
        <w:outlineLvl w:val="1"/>
      </w:pPr>
      <w:r>
        <w:rPr>
          <w:rFonts w:hint="eastAsia" w:ascii="宋体" w:hAnsi="宋体" w:eastAsia="宋体" w:cs="Times New Roman"/>
          <w:color w:val="auto"/>
          <w:sz w:val="21"/>
          <w:szCs w:val="21"/>
          <w:highlight w:val="none"/>
        </w:rPr>
        <w:t xml:space="preserve">6、划除栏无需填写。</w:t>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lang w:val="en-US" w:eastAsia="zh-CN"/>
        </w:rPr>
        <w:outlineLvl w:val="1"/>
      </w:pPr>
      <w:r>
        <w:rPr>
          <w:rFonts w:hint="eastAsia" w:ascii="宋体" w:hAnsi="宋体" w:eastAsia="宋体" w:cs="宋体"/>
          <w:color w:val="auto"/>
          <w:sz w:val="24"/>
          <w:highlight w:val="none"/>
          <w:lang w:val="en-US" w:eastAsia="zh-CN"/>
        </w:rPr>
      </w:r>
      <w:r/>
    </w:p>
    <w:p>
      <w:pPr>
        <w:jc w:val="both"/>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供应商承诺书</w:t>
      </w:r>
      <w:r/>
    </w:p>
    <w:p>
      <w:pPr>
        <w:jc w:val="center"/>
        <w:spacing w:line="360" w:lineRule="auto"/>
        <w:rPr>
          <w:rFonts w:hint="eastAsia" w:ascii="黑体" w:hAnsi="黑体" w:eastAsia="黑体" w:cs="黑体"/>
          <w:b/>
          <w:bCs/>
          <w:color w:val="auto"/>
          <w:highlight w:val="none"/>
        </w:rPr>
      </w:pPr>
      <w:r>
        <w:rPr>
          <w:rFonts w:hint="eastAsia" w:ascii="黑体" w:hAnsi="黑体" w:eastAsia="黑体" w:cs="黑体"/>
          <w:b/>
          <w:color w:val="auto"/>
          <w:sz w:val="32"/>
          <w:szCs w:val="32"/>
          <w:highlight w:val="none"/>
        </w:rPr>
        <w:t xml:space="preserve">磋商供应商响应承诺书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致：</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（采购人名称）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我公司参与贵单位</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的投标工作，我单位郑重承诺：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（超过3年）、法定代表人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非失信被执行人及无不良行为。</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本单位及所报项目负责人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未被建设行政主管部门限制在招标项目所在地投标</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不出借挂靠资质</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本项目成交后不分包或转包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bCs/>
          <w:color w:val="auto"/>
          <w:spacing w:val="-10"/>
          <w:sz w:val="21"/>
          <w:szCs w:val="21"/>
          <w:highlight w:val="none"/>
        </w:rPr>
        <w:t xml:space="preserve">在</w:t>
      </w:r>
      <w:r>
        <w:rPr>
          <w:rFonts w:hint="eastAsia" w:ascii="宋体" w:hAnsi="宋体" w:eastAsia="宋体" w:cs="宋体"/>
          <w:bCs/>
          <w:color w:val="auto"/>
          <w:spacing w:val="-10"/>
          <w:sz w:val="21"/>
          <w:szCs w:val="21"/>
          <w:highlight w:val="none"/>
          <w:lang w:val="en-US" w:eastAsia="zh-CN"/>
        </w:rPr>
        <w:t xml:space="preserve">响应</w:t>
      </w:r>
      <w:r>
        <w:rPr>
          <w:rFonts w:hint="eastAsia" w:ascii="宋体" w:hAnsi="宋体" w:eastAsia="宋体" w:cs="宋体"/>
          <w:bCs/>
          <w:color w:val="auto"/>
          <w:spacing w:val="-10"/>
          <w:sz w:val="21"/>
          <w:szCs w:val="21"/>
          <w:highlight w:val="none"/>
        </w:rPr>
        <w:t xml:space="preserve">文件递交截止时间当日</w:t>
      </w:r>
      <w:r>
        <w:rPr>
          <w:rFonts w:hint="eastAsia" w:ascii="宋体" w:hAnsi="宋体" w:eastAsia="宋体" w:cs="宋体"/>
          <w:bCs/>
          <w:color w:val="auto"/>
          <w:spacing w:val="-10"/>
          <w:sz w:val="21"/>
          <w:szCs w:val="21"/>
          <w:highlight w:val="none"/>
          <w:lang w:eastAsia="zh-CN"/>
        </w:rPr>
        <w:t xml:space="preserve">，</w:t>
      </w:r>
      <w:r>
        <w:rPr>
          <w:rFonts w:hint="eastAsia" w:ascii="宋体" w:hAnsi="宋体" w:eastAsia="宋体" w:cs="宋体"/>
          <w:bCs/>
          <w:color w:val="auto"/>
          <w:spacing w:val="-10"/>
          <w:sz w:val="21"/>
          <w:szCs w:val="21"/>
          <w:highlight w:val="none"/>
          <w:lang w:val="en-US" w:eastAsia="zh-CN"/>
        </w:rPr>
        <w:t xml:space="preserve">我单位</w:t>
      </w:r>
      <w:r>
        <w:rPr>
          <w:rFonts w:hint="eastAsia" w:ascii="宋体" w:hAnsi="宋体" w:eastAsia="宋体" w:cs="宋体"/>
          <w:bCs/>
          <w:color w:val="auto"/>
          <w:spacing w:val="-10"/>
          <w:sz w:val="21"/>
          <w:szCs w:val="21"/>
          <w:highlight w:val="none"/>
        </w:rPr>
        <w:t xml:space="preserve">动态监管</w:t>
      </w:r>
      <w:r>
        <w:rPr>
          <w:rFonts w:hint="eastAsia" w:ascii="宋体" w:hAnsi="宋体" w:eastAsia="宋体" w:cs="宋体"/>
          <w:bCs/>
          <w:color w:val="auto"/>
          <w:spacing w:val="-10"/>
          <w:sz w:val="21"/>
          <w:szCs w:val="21"/>
          <w:highlight w:val="none"/>
          <w:lang w:val="en-US" w:eastAsia="zh-CN"/>
        </w:rPr>
        <w:t xml:space="preserve">未</w:t>
      </w:r>
      <w:r>
        <w:rPr>
          <w:rFonts w:hint="eastAsia" w:ascii="宋体" w:hAnsi="宋体" w:eastAsia="宋体" w:cs="宋体"/>
          <w:bCs/>
          <w:color w:val="auto"/>
          <w:spacing w:val="-10"/>
          <w:sz w:val="21"/>
          <w:szCs w:val="21"/>
          <w:highlight w:val="none"/>
        </w:rPr>
        <w:t xml:space="preserve">处于不合格状态</w:t>
      </w:r>
      <w:r>
        <w:rPr>
          <w:rFonts w:hint="eastAsia" w:ascii="宋体" w:hAnsi="宋体" w:eastAsia="宋体" w:cs="宋体"/>
          <w:bCs/>
          <w:color w:val="auto"/>
          <w:spacing w:val="-10"/>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授权委托代表身份证号：</w:t>
      </w:r>
      <w:r>
        <w:rPr>
          <w:rFonts w:hint="eastAsia" w:ascii="宋体" w:hAnsi="宋体" w:eastAsia="宋体" w:cs="宋体"/>
          <w:color w:val="auto"/>
          <w:sz w:val="21"/>
          <w:szCs w:val="21"/>
          <w:highlight w:val="none"/>
          <w:u w:val="single"/>
        </w:rPr>
        <w:t xml:space="preserve">             </w:t>
      </w:r>
      <w:r/>
    </w:p>
    <w:p>
      <w:pPr>
        <w:pStyle w:val="790"/>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790"/>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pStyle w:val="790"/>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rPr>
      </w:r>
      <w:r/>
    </w:p>
    <w:p>
      <w:pPr>
        <w:jc w:val="left"/>
        <w:keepLines/>
        <w:keepNext/>
        <w:spacing w:before="360" w:after="200"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、报价表</w:t>
      </w:r>
      <w:bookmarkEnd w:id="227"/>
      <w:r/>
      <w:r/>
    </w:p>
    <w:p>
      <w:pPr>
        <w:jc w:val="center"/>
        <w:spacing w:line="360" w:lineRule="auto"/>
        <w:rPr>
          <w:rFonts w:hint="eastAsia" w:ascii="宋体" w:hAnsi="宋体" w:eastAsia="宋体" w:cs="宋体"/>
          <w:b/>
          <w:color w:val="auto"/>
          <w:sz w:val="32"/>
          <w:szCs w:val="32"/>
          <w:highlight w:val="none"/>
        </w:rPr>
      </w:pPr>
      <w:r>
        <w:rPr>
          <w:rFonts w:hint="eastAsia" w:ascii="黑体" w:hAnsi="黑体" w:eastAsia="黑体" w:cs="黑体"/>
          <w:b/>
          <w:color w:val="auto"/>
          <w:sz w:val="32"/>
          <w:szCs w:val="32"/>
          <w:highlight w:val="none"/>
        </w:rPr>
        <w:t xml:space="preserve">投标报价表</w:t>
      </w:r>
      <w:r/>
    </w:p>
    <w:p>
      <w:pPr>
        <w:jc w:val="left"/>
        <w:spacing w:line="360" w:lineRule="auto"/>
        <w:rPr>
          <w:color w:val="auto"/>
          <w:szCs w:val="21"/>
          <w:highlight w:val="none"/>
        </w:rPr>
      </w:pPr>
      <w:r>
        <w:rPr>
          <w:rFonts w:hint="eastAsia"/>
          <w:color w:val="auto"/>
          <w:szCs w:val="21"/>
          <w:highlight w:val="none"/>
        </w:rPr>
        <w:t xml:space="preserve">                               （按已提供的工程量清单报价）</w:t>
      </w:r>
      <w:r/>
    </w:p>
    <w:p>
      <w:pPr>
        <w:ind w:firstLine="420"/>
        <w:spacing w:line="360" w:lineRule="auto"/>
        <w:rPr>
          <w:color w:val="auto"/>
          <w:szCs w:val="21"/>
          <w:highlight w:val="none"/>
        </w:rPr>
      </w:pPr>
      <w:r>
        <w:rPr>
          <w:color w:val="auto"/>
          <w:szCs w:val="21"/>
          <w:highlight w:val="none"/>
        </w:rPr>
      </w:r>
      <w:r/>
    </w:p>
    <w:p>
      <w:pPr>
        <w:ind w:firstLine="480"/>
        <w:spacing w:line="360" w:lineRule="auto"/>
        <w:rPr>
          <w:rFonts w:hint="eastAsia"/>
          <w:color w:val="auto"/>
          <w:szCs w:val="21"/>
          <w:highlight w:val="none"/>
        </w:rPr>
      </w:pPr>
      <w:r>
        <w:rPr>
          <w:rFonts w:hint="eastAsia"/>
          <w:color w:val="auto"/>
          <w:szCs w:val="21"/>
          <w:highlight w:val="none"/>
        </w:rPr>
      </w:r>
      <w:r/>
    </w:p>
    <w:p>
      <w:pPr>
        <w:ind w:firstLine="480"/>
        <w:spacing w:line="360" w:lineRule="auto"/>
        <w:rPr>
          <w:rFonts w:hint="eastAsia"/>
          <w:color w:val="auto"/>
          <w:szCs w:val="21"/>
          <w:highlight w:val="none"/>
        </w:rPr>
      </w:pPr>
      <w:r>
        <w:rPr>
          <w:rFonts w:hint="eastAsia"/>
          <w:color w:val="auto"/>
          <w:szCs w:val="21"/>
          <w:highlight w:val="none"/>
        </w:rPr>
      </w:r>
      <w:r/>
    </w:p>
    <w:p>
      <w:pPr>
        <w:ind w:firstLine="480"/>
        <w:spacing w:line="360" w:lineRule="auto"/>
        <w:rPr>
          <w:rFonts w:hint="eastAsia"/>
          <w:color w:val="auto"/>
          <w:szCs w:val="21"/>
          <w:highlight w:val="none"/>
        </w:rPr>
      </w:pPr>
      <w:r>
        <w:rPr>
          <w:rFonts w:hint="eastAsia"/>
          <w:color w:val="auto"/>
          <w:szCs w:val="21"/>
          <w:highlight w:val="none"/>
        </w:rPr>
      </w:r>
      <w:r/>
    </w:p>
    <w:p>
      <w:pPr>
        <w:ind w:firstLine="442"/>
        <w:rPr>
          <w:rFonts w:hint="eastAsia" w:ascii="宋体" w:hAnsi="宋体" w:cs="宋体"/>
          <w:b/>
          <w:color w:val="auto"/>
          <w:sz w:val="28"/>
          <w:szCs w:val="28"/>
          <w:highlight w:val="none"/>
        </w:rPr>
      </w:pPr>
      <w:r>
        <w:rPr>
          <w:rFonts w:ascii="宋体" w:hAnsi="宋体" w:cs="宋体"/>
          <w:b/>
          <w:color w:val="auto"/>
          <w:sz w:val="22"/>
          <w:highlight w:val="none"/>
        </w:rPr>
        <w:t xml:space="preserve">注：各分项最终结算价按照磋商首次报价与最后报价作同比例变动</w:t>
      </w:r>
      <w:r/>
    </w:p>
    <w:p>
      <w:pPr>
        <w:ind w:firstLine="480"/>
        <w:spacing w:line="360" w:lineRule="auto"/>
        <w:rPr>
          <w:rFonts w:hint="eastAsia"/>
          <w:color w:val="auto"/>
          <w:szCs w:val="21"/>
          <w:highlight w:val="none"/>
        </w:rPr>
      </w:pPr>
      <w:r>
        <w:rPr>
          <w:rFonts w:hint="eastAsia"/>
          <w:color w:val="auto"/>
          <w:szCs w:val="21"/>
          <w:highlight w:val="none"/>
        </w:rPr>
      </w:r>
      <w:r/>
    </w:p>
    <w:p>
      <w:pPr>
        <w:ind w:firstLine="480"/>
        <w:spacing w:line="360" w:lineRule="auto"/>
        <w:rPr>
          <w:rFonts w:hint="eastAsia"/>
          <w:color w:val="auto"/>
          <w:szCs w:val="21"/>
          <w:highlight w:val="none"/>
        </w:rPr>
      </w:pPr>
      <w:r>
        <w:rPr>
          <w:rFonts w:hint="eastAsia"/>
          <w:color w:val="auto"/>
          <w:szCs w:val="21"/>
          <w:highlight w:val="none"/>
        </w:rPr>
      </w:r>
      <w:r/>
    </w:p>
    <w:p>
      <w:pPr>
        <w:ind w:firstLine="480"/>
        <w:spacing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（盖章）：</w:t>
      </w:r>
      <w:r/>
    </w:p>
    <w:p>
      <w:pPr>
        <w:ind w:firstLine="480"/>
        <w:spacing w:line="360" w:lineRule="auto"/>
        <w:rPr>
          <w:color w:val="auto"/>
          <w:szCs w:val="21"/>
          <w:highlight w:val="none"/>
        </w:rPr>
      </w:pPr>
      <w:r>
        <w:rPr>
          <w:color w:val="auto"/>
          <w:szCs w:val="21"/>
          <w:highlight w:val="none"/>
        </w:rPr>
        <w:t xml:space="preserve">法定代表人（单位负责人）或委托代理人（签字或盖章）：</w:t>
      </w:r>
      <w:r/>
    </w:p>
    <w:p>
      <w:pPr>
        <w:ind w:firstLine="480"/>
        <w:jc w:val="right"/>
        <w:spacing w:line="360" w:lineRule="auto"/>
        <w:rPr>
          <w:color w:val="auto"/>
          <w:szCs w:val="21"/>
          <w:highlight w:val="none"/>
        </w:rPr>
      </w:pPr>
      <w:r>
        <w:rPr>
          <w:color w:val="auto"/>
          <w:szCs w:val="21"/>
          <w:highlight w:val="none"/>
        </w:rPr>
        <w:t xml:space="preserve">日期：    年     月     日</w:t>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ind w:firstLine="480"/>
        <w:spacing w:line="360" w:lineRule="auto"/>
        <w:rPr>
          <w:color w:val="auto"/>
          <w:szCs w:val="21"/>
          <w:highlight w:val="none"/>
        </w:rPr>
      </w:pPr>
      <w:r>
        <w:rPr>
          <w:color w:val="auto"/>
          <w:szCs w:val="21"/>
          <w:highlight w:val="none"/>
        </w:rPr>
      </w:r>
      <w:r/>
    </w:p>
    <w:p>
      <w:pPr>
        <w:jc w:val="left"/>
        <w:keepLines/>
        <w:keepNext/>
        <w:spacing w:before="360" w:after="200" w:line="360" w:lineRule="auto"/>
        <w:rPr>
          <w:rFonts w:ascii="宋体" w:hAnsi="宋体" w:cs="宋体"/>
          <w:color w:val="auto"/>
          <w:sz w:val="24"/>
          <w:highlight w:val="none"/>
        </w:rPr>
        <w:outlineLvl w:val="1"/>
      </w:pPr>
      <w:r/>
      <w:bookmarkStart w:id="228" w:name="_Toc12257"/>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、技术要求响应及偏离表</w:t>
      </w:r>
      <w:bookmarkEnd w:id="228"/>
      <w:r/>
      <w:r/>
    </w:p>
    <w:p>
      <w:pPr>
        <w:jc w:val="center"/>
        <w:spacing w:line="360" w:lineRule="auto"/>
        <w:tabs>
          <w:tab w:val="left" w:pos="36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r>
      <w:r/>
    </w:p>
    <w:p>
      <w:pPr>
        <w:jc w:val="center"/>
        <w:spacing w:line="360" w:lineRule="auto"/>
        <w:tabs>
          <w:tab w:val="left" w:pos="36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技术要求响应及偏离表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     </w:t>
      </w:r>
      <w:r/>
    </w:p>
    <w:tbl>
      <w:tblPr>
        <w:tblStyle w:val="756"/>
        <w:tblW w:w="9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58"/>
        <w:gridCol w:w="2100"/>
        <w:gridCol w:w="1530"/>
        <w:gridCol w:w="2085"/>
      </w:tblGrid>
      <w:tr>
        <w:trPr>
          <w:cantSplit/>
          <w:jc w:val="center"/>
        </w:trPr>
        <w:tc>
          <w:tcPr>
            <w:tcW w:w="8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85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W w:w="210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53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20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cantSplit/>
          <w:jc w:val="center"/>
          <w:trHeight w:val="640"/>
        </w:trPr>
        <w:tc>
          <w:tcPr>
            <w:tcW w:w="8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85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53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8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85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53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8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85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53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8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85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53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olor w:val="auto"/>
          <w:highlight w:val="none"/>
        </w:rPr>
      </w:pPr>
      <w:r>
        <w:rPr>
          <w:rFonts w:hint="eastAsia" w:ascii="宋体" w:hAnsi="宋体"/>
          <w:color w:val="auto"/>
          <w:highlight w:val="none"/>
        </w:rPr>
        <w:t xml:space="preserve">注： 行数不够，可自行添加。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法定代表人（单位负责人）或委托代理人（签字或盖章）：</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bookmarkStart w:id="229" w:name="_Hlt26955054"/>
      <w:r/>
      <w:bookmarkEnd w:id="229"/>
      <w:r/>
      <w:bookmarkStart w:id="230" w:name="_Toc23756"/>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iCs/>
          <w:color w:val="auto"/>
          <w:sz w:val="24"/>
          <w:highlight w:val="none"/>
          <w:lang w:val="en-US" w:eastAsia="zh-CN"/>
        </w:rPr>
        <w:t xml:space="preserve">八</w:t>
      </w:r>
      <w:r>
        <w:rPr>
          <w:rFonts w:hint="eastAsia" w:ascii="宋体" w:hAnsi="宋体" w:cs="宋体"/>
          <w:color w:val="auto"/>
          <w:sz w:val="24"/>
          <w:highlight w:val="none"/>
        </w:rPr>
        <w:t xml:space="preserve">、商务要求响应及偏离表</w:t>
      </w:r>
      <w:bookmarkEnd w:id="230"/>
      <w:r/>
      <w:r/>
    </w:p>
    <w:p>
      <w:pPr>
        <w:jc w:val="center"/>
        <w:spacing w:line="360" w:lineRule="auto"/>
        <w:tabs>
          <w:tab w:val="left" w:pos="36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r>
      <w:r/>
    </w:p>
    <w:p>
      <w:pPr>
        <w:jc w:val="center"/>
        <w:spacing w:line="360" w:lineRule="auto"/>
        <w:tabs>
          <w:tab w:val="left" w:pos="36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商务要求响应及偏离表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      </w:t>
      </w:r>
      <w:r/>
    </w:p>
    <w:tbl>
      <w:tblPr>
        <w:tblStyle w:val="756"/>
        <w:tblpPr w:horzAnchor="page" w:tblpX="1348" w:vertAnchor="text" w:tblpY="224" w:leftFromText="180" w:topFromText="0" w:rightFromText="180" w:bottomFromText="0"/>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838"/>
        <w:gridCol w:w="2325"/>
        <w:gridCol w:w="1365"/>
        <w:gridCol w:w="2115"/>
      </w:tblGrid>
      <w:tr>
        <w:trPr>
          <w:cantSplit/>
        </w:trPr>
        <w:tc>
          <w:tcPr>
            <w:tcW w:w="687" w:type="dxa"/>
            <w:vAlign w:val="center"/>
            <w:textDirection w:val="lrTb"/>
            <w:noWrap/>
          </w:tcPr>
          <w:p>
            <w:pPr>
              <w:jc w:val="center"/>
              <w:rPr>
                <w:rFonts w:ascii="宋体" w:hAnsi="宋体" w:cs="宋体"/>
                <w:color w:val="auto"/>
                <w:szCs w:val="21"/>
                <w:highlight w:val="none"/>
              </w:rPr>
            </w:pPr>
            <w:r/>
            <w:bookmarkStart w:id="231" w:name="_Hlt24879081"/>
            <w:r/>
            <w:bookmarkEnd w:id="231"/>
            <w:r/>
            <w:bookmarkStart w:id="232" w:name="_Hlt26580838"/>
            <w:r/>
            <w:bookmarkEnd w:id="232"/>
            <w:r/>
            <w:bookmarkStart w:id="233" w:name="_Hlt26671343"/>
            <w:r/>
            <w:bookmarkEnd w:id="233"/>
            <w:r/>
            <w:bookmarkStart w:id="234" w:name="_Hlt26955056"/>
            <w:r/>
            <w:bookmarkEnd w:id="234"/>
            <w:r/>
            <w:bookmarkStart w:id="235" w:name="_Hlt26955064"/>
            <w:r/>
            <w:bookmarkEnd w:id="235"/>
            <w:r/>
            <w:bookmarkStart w:id="236" w:name="_Hlt26609391"/>
            <w:r/>
            <w:bookmarkEnd w:id="236"/>
            <w:r/>
            <w:bookmarkStart w:id="237" w:name="_Hlt26671372"/>
            <w:r/>
            <w:bookmarkEnd w:id="237"/>
            <w:r/>
            <w:bookmarkStart w:id="238" w:name="_Hlt26782999"/>
            <w:r/>
            <w:bookmarkEnd w:id="238"/>
            <w:r>
              <w:rPr>
                <w:rFonts w:hint="eastAsia" w:ascii="宋体" w:hAnsi="宋体" w:cs="宋体"/>
                <w:color w:val="auto"/>
                <w:szCs w:val="21"/>
                <w:highlight w:val="none"/>
              </w:rPr>
              <w:t xml:space="preserve">序号</w:t>
            </w:r>
            <w:r/>
          </w:p>
        </w:tc>
        <w:tc>
          <w:tcPr>
            <w:tcW w:w="283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W w:w="232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36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211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cantSplit/>
          <w:trHeight w:val="640"/>
        </w:trPr>
        <w:tc>
          <w:tcPr>
            <w:tcW w:w="68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83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32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1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68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83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32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1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68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83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32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1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68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838"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32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1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olor w:val="auto"/>
          <w:highlight w:val="none"/>
        </w:rPr>
      </w:pPr>
      <w:r>
        <w:rPr>
          <w:rFonts w:hint="eastAsia" w:ascii="宋体" w:hAnsi="宋体"/>
          <w:color w:val="auto"/>
          <w:highlight w:val="none"/>
        </w:rPr>
        <w:t xml:space="preserve">注： 行数不够，可自行添加。</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法定代表人（单位负责人）或委托代理人（签字或盖章）：</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keepNext/>
        <w:spacing w:before="360" w:after="200" w:line="360" w:lineRule="auto"/>
        <w:rPr>
          <w:rFonts w:ascii="宋体" w:hAnsi="宋体" w:cs="宋体"/>
          <w:iCs/>
          <w:color w:val="auto"/>
          <w:sz w:val="24"/>
          <w:highlight w:val="none"/>
        </w:rPr>
        <w:outlineLvl w:val="1"/>
      </w:pPr>
      <w:r/>
      <w:bookmarkStart w:id="239" w:name="_Toc17449"/>
      <w:r>
        <w:rPr>
          <w:rFonts w:hint="eastAsia" w:ascii="宋体" w:hAnsi="宋体" w:cs="宋体"/>
          <w:iCs/>
          <w:color w:val="auto"/>
          <w:sz w:val="24"/>
          <w:highlight w:val="none"/>
        </w:rPr>
        <w:t xml:space="preserve">十</w:t>
      </w:r>
      <w:r>
        <w:rPr>
          <w:rFonts w:hint="eastAsia" w:ascii="宋体" w:hAnsi="宋体" w:cs="宋体"/>
          <w:iCs/>
          <w:color w:val="auto"/>
          <w:sz w:val="24"/>
          <w:highlight w:val="none"/>
          <w:lang w:val="en-US" w:eastAsia="zh-CN"/>
        </w:rPr>
        <w:t xml:space="preserve">九</w:t>
      </w:r>
      <w:r>
        <w:rPr>
          <w:rFonts w:hint="eastAsia" w:ascii="宋体" w:hAnsi="宋体" w:cs="宋体"/>
          <w:iCs/>
          <w:color w:val="auto"/>
          <w:sz w:val="24"/>
          <w:highlight w:val="none"/>
        </w:rPr>
        <w:t xml:space="preserve">、类似项目业绩一览表、</w:t>
      </w:r>
      <w:bookmarkEnd w:id="239"/>
      <w:r/>
      <w:r/>
    </w:p>
    <w:p>
      <w:pPr>
        <w:jc w:val="center"/>
        <w:spacing w:line="360" w:lineRule="auto"/>
        <w:tabs>
          <w:tab w:val="left" w:pos="360" w:leader="none"/>
        </w:tabs>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类似项目业绩一览表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     </w:t>
      </w:r>
      <w:r/>
    </w:p>
    <w:tbl>
      <w:tblPr>
        <w:tblStyle w:val="756"/>
        <w:tblW w:w="9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80"/>
        <w:gridCol w:w="1245"/>
        <w:gridCol w:w="2679"/>
        <w:gridCol w:w="1320"/>
        <w:gridCol w:w="1301"/>
      </w:tblGrid>
      <w:tr>
        <w:trPr>
          <w:cantSplit/>
          <w:jc w:val="center"/>
          <w:trHeight w:val="687"/>
        </w:trPr>
        <w:tc>
          <w:tcPr>
            <w:tcW w:w="67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08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2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26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1320" w:type="dxa"/>
            <w:vAlign w:val="center"/>
            <w:textDirection w:val="lrTb"/>
            <w:noWrap/>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合同金额</w:t>
            </w:r>
            <w:r/>
          </w:p>
        </w:tc>
        <w:tc>
          <w:tcPr>
            <w:tcW w:w="1301" w:type="dxa"/>
            <w:vAlign w:val="center"/>
            <w:textDirection w:val="lrTb"/>
            <w:noWrap/>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是否项目负责人业绩</w:t>
            </w:r>
            <w:r/>
          </w:p>
        </w:tc>
      </w:tr>
      <w:tr>
        <w:trPr>
          <w:cantSplit/>
          <w:jc w:val="center"/>
          <w:trHeight w:val="640"/>
        </w:trPr>
        <w:tc>
          <w:tcPr>
            <w:tcW w:w="67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245" w:type="dxa"/>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67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67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245" w:type="dxa"/>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67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675"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08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245" w:type="dxa"/>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679"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1"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olor w:val="auto"/>
          <w:highlight w:val="none"/>
        </w:rPr>
      </w:pPr>
      <w:r>
        <w:rPr>
          <w:rFonts w:hint="eastAsia" w:ascii="宋体" w:hAnsi="宋体"/>
          <w:color w:val="auto"/>
          <w:highlight w:val="none"/>
        </w:rPr>
        <w:t xml:space="preserve">注： 行数不够，可自行添加。</w:t>
      </w:r>
      <w:r/>
    </w:p>
    <w:p>
      <w:pPr>
        <w:spacing w:line="5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法定代表人（单位负责人）或委托代理人（签字或盖章）：</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bookmarkStart w:id="240" w:name="_Toc27306"/>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00" w:lineRule="exact"/>
        <w:rPr>
          <w:rFonts w:ascii="宋体" w:hAnsi="宋体" w:cs="宋体"/>
          <w:iCs/>
          <w:color w:val="auto"/>
          <w:sz w:val="24"/>
          <w:highlight w:val="none"/>
        </w:rPr>
      </w:pPr>
      <w:r>
        <w:rPr>
          <w:rFonts w:hint="eastAsia" w:ascii="宋体" w:hAnsi="宋体" w:eastAsia="宋体" w:cs="宋体"/>
          <w:iCs/>
          <w:color w:val="auto"/>
          <w:sz w:val="24"/>
          <w:highlight w:val="none"/>
          <w:lang w:val="en-US" w:eastAsia="zh-CN"/>
        </w:rPr>
        <w:t xml:space="preserve">二十</w:t>
      </w:r>
      <w:r>
        <w:rPr>
          <w:rFonts w:hint="eastAsia" w:ascii="宋体" w:hAnsi="宋体" w:cs="宋体"/>
          <w:iCs/>
          <w:color w:val="auto"/>
          <w:sz w:val="24"/>
          <w:highlight w:val="none"/>
        </w:rPr>
        <w:t xml:space="preserve">、项目团队人员一览表</w:t>
      </w:r>
      <w:bookmarkEnd w:id="240"/>
      <w:r/>
      <w:r/>
    </w:p>
    <w:p>
      <w:pPr>
        <w:jc w:val="center"/>
        <w:spacing w:line="360" w:lineRule="auto"/>
        <w:tabs>
          <w:tab w:val="left" w:pos="360" w:leader="none"/>
        </w:tabs>
        <w:rPr>
          <w:rFonts w:ascii="宋体" w:hAnsi="宋体" w:cs="宋体"/>
          <w:bCs/>
          <w:color w:val="auto"/>
          <w:szCs w:val="21"/>
          <w:highlight w:val="none"/>
        </w:rPr>
      </w:pPr>
      <w:r>
        <w:rPr>
          <w:rFonts w:hint="eastAsia" w:ascii="黑体" w:hAnsi="黑体" w:eastAsia="黑体" w:cs="黑体"/>
          <w:bCs/>
          <w:color w:val="auto"/>
          <w:sz w:val="32"/>
          <w:szCs w:val="32"/>
          <w:highlight w:val="none"/>
        </w:rPr>
        <w:t xml:space="preserve">项目团队人员一览表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      </w:t>
      </w:r>
      <w:r/>
    </w:p>
    <w:tbl>
      <w:tblPr>
        <w:tblStyle w:val="75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2226"/>
        <w:gridCol w:w="3454"/>
        <w:gridCol w:w="2526"/>
      </w:tblGrid>
      <w:tr>
        <w:trPr>
          <w:cantSplit/>
          <w:jc w:val="center"/>
          <w:trHeight w:val="607"/>
        </w:trPr>
        <w:tc>
          <w:tcPr>
            <w:tcW w:w="762"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159"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本项目拟担任职务</w:t>
            </w:r>
            <w:r/>
          </w:p>
        </w:tc>
        <w:tc>
          <w:tcPr>
            <w:tcW w:w="1794"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技术职称、专业资质</w:t>
            </w:r>
            <w:r/>
          </w:p>
        </w:tc>
        <w:tc>
          <w:tcPr>
            <w:tcW w:w="1283"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主要资历及担任过的职务</w:t>
            </w:r>
            <w:r/>
          </w:p>
        </w:tc>
      </w:tr>
      <w:tr>
        <w:trPr>
          <w:cantSplit/>
          <w:jc w:val="center"/>
          <w:trHeight w:val="640"/>
        </w:trPr>
        <w:tc>
          <w:tcPr>
            <w:tcW w:w="762"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159"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pct"/>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283"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762"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159"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pct"/>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283"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762"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159"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pct"/>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283" w:type="pct"/>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olor w:val="auto"/>
          <w:highlight w:val="none"/>
        </w:rPr>
      </w:pPr>
      <w:r>
        <w:rPr>
          <w:rFonts w:hint="eastAsia" w:ascii="宋体" w:hAnsi="宋体"/>
          <w:color w:val="auto"/>
          <w:highlight w:val="none"/>
        </w:rPr>
        <w:t xml:space="preserve">注： 行数不够，可自行添加。</w:t>
      </w:r>
      <w:r/>
    </w:p>
    <w:p>
      <w:pPr>
        <w:ind w:firstLine="420"/>
        <w:spacing w:line="5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法定代表人（单位负责人）或委托代理人（签字或盖章）：</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jc w:val="right"/>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spacing w:line="50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lang w:val="en-US" w:eastAsia="zh-CN"/>
        </w:rPr>
        <w:t xml:space="preserve">二十</w:t>
      </w:r>
      <w:r>
        <w:rPr>
          <w:rFonts w:hint="eastAsia" w:ascii="宋体" w:hAnsi="宋体" w:cs="宋体"/>
          <w:iCs/>
          <w:color w:val="auto"/>
          <w:sz w:val="24"/>
          <w:highlight w:val="none"/>
          <w:lang w:val="en-US" w:eastAsia="zh-CN"/>
        </w:rPr>
        <w:t xml:space="preserve">一</w:t>
      </w:r>
      <w:r>
        <w:rPr>
          <w:rFonts w:hint="eastAsia" w:ascii="宋体" w:hAnsi="宋体" w:eastAsia="宋体" w:cs="宋体"/>
          <w:iCs/>
          <w:color w:val="auto"/>
          <w:sz w:val="24"/>
          <w:highlight w:val="none"/>
        </w:rPr>
        <w:t xml:space="preserve">、其他材料</w:t>
      </w:r>
      <w:r/>
    </w:p>
    <w:p>
      <w:pPr>
        <w:ind w:firstLine="420"/>
        <w:spacing w:line="50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 </w:t>
      </w:r>
      <w:r/>
    </w:p>
    <w:p>
      <w:pPr>
        <w:jc w:val="center"/>
        <w:spacing w:line="360" w:lineRule="auto"/>
        <w:tabs>
          <w:tab w:val="left" w:pos="3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供应商认为有必要提供的材料或评分标准中需要提供的材料。</w:t>
      </w:r>
      <w:r/>
    </w:p>
    <w:p>
      <w:pPr>
        <w:jc w:val="center"/>
        <w:spacing w:line="360" w:lineRule="auto"/>
        <w:tabs>
          <w:tab w:val="left" w:pos="3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p>
      <w:pPr>
        <w:jc w:val="center"/>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r>
      <w:r/>
    </w:p>
    <w:p>
      <w:pPr>
        <w:keepLines/>
        <w:keepNext/>
        <w:rPr>
          <w:rFonts w:ascii="Arial" w:hAnsi="Arial" w:eastAsia="黑体"/>
          <w:b/>
          <w:bCs/>
          <w:sz w:val="24"/>
          <w:szCs w:val="32"/>
        </w:rPr>
        <w:outlineLvl w:val="1"/>
      </w:pPr>
      <w:r>
        <w:rPr>
          <w:rFonts w:ascii="Arial" w:hAnsi="Arial" w:eastAsia="黑体"/>
          <w:b/>
          <w:bCs/>
          <w:sz w:val="24"/>
          <w:szCs w:val="32"/>
        </w:rPr>
      </w:r>
      <w:r/>
    </w:p>
    <w:p>
      <w:pPr>
        <w:spacing w:line="520" w:lineRule="exact"/>
        <w:rPr>
          <w:rFonts w:ascii="宋体" w:hAnsi="宋体"/>
          <w:szCs w:val="21"/>
        </w:rPr>
      </w:pPr>
      <w:r>
        <w:rPr>
          <w:rFonts w:ascii="宋体" w:hAnsi="宋体"/>
          <w:szCs w:val="21"/>
        </w:rPr>
      </w:r>
      <w:r/>
    </w:p>
    <w:p>
      <w:pPr>
        <w:spacing w:line="520" w:lineRule="exact"/>
        <w:rPr>
          <w:rFonts w:ascii="宋体" w:hAnsi="宋体"/>
          <w:szCs w:val="21"/>
        </w:rPr>
      </w:pPr>
      <w:r>
        <w:rPr>
          <w:rFonts w:ascii="宋体" w:hAnsi="宋体"/>
          <w:szCs w:val="21"/>
        </w:rPr>
      </w:r>
      <w:r/>
    </w:p>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中隶简">
    <w:panose1 w:val="020B0503020202020204"/>
  </w:font>
  <w:font w:name="华康简楷">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MS Mincho">
    <w:panose1 w:val="02020603050405090304"/>
  </w:font>
  <w:font w:name="Tahoma">
    <w:panose1 w:val="020B060403050404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72</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4860"/>
    </w:pPr>
    <w:r>
      <w:fldChar w:fldCharType="begin"/>
    </w:r>
    <w:r>
      <w:instrText xml:space="preserve"> PAGE   \* MERGEFORMAT </w:instrText>
    </w:r>
    <w:r>
      <w:fldChar w:fldCharType="separate"/>
    </w:r>
    <w:r>
      <w:rPr>
        <w:lang w:val="zh-CN"/>
      </w:rPr>
      <w:t xml:space="preserve">14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4860"/>
    </w:pPr>
    <w:r>
      <w:fldChar w:fldCharType="begin"/>
    </w:r>
    <w:r>
      <w:instrText xml:space="preserve"> PAGE   \* MERGEFORMAT </w:instrText>
    </w:r>
    <w:r>
      <w:fldChar w:fldCharType="separate"/>
    </w:r>
    <w:r>
      <w:rPr>
        <w:lang w:val="zh-CN"/>
      </w:rPr>
      <w:t xml:space="preserve">20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9"/>
      </w:rPr>
      <w:framePr w:wrap="around" w:vAnchor="text" w:hAnchor="margin" w:xAlign="center" w:y="1"/>
    </w:pPr>
    <w:r>
      <w:fldChar w:fldCharType="begin"/>
    </w:r>
    <w:r>
      <w:rPr>
        <w:rStyle w:val="799"/>
      </w:rPr>
      <w:instrText xml:space="preserve"> PAGE   \* MERGEFORMAT </w:instrText>
    </w:r>
    <w:r>
      <w:fldChar w:fldCharType="separate"/>
    </w:r>
    <w:r>
      <w:rPr>
        <w:rStyle w:val="799"/>
        <w:lang w:val="zh-CN"/>
      </w:rPr>
      <w:t xml:space="preserve">73</w:t>
    </w:r>
    <w: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pPr>
    <w:r>
      <w:rPr>
        <w:rFonts w:hint="eastAsia" w:ascii="Arial" w:hAnsi="宋体"/>
        <w:b w:val="0"/>
        <w:bCs/>
        <w:i w:val="0"/>
        <w:iCs w:val="0"/>
        <w:sz w:val="18"/>
        <w:szCs w:val="18"/>
        <w:u w:val="none"/>
        <w:lang w:val="zh-CN"/>
      </w:rPr>
      <w:t xml:space="preserve">板桥小学田径场拆除重建工程（政府采购工程）（专门面向中小企业）</w:t>
    </w:r>
    <w:r>
      <w:rPr>
        <w:rFonts w:hint="eastAsia"/>
        <w:b w:val="0"/>
        <w:bCs/>
        <w:i w:val="0"/>
        <w:iCs w:val="0"/>
        <w:color w:val="auto"/>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rPr>
        <w:b w:val="0"/>
        <w:bCs/>
        <w:i w:val="0"/>
        <w:iCs w:val="0"/>
        <w:color w:val="ff0000"/>
      </w:rPr>
    </w:pPr>
    <w:r>
      <w:rPr>
        <w:rFonts w:hint="eastAsia" w:ascii="Arial" w:hAnsi="宋体"/>
        <w:b w:val="0"/>
        <w:bCs/>
        <w:i w:val="0"/>
        <w:iCs w:val="0"/>
        <w:sz w:val="18"/>
        <w:szCs w:val="18"/>
        <w:u w:val="none"/>
        <w:lang w:val="zh-CN"/>
      </w:rPr>
      <w:t xml:space="preserve">板桥小学田径场拆除重建工程（政府采购工程）（专门面向中小企业）</w:t>
    </w:r>
    <w:r>
      <w:rPr>
        <w:rFonts w:hint="eastAsia"/>
        <w:b w:val="0"/>
        <w:bCs/>
        <w:i w:val="0"/>
        <w:iCs w:val="0"/>
        <w:color w:val="auto"/>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rPr>
        <w:i/>
        <w:color w:val="000000"/>
      </w:rPr>
    </w:pPr>
    <w:r>
      <w:rPr>
        <w:rFonts w:hint="eastAsia" w:ascii="Arial" w:hAnsi="宋体"/>
        <w:b w:val="0"/>
        <w:bCs/>
        <w:i w:val="0"/>
        <w:iCs w:val="0"/>
        <w:sz w:val="18"/>
        <w:szCs w:val="18"/>
        <w:u w:val="none"/>
        <w:lang w:val="zh-CN"/>
      </w:rPr>
      <w:t xml:space="preserve">板桥小学田径场拆除重建工程（政府采购工程）（专门面向中小企业）</w:t>
    </w:r>
    <w:r>
      <w:rPr>
        <w:rFonts w:hint="eastAsia"/>
        <w:b w:val="0"/>
        <w:bCs/>
        <w:i w:val="0"/>
        <w:iCs w:val="0"/>
        <w:color w:val="auto"/>
      </w:rPr>
      <w:t xml:space="preserve">竞争性磋商采购文件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55"/>
    <w:link w:val="751"/>
    <w:uiPriority w:val="9"/>
    <w:rPr>
      <w:rFonts w:ascii="Arial" w:hAnsi="Arial" w:eastAsia="Arial" w:cs="Arial"/>
      <w:b/>
      <w:bCs/>
      <w:sz w:val="22"/>
      <w:szCs w:val="22"/>
    </w:rPr>
  </w:style>
  <w:style w:type="character" w:styleId="25">
    <w:name w:val="Heading 7 Char"/>
    <w:basedOn w:val="755"/>
    <w:link w:val="752"/>
    <w:uiPriority w:val="9"/>
    <w:rPr>
      <w:rFonts w:ascii="Arial" w:hAnsi="Arial" w:eastAsia="Arial" w:cs="Arial"/>
      <w:b/>
      <w:bCs/>
      <w:i/>
      <w:iCs/>
      <w:sz w:val="22"/>
      <w:szCs w:val="22"/>
    </w:rPr>
  </w:style>
  <w:style w:type="character" w:styleId="27">
    <w:name w:val="Heading 8 Char"/>
    <w:basedOn w:val="755"/>
    <w:link w:val="753"/>
    <w:uiPriority w:val="9"/>
    <w:rPr>
      <w:rFonts w:ascii="Arial" w:hAnsi="Arial" w:eastAsia="Arial" w:cs="Arial"/>
      <w:i/>
      <w:iCs/>
      <w:sz w:val="22"/>
      <w:szCs w:val="22"/>
    </w:rPr>
  </w:style>
  <w:style w:type="character" w:styleId="29">
    <w:name w:val="Heading 9 Char"/>
    <w:basedOn w:val="755"/>
    <w:link w:val="754"/>
    <w:uiPriority w:val="9"/>
    <w:rPr>
      <w:rFonts w:ascii="Arial" w:hAnsi="Arial" w:eastAsia="Arial" w:cs="Arial"/>
      <w:i/>
      <w:iCs/>
      <w:sz w:val="21"/>
      <w:szCs w:val="21"/>
    </w:rPr>
  </w:style>
  <w:style w:type="character" w:styleId="34">
    <w:name w:val="Title Char"/>
    <w:basedOn w:val="755"/>
    <w:link w:val="792"/>
    <w:uiPriority w:val="10"/>
    <w:rPr>
      <w:sz w:val="48"/>
      <w:szCs w:val="48"/>
    </w:rPr>
  </w:style>
  <w:style w:type="character" w:styleId="38">
    <w:name w:val="Quote Char"/>
    <w:link w:val="827"/>
    <w:uiPriority w:val="29"/>
    <w:rPr>
      <w:i/>
    </w:rPr>
  </w:style>
  <w:style w:type="character" w:styleId="40">
    <w:name w:val="Intense Quote Char"/>
    <w:link w:val="829"/>
    <w:uiPriority w:val="30"/>
    <w:rPr>
      <w:i/>
    </w:rPr>
  </w:style>
  <w:style w:type="character" w:styleId="175">
    <w:name w:val="Footnote Text Char"/>
    <w:link w:val="782"/>
    <w:uiPriority w:val="99"/>
    <w:rPr>
      <w:sz w:val="18"/>
    </w:rPr>
  </w:style>
  <w:style w:type="character" w:styleId="178">
    <w:name w:val="Endnote Text Char"/>
    <w:link w:val="774"/>
    <w:uiPriority w:val="99"/>
    <w:rPr>
      <w:sz w:val="20"/>
    </w:rPr>
  </w:style>
  <w:style w:type="paragraph" w:styleId="189">
    <w:name w:val="TOC Heading"/>
    <w:uiPriority w:val="39"/>
    <w:unhideWhenUsed/>
  </w:style>
  <w:style w:type="paragraph" w:styleId="745" w:default="1">
    <w:name w:val="Normal"/>
    <w:next w:val="757"/>
    <w:uiPriority w:val="0"/>
    <w:qFormat/>
    <w:pPr>
      <w:jc w:val="both"/>
      <w:widowControl w:val="off"/>
    </w:pPr>
    <w:rPr>
      <w:rFonts w:ascii="Times New Roman" w:hAnsi="Times New Roman" w:eastAsia="宋体" w:cs="Times New Roman"/>
      <w:sz w:val="21"/>
      <w:szCs w:val="24"/>
      <w:lang w:val="en-US" w:eastAsia="zh-CN" w:bidi="ar-SA"/>
    </w:rPr>
  </w:style>
  <w:style w:type="paragraph" w:styleId="746">
    <w:name w:val="Heading 1"/>
    <w:basedOn w:val="745"/>
    <w:next w:val="745"/>
    <w:link w:val="814"/>
    <w:uiPriority w:val="0"/>
    <w:qFormat/>
    <w:pPr>
      <w:keepNext/>
      <w:outlineLvl w:val="0"/>
    </w:pPr>
    <w:rPr>
      <w:rFonts w:ascii="楷体_GB2312" w:eastAsia="楷体_GB2312"/>
      <w:sz w:val="28"/>
      <w:szCs w:val="20"/>
    </w:rPr>
  </w:style>
  <w:style w:type="paragraph" w:styleId="747">
    <w:name w:val="Heading 2"/>
    <w:basedOn w:val="745"/>
    <w:next w:val="745"/>
    <w:link w:val="813"/>
    <w:uiPriority w:val="0"/>
    <w:qFormat/>
    <w:pPr>
      <w:jc w:val="center"/>
      <w:keepLines/>
      <w:keepNext/>
      <w:spacing w:before="260" w:after="260" w:line="415" w:lineRule="auto"/>
      <w:outlineLvl w:val="1"/>
    </w:pPr>
    <w:rPr>
      <w:rFonts w:ascii="Arial" w:hAnsi="Arial" w:eastAsia="幼圆"/>
      <w:b/>
      <w:sz w:val="44"/>
      <w:szCs w:val="20"/>
    </w:rPr>
  </w:style>
  <w:style w:type="paragraph" w:styleId="748">
    <w:name w:val="Heading 3"/>
    <w:basedOn w:val="745"/>
    <w:next w:val="745"/>
    <w:link w:val="976"/>
    <w:uiPriority w:val="0"/>
    <w:qFormat/>
    <w:pPr>
      <w:keepLines/>
      <w:keepNext/>
      <w:spacing w:before="260" w:after="260" w:line="415" w:lineRule="auto"/>
      <w:outlineLvl w:val="2"/>
    </w:pPr>
    <w:rPr>
      <w:b/>
      <w:sz w:val="32"/>
      <w:szCs w:val="20"/>
    </w:rPr>
  </w:style>
  <w:style w:type="paragraph" w:styleId="749">
    <w:name w:val="Heading 4"/>
    <w:basedOn w:val="745"/>
    <w:next w:val="745"/>
    <w:link w:val="974"/>
    <w:uiPriority w:val="0"/>
    <w:qFormat/>
    <w:pPr>
      <w:keepLines/>
      <w:keepNext/>
      <w:spacing w:before="280" w:after="290" w:line="376" w:lineRule="auto"/>
      <w:outlineLvl w:val="3"/>
    </w:pPr>
    <w:rPr>
      <w:rFonts w:ascii="Arial" w:hAnsi="Arial" w:eastAsia="黑体"/>
      <w:b/>
      <w:bCs/>
      <w:sz w:val="28"/>
      <w:szCs w:val="28"/>
    </w:rPr>
  </w:style>
  <w:style w:type="paragraph" w:styleId="750">
    <w:name w:val="Heading 5"/>
    <w:basedOn w:val="745"/>
    <w:next w:val="745"/>
    <w:link w:val="971"/>
    <w:uiPriority w:val="0"/>
    <w:qFormat/>
    <w:pPr>
      <w:keepNext/>
      <w:outlineLvl w:val="4"/>
    </w:pPr>
    <w:rPr>
      <w:rFonts w:ascii="宋体"/>
      <w:b/>
      <w:bCs/>
    </w:rPr>
  </w:style>
  <w:style w:type="paragraph" w:styleId="751">
    <w:name w:val="Heading 6"/>
    <w:basedOn w:val="745"/>
    <w:next w:val="745"/>
    <w:link w:val="820"/>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22"/>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23"/>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758">
    <w:name w:val="toc 7"/>
    <w:basedOn w:val="745"/>
    <w:next w:val="745"/>
    <w:uiPriority w:val="0"/>
    <w:qFormat/>
    <w:pPr>
      <w:ind w:left="1200"/>
    </w:pPr>
  </w:style>
  <w:style w:type="paragraph" w:styleId="759">
    <w:name w:val="Normal Indent"/>
    <w:basedOn w:val="745"/>
    <w:next w:val="745"/>
    <w:uiPriority w:val="0"/>
    <w:qFormat/>
    <w:pPr>
      <w:ind w:firstLine="420"/>
    </w:pPr>
    <w:rPr>
      <w:szCs w:val="20"/>
    </w:rPr>
  </w:style>
  <w:style w:type="paragraph" w:styleId="760">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Document Map"/>
    <w:basedOn w:val="745"/>
    <w:link w:val="977"/>
    <w:uiPriority w:val="0"/>
    <w:qFormat/>
    <w:pPr>
      <w:shd w:val="clear" w:color="auto" w:fill="000080"/>
    </w:pPr>
  </w:style>
  <w:style w:type="paragraph" w:styleId="762">
    <w:name w:val="annotation text"/>
    <w:basedOn w:val="745"/>
    <w:link w:val="969"/>
    <w:uiPriority w:val="0"/>
    <w:qFormat/>
    <w:pPr>
      <w:jc w:val="left"/>
    </w:pPr>
  </w:style>
  <w:style w:type="paragraph" w:styleId="763">
    <w:name w:val="Body Text 3"/>
    <w:basedOn w:val="745"/>
    <w:link w:val="985"/>
    <w:uiPriority w:val="0"/>
    <w:qFormat/>
    <w:rPr>
      <w:rFonts w:ascii="仿宋_GB2312" w:eastAsia="仿宋_GB2312"/>
      <w:sz w:val="32"/>
      <w:szCs w:val="20"/>
    </w:rPr>
  </w:style>
  <w:style w:type="paragraph" w:styleId="764">
    <w:name w:val="Body Text"/>
    <w:basedOn w:val="745"/>
    <w:link w:val="987"/>
    <w:uiPriority w:val="0"/>
    <w:qFormat/>
    <w:rPr>
      <w:rFonts w:ascii="楷体_GB2312" w:eastAsia="楷体_GB2312"/>
      <w:sz w:val="28"/>
      <w:szCs w:val="20"/>
    </w:rPr>
  </w:style>
  <w:style w:type="paragraph" w:styleId="765">
    <w:name w:val="Body Text Indent"/>
    <w:basedOn w:val="745"/>
    <w:link w:val="981"/>
    <w:uiPriority w:val="0"/>
    <w:qFormat/>
    <w:pPr>
      <w:ind w:firstLine="645"/>
    </w:pPr>
    <w:rPr>
      <w:rFonts w:ascii="楷体_GB2312" w:eastAsia="楷体_GB2312"/>
      <w:sz w:val="32"/>
      <w:szCs w:val="20"/>
    </w:rPr>
  </w:style>
  <w:style w:type="paragraph" w:styleId="766">
    <w:name w:val="Block Text"/>
    <w:basedOn w:val="745"/>
    <w:next w:val="745"/>
    <w:uiPriority w:val="0"/>
    <w:unhideWhenUsed/>
    <w:qFormat/>
    <w:pPr>
      <w:ind w:left="420" w:right="33"/>
    </w:pPr>
    <w:rPr>
      <w:sz w:val="24"/>
    </w:rPr>
  </w:style>
  <w:style w:type="paragraph" w:styleId="767">
    <w:name w:val="index 4"/>
    <w:basedOn w:val="745"/>
    <w:next w:val="745"/>
    <w:uiPriority w:val="0"/>
    <w:semiHidden/>
    <w:qFormat/>
    <w:pPr>
      <w:ind w:left="600" w:firstLine="480"/>
      <w:spacing w:line="288" w:lineRule="auto"/>
      <w:tabs>
        <w:tab w:val="left" w:pos="1440" w:leader="none"/>
        <w:tab w:val="right" w:pos="8505" w:leader="dot"/>
      </w:tabs>
    </w:pPr>
  </w:style>
  <w:style w:type="paragraph" w:styleId="768">
    <w:name w:val="toc 5"/>
    <w:basedOn w:val="745"/>
    <w:next w:val="745"/>
    <w:uiPriority w:val="0"/>
    <w:qFormat/>
    <w:pPr>
      <w:ind w:left="800"/>
    </w:pPr>
  </w:style>
  <w:style w:type="paragraph" w:styleId="769">
    <w:name w:val="toc 3"/>
    <w:basedOn w:val="745"/>
    <w:next w:val="745"/>
    <w:uiPriority w:val="0"/>
    <w:qFormat/>
    <w:pPr>
      <w:ind w:left="539"/>
      <w:jc w:val="left"/>
      <w:spacing w:line="240" w:lineRule="exact"/>
      <w:tabs>
        <w:tab w:val="right" w:pos="9440" w:leader="dot"/>
      </w:tabs>
    </w:pPr>
    <w:rPr>
      <w:rFonts w:ascii="黑体" w:eastAsia="黑体"/>
      <w:bCs/>
      <w:iCs/>
      <w:sz w:val="18"/>
      <w:szCs w:val="32"/>
    </w:rPr>
  </w:style>
  <w:style w:type="paragraph" w:styleId="770">
    <w:name w:val="Plain Text"/>
    <w:basedOn w:val="745"/>
    <w:link w:val="988"/>
    <w:uiPriority w:val="0"/>
    <w:qFormat/>
    <w:rPr>
      <w:rFonts w:ascii="宋体"/>
      <w:szCs w:val="20"/>
    </w:rPr>
  </w:style>
  <w:style w:type="paragraph" w:styleId="771">
    <w:name w:val="toc 8"/>
    <w:basedOn w:val="745"/>
    <w:next w:val="745"/>
    <w:uiPriority w:val="0"/>
    <w:qFormat/>
    <w:pPr>
      <w:ind w:left="1400"/>
    </w:pPr>
  </w:style>
  <w:style w:type="paragraph" w:styleId="772">
    <w:name w:val="Date"/>
    <w:basedOn w:val="745"/>
    <w:next w:val="745"/>
    <w:link w:val="983"/>
    <w:uiPriority w:val="0"/>
    <w:qFormat/>
    <w:rPr>
      <w:sz w:val="24"/>
      <w:szCs w:val="20"/>
    </w:rPr>
  </w:style>
  <w:style w:type="paragraph" w:styleId="773">
    <w:name w:val="Body Text Indent 2"/>
    <w:basedOn w:val="745"/>
    <w:link w:val="982"/>
    <w:uiPriority w:val="0"/>
    <w:qFormat/>
    <w:pPr>
      <w:ind w:firstLine="200"/>
    </w:pPr>
    <w:rPr>
      <w:rFonts w:ascii="宋体"/>
      <w:sz w:val="28"/>
    </w:rPr>
  </w:style>
  <w:style w:type="paragraph" w:styleId="774">
    <w:name w:val="endnote text"/>
    <w:basedOn w:val="745"/>
    <w:link w:val="960"/>
    <w:uiPriority w:val="99"/>
    <w:semiHidden/>
    <w:unhideWhenUsed/>
    <w:qFormat/>
    <w:rPr>
      <w:sz w:val="20"/>
    </w:rPr>
  </w:style>
  <w:style w:type="paragraph" w:styleId="775">
    <w:name w:val="Balloon Text"/>
    <w:basedOn w:val="745"/>
    <w:link w:val="973"/>
    <w:uiPriority w:val="0"/>
    <w:qFormat/>
    <w:rPr>
      <w:sz w:val="18"/>
      <w:szCs w:val="18"/>
    </w:rPr>
  </w:style>
  <w:style w:type="paragraph" w:styleId="776">
    <w:name w:val="Footer"/>
    <w:basedOn w:val="745"/>
    <w:link w:val="972"/>
    <w:uiPriority w:val="0"/>
    <w:qFormat/>
    <w:pPr>
      <w:jc w:val="left"/>
      <w:tabs>
        <w:tab w:val="center" w:pos="4153" w:leader="none"/>
        <w:tab w:val="right" w:pos="8306" w:leader="none"/>
      </w:tabs>
    </w:pPr>
    <w:rPr>
      <w:sz w:val="18"/>
      <w:szCs w:val="20"/>
    </w:rPr>
  </w:style>
  <w:style w:type="paragraph" w:styleId="777">
    <w:name w:val="envelope return"/>
    <w:basedOn w:val="745"/>
    <w:uiPriority w:val="99"/>
    <w:unhideWhenUsed/>
    <w:qFormat/>
    <w:rPr>
      <w:rFonts w:ascii="Arial" w:hAnsi="Arial" w:cs="Arial"/>
    </w:rPr>
  </w:style>
  <w:style w:type="paragraph" w:styleId="778">
    <w:name w:val="Header"/>
    <w:basedOn w:val="745"/>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5"/>
    <w:next w:val="745"/>
    <w:uiPriority w:val="39"/>
    <w:qFormat/>
    <w:pPr>
      <w:jc w:val="left"/>
      <w:spacing w:before="120" w:after="120" w:line="300" w:lineRule="exact"/>
      <w:tabs>
        <w:tab w:val="right" w:pos="9440" w:leader="dot"/>
      </w:tabs>
    </w:pPr>
    <w:rPr>
      <w:rFonts w:ascii="黑体" w:eastAsia="黑体"/>
      <w:b/>
      <w:caps/>
      <w:sz w:val="18"/>
      <w:szCs w:val="28"/>
    </w:rPr>
  </w:style>
  <w:style w:type="paragraph" w:styleId="780">
    <w:name w:val="toc 4"/>
    <w:basedOn w:val="745"/>
    <w:next w:val="745"/>
    <w:uiPriority w:val="0"/>
    <w:qFormat/>
    <w:pPr>
      <w:ind w:left="600"/>
    </w:pPr>
  </w:style>
  <w:style w:type="paragraph" w:styleId="781">
    <w:name w:val="Subtitle"/>
    <w:basedOn w:val="745"/>
    <w:next w:val="745"/>
    <w:link w:val="978"/>
    <w:uiPriority w:val="0"/>
    <w:qFormat/>
    <w:pPr>
      <w:jc w:val="center"/>
      <w:spacing w:before="240" w:after="60" w:line="312" w:lineRule="auto"/>
      <w:outlineLvl w:val="1"/>
    </w:pPr>
    <w:rPr>
      <w:rFonts w:ascii="Cambria" w:hAnsi="Cambria"/>
      <w:b/>
      <w:bCs/>
      <w:sz w:val="32"/>
      <w:szCs w:val="32"/>
    </w:rPr>
  </w:style>
  <w:style w:type="paragraph" w:styleId="782">
    <w:name w:val="footnote text"/>
    <w:basedOn w:val="745"/>
    <w:link w:val="959"/>
    <w:uiPriority w:val="99"/>
    <w:semiHidden/>
    <w:unhideWhenUsed/>
    <w:qFormat/>
    <w:pPr>
      <w:spacing w:after="40"/>
    </w:pPr>
    <w:rPr>
      <w:sz w:val="18"/>
    </w:rPr>
  </w:style>
  <w:style w:type="paragraph" w:styleId="783">
    <w:name w:val="toc 6"/>
    <w:basedOn w:val="745"/>
    <w:next w:val="745"/>
    <w:uiPriority w:val="0"/>
    <w:qFormat/>
    <w:pPr>
      <w:ind w:left="1000"/>
    </w:pPr>
  </w:style>
  <w:style w:type="paragraph" w:styleId="784">
    <w:name w:val="Body Text Indent 3"/>
    <w:basedOn w:val="745"/>
    <w:link w:val="980"/>
    <w:uiPriority w:val="0"/>
    <w:qFormat/>
    <w:pPr>
      <w:ind w:firstLine="523"/>
    </w:pPr>
    <w:rPr>
      <w:rFonts w:ascii="仿宋_GB2312" w:eastAsia="仿宋_GB2312"/>
      <w:sz w:val="24"/>
    </w:rPr>
  </w:style>
  <w:style w:type="paragraph" w:styleId="785">
    <w:name w:val="table of figures"/>
    <w:basedOn w:val="745"/>
    <w:next w:val="745"/>
    <w:uiPriority w:val="99"/>
    <w:unhideWhenUsed/>
    <w:qFormat/>
  </w:style>
  <w:style w:type="paragraph" w:styleId="786">
    <w:name w:val="toc 2"/>
    <w:basedOn w:val="745"/>
    <w:next w:val="745"/>
    <w:uiPriority w:val="39"/>
    <w:qFormat/>
    <w:pPr>
      <w:jc w:val="left"/>
      <w:spacing w:line="260" w:lineRule="exact"/>
      <w:tabs>
        <w:tab w:val="right" w:pos="9440" w:leader="dot"/>
      </w:tabs>
    </w:pPr>
    <w:rPr>
      <w:rFonts w:ascii="黑体" w:eastAsia="黑体"/>
      <w:b/>
      <w:bCs/>
      <w:smallCaps/>
      <w:sz w:val="18"/>
      <w:szCs w:val="44"/>
    </w:rPr>
  </w:style>
  <w:style w:type="paragraph" w:styleId="787">
    <w:name w:val="toc 9"/>
    <w:basedOn w:val="745"/>
    <w:next w:val="745"/>
    <w:uiPriority w:val="0"/>
    <w:qFormat/>
    <w:pPr>
      <w:ind w:left="1600"/>
    </w:pPr>
  </w:style>
  <w:style w:type="paragraph" w:styleId="788">
    <w:name w:val="Body Text 2"/>
    <w:basedOn w:val="745"/>
    <w:link w:val="975"/>
    <w:uiPriority w:val="0"/>
    <w:qFormat/>
    <w:pPr>
      <w:jc w:val="center"/>
    </w:pPr>
    <w:rPr>
      <w:rFonts w:ascii="仿宋_GB2312" w:eastAsia="仿宋_GB2312"/>
      <w:sz w:val="44"/>
    </w:rPr>
  </w:style>
  <w:style w:type="paragraph" w:styleId="789">
    <w:name w:val="HTML Preformatted"/>
    <w:basedOn w:val="745"/>
    <w:link w:val="9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90">
    <w:name w:val="Normal (Web)"/>
    <w:basedOn w:val="745"/>
    <w:uiPriority w:val="99"/>
    <w:qFormat/>
    <w:pPr>
      <w:jc w:val="left"/>
      <w:spacing w:before="100" w:beforeAutospacing="1" w:after="100" w:afterAutospacing="1"/>
      <w:widowControl/>
    </w:pPr>
    <w:rPr>
      <w:rFonts w:ascii="宋体" w:cs="宋体"/>
      <w:sz w:val="24"/>
    </w:rPr>
  </w:style>
  <w:style w:type="paragraph" w:styleId="791">
    <w:name w:val="index 1"/>
    <w:basedOn w:val="745"/>
    <w:next w:val="745"/>
    <w:uiPriority w:val="0"/>
    <w:qFormat/>
    <w:rPr>
      <w:rFonts w:ascii="宋体"/>
      <w:szCs w:val="18"/>
    </w:rPr>
  </w:style>
  <w:style w:type="paragraph" w:styleId="792">
    <w:name w:val="Title"/>
    <w:basedOn w:val="745"/>
    <w:next w:val="745"/>
    <w:link w:val="825"/>
    <w:uiPriority w:val="10"/>
    <w:qFormat/>
    <w:pPr>
      <w:contextualSpacing/>
      <w:spacing w:before="300" w:after="200"/>
    </w:pPr>
    <w:rPr>
      <w:sz w:val="48"/>
      <w:szCs w:val="48"/>
    </w:rPr>
  </w:style>
  <w:style w:type="paragraph" w:styleId="793">
    <w:name w:val="annotation subject"/>
    <w:basedOn w:val="762"/>
    <w:next w:val="762"/>
    <w:link w:val="968"/>
    <w:uiPriority w:val="0"/>
    <w:qFormat/>
    <w:rPr>
      <w:b/>
      <w:bCs/>
    </w:rPr>
  </w:style>
  <w:style w:type="paragraph" w:styleId="794">
    <w:name w:val="Body Text First Indent"/>
    <w:basedOn w:val="764"/>
    <w:uiPriority w:val="0"/>
    <w:qFormat/>
    <w:pPr>
      <w:ind w:firstLine="420"/>
      <w:spacing w:after="120"/>
    </w:pPr>
    <w:rPr>
      <w:rFonts w:ascii="Times New Roman" w:eastAsia="宋体"/>
      <w:sz w:val="21"/>
      <w:szCs w:val="24"/>
    </w:rPr>
  </w:style>
  <w:style w:type="paragraph" w:styleId="795">
    <w:name w:val="Body Text First Indent 2"/>
    <w:basedOn w:val="765"/>
    <w:uiPriority w:val="99"/>
    <w:unhideWhenUsed/>
    <w:qFormat/>
    <w:pPr>
      <w:ind w:firstLine="420"/>
    </w:pPr>
  </w:style>
  <w:style w:type="table" w:styleId="796">
    <w:name w:val="Table Grid"/>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uiPriority w:val="0"/>
    <w:qFormat/>
    <w:rPr>
      <w:b/>
      <w:bCs/>
    </w:rPr>
  </w:style>
  <w:style w:type="character" w:styleId="798">
    <w:name w:val="endnote reference"/>
    <w:basedOn w:val="755"/>
    <w:uiPriority w:val="99"/>
    <w:semiHidden/>
    <w:unhideWhenUsed/>
    <w:qFormat/>
    <w:rPr>
      <w:vertAlign w:val="superscript"/>
    </w:rPr>
  </w:style>
  <w:style w:type="character" w:styleId="799">
    <w:name w:val="page number"/>
    <w:basedOn w:val="755"/>
    <w:uiPriority w:val="0"/>
    <w:qFormat/>
  </w:style>
  <w:style w:type="character" w:styleId="800">
    <w:name w:val="FollowedHyperlink"/>
    <w:basedOn w:val="755"/>
    <w:uiPriority w:val="99"/>
    <w:qFormat/>
    <w:rPr>
      <w:color w:val="800080"/>
      <w:u w:val="none"/>
    </w:rPr>
  </w:style>
  <w:style w:type="character" w:styleId="801">
    <w:name w:val="Emphasis"/>
    <w:basedOn w:val="755"/>
    <w:uiPriority w:val="20"/>
    <w:qFormat/>
    <w:rPr>
      <w:b/>
      <w:bCs/>
    </w:rPr>
  </w:style>
  <w:style w:type="character" w:styleId="802">
    <w:name w:val="HTML Definition"/>
    <w:basedOn w:val="755"/>
    <w:uiPriority w:val="99"/>
    <w:semiHidden/>
    <w:unhideWhenUsed/>
    <w:qFormat/>
  </w:style>
  <w:style w:type="character" w:styleId="803">
    <w:name w:val="HTML Typewriter"/>
    <w:basedOn w:val="755"/>
    <w:uiPriority w:val="99"/>
    <w:semiHidden/>
    <w:unhideWhenUsed/>
    <w:qFormat/>
    <w:rPr>
      <w:rFonts w:hint="default" w:ascii="monospace" w:hAnsi="monospace" w:eastAsia="monospace" w:cs="monospace"/>
      <w:sz w:val="20"/>
    </w:rPr>
  </w:style>
  <w:style w:type="character" w:styleId="804">
    <w:name w:val="HTML Acronym"/>
    <w:basedOn w:val="755"/>
    <w:uiPriority w:val="99"/>
    <w:semiHidden/>
    <w:unhideWhenUsed/>
    <w:qFormat/>
  </w:style>
  <w:style w:type="character" w:styleId="805">
    <w:name w:val="HTML Variable"/>
    <w:basedOn w:val="755"/>
    <w:uiPriority w:val="99"/>
    <w:semiHidden/>
    <w:unhideWhenUsed/>
    <w:qFormat/>
  </w:style>
  <w:style w:type="character" w:styleId="806">
    <w:name w:val="Hyperlink"/>
    <w:basedOn w:val="755"/>
    <w:uiPriority w:val="99"/>
    <w:qFormat/>
    <w:rPr>
      <w:color w:val="0000ff"/>
      <w:u w:val="none"/>
    </w:rPr>
  </w:style>
  <w:style w:type="character" w:styleId="807">
    <w:name w:val="HTML Code"/>
    <w:basedOn w:val="755"/>
    <w:uiPriority w:val="99"/>
    <w:semiHidden/>
    <w:unhideWhenUsed/>
    <w:qFormat/>
    <w:rPr>
      <w:rFonts w:hint="default" w:ascii="monospace" w:hAnsi="monospace" w:eastAsia="monospace" w:cs="monospace"/>
      <w:sz w:val="20"/>
    </w:rPr>
  </w:style>
  <w:style w:type="character" w:styleId="808">
    <w:name w:val="annotation reference"/>
    <w:uiPriority w:val="0"/>
    <w:qFormat/>
    <w:rPr>
      <w:sz w:val="21"/>
      <w:szCs w:val="21"/>
    </w:rPr>
  </w:style>
  <w:style w:type="character" w:styleId="809">
    <w:name w:val="HTML Cite"/>
    <w:basedOn w:val="755"/>
    <w:uiPriority w:val="99"/>
    <w:semiHidden/>
    <w:unhideWhenUsed/>
    <w:qFormat/>
  </w:style>
  <w:style w:type="character" w:styleId="810">
    <w:name w:val="footnote reference"/>
    <w:basedOn w:val="755"/>
    <w:uiPriority w:val="99"/>
    <w:unhideWhenUsed/>
    <w:qFormat/>
    <w:rPr>
      <w:vertAlign w:val="superscript"/>
    </w:rPr>
  </w:style>
  <w:style w:type="character" w:styleId="811">
    <w:name w:val="HTML Keyboard"/>
    <w:basedOn w:val="755"/>
    <w:uiPriority w:val="99"/>
    <w:semiHidden/>
    <w:unhideWhenUsed/>
    <w:qFormat/>
    <w:rPr>
      <w:rFonts w:hint="default" w:ascii="monospace" w:hAnsi="monospace" w:eastAsia="monospace" w:cs="monospace"/>
      <w:sz w:val="20"/>
    </w:rPr>
  </w:style>
  <w:style w:type="character" w:styleId="812">
    <w:name w:val="HTML Sample"/>
    <w:basedOn w:val="755"/>
    <w:uiPriority w:val="99"/>
    <w:semiHidden/>
    <w:unhideWhenUsed/>
    <w:qFormat/>
    <w:rPr>
      <w:rFonts w:ascii="monospace" w:hAnsi="monospace" w:eastAsia="monospace" w:cs="monospace"/>
      <w:u w:val="none"/>
      <w:shd w:val="clear" w:color="auto" w:fill="ffffff"/>
    </w:rPr>
  </w:style>
  <w:style w:type="character" w:styleId="813" w:customStyle="1">
    <w:name w:val="标题 2 Char"/>
    <w:basedOn w:val="755"/>
    <w:link w:val="747"/>
    <w:uiPriority w:val="0"/>
    <w:qFormat/>
    <w:rPr>
      <w:rFonts w:ascii="Arial" w:hAnsi="Arial" w:eastAsia="幼圆"/>
      <w:b/>
      <w:sz w:val="44"/>
    </w:rPr>
  </w:style>
  <w:style w:type="character" w:styleId="814" w:customStyle="1">
    <w:name w:val="标题 1 Char"/>
    <w:basedOn w:val="755"/>
    <w:link w:val="746"/>
    <w:uiPriority w:val="0"/>
    <w:qFormat/>
    <w:rPr>
      <w:rFonts w:ascii="楷体_GB2312" w:eastAsia="楷体_GB2312"/>
      <w:sz w:val="28"/>
    </w:rPr>
  </w:style>
  <w:style w:type="character" w:styleId="815" w:customStyle="1">
    <w:name w:val="Heading 1 Char"/>
    <w:basedOn w:val="755"/>
    <w:uiPriority w:val="9"/>
    <w:qFormat/>
    <w:rPr>
      <w:rFonts w:ascii="Arial" w:hAnsi="Arial" w:eastAsia="Arial" w:cs="Arial"/>
      <w:sz w:val="40"/>
      <w:szCs w:val="40"/>
    </w:rPr>
  </w:style>
  <w:style w:type="character" w:styleId="816" w:customStyle="1">
    <w:name w:val="Heading 2 Char"/>
    <w:basedOn w:val="755"/>
    <w:uiPriority w:val="9"/>
    <w:qFormat/>
    <w:rPr>
      <w:rFonts w:ascii="Arial" w:hAnsi="Arial" w:eastAsia="Arial" w:cs="Arial"/>
      <w:sz w:val="34"/>
    </w:rPr>
  </w:style>
  <w:style w:type="character" w:styleId="817" w:customStyle="1">
    <w:name w:val="Heading 3 Char"/>
    <w:basedOn w:val="755"/>
    <w:uiPriority w:val="9"/>
    <w:qFormat/>
    <w:rPr>
      <w:rFonts w:ascii="Arial" w:hAnsi="Arial" w:eastAsia="Arial" w:cs="Arial"/>
      <w:sz w:val="30"/>
      <w:szCs w:val="30"/>
    </w:rPr>
  </w:style>
  <w:style w:type="character" w:styleId="818" w:customStyle="1">
    <w:name w:val="Heading 4 Char"/>
    <w:basedOn w:val="755"/>
    <w:uiPriority w:val="9"/>
    <w:qFormat/>
    <w:rPr>
      <w:rFonts w:ascii="Arial" w:hAnsi="Arial" w:eastAsia="Arial" w:cs="Arial"/>
      <w:b/>
      <w:bCs/>
      <w:sz w:val="26"/>
      <w:szCs w:val="26"/>
    </w:rPr>
  </w:style>
  <w:style w:type="character" w:styleId="819" w:customStyle="1">
    <w:name w:val="Heading 5 Char"/>
    <w:basedOn w:val="755"/>
    <w:uiPriority w:val="9"/>
    <w:qFormat/>
    <w:rPr>
      <w:rFonts w:ascii="Arial" w:hAnsi="Arial" w:eastAsia="Arial" w:cs="Arial"/>
      <w:b/>
      <w:bCs/>
      <w:sz w:val="24"/>
      <w:szCs w:val="24"/>
    </w:rPr>
  </w:style>
  <w:style w:type="character" w:styleId="820" w:customStyle="1">
    <w:name w:val="标题 6 Char"/>
    <w:basedOn w:val="755"/>
    <w:link w:val="751"/>
    <w:uiPriority w:val="9"/>
    <w:qFormat/>
    <w:rPr>
      <w:rFonts w:ascii="Arial" w:hAnsi="Arial" w:eastAsia="Arial" w:cs="Arial"/>
      <w:b/>
      <w:bCs/>
      <w:sz w:val="22"/>
      <w:szCs w:val="22"/>
    </w:rPr>
  </w:style>
  <w:style w:type="character" w:styleId="821" w:customStyle="1">
    <w:name w:val="标题 7 Char"/>
    <w:basedOn w:val="755"/>
    <w:link w:val="752"/>
    <w:uiPriority w:val="9"/>
    <w:qFormat/>
    <w:rPr>
      <w:rFonts w:ascii="Arial" w:hAnsi="Arial" w:eastAsia="Arial" w:cs="Arial"/>
      <w:b/>
      <w:bCs/>
      <w:i/>
      <w:iCs/>
      <w:sz w:val="22"/>
      <w:szCs w:val="22"/>
    </w:rPr>
  </w:style>
  <w:style w:type="character" w:styleId="822" w:customStyle="1">
    <w:name w:val="标题 8 Char"/>
    <w:basedOn w:val="755"/>
    <w:link w:val="753"/>
    <w:uiPriority w:val="9"/>
    <w:qFormat/>
    <w:rPr>
      <w:rFonts w:ascii="Arial" w:hAnsi="Arial" w:eastAsia="Arial" w:cs="Arial"/>
      <w:i/>
      <w:iCs/>
      <w:sz w:val="22"/>
      <w:szCs w:val="22"/>
    </w:rPr>
  </w:style>
  <w:style w:type="character" w:styleId="823" w:customStyle="1">
    <w:name w:val="标题 9 Char"/>
    <w:basedOn w:val="755"/>
    <w:link w:val="754"/>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Char"/>
    <w:basedOn w:val="755"/>
    <w:link w:val="792"/>
    <w:uiPriority w:val="10"/>
    <w:qFormat/>
    <w:rPr>
      <w:sz w:val="48"/>
      <w:szCs w:val="48"/>
    </w:rPr>
  </w:style>
  <w:style w:type="character" w:styleId="826" w:customStyle="1">
    <w:name w:val="Subtitle Char"/>
    <w:basedOn w:val="755"/>
    <w:uiPriority w:val="11"/>
    <w:qFormat/>
    <w:rPr>
      <w:sz w:val="24"/>
      <w:szCs w:val="24"/>
    </w:rPr>
  </w:style>
  <w:style w:type="paragraph" w:styleId="827">
    <w:name w:val="Quote"/>
    <w:basedOn w:val="745"/>
    <w:next w:val="745"/>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45"/>
    <w:next w:val="745"/>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Header Char"/>
    <w:basedOn w:val="755"/>
    <w:uiPriority w:val="99"/>
    <w:qFormat/>
  </w:style>
  <w:style w:type="character" w:styleId="832" w:customStyle="1">
    <w:name w:val="Footer Char"/>
    <w:basedOn w:val="755"/>
    <w:uiPriority w:val="99"/>
    <w:qFormat/>
  </w:style>
  <w:style w:type="character" w:styleId="833" w:customStyle="1">
    <w:name w:val="Caption Char"/>
    <w:uiPriority w:val="99"/>
    <w:qFormat/>
  </w:style>
  <w:style w:type="table" w:styleId="834" w:customStyle="1">
    <w:name w:val="Table Grid Light"/>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5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5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5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5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5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5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5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5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5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5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5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5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basedOn w:val="7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5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5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5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5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5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5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5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5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5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5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5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5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5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5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5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5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5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5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5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5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5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5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5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5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5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5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5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5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5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5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5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5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5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5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5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5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5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5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5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5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5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5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5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5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5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5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5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5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5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5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5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5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5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5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Char"/>
    <w:link w:val="782"/>
    <w:uiPriority w:val="99"/>
    <w:qFormat/>
    <w:rPr>
      <w:sz w:val="18"/>
    </w:rPr>
  </w:style>
  <w:style w:type="character" w:styleId="960" w:customStyle="1">
    <w:name w:val="尾注文本 Char"/>
    <w:link w:val="774"/>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paragraph" w:styleId="962" w:customStyle="1">
    <w:name w:val="正文首行缩进11"/>
    <w:basedOn w:val="963"/>
    <w:next w:val="745"/>
    <w:uiPriority w:val="99"/>
    <w:unhideWhenUsed/>
    <w:qFormat/>
    <w:pPr>
      <w:ind w:firstLine="420"/>
    </w:pPr>
    <w:rPr>
      <w:szCs w:val="24"/>
    </w:rPr>
  </w:style>
  <w:style w:type="paragraph" w:styleId="963" w:customStyle="1">
    <w:name w:val="正文文本111"/>
    <w:basedOn w:val="745"/>
    <w:next w:val="745"/>
    <w:uiPriority w:val="0"/>
    <w:qFormat/>
    <w:rPr>
      <w:rFonts w:eastAsia="楷体_GB2312"/>
      <w:b/>
      <w:bCs/>
      <w:color w:val="ff0000"/>
      <w:sz w:val="32"/>
      <w:szCs w:val="32"/>
      <w:lang w:val="zh-CN"/>
    </w:rPr>
  </w:style>
  <w:style w:type="paragraph" w:styleId="964" w:customStyle="1">
    <w:name w:val="段"/>
    <w:next w:val="745"/>
    <w:uiPriority w:val="0"/>
    <w:qFormat/>
    <w:pPr>
      <w:ind w:firstLine="200"/>
      <w:jc w:val="both"/>
    </w:pPr>
    <w:rPr>
      <w:rFonts w:ascii="宋体" w:hAnsi="Times New Roman" w:eastAsia="宋体" w:cs="Times New Roman"/>
      <w:sz w:val="21"/>
      <w:lang w:val="en-US" w:eastAsia="zh-CN" w:bidi="ar-SA"/>
    </w:rPr>
  </w:style>
  <w:style w:type="paragraph" w:styleId="965" w:customStyle="1">
    <w:name w:val="Heading 4"/>
    <w:basedOn w:val="745"/>
    <w:next w:val="745"/>
    <w:uiPriority w:val="0"/>
    <w:qFormat/>
    <w:pPr>
      <w:keepLines/>
      <w:keepNext/>
      <w:spacing w:before="280" w:after="290" w:line="376" w:lineRule="auto"/>
    </w:pPr>
    <w:rPr>
      <w:rFonts w:ascii="Arial" w:hAnsi="Arial" w:eastAsia="黑体"/>
      <w:b/>
      <w:bCs/>
      <w:sz w:val="28"/>
      <w:szCs w:val="28"/>
    </w:rPr>
  </w:style>
  <w:style w:type="paragraph" w:styleId="966" w:customStyle="1">
    <w:name w:val="正文1"/>
    <w:uiPriority w:val="99"/>
    <w:qFormat/>
    <w:pPr>
      <w:jc w:val="both"/>
    </w:pPr>
    <w:rPr>
      <w:rFonts w:ascii="Calibri" w:hAnsi="Calibri" w:eastAsia="宋体" w:cs="Times New Roman"/>
      <w:sz w:val="21"/>
      <w:szCs w:val="21"/>
      <w:lang w:val="en-US" w:eastAsia="zh-CN" w:bidi="ar-SA"/>
    </w:rPr>
  </w:style>
  <w:style w:type="character" w:styleId="967" w:customStyle="1">
    <w:name w:val="HTML 预设格式 Char"/>
    <w:link w:val="789"/>
    <w:uiPriority w:val="0"/>
    <w:qFormat/>
    <w:rPr>
      <w:rFonts w:ascii="黑体" w:eastAsia="黑体"/>
    </w:rPr>
  </w:style>
  <w:style w:type="character" w:styleId="968" w:customStyle="1">
    <w:name w:val="批注主题 Char"/>
    <w:basedOn w:val="969"/>
    <w:link w:val="793"/>
    <w:uiPriority w:val="0"/>
    <w:qFormat/>
    <w:rPr>
      <w:b/>
      <w:bCs/>
      <w:sz w:val="21"/>
      <w:szCs w:val="24"/>
    </w:rPr>
  </w:style>
  <w:style w:type="character" w:styleId="969" w:customStyle="1">
    <w:name w:val="批注文字 Char"/>
    <w:basedOn w:val="755"/>
    <w:link w:val="762"/>
    <w:uiPriority w:val="0"/>
    <w:qFormat/>
    <w:rPr>
      <w:sz w:val="21"/>
      <w:szCs w:val="24"/>
    </w:rPr>
  </w:style>
  <w:style w:type="character" w:styleId="970" w:customStyle="1">
    <w:name w:val="标题2 Char"/>
    <w:uiPriority w:val="0"/>
    <w:qFormat/>
    <w:rPr>
      <w:rFonts w:ascii="方正楷体_GBK" w:eastAsia="方正楷体_GBK"/>
      <w:sz w:val="32"/>
      <w:lang w:val="en-US" w:eastAsia="zh-CN" w:bidi="ar-SA"/>
    </w:rPr>
  </w:style>
  <w:style w:type="character" w:styleId="971" w:customStyle="1">
    <w:name w:val="标题 5 Char"/>
    <w:basedOn w:val="755"/>
    <w:link w:val="750"/>
    <w:uiPriority w:val="0"/>
    <w:qFormat/>
    <w:rPr>
      <w:rFonts w:ascii="宋体"/>
      <w:b/>
      <w:bCs/>
      <w:sz w:val="21"/>
      <w:szCs w:val="24"/>
    </w:rPr>
  </w:style>
  <w:style w:type="character" w:styleId="972" w:customStyle="1">
    <w:name w:val="页脚 Char"/>
    <w:link w:val="776"/>
    <w:uiPriority w:val="0"/>
    <w:qFormat/>
    <w:rPr>
      <w:sz w:val="18"/>
    </w:rPr>
  </w:style>
  <w:style w:type="character" w:styleId="973" w:customStyle="1">
    <w:name w:val="批注框文本 Char"/>
    <w:link w:val="775"/>
    <w:uiPriority w:val="0"/>
    <w:qFormat/>
    <w:rPr>
      <w:sz w:val="18"/>
      <w:szCs w:val="18"/>
    </w:rPr>
  </w:style>
  <w:style w:type="character" w:styleId="974" w:customStyle="1">
    <w:name w:val="标题 4 Char"/>
    <w:basedOn w:val="755"/>
    <w:link w:val="749"/>
    <w:uiPriority w:val="0"/>
    <w:qFormat/>
    <w:rPr>
      <w:rFonts w:ascii="Arial" w:hAnsi="Arial" w:eastAsia="黑体"/>
      <w:b/>
      <w:bCs/>
      <w:sz w:val="28"/>
      <w:szCs w:val="28"/>
    </w:rPr>
  </w:style>
  <w:style w:type="character" w:styleId="975" w:customStyle="1">
    <w:name w:val="正文文本 2 Char"/>
    <w:basedOn w:val="755"/>
    <w:link w:val="788"/>
    <w:uiPriority w:val="0"/>
    <w:qFormat/>
    <w:rPr>
      <w:rFonts w:ascii="仿宋_GB2312" w:eastAsia="仿宋_GB2312"/>
      <w:sz w:val="44"/>
      <w:szCs w:val="24"/>
    </w:rPr>
  </w:style>
  <w:style w:type="character" w:styleId="976" w:customStyle="1">
    <w:name w:val="标题 3 Char"/>
    <w:basedOn w:val="755"/>
    <w:link w:val="748"/>
    <w:uiPriority w:val="0"/>
    <w:qFormat/>
    <w:rPr>
      <w:b/>
      <w:sz w:val="32"/>
    </w:rPr>
  </w:style>
  <w:style w:type="character" w:styleId="977" w:customStyle="1">
    <w:name w:val="文档结构图 Char"/>
    <w:basedOn w:val="755"/>
    <w:link w:val="761"/>
    <w:uiPriority w:val="0"/>
    <w:qFormat/>
    <w:rPr>
      <w:sz w:val="21"/>
      <w:szCs w:val="24"/>
      <w:shd w:val="clear" w:color="auto" w:fill="000080"/>
    </w:rPr>
  </w:style>
  <w:style w:type="character" w:styleId="978" w:customStyle="1">
    <w:name w:val="副标题 Char"/>
    <w:basedOn w:val="755"/>
    <w:link w:val="781"/>
    <w:uiPriority w:val="0"/>
    <w:qFormat/>
    <w:rPr>
      <w:rFonts w:ascii="Cambria" w:hAnsi="Cambria"/>
      <w:b/>
      <w:bCs/>
      <w:sz w:val="32"/>
      <w:szCs w:val="32"/>
    </w:rPr>
  </w:style>
  <w:style w:type="character" w:styleId="979" w:customStyle="1">
    <w:name w:val="副标题 Char1"/>
    <w:basedOn w:val="755"/>
    <w:uiPriority w:val="11"/>
    <w:qFormat/>
    <w:rPr>
      <w:rFonts w:ascii="Cambria" w:hAnsi="Cambria" w:cs="Times New Roman"/>
      <w:b/>
      <w:bCs/>
      <w:sz w:val="32"/>
      <w:szCs w:val="32"/>
    </w:rPr>
  </w:style>
  <w:style w:type="character" w:styleId="980" w:customStyle="1">
    <w:name w:val="正文文本缩进 3 Char"/>
    <w:basedOn w:val="755"/>
    <w:link w:val="784"/>
    <w:uiPriority w:val="0"/>
    <w:qFormat/>
    <w:rPr>
      <w:rFonts w:ascii="仿宋_GB2312" w:eastAsia="仿宋_GB2312"/>
      <w:sz w:val="24"/>
      <w:szCs w:val="24"/>
    </w:rPr>
  </w:style>
  <w:style w:type="character" w:styleId="981" w:customStyle="1">
    <w:name w:val="正文文本缩进 Char"/>
    <w:basedOn w:val="755"/>
    <w:link w:val="765"/>
    <w:uiPriority w:val="0"/>
    <w:qFormat/>
    <w:rPr>
      <w:rFonts w:ascii="楷体_GB2312" w:eastAsia="楷体_GB2312"/>
      <w:sz w:val="32"/>
    </w:rPr>
  </w:style>
  <w:style w:type="character" w:styleId="982" w:customStyle="1">
    <w:name w:val="正文文本缩进 2 Char"/>
    <w:basedOn w:val="755"/>
    <w:link w:val="773"/>
    <w:uiPriority w:val="0"/>
    <w:qFormat/>
    <w:rPr>
      <w:rFonts w:ascii="宋体"/>
      <w:sz w:val="28"/>
      <w:szCs w:val="24"/>
    </w:rPr>
  </w:style>
  <w:style w:type="character" w:styleId="983" w:customStyle="1">
    <w:name w:val="日期 Char"/>
    <w:basedOn w:val="755"/>
    <w:link w:val="772"/>
    <w:uiPriority w:val="0"/>
    <w:qFormat/>
    <w:rPr>
      <w:sz w:val="24"/>
    </w:rPr>
  </w:style>
  <w:style w:type="character" w:styleId="984" w:customStyle="1">
    <w:name w:val="jj1"/>
    <w:uiPriority w:val="0"/>
    <w:qFormat/>
    <w:rPr>
      <w:sz w:val="20"/>
      <w:szCs w:val="20"/>
      <w:u w:val="none"/>
    </w:rPr>
  </w:style>
  <w:style w:type="character" w:styleId="985" w:customStyle="1">
    <w:name w:val="正文文本 3 Char"/>
    <w:basedOn w:val="755"/>
    <w:link w:val="763"/>
    <w:uiPriority w:val="0"/>
    <w:qFormat/>
    <w:rPr>
      <w:rFonts w:ascii="仿宋_GB2312" w:eastAsia="仿宋_GB2312"/>
      <w:sz w:val="32"/>
    </w:rPr>
  </w:style>
  <w:style w:type="character" w:styleId="986" w:customStyle="1">
    <w:name w:val="页眉 Char"/>
    <w:basedOn w:val="755"/>
    <w:link w:val="778"/>
    <w:uiPriority w:val="99"/>
    <w:qFormat/>
    <w:rPr>
      <w:sz w:val="18"/>
      <w:szCs w:val="18"/>
    </w:rPr>
  </w:style>
  <w:style w:type="character" w:styleId="987" w:customStyle="1">
    <w:name w:val="正文文本 Char"/>
    <w:basedOn w:val="755"/>
    <w:link w:val="764"/>
    <w:uiPriority w:val="0"/>
    <w:qFormat/>
    <w:rPr>
      <w:rFonts w:ascii="楷体_GB2312" w:eastAsia="楷体_GB2312"/>
      <w:sz w:val="28"/>
    </w:rPr>
  </w:style>
  <w:style w:type="character" w:styleId="988" w:customStyle="1">
    <w:name w:val="纯文本 Char"/>
    <w:basedOn w:val="755"/>
    <w:link w:val="770"/>
    <w:uiPriority w:val="0"/>
    <w:qFormat/>
    <w:rPr>
      <w:rFonts w:ascii="宋体"/>
      <w:sz w:val="21"/>
    </w:rPr>
  </w:style>
  <w:style w:type="paragraph" w:styleId="989" w:customStyle="1">
    <w:name w:val="标题3"/>
    <w:basedOn w:val="745"/>
    <w:next w:val="745"/>
    <w:uiPriority w:val="0"/>
    <w:qFormat/>
    <w:rPr>
      <w:rFonts w:eastAsia="方正黑体_GBK"/>
    </w:rPr>
  </w:style>
  <w:style w:type="paragraph" w:styleId="990" w:customStyle="1">
    <w:name w:val="xl83"/>
    <w:basedOn w:val="745"/>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991"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92" w:customStyle="1">
    <w:name w:val="TOC 标题11"/>
    <w:basedOn w:val="746"/>
    <w:next w:val="745"/>
    <w:uiPriority w:val="0"/>
    <w:qFormat/>
    <w:pPr>
      <w:jc w:val="left"/>
      <w:keepLines/>
      <w:spacing w:before="480" w:line="276" w:lineRule="auto"/>
      <w:widowControl/>
      <w:outlineLvl w:val="9"/>
    </w:pPr>
    <w:rPr>
      <w:rFonts w:ascii="Cambria" w:hAnsi="Cambria" w:eastAsia="宋体"/>
      <w:b/>
      <w:bCs/>
      <w:color w:val="365f91"/>
      <w:szCs w:val="28"/>
    </w:rPr>
  </w:style>
  <w:style w:type="paragraph" w:styleId="993" w:customStyle="1">
    <w:name w:val="第四级"/>
    <w:basedOn w:val="745"/>
    <w:next w:val="745"/>
    <w:uiPriority w:val="0"/>
    <w:qFormat/>
    <w:pPr>
      <w:spacing w:line="360" w:lineRule="auto"/>
      <w:tabs>
        <w:tab w:val="left" w:pos="1134" w:leader="none"/>
      </w:tabs>
    </w:pPr>
    <w:rPr>
      <w:rFonts w:ascii="宋体" w:hAnsi="宋体" w:eastAsia="仿宋"/>
      <w:sz w:val="28"/>
      <w:szCs w:val="21"/>
    </w:rPr>
  </w:style>
  <w:style w:type="paragraph" w:styleId="994" w:customStyle="1">
    <w:name w:val="Char Char Char Char1 Char Char Char"/>
    <w:basedOn w:val="761"/>
    <w:uiPriority w:val="0"/>
    <w:qFormat/>
    <w:pPr>
      <w:spacing w:line="360" w:lineRule="auto"/>
    </w:pPr>
    <w:rPr>
      <w:rFonts w:ascii="Tahoma" w:hAnsi="Tahoma"/>
      <w:sz w:val="24"/>
    </w:rPr>
  </w:style>
  <w:style w:type="paragraph" w:styleId="995" w:customStyle="1">
    <w:name w:val="xl77"/>
    <w:basedOn w:val="745"/>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996" w:customStyle="1">
    <w:name w:val="xl47"/>
    <w:basedOn w:val="745"/>
    <w:uiPriority w:val="0"/>
    <w:qFormat/>
    <w:pPr>
      <w:jc w:val="center"/>
      <w:spacing w:before="100" w:beforeAutospacing="1" w:after="100" w:afterAutospacing="1"/>
      <w:widowControl/>
    </w:pPr>
    <w:rPr>
      <w:rFonts w:ascii="方正姚体" w:eastAsia="方正姚体"/>
      <w:b/>
      <w:bCs/>
      <w:sz w:val="36"/>
      <w:szCs w:val="36"/>
    </w:rPr>
  </w:style>
  <w:style w:type="paragraph" w:styleId="997" w:customStyle="1">
    <w:name w:val="标题2"/>
    <w:basedOn w:val="745"/>
    <w:next w:val="745"/>
    <w:uiPriority w:val="0"/>
    <w:qFormat/>
    <w:pPr>
      <w:jc w:val="center"/>
    </w:pPr>
    <w:rPr>
      <w:rFonts w:eastAsia="方正楷体_GBK"/>
    </w:rPr>
  </w:style>
  <w:style w:type="paragraph" w:styleId="998" w:customStyle="1">
    <w:name w:val="HTML 预先格式化"/>
    <w:basedOn w:val="7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99" w:customStyle="1">
    <w:name w:val="正文 1.1.1"/>
    <w:basedOn w:val="745"/>
    <w:next w:val="745"/>
    <w:uiPriority w:val="0"/>
    <w:qFormat/>
    <w:pPr>
      <w:spacing w:line="360" w:lineRule="auto"/>
      <w:tabs>
        <w:tab w:val="left" w:pos="851" w:leader="none"/>
      </w:tabs>
      <w:outlineLvl w:val="2"/>
    </w:pPr>
    <w:rPr>
      <w:rFonts w:ascii="宋体"/>
      <w:color w:val="000000"/>
      <w:sz w:val="28"/>
      <w:szCs w:val="21"/>
    </w:rPr>
  </w:style>
  <w:style w:type="paragraph" w:styleId="1000" w:customStyle="1">
    <w:name w:val="默认段落字体 Para Char Char Char Char Char Char Char Char Char1 Char Char Char Char Char Char Char"/>
    <w:basedOn w:val="761"/>
    <w:uiPriority w:val="0"/>
    <w:qFormat/>
    <w:rPr>
      <w:rFonts w:ascii="Tahoma" w:hAnsi="Tahoma"/>
      <w:sz w:val="24"/>
    </w:rPr>
  </w:style>
  <w:style w:type="paragraph" w:styleId="1001" w:customStyle="1">
    <w:name w:val="xl79"/>
    <w:basedOn w:val="74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02" w:customStyle="1">
    <w:name w:val="xl86"/>
    <w:basedOn w:val="74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3" w:customStyle="1">
    <w:name w:val="xl69"/>
    <w:basedOn w:val="74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04" w:customStyle="1">
    <w:name w:val="标题1"/>
    <w:basedOn w:val="745"/>
    <w:next w:val="745"/>
    <w:uiPriority w:val="0"/>
    <w:qFormat/>
    <w:pPr>
      <w:jc w:val="center"/>
      <w:spacing w:line="700" w:lineRule="atLeast"/>
      <w:tabs>
        <w:tab w:val="left" w:pos="9193" w:leader="none"/>
        <w:tab w:val="left" w:pos="9827" w:leader="none"/>
      </w:tabs>
    </w:pPr>
    <w:rPr>
      <w:rFonts w:eastAsia="方正小标宋_GBK"/>
      <w:sz w:val="44"/>
    </w:rPr>
  </w:style>
  <w:style w:type="paragraph" w:styleId="1005" w:customStyle="1">
    <w:name w:val="正文 第一章"/>
    <w:basedOn w:val="745"/>
    <w:next w:val="1006"/>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06" w:customStyle="1">
    <w:name w:val="正文 1.1"/>
    <w:basedOn w:val="745"/>
    <w:next w:val="999"/>
    <w:uiPriority w:val="0"/>
    <w:qFormat/>
    <w:pPr>
      <w:ind w:left="350" w:hanging="350"/>
      <w:spacing w:line="360" w:lineRule="auto"/>
      <w:outlineLvl w:val="1"/>
    </w:pPr>
    <w:rPr>
      <w:rFonts w:ascii="仿宋" w:eastAsia="仿宋"/>
      <w:b/>
      <w:sz w:val="28"/>
      <w:szCs w:val="21"/>
    </w:rPr>
  </w:style>
  <w:style w:type="paragraph" w:styleId="1007" w:customStyle="1">
    <w:name w:val="Char1"/>
    <w:basedOn w:val="745"/>
    <w:uiPriority w:val="0"/>
    <w:qFormat/>
    <w:pPr>
      <w:tabs>
        <w:tab w:val="left" w:pos="360" w:leader="none"/>
      </w:tabs>
    </w:pPr>
    <w:rPr>
      <w:sz w:val="24"/>
    </w:rPr>
  </w:style>
  <w:style w:type="paragraph" w:styleId="1008" w:customStyle="1">
    <w:name w:val="xl43"/>
    <w:basedOn w:val="74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09" w:customStyle="1">
    <w:name w:val="xl74"/>
    <w:basedOn w:val="745"/>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10" w:customStyle="1">
    <w:name w:val="xl67"/>
    <w:basedOn w:val="74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列出段落3"/>
    <w:basedOn w:val="745"/>
    <w:uiPriority w:val="0"/>
    <w:qFormat/>
    <w:pPr>
      <w:ind w:firstLine="420"/>
    </w:pPr>
    <w:rPr>
      <w:rFonts w:ascii="Calibri" w:hAnsi="Calibri"/>
      <w:szCs w:val="22"/>
    </w:rPr>
  </w:style>
  <w:style w:type="paragraph" w:styleId="1012" w:customStyle="1">
    <w:name w:val="普通正文"/>
    <w:basedOn w:val="745"/>
    <w:uiPriority w:val="0"/>
    <w:qFormat/>
    <w:pPr>
      <w:ind w:firstLine="480"/>
      <w:jc w:val="left"/>
      <w:spacing w:before="120" w:after="120" w:line="360" w:lineRule="auto"/>
    </w:pPr>
    <w:rPr>
      <w:rFonts w:ascii="Arial" w:hAnsi="Arial"/>
      <w:sz w:val="24"/>
    </w:rPr>
  </w:style>
  <w:style w:type="paragraph" w:styleId="1013">
    <w:name w:val="List Paragraph"/>
    <w:basedOn w:val="745"/>
    <w:uiPriority w:val="0"/>
    <w:qFormat/>
    <w:pPr>
      <w:ind w:firstLine="200"/>
    </w:pPr>
    <w:rPr>
      <w:rFonts w:ascii="Calibri" w:hAnsi="Calibri"/>
      <w:szCs w:val="22"/>
    </w:rPr>
  </w:style>
  <w:style w:type="paragraph" w:styleId="1014" w:customStyle="1">
    <w:name w:val="列出段落2"/>
    <w:basedOn w:val="745"/>
    <w:uiPriority w:val="0"/>
    <w:qFormat/>
    <w:pPr>
      <w:ind w:firstLine="420"/>
    </w:pPr>
    <w:rPr>
      <w:rFonts w:ascii="Calibri" w:hAnsi="Calibri"/>
      <w:szCs w:val="22"/>
    </w:rPr>
  </w:style>
  <w:style w:type="paragraph" w:styleId="1015" w:customStyle="1">
    <w:name w:val="xl71"/>
    <w:basedOn w:val="745"/>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16" w:customStyle="1">
    <w:name w:val="xl81"/>
    <w:basedOn w:val="74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17" w:customStyle="1">
    <w:name w:val="xl80"/>
    <w:basedOn w:val="74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18" w:customStyle="1">
    <w:name w:val="xl73"/>
    <w:basedOn w:val="745"/>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19" w:customStyle="1">
    <w:name w:val="BioQuote Tekst"/>
    <w:basedOn w:val="745"/>
    <w:uiPriority w:val="0"/>
    <w:qFormat/>
    <w:pPr>
      <w:ind w:right="-1"/>
    </w:pPr>
    <w:rPr>
      <w:rFonts w:ascii="Arial" w:hAnsi="Arial"/>
      <w:sz w:val="22"/>
      <w:szCs w:val="20"/>
      <w:lang w:eastAsia="en-US"/>
    </w:rPr>
  </w:style>
  <w:style w:type="paragraph" w:styleId="1020" w:customStyle="1">
    <w:name w:val="xl65"/>
    <w:basedOn w:val="74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75"/>
    <w:basedOn w:val="745"/>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22" w:customStyle="1">
    <w:name w:val="xl87"/>
    <w:basedOn w:val="74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23" w:customStyle="1">
    <w:name w:val="xl78"/>
    <w:basedOn w:val="745"/>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24" w:customStyle="1">
    <w:name w:val="正文格式"/>
    <w:basedOn w:val="769"/>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25" w:customStyle="1">
    <w:name w:val="Char"/>
    <w:basedOn w:val="745"/>
    <w:uiPriority w:val="0"/>
    <w:qFormat/>
    <w:rPr>
      <w:rFonts w:ascii="Tahoma" w:hAnsi="Tahoma"/>
      <w:sz w:val="24"/>
      <w:szCs w:val="20"/>
    </w:rPr>
  </w:style>
  <w:style w:type="paragraph" w:styleId="1026" w:customStyle="1">
    <w:name w:val="Table Text"/>
    <w:uiPriority w:val="0"/>
    <w:qFormat/>
    <w:pPr>
      <w:jc w:val="center"/>
      <w:spacing w:after="80"/>
    </w:pPr>
    <w:rPr>
      <w:rFonts w:ascii="仿宋_GB2312" w:hAnsi="Times New Roman" w:eastAsia="仿宋_GB2312" w:cs="Times New Roman"/>
      <w:sz w:val="24"/>
      <w:lang w:val="en-US" w:eastAsia="zh-CN" w:bidi="ar-SA"/>
    </w:rPr>
  </w:style>
  <w:style w:type="paragraph" w:styleId="1027" w:customStyle="1">
    <w:name w:val="列出段落1"/>
    <w:basedOn w:val="745"/>
    <w:uiPriority w:val="0"/>
    <w:qFormat/>
    <w:pPr>
      <w:contextualSpacing/>
      <w:ind w:left="720"/>
      <w:jc w:val="left"/>
      <w:widowControl/>
    </w:pPr>
    <w:rPr>
      <w:rFonts w:ascii="Calibri" w:hAnsi="Calibri"/>
      <w:sz w:val="24"/>
      <w:lang w:eastAsia="en-US" w:bidi="en-US"/>
    </w:rPr>
  </w:style>
  <w:style w:type="paragraph" w:styleId="1028" w:customStyle="1">
    <w:name w:val="xl88"/>
    <w:basedOn w:val="74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9" w:customStyle="1">
    <w:name w:val="xl72"/>
    <w:basedOn w:val="745"/>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30" w:customStyle="1">
    <w:name w:val="正文空2格  1."/>
    <w:basedOn w:val="745"/>
    <w:uiPriority w:val="0"/>
    <w:qFormat/>
    <w:pPr>
      <w:ind w:firstLine="200"/>
      <w:spacing w:line="360" w:lineRule="auto"/>
    </w:pPr>
    <w:rPr>
      <w:rFonts w:ascii="宋体" w:hAnsi="宋体" w:eastAsia="仿宋" w:cs="宋体"/>
      <w:sz w:val="28"/>
      <w:szCs w:val="20"/>
    </w:rPr>
  </w:style>
  <w:style w:type="paragraph" w:styleId="103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2" w:customStyle="1">
    <w:name w:val="Coms Alinea"/>
    <w:uiPriority w:val="0"/>
    <w:qFormat/>
    <w:pPr>
      <w:widowControl w:val="off"/>
    </w:pPr>
    <w:rPr>
      <w:rFonts w:ascii="Arial" w:hAnsi="Arial" w:eastAsia="宋体" w:cs="Arial"/>
      <w:lang w:val="en-US" w:eastAsia="zh-CN" w:bidi="ar-SA"/>
    </w:rPr>
  </w:style>
  <w:style w:type="paragraph" w:styleId="1033" w:customStyle="1">
    <w:name w:val="xl70"/>
    <w:basedOn w:val="745"/>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34" w:customStyle="1">
    <w:name w:val="xl66"/>
    <w:basedOn w:val="745"/>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xl64"/>
    <w:basedOn w:val="745"/>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36" w:customStyle="1">
    <w:name w:val="xl85"/>
    <w:basedOn w:val="74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37" w:customStyle="1">
    <w:name w:val="xl68"/>
    <w:basedOn w:val="745"/>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8" w:customStyle="1">
    <w:name w:val="xl84"/>
    <w:basedOn w:val="745"/>
    <w:uiPriority w:val="0"/>
    <w:qFormat/>
    <w:pPr>
      <w:jc w:val="right"/>
      <w:spacing w:before="100" w:beforeAutospacing="1" w:after="100" w:afterAutospacing="1"/>
      <w:shd w:val="clear" w:color="ffffff" w:fill="ffffff"/>
      <w:widowControl/>
    </w:pPr>
    <w:rPr>
      <w:rFonts w:ascii="宋体" w:hAnsi="宋体" w:cs="宋体"/>
      <w:sz w:val="24"/>
    </w:rPr>
  </w:style>
  <w:style w:type="paragraph" w:styleId="1039" w:customStyle="1">
    <w:name w:val="Char Char Char Char"/>
    <w:basedOn w:val="761"/>
    <w:uiPriority w:val="0"/>
    <w:qFormat/>
    <w:pPr>
      <w:spacing w:line="360" w:lineRule="auto"/>
    </w:pPr>
    <w:rPr>
      <w:rFonts w:ascii="Tahoma" w:hAnsi="Tahoma"/>
      <w:sz w:val="24"/>
    </w:rPr>
  </w:style>
  <w:style w:type="paragraph" w:styleId="1040" w:customStyle="1">
    <w:name w:val="xl82"/>
    <w:basedOn w:val="745"/>
    <w:uiPriority w:val="0"/>
    <w:qFormat/>
    <w:pPr>
      <w:jc w:val="left"/>
      <w:spacing w:before="100" w:beforeAutospacing="1" w:after="100" w:afterAutospacing="1"/>
      <w:shd w:val="clear" w:color="ffffff" w:fill="ffffff"/>
      <w:widowControl/>
    </w:pPr>
    <w:rPr>
      <w:rFonts w:ascii="宋体" w:hAnsi="宋体" w:cs="宋体"/>
      <w:sz w:val="24"/>
    </w:rPr>
  </w:style>
  <w:style w:type="paragraph" w:styleId="1041" w:customStyle="1">
    <w:name w:val="Blockquote"/>
    <w:basedOn w:val="745"/>
    <w:uiPriority w:val="0"/>
    <w:qFormat/>
    <w:pPr>
      <w:ind w:left="360" w:right="360"/>
      <w:jc w:val="left"/>
      <w:spacing w:before="100" w:after="100"/>
    </w:pPr>
    <w:rPr>
      <w:sz w:val="24"/>
      <w:szCs w:val="20"/>
    </w:rPr>
  </w:style>
  <w:style w:type="paragraph" w:styleId="1042" w:customStyle="1">
    <w:name w:val="xl33"/>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43" w:customStyle="1">
    <w:name w:val="xl76"/>
    <w:basedOn w:val="745"/>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45" w:customStyle="1">
    <w:name w:val="Char Char Char Char1 Char Char"/>
    <w:basedOn w:val="745"/>
    <w:uiPriority w:val="0"/>
    <w:qFormat/>
    <w:pPr>
      <w:tabs>
        <w:tab w:val="left" w:pos="360" w:leader="none"/>
      </w:tabs>
    </w:pPr>
    <w:rPr>
      <w:sz w:val="24"/>
    </w:rPr>
  </w:style>
  <w:style w:type="paragraph" w:styleId="1046" w:customStyle="1">
    <w:name w:val="首行缩进"/>
    <w:basedOn w:val="745"/>
    <w:uiPriority w:val="0"/>
    <w:qFormat/>
    <w:pPr>
      <w:ind w:firstLine="480"/>
    </w:pPr>
    <w:rPr>
      <w:lang w:val="zh-CN"/>
    </w:rPr>
  </w:style>
  <w:style w:type="paragraph" w:styleId="1047" w:customStyle="1">
    <w:name w:val="样式 标题 2 + 黑色 行距: 1.5 倍行距"/>
    <w:basedOn w:val="747"/>
    <w:uiPriority w:val="0"/>
    <w:qFormat/>
    <w:pPr>
      <w:spacing w:line="360" w:lineRule="auto"/>
    </w:pPr>
    <w:rPr>
      <w:rFonts w:eastAsia="宋体"/>
      <w:color w:val="000000"/>
    </w:rPr>
  </w:style>
  <w:style w:type="character" w:styleId="1048" w:customStyle="1">
    <w:name w:val="hover"/>
    <w:basedOn w:val="755"/>
    <w:uiPriority w:val="0"/>
    <w:qFormat/>
    <w:rPr>
      <w:color w:val="5fb878"/>
    </w:rPr>
  </w:style>
  <w:style w:type="character" w:styleId="1049" w:customStyle="1">
    <w:name w:val="hover1"/>
    <w:basedOn w:val="755"/>
    <w:uiPriority w:val="0"/>
    <w:qFormat/>
    <w:rPr>
      <w:color w:val="ffffff"/>
    </w:rPr>
  </w:style>
  <w:style w:type="character" w:styleId="1050" w:customStyle="1">
    <w:name w:val="hover2"/>
    <w:basedOn w:val="755"/>
    <w:uiPriority w:val="0"/>
    <w:qFormat/>
    <w:rPr>
      <w:color w:val="5fb878"/>
    </w:rPr>
  </w:style>
  <w:style w:type="paragraph" w:styleId="1051" w:customStyle="1">
    <w:name w:val="Table Paragraph"/>
    <w:basedOn w:val="745"/>
    <w:uiPriority w:val="1"/>
    <w:qFormat/>
  </w:style>
  <w:style w:type="character" w:styleId="1052" w:customStyle="1">
    <w:name w:val="NormalCharacter"/>
    <w:uiPriority w:val="0"/>
    <w:semiHidden/>
    <w:qFormat/>
    <w:rPr>
      <w:sz w:val="21"/>
      <w:szCs w:val="24"/>
      <w:lang w:val="en-US" w:eastAsia="zh-CN" w:bidi="ar-SA"/>
    </w:rPr>
  </w:style>
  <w:style w:type="character" w:styleId="1053" w:customStyle="1">
    <w:name w:val="font11"/>
    <w:basedOn w:val="755"/>
    <w:uiPriority w:val="0"/>
    <w:qFormat/>
    <w:rPr>
      <w:rFonts w:hint="eastAsia" w:ascii="宋体" w:hAnsi="宋体" w:eastAsia="宋体" w:cs="宋体"/>
      <w:color w:val="000000"/>
      <w:sz w:val="20"/>
      <w:szCs w:val="20"/>
      <w:u w:val="none"/>
    </w:rPr>
  </w:style>
  <w:style w:type="paragraph" w:styleId="1054"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55" w:customStyle="1">
    <w:name w:val="纯文本1"/>
    <w:basedOn w:val="745"/>
    <w:uiPriority w:val="0"/>
    <w:qFormat/>
    <w:rPr>
      <w:rFonts w:ascii="宋体" w:hAnsi="Courier New"/>
      <w:szCs w:val="20"/>
    </w:rPr>
  </w:style>
  <w:style w:type="paragraph" w:styleId="1056" w:customStyle="1">
    <w:name w:val="标题 31"/>
    <w:basedOn w:val="745"/>
    <w:next w:val="745"/>
    <w:uiPriority w:val="9"/>
    <w:qFormat/>
    <w:pPr>
      <w:keepLines/>
      <w:keepNext/>
      <w:spacing w:before="260" w:after="260" w:line="416" w:lineRule="auto"/>
      <w:outlineLvl w:val="2"/>
    </w:pPr>
    <w:rPr>
      <w:b/>
      <w:bCs/>
      <w:sz w:val="32"/>
      <w:szCs w:val="32"/>
    </w:rPr>
  </w:style>
  <w:style w:type="paragraph" w:styleId="1057" w:customStyle="1">
    <w:name w:val="纯文本11"/>
    <w:basedOn w:val="745"/>
    <w:next w:val="1058"/>
    <w:uiPriority w:val="0"/>
    <w:qFormat/>
    <w:rPr>
      <w:rFonts w:ascii="宋体" w:hAnsi="Courier New"/>
      <w:szCs w:val="20"/>
    </w:rPr>
  </w:style>
  <w:style w:type="paragraph" w:styleId="1058" w:customStyle="1">
    <w:name w:val="正文缩进11"/>
    <w:basedOn w:val="745"/>
    <w:uiPriority w:val="0"/>
    <w:qFormat/>
    <w:pPr>
      <w:ind w:firstLine="420"/>
      <w:spacing w:line="360" w:lineRule="atLeast"/>
    </w:pPr>
    <w:rPr>
      <w:szCs w:val="20"/>
    </w:rPr>
  </w:style>
  <w:style w:type="paragraph" w:styleId="1059" w:customStyle="1">
    <w:name w:val="正文文本缩进 31"/>
    <w:basedOn w:val="745"/>
    <w:uiPriority w:val="0"/>
    <w:qFormat/>
    <w:pPr>
      <w:ind w:left="360"/>
      <w:spacing w:line="400" w:lineRule="exact"/>
    </w:pPr>
  </w:style>
  <w:style w:type="paragraph" w:styleId="1060" w:customStyle="1">
    <w:name w:val="目录 31"/>
    <w:basedOn w:val="745"/>
    <w:next w:val="745"/>
    <w:uiPriority w:val="39"/>
    <w:qFormat/>
    <w:pPr>
      <w:ind w:left="840"/>
    </w:pPr>
    <w:rPr>
      <w:rFonts w:ascii="Calibri" w:hAnsi="Calibri"/>
      <w:szCs w:val="22"/>
    </w:rPr>
  </w:style>
  <w:style w:type="paragraph" w:styleId="1061" w:customStyle="1">
    <w:name w:val="页脚1"/>
    <w:basedOn w:val="745"/>
    <w:uiPriority w:val="0"/>
    <w:qFormat/>
    <w:pPr>
      <w:jc w:val="left"/>
      <w:tabs>
        <w:tab w:val="center" w:pos="4153" w:leader="none"/>
        <w:tab w:val="right" w:pos="8306" w:leader="none"/>
      </w:tabs>
    </w:pPr>
    <w:rPr>
      <w:sz w:val="18"/>
      <w:szCs w:val="18"/>
    </w:rPr>
  </w:style>
  <w:style w:type="paragraph" w:styleId="1062" w:customStyle="1">
    <w:name w:val="列表接续 21"/>
    <w:basedOn w:val="745"/>
    <w:next w:val="745"/>
    <w:uiPriority w:val="0"/>
    <w:qFormat/>
    <w:pPr>
      <w:ind w:left="840"/>
      <w:spacing w:after="120"/>
    </w:pPr>
  </w:style>
  <w:style w:type="paragraph" w:styleId="1063" w:customStyle="1">
    <w:name w:val="批注文字1"/>
    <w:basedOn w:val="745"/>
    <w:uiPriority w:val="0"/>
    <w:qFormat/>
    <w:pPr>
      <w:jc w:val="left"/>
    </w:pPr>
  </w:style>
  <w:style w:type="paragraph" w:styleId="1064" w:customStyle="1">
    <w:name w:val="正文首行缩进1"/>
    <w:basedOn w:val="1065"/>
    <w:uiPriority w:val="99"/>
    <w:unhideWhenUsed/>
    <w:qFormat/>
    <w:pPr>
      <w:ind w:firstLine="420"/>
    </w:pPr>
  </w:style>
  <w:style w:type="paragraph" w:styleId="1065" w:customStyle="1">
    <w:name w:val="正文文本1"/>
    <w:basedOn w:val="745"/>
    <w:uiPriority w:val="0"/>
    <w:qFormat/>
    <w:pPr>
      <w:jc w:val="center"/>
    </w:pPr>
  </w:style>
  <w:style w:type="table" w:styleId="1066" w:customStyle="1">
    <w:name w:val="Table Normal"/>
    <w:uiPriority w:val="0"/>
    <w:unhideWhenUsed/>
    <w:qFormat/>
    <w:tblPr>
      <w:tblCellMar>
        <w:left w:w="0" w:type="dxa"/>
        <w:top w:w="0" w:type="dxa"/>
        <w:right w:w="0" w:type="dxa"/>
        <w:bottom w:w="0" w:type="dxa"/>
      </w:tblCellMar>
    </w:tblPr>
  </w:style>
  <w:style w:type="numbering" w:styleId="15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颜工</cp:lastModifiedBy>
  <cp:revision>8</cp:revision>
  <dcterms:created xsi:type="dcterms:W3CDTF">2025-07-07T02:37:00Z</dcterms:created>
  <dcterms:modified xsi:type="dcterms:W3CDTF">2026-06-25T07:03:17Z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462357053_btnclosed</vt:lpwstr>
  </property>
  <property fmtid="{D5CDD505-2E9C-101B-9397-08002B2CF9AE}" pid="4" name="ICV">
    <vt:lpwstr>21195B0E06A7415FBE5EA65B8A5ED879_13</vt:lpwstr>
  </property>
  <property fmtid="{D5CDD505-2E9C-101B-9397-08002B2CF9AE}" pid="5" name="KSOTemplateDocerSaveRecord">
    <vt:lpwstr>eyJoZGlkIjoiNzM1OTE0ODUzNDdlNjNlMTM0MGFhN2Q0MTc4N2VlMDkiLCJ1c2VySWQiOiI4NTE0NjQzNDYifQ==</vt:lpwstr>
  </property>
</Properties>
</file>