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洪泽湖大堤34K+900-60K+000堤段养护工程</w:t>
      </w:r>
      <w:r/>
    </w:p>
    <w:p>
      <w:pPr>
        <w:ind w:left="0" w:right="0" w:firstLine="0"/>
        <w:jc w:val="center"/>
        <w:spacing w:before="0" w:after="0"/>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highlight w:val="none"/>
        </w:rPr>
      </w:r>
      <w:r>
        <w:rPr>
          <w:rFonts w:ascii="Times New Roman" w:hAnsi="Times New Roman" w:eastAsia="Times New Roman" w:cs="Times New Roman"/>
          <w:b/>
          <w:color w:val="000000"/>
          <w:sz w:val="96"/>
          <w:highlight w:val="none"/>
        </w:rPr>
      </w:r>
    </w:p>
    <w:p>
      <w:pPr>
        <w:ind w:left="0" w:right="0" w:firstLine="0"/>
        <w:jc w:val="center"/>
        <w:spacing w:before="0" w:after="0"/>
        <w:rPr>
          <w:rFonts w:ascii="Times New Roman" w:hAnsi="Times New Roman" w:eastAsia="Times New Roman" w:cs="Times New Roman"/>
          <w:b/>
          <w:bCs/>
          <w:color w:val="000000"/>
          <w:sz w:val="96"/>
          <w:szCs w:val="9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highlight w:val="white"/>
        </w:rPr>
        <w:t xml:space="preserve">JSZC-320000-HYGS-C2026-0012</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62"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62"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62" w:after="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83" w:firstLine="0"/>
        <w:spacing w:before="62" w:after="0"/>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第一章采购邀请</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第二章供应商须知</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第三章评审标准</w:t>
        <w:tab/>
      </w:r>
      <w:r/>
    </w:p>
    <w:p>
      <w:pPr>
        <w:ind w:left="0" w:right="0" w:firstLine="0"/>
        <w:jc w:val="both"/>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第四章采购需求（技术要求）</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第五章合同主要条款及格式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第六章响应文件格式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rPr>
        <w:t xml:space="preserve">34K+900-60K+000</w:t>
      </w:r>
      <w:r>
        <w:rPr>
          <w:rFonts w:ascii="SimSun" w:hAnsi="SimSun" w:eastAsia="SimSun" w:cs="SimSun"/>
          <w:b/>
          <w:color w:val="000000"/>
          <w:sz w:val="28"/>
          <w:u w:val="none"/>
        </w:rPr>
        <w:t xml:space="preserve">堤段养护工程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34K+900-60K+000</w:t>
      </w:r>
      <w:r>
        <w:rPr>
          <w:rFonts w:ascii="SimSun" w:hAnsi="SimSun" w:eastAsia="SimSun" w:cs="SimSun"/>
          <w:color w:val="000000"/>
          <w:sz w:val="24"/>
        </w:rPr>
        <w:t xml:space="preserve">堤段养护工程</w:t>
      </w:r>
      <w:r>
        <w:rPr>
          <w:rFonts w:ascii="Times New Roman" w:hAnsi="Times New Roman" w:eastAsia="Times New Roman" w:cs="Times New Roman"/>
          <w:color w:val="000000"/>
          <w:sz w:val="24"/>
          <w:highlight w:val="white"/>
        </w:rPr>
        <w:t xml:space="preserve">JSZC-320000-HYGS-C2026-0012</w:t>
      </w:r>
      <w:r>
        <w:rPr>
          <w:rFonts w:ascii="SimSun" w:hAnsi="SimSun" w:eastAsia="SimSun" w:cs="SimSun"/>
          <w:color w:val="000000"/>
          <w:sz w:val="24"/>
        </w:rPr>
        <w:t xml:space="preserve">采购项目的潜在供应商应在江苏省政府采购管理交易系统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highlight w:val="white"/>
        </w:rPr>
        <w:t xml:space="preserve">JSZC-320000-HYGS-C2026-0012</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34K+900-60K+000</w:t>
      </w:r>
      <w:r>
        <w:rPr>
          <w:rFonts w:ascii="SimSun" w:hAnsi="SimSun" w:eastAsia="SimSun" w:cs="SimSun"/>
          <w:color w:val="000000"/>
          <w:sz w:val="24"/>
        </w:rPr>
        <w:t xml:space="preserve">堤段养护工程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196</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195</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完成洪泽湖大堤</w:t>
      </w:r>
      <w:r>
        <w:rPr>
          <w:rFonts w:ascii="Times New Roman" w:hAnsi="Times New Roman" w:eastAsia="Times New Roman" w:cs="Times New Roman"/>
          <w:color w:val="000000"/>
          <w:sz w:val="24"/>
        </w:rPr>
        <w:t xml:space="preserve">34K+900—60K+000</w:t>
      </w:r>
      <w:r>
        <w:rPr>
          <w:rFonts w:ascii="SimSun" w:hAnsi="SimSun" w:eastAsia="SimSun" w:cs="SimSun"/>
          <w:color w:val="000000"/>
          <w:sz w:val="24"/>
        </w:rPr>
        <w:t xml:space="preserve">堤段工程养护约</w:t>
      </w:r>
      <w:r>
        <w:rPr>
          <w:rFonts w:ascii="Times New Roman" w:hAnsi="Times New Roman" w:eastAsia="Times New Roman" w:cs="Times New Roman"/>
          <w:color w:val="000000"/>
          <w:sz w:val="24"/>
        </w:rPr>
        <w:t xml:space="preserve">3023575m</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（范围包括</w:t>
      </w:r>
      <w:r>
        <w:rPr>
          <w:rFonts w:ascii="Times New Roman" w:hAnsi="Times New Roman" w:eastAsia="Times New Roman" w:cs="Times New Roman"/>
          <w:color w:val="000000"/>
          <w:sz w:val="24"/>
        </w:rPr>
        <w:t xml:space="preserve">34K+900</w:t>
      </w:r>
      <w:r>
        <w:rPr>
          <w:rFonts w:ascii="SimSun" w:hAnsi="SimSun" w:eastAsia="SimSun" w:cs="SimSun"/>
          <w:color w:val="000000"/>
          <w:sz w:val="24"/>
        </w:rPr>
        <w:t xml:space="preserve">船塘裹头、</w:t>
      </w:r>
      <w:r>
        <w:rPr>
          <w:rFonts w:ascii="Times New Roman" w:hAnsi="Times New Roman" w:eastAsia="Times New Roman" w:cs="Times New Roman"/>
          <w:color w:val="000000"/>
          <w:sz w:val="24"/>
        </w:rPr>
        <w:t xml:space="preserve">50K+000-50K+500</w:t>
      </w:r>
      <w:r>
        <w:rPr>
          <w:rFonts w:ascii="SimSun" w:hAnsi="SimSun" w:eastAsia="SimSun" w:cs="SimSun"/>
          <w:color w:val="000000"/>
          <w:sz w:val="24"/>
        </w:rPr>
        <w:t xml:space="preserve">裹头；</w:t>
      </w:r>
      <w:r>
        <w:rPr>
          <w:rFonts w:ascii="Times New Roman" w:hAnsi="Times New Roman" w:eastAsia="Times New Roman" w:cs="Times New Roman"/>
          <w:color w:val="000000"/>
          <w:sz w:val="24"/>
        </w:rPr>
        <w:t xml:space="preserve">45K+000—45K+500</w:t>
      </w:r>
      <w:r>
        <w:rPr>
          <w:rFonts w:ascii="SimSun" w:hAnsi="SimSun" w:eastAsia="SimSun" w:cs="SimSun"/>
          <w:color w:val="000000"/>
          <w:sz w:val="24"/>
        </w:rPr>
        <w:t xml:space="preserve">段堤前一级坡、堤后周桥大塘石工墙至顺堤河区域；</w:t>
      </w:r>
      <w:r>
        <w:rPr>
          <w:rFonts w:ascii="Times New Roman" w:hAnsi="Times New Roman" w:eastAsia="Times New Roman" w:cs="Times New Roman"/>
          <w:color w:val="000000"/>
          <w:sz w:val="24"/>
        </w:rPr>
        <w:t xml:space="preserve">34K+900—36K+180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57K+300—60K+000</w:t>
      </w:r>
      <w:r>
        <w:rPr>
          <w:rFonts w:ascii="SimSun" w:hAnsi="SimSun" w:eastAsia="SimSun" w:cs="SimSun"/>
          <w:color w:val="000000"/>
          <w:sz w:val="24"/>
        </w:rPr>
        <w:t xml:space="preserve">段堤前一、二级坡；</w:t>
      </w:r>
      <w:r>
        <w:rPr>
          <w:rFonts w:ascii="Times New Roman" w:hAnsi="Times New Roman" w:eastAsia="Times New Roman" w:cs="Times New Roman"/>
          <w:color w:val="000000"/>
          <w:sz w:val="24"/>
        </w:rPr>
        <w:t xml:space="preserve">36K+180—36K+500</w:t>
      </w:r>
      <w:r>
        <w:rPr>
          <w:rFonts w:ascii="SimSun" w:hAnsi="SimSun" w:eastAsia="SimSun" w:cs="SimSun"/>
          <w:color w:val="000000"/>
          <w:sz w:val="24"/>
        </w:rPr>
        <w:t xml:space="preserve">段堤前一级坡至堤顶道路；</w:t>
      </w:r>
      <w:r>
        <w:rPr>
          <w:rFonts w:ascii="Times New Roman" w:hAnsi="Times New Roman" w:eastAsia="Times New Roman" w:cs="Times New Roman"/>
          <w:color w:val="000000"/>
          <w:sz w:val="24"/>
        </w:rPr>
        <w:t xml:space="preserve">36K+500—37K+600</w:t>
      </w:r>
      <w:r>
        <w:rPr>
          <w:rFonts w:ascii="SimSun" w:hAnsi="SimSun" w:eastAsia="SimSun" w:cs="SimSun"/>
          <w:color w:val="000000"/>
          <w:sz w:val="24"/>
        </w:rPr>
        <w:t xml:space="preserve">段堤后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平台防汛道路至坡脚；</w:t>
      </w:r>
      <w:r>
        <w:rPr>
          <w:rFonts w:ascii="Times New Roman" w:hAnsi="Times New Roman" w:eastAsia="Times New Roman" w:cs="Times New Roman"/>
          <w:color w:val="000000"/>
          <w:sz w:val="24"/>
        </w:rPr>
        <w:t xml:space="preserve">37K+600—44K+200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45K+500—57K+190</w:t>
      </w:r>
      <w:r>
        <w:rPr>
          <w:rFonts w:ascii="SimSun" w:hAnsi="SimSun" w:eastAsia="SimSun" w:cs="SimSun"/>
          <w:color w:val="000000"/>
          <w:sz w:val="24"/>
        </w:rPr>
        <w:t xml:space="preserve">段堤前一级坡至堤后顺堤河，</w:t>
      </w:r>
      <w:r>
        <w:rPr>
          <w:rFonts w:ascii="Times New Roman" w:hAnsi="Times New Roman" w:eastAsia="Times New Roman" w:cs="Times New Roman"/>
          <w:color w:val="000000"/>
          <w:sz w:val="24"/>
        </w:rPr>
        <w:t xml:space="preserve">44K+200—45K+000</w:t>
      </w:r>
      <w:r>
        <w:rPr>
          <w:rFonts w:ascii="SimSun" w:hAnsi="SimSun" w:eastAsia="SimSun" w:cs="SimSun"/>
          <w:color w:val="000000"/>
          <w:sz w:val="24"/>
        </w:rPr>
        <w:t xml:space="preserve">段堤顶道路至堤后顺堤河，其中</w:t>
      </w:r>
      <w:r>
        <w:rPr>
          <w:rFonts w:ascii="Times New Roman" w:hAnsi="Times New Roman" w:eastAsia="Times New Roman" w:cs="Times New Roman"/>
          <w:color w:val="000000"/>
          <w:sz w:val="24"/>
        </w:rPr>
        <w:t xml:space="preserve">49K+300—49K+510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51K+500—53K+700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53K+850—55K+400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55K+550—55K+600</w:t>
      </w:r>
      <w:r>
        <w:rPr>
          <w:rFonts w:ascii="SimSun" w:hAnsi="SimSun" w:eastAsia="SimSun" w:cs="SimSun"/>
          <w:color w:val="000000"/>
          <w:sz w:val="24"/>
        </w:rPr>
        <w:t xml:space="preserve">段包含堤后青坎地。范围内堤前防浪林台清理堤前二级坡脚延伸至防浪林台</w:t>
      </w:r>
      <w:r>
        <w:rPr>
          <w:rFonts w:ascii="Times New Roman" w:hAnsi="Times New Roman" w:eastAsia="Times New Roman" w:cs="Times New Roman"/>
          <w:color w:val="000000"/>
          <w:sz w:val="24"/>
        </w:rPr>
        <w:t xml:space="preserve">6m</w:t>
      </w:r>
      <w:r>
        <w:rPr>
          <w:rFonts w:ascii="SimSun" w:hAnsi="SimSun" w:eastAsia="SimSun" w:cs="SimSun"/>
          <w:color w:val="000000"/>
          <w:sz w:val="24"/>
        </w:rPr>
        <w:t xml:space="preserve">范围，防浪林台上下巡查道路南、北方向各</w:t>
      </w:r>
      <w:r>
        <w:rPr>
          <w:rFonts w:ascii="Times New Roman" w:hAnsi="Times New Roman" w:eastAsia="Times New Roman" w:cs="Times New Roman"/>
          <w:color w:val="000000"/>
          <w:sz w:val="24"/>
        </w:rPr>
        <w:t xml:space="preserve">15m</w:t>
      </w:r>
      <w:r>
        <w:rPr>
          <w:rFonts w:ascii="SimSun" w:hAnsi="SimSun" w:eastAsia="SimSun" w:cs="SimSun"/>
          <w:color w:val="000000"/>
          <w:sz w:val="24"/>
        </w:rPr>
        <w:t xml:space="preserve">范围，该范围内杂草、杂物、高杆植物、断枝挂枝清理垃圾清运等（含一级坡及平台、二级坡、防汛块石清理；堤前、堤后上下巡查道路、堤后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平台防汛道路、排水沟清理）。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完成全堤上下巡查道路及堤后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平台巡查道路两侧</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米范围内树木修剪，修剪高度</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米，修剪后垃圾清运。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w:t>
      </w:r>
      <w:r>
        <w:rPr>
          <w:rFonts w:ascii="Times New Roman" w:hAnsi="Times New Roman" w:eastAsia="Times New Roman" w:cs="Times New Roman"/>
          <w:color w:val="000000"/>
          <w:sz w:val="24"/>
        </w:rPr>
        <w:t xml:space="preserve">50K+000-50K+500</w:t>
      </w:r>
      <w:r>
        <w:rPr>
          <w:rFonts w:ascii="SimSun" w:hAnsi="SimSun" w:eastAsia="SimSun" w:cs="SimSun"/>
          <w:color w:val="000000"/>
          <w:sz w:val="24"/>
        </w:rPr>
        <w:t xml:space="preserve">裹头桂花灌木进行养护，每周完成一次浇水。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完成工程范围内防浪林台所有垃圾收集清理，清运出管理范围。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完成施工过程中，如有未明事宜，请与洪泽湖堤防管理所及时沟通解决。详见第四章采购需求。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b/>
          <w:color w:val="000000"/>
          <w:sz w:val="24"/>
          <w:u w:val="none"/>
        </w:rPr>
        <w:t xml:space="preserve">自合同签订</w:t>
      </w:r>
      <w:r>
        <w:rPr>
          <w:rFonts w:ascii="SimSun" w:hAnsi="SimSun" w:eastAsia="SimSun" w:cs="SimSun"/>
          <w:b/>
          <w:color w:val="000000"/>
          <w:sz w:val="24"/>
        </w:rPr>
        <w:t xml:space="preserve">时间起一年。</w:t>
      </w:r>
      <w:r/>
    </w:p>
    <w:p>
      <w:pPr>
        <w:ind w:left="5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w:t>
      </w:r>
      <w:r>
        <w:rPr>
          <w:rFonts w:ascii="SimSun" w:hAnsi="SimSun" w:eastAsia="SimSun" w:cs="SimSun"/>
          <w:color w:val="2f3a52"/>
          <w:sz w:val="24"/>
        </w:rPr>
        <w:t xml:space="preserve">以查询结果网页打印的形式提供证明</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rPr>
          <w:rFonts w:ascii="SimSun" w:hAnsi="SimSun" w:eastAsia="SimSun" w:cs="SimSun"/>
          <w:b/>
          <w:color w:val="000000"/>
          <w:sz w:val="24"/>
          <w:u w:val="single"/>
        </w:rPr>
        <w:t xml:space="preserve">本项目专门面向中小微企业（提供《中小微企业声明函》）。</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none"/>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时间：自磋商文件公告发布之日起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u w:val="none"/>
        </w:rPr>
        <w:t xml:space="preserve">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本项目不组织集体踏勘，供应商可自行踏勘现场。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本公告在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公示发布，敬请各供应商关注。若有关本次采购存在变动或修改，敬请各供应商及时关注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，发布的关于本项目的信息更正公告。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潜在供应商访问政府采购管理交易系统（苏采云）的网络地址和方法：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）潜在供应商访问政府采购管理交易系统（苏采云）的方法：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系统目前仅支持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的办理材料以及供应商操作手册详见：</w:t>
      </w:r>
      <w:r>
        <w:rPr>
          <w:rFonts w:ascii="Times New Roman" w:hAnsi="Times New Roman" w:eastAsia="Times New Roman" w:cs="Times New Roman"/>
          <w:color w:val="000000"/>
          <w:sz w:val="24"/>
        </w:rPr>
        <w:t xml:space="preserve">http://jsxcmm.com/help/gys.html</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）、供应商操作手册及政府采购客户端工具也可通过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）招标代理机构（采购代理机构）将数据电文形式的采购文件加载至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）苏采云系统使用谷歌浏览器参与不见面开标。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pStyle w:val="12"/>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w:t>
      </w:r>
      <w:r>
        <w:rPr>
          <w:rFonts w:ascii="SimSun" w:hAnsi="SimSun" w:eastAsia="SimSun" w:cs="SimSun"/>
          <w:b/>
          <w:color w:val="000000"/>
          <w:sz w:val="24"/>
        </w:rPr>
        <w:t xml:space="preserve">收费标准参照江苏省政府采购协会（苏政采协</w:t>
      </w:r>
      <w:r>
        <w:rPr>
          <w:rFonts w:ascii="Times New Roman" w:hAnsi="Times New Roman" w:eastAsia="Times New Roman" w:cs="Times New Roman"/>
          <w:b/>
          <w:color w:val="000000"/>
          <w:sz w:val="24"/>
        </w:rPr>
        <w:t xml:space="preserve">[2024]20</w:t>
      </w:r>
      <w:r>
        <w:rPr>
          <w:rFonts w:ascii="SimSun" w:hAnsi="SimSun" w:eastAsia="SimSun" w:cs="SimSun"/>
          <w:b/>
          <w:color w:val="000000"/>
          <w:sz w:val="24"/>
        </w:rPr>
        <w:t xml:space="preserve">号文）计费标准收取</w:t>
      </w:r>
      <w:r>
        <w:rPr>
          <w:rFonts w:ascii="SimSun" w:hAnsi="SimSun" w:eastAsia="SimSun" w:cs="SimSun"/>
          <w:color w:val="000000"/>
          <w:sz w:val="24"/>
        </w:rPr>
        <w:t xml:space="preserve">。按如下表格以差额定率分档累进法计算。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9"/>
        <w:gridCol w:w="26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供应商如须澄清采购文件的疑点，应书面现场递交采购代理机构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但通知不迟于磋商采购截止日前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日以使采购代理机构收到（距磋商采购截止日不足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日的，采购代理机构将顺延本项目的磋商采购时间）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采购代理机构将用书面形式答复。采购代理机构认为有必要时可将答复内容（包括原提出的问题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但不包括问题的来源）分发给所有取得同一采购文件的供应商。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供应商在法定质疑期内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在响应文件提交截止时间前，采购代理机构可以对采购文件进行澄清和修改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澄清或者修改的内容作为采购文件的组成部分。澄清或者修改的内容可能影响响应文件编制的，采购代理机构将在提交首次响应文件截止时间至少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上发布更正公告形式通知所有获取采购文件的供应商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更正公告内容将作为采购文件的组成部分，并对供应商具有约束力。不足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日的，采购代理机构将顺延提交首次响应文件截止时间。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为使供应商在准备响应采购时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有合理的时间考虑采购文件的修改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采购代理机构有权决定推迟采购的截止日期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并将此变更通知所有的供应商。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．响应文件的语言及度量衡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响应文件以及潜在供应商与江苏省鸿源招标代理股份有限公司之间的所有书面往来都应用简体中文书写。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供应商已印刷好的宣传样本等可以用其他语言，但其中要点应附有中文译文。在解释响应文件时，以译文为准。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除磋商文件另有规定外，度量衡单位应使用国际单位制。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本磋商采购文件所表达的时间均为北京时间。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供应商编写的响应文件应按磋商文件第六章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中的要求进行编写。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联合体（接受联合体采购项目）：两个以上的自然人、法人或者其他组织可以组成一个联合体，以一个供应商的身份共同参加政府采购。联合体中有同类资质的供应商按照联合体分工承担相同工作的，按照资质等级较低的供应商确定资质等级。联合体各方之间应当签订联合体协议，明确约定联合体各方承担的工作和相应的责任，并将联合体协议连同响应文件一同提交。以联合体形式参加政府采购活动的，联合体各方不得再单独参加或者与其他供应商另外组成联合体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若参加磋商的供应商未按磋商文件的要求提供资料，或未对磋商文件作出实质性响应，将导致响应文件被视为无效。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b/>
          <w:color w:val="000000"/>
          <w:sz w:val="24"/>
        </w:rPr>
        <w:t xml:space="preserve">如标书制作工具中格式和内容与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发布的采购文件不一致，请以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本项目报价非一次性报价，在磋商后根据磋商小组的要求再次报价。报价含完成本项目所需工作人员各项费用（含住宿费、交通费和伙食补助费）、车辆使用费、资料费、管理费、利润、税金等一切费用。成交后不允许擅自改变服务内容、质量标准、期限与追加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响应文件报价不得超过</w:t>
      </w:r>
      <w:r>
        <w:rPr>
          <w:rFonts w:ascii="SimSun" w:hAnsi="SimSun" w:eastAsia="SimSun" w:cs="SimSun"/>
          <w:b/>
          <w:color w:val="000000"/>
          <w:sz w:val="24"/>
        </w:rPr>
        <w:t xml:space="preserve">采购预算和最高限价。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最终合同单价按最终总报价同比例下（上）浮。（磋商过程中特殊说明除外）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．磋商报价的货币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本次磋商采购的报价均须以人民币为计算单位。磋商文件另有规定的，从其规定。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．磋商保证金（本项目不适用）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．响应文件的签署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．响应文件的递交及接收截止时间</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供应商上传的电子响应文件内容不清楚或不清晰的（含扫描件），造成无法评审或部分影响评审的，责任由供应商自负。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供应商上传电子响应文件的时间不得迟于磋商邀请中规定的截止时间。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若江苏省鸿源招标代理股份有限公司按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条规定推迟了响应文件递交截止时间，江苏省鸿源招标代理股份有限公司和供应商受响应文件递交截止时间制约的所有权利和义务均应以新的截止时间为准。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．迟交的响应文件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在响应文件递交截止时间后收到的响应文件，江苏省鸿源招标代理股份有限公司将拒绝接受。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．响应文件的修改和撤回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供应商在提交响应文件后，可以修改或撤回其响应文件，但这种修改和撤回，必须在规定的磋商开始时间前。具体操作方法见《操作手册》。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供应商可在响应文件递交截止时间前，对其电子响应文件进行修改，具体操作方法见《操作手册》。供应商不得在响应文件递交截止时间起至响应文件有效期满前撤回响应文件。</w:t>
      </w:r>
      <w:r/>
    </w:p>
    <w:p>
      <w:pPr>
        <w:ind w:left="0" w:right="0" w:firstLine="480"/>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供应商不得在响应文件递交截止时间以后修改响应文件。</w:t>
      </w:r>
      <w:r/>
    </w:p>
    <w:p>
      <w:pPr>
        <w:ind w:left="0" w:right="0" w:firstLine="482"/>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响应文件的签章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电子响应文件仅需要在供应商进行签章的位置应进行电子签章。（本磋商文件所表述的签章是指刻有供应商法定名称的印章，不包括合同、财务、税务、发票等形式的业务专用章）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五竞争性磋商</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磋商组织</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江苏省鸿源招标代理股份有限公司将在磋商公告中规定的时间和地点组织开标。供应商应当按照《操作手册》规定，参加开标活动和在苏采云系统规定的时间内对响应文件进行解密。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开标仪式由江苏省鸿源招标代理股份有限公司组织。苏采云系统将自动对项目进行开标，并宣布各供应商名称和投标价格。</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 </w:t>
      </w:r>
      <w:r>
        <w:rPr>
          <w:rFonts w:ascii="SimSun" w:hAnsi="SimSun" w:eastAsia="SimSun" w:cs="SimSun"/>
          <w:color w:val="000000"/>
          <w:sz w:val="24"/>
        </w:rPr>
        <w:t xml:space="preserve">供应商如果对开标过程和开标记录有疑义，应当根据《操作手册》规定提出。</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 </w:t>
      </w:r>
      <w:r>
        <w:rPr>
          <w:rFonts w:ascii="SimSun" w:hAnsi="SimSun" w:eastAsia="SimSun" w:cs="SimSun"/>
          <w:color w:val="000000"/>
          <w:sz w:val="24"/>
        </w:rPr>
        <w:t xml:space="preserve">磋商工作由江苏省鸿源招标代理股份有限公司负责组织，具体磋商事务由依法组建的磋商小组负责。</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20.5.1 </w:t>
      </w:r>
      <w:r>
        <w:rPr>
          <w:rFonts w:ascii="SimSun" w:hAnsi="SimSun" w:eastAsia="SimSun" w:cs="SimSun"/>
          <w:color w:val="000000"/>
          <w:sz w:val="24"/>
        </w:rPr>
        <w:t xml:space="preserve">磋商小组由采购人的代表和有关专家三人及以上的单数组成，其中专家的人数不得少于成员总数的三分之二。磋商小组负责评审所有响应文件并确定成交候选供应商。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20.5.2 </w:t>
      </w:r>
      <w:r>
        <w:rPr>
          <w:rFonts w:ascii="SimSun" w:hAnsi="SimSun" w:eastAsia="SimSun" w:cs="SimSun"/>
          <w:color w:val="000000"/>
          <w:sz w:val="24"/>
        </w:rPr>
        <w:t xml:space="preserve">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20.5.3 </w:t>
      </w:r>
      <w:r>
        <w:rPr>
          <w:rFonts w:ascii="SimSun" w:hAnsi="SimSun" w:eastAsia="SimSun" w:cs="SimSun"/>
          <w:color w:val="000000"/>
          <w:sz w:val="24"/>
        </w:rPr>
        <w:t xml:space="preserve">磋商小组应对供应商的商业、技术秘密予以保密。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磋商程序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磋商小组依法对供应商的资格进行审查。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21.1.1.1</w:t>
      </w:r>
      <w:r>
        <w:rPr>
          <w:rFonts w:ascii="SimSun" w:hAnsi="SimSun" w:eastAsia="SimSun" w:cs="SimSun"/>
          <w:color w:val="000000"/>
          <w:sz w:val="24"/>
        </w:rPr>
        <w:t xml:space="preserve">资格性审查：依据法律法规和磋商文件的规定，对响应文件中的资格证明文件等进行审查，以确定供应商是否具备磋商资格。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21.1.1.2 </w:t>
      </w:r>
      <w:r>
        <w:rPr>
          <w:rFonts w:ascii="SimSun" w:hAnsi="SimSun" w:eastAsia="SimSun" w:cs="SimSun"/>
          <w:color w:val="000000"/>
          <w:sz w:val="24"/>
        </w:rPr>
        <w:t xml:space="preserve">在进行资格性审查的同时，将在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hyperlink r:id="rId9" w:tooltip="http://www.creditchina.gov.cn/" w:history="1">
        <w:r>
          <w:rPr>
            <w:rStyle w:val="173"/>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hyperlink r:id="rId10" w:tooltip="http://www.ccgp.gov.cn/" w:history="1">
        <w:r>
          <w:rPr>
            <w:rStyle w:val="173"/>
            <w:rFonts w:ascii="Times New Roman" w:hAnsi="Times New Roman" w:eastAsia="Times New Roman" w:cs="Times New Roman"/>
            <w:color w:val="0000ee"/>
            <w:sz w:val="24"/>
            <w:u w:val="single"/>
          </w:rPr>
          <w:t xml:space="preserve">www.ccgp.gov.cn</w:t>
        </w:r>
      </w:hyperlink>
      <w:r>
        <w:rPr>
          <w:rFonts w:ascii="SimSun" w:hAnsi="SimSun" w:eastAsia="SimSun" w:cs="SimSun"/>
          <w:color w:val="000000"/>
          <w:sz w:val="24"/>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21.1.1.3 </w:t>
      </w:r>
      <w:r>
        <w:rPr>
          <w:rFonts w:ascii="SimSun" w:hAnsi="SimSun" w:eastAsia="SimSun" w:cs="SimSun"/>
          <w:color w:val="000000"/>
          <w:sz w:val="24"/>
        </w:rPr>
        <w:t xml:space="preserve">响应文件有下列情况之一的，在资格性审查时按照无效响应文件处理：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）不具备磋商文件中规定的资格要求的；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）等渠道列入失信被执行人或重大税收违法案件当事人名单或政府采购严重失信行为记录名单。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磋商小组对响应文件的有效性、完整性和对磋商文件的响应程度进行审查，以确定是否对磋商文件的实质性要求作出响应。</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3"/>
        <w:gridCol w:w="449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按磋商文件要求填写，格式见附件</w:t>
            </w:r>
            <w:r/>
          </w:p>
        </w:tc>
      </w:tr>
      <w:tr>
        <w:trPr>
          <w:trHeight w:val="8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本表无需上传，评审时以苏采云系统自带的开标一览表为准</w:t>
            </w:r>
            <w:r/>
          </w:p>
        </w:tc>
      </w:tr>
      <w:tr>
        <w:trPr>
          <w:trHeight w:val="4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报价明细表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21.2.3</w:t>
      </w:r>
      <w:r>
        <w:rPr>
          <w:rFonts w:ascii="SimSun" w:hAnsi="SimSun" w:eastAsia="SimSun" w:cs="SimSun"/>
          <w:color w:val="000000"/>
          <w:sz w:val="24"/>
        </w:rPr>
        <w:t xml:space="preserve">如果响应文件没有实质上响应磋商文件的要求，磋商小组将予以拒绝。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21.2.4</w:t>
      </w:r>
      <w:r>
        <w:rPr>
          <w:rFonts w:ascii="SimSun" w:hAnsi="SimSun" w:eastAsia="SimSun" w:cs="SimSun"/>
          <w:color w:val="000000"/>
          <w:sz w:val="24"/>
        </w:rPr>
        <w:t xml:space="preserve">磋商小组将对确定为实质性响应的响应文件进行进一步初审，看其是否有计算上或累加上的算术错误，修正原则如下：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磋商中，磋商的任何一方不得透露与磋商有关的其他参加供应商的技术资料、价格和其他信息。如果参加磋商供应商试图向江苏省鸿源招标代理股份有限公司和磋商小组人员施加任何影响，都将会导致其磋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磋商结束后，磋商小组将在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响应文件的澄清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21.9.3 </w:t>
      </w:r>
      <w:r>
        <w:rPr>
          <w:rFonts w:ascii="SimSun" w:hAnsi="SimSun" w:eastAsia="SimSun" w:cs="SimSun"/>
          <w:color w:val="000000"/>
          <w:sz w:val="24"/>
        </w:rPr>
        <w:t xml:space="preserve">接到磋商小组澄清、说明和更正要求的供应商如未按规定作出澄清、说明和更正，其风险由供应商自行承担。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出现下列情形之一的，响应文件按照无效处理：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）不符合磋商文件中规定的实质性要求和条件的（实质性要求是指本磋商文件中用带星号（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须（必须）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应（应当）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等其他文字说明的商务和技术要求。）；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）经查实提供虚假材料谋取成交的；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）不符合法律、法规和采购文件中规定的其他实质性要求的；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）磋商小组认为供应商的报价属于《财政部关于推动解决政府采购异常低价问题的通知》（财库〔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号）异常低价情形的，将通过苏采云系统，按照（财库〔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出现下列情形之一的，磋商终止：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除《政府采购竞争性磋商采购方式管理暂行办法》财库〔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号文件规定的情形除外，在采购过程中符合竞争要求的供应商或者报价未超过最高限价的供应商不足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条中规定情形的除外。）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评标委员会认定磋商文件存在歧义、重大缺陷导致评审工作无法进行。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供应商的报价均超过了最高限价，采购人不能支付的。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．确定成交供应商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磋商小组将对通过资格性审查和符合性审查的响应文件进行比较和磋商，综合评分，按照得分由高到低的顺序推荐成交候选供应商。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 </w:t>
      </w:r>
      <w:r>
        <w:rPr>
          <w:rFonts w:ascii="SimSun" w:hAnsi="SimSun" w:eastAsia="SimSun" w:cs="SimSun"/>
          <w:color w:val="000000"/>
          <w:sz w:val="24"/>
        </w:rPr>
        <w:t xml:space="preserve">采购人从磋商小组提出的成交候选供应商中，确定排序第一的为成交供应商。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．磋商过程保密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在宣布成交结果之前，凡属于审查、澄清、磋商、比较响应文件等有关信息，相关当事人均不得泄露给任何供应商或与磋商工作无关的人员。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供应商不得探听上述信息，不得以任何行为影响磋商过程，否则其响应文件将被作为无效响应文件。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在磋商期间，江苏省鸿源招标代理股份有限公司将有专门人员与参加磋商的供应商进行联络。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未实质性响应磋商文件的响应文件按无效响应处理，磋商小组应当告知提交响应文件的供应商。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 </w:t>
      </w:r>
      <w:r>
        <w:rPr>
          <w:rFonts w:ascii="SimSun" w:hAnsi="SimSun" w:eastAsia="SimSun" w:cs="SimSun"/>
          <w:b/>
          <w:color w:val="000000"/>
          <w:sz w:val="24"/>
        </w:rPr>
        <w:t xml:space="preserve">评审过程中出现下列情形之一的，磋商小组应当启动异常低价响应审查程序：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六确定成交供应商及签约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．确定成交供应商的原则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 </w:t>
      </w:r>
      <w:r>
        <w:rPr>
          <w:rFonts w:ascii="SimSun" w:hAnsi="SimSun" w:eastAsia="SimSun" w:cs="SimSun"/>
          <w:color w:val="000000"/>
          <w:sz w:val="24"/>
        </w:rPr>
        <w:t xml:space="preserve">磋商小组将严格按照磋商文件的要求和条件进行比较、磋商，根据磋商文件中公布的审查办法、磋商程序推荐成交候选供应商。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必要时，采购人对磋商小组推荐的成交候选供应商在履行合同能力方面进行考察，若无其他情况原则上确定磋商小组推荐排序第一的成交候选供应商为成交供应商。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采购单位确定成交供应商后，采购代理机构将在“江苏政府采购网”发布成交结果公告，公告期限为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参加磋商的供应商出现下列情况之一的，将被取消成交候选供应商资格：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）不符合法律法规的规定。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28.l </w:t>
      </w:r>
      <w:r>
        <w:rPr>
          <w:rFonts w:ascii="SimSun" w:hAnsi="SimSun" w:eastAsia="SimSun" w:cs="SimSun"/>
          <w:color w:val="000000"/>
          <w:sz w:val="24"/>
        </w:rPr>
        <w:t xml:space="preserve">成交结果公示结束且在无疑义情况下，采购人（代理机构）将向成交供应商发出《成交通知书》。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成交供应商可在成交结果公告届满之日起三十日内，登录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系统下载。因系统存储空间有限，成交结果公告届满之日起三十日后，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成交通知书将是合同的一个组成部分。对采购人和成交供应商均具有法律效力。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成交供应商应当在成交通知书发出之日起三十日内，按照采购文件确定的事项与采购人签订政府采购合同。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 </w:t>
      </w:r>
      <w:r>
        <w:rPr>
          <w:rFonts w:ascii="SimSun" w:hAnsi="SimSun" w:eastAsia="SimSun" w:cs="SimSun"/>
          <w:color w:val="000000"/>
          <w:sz w:val="24"/>
        </w:rPr>
        <w:t xml:space="preserve">磋商采购文件、成交供应商的响应文件及磋商过程中有关澄清、补充文件、成交通知书均应作为合同附件。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成交供应商拒绝签订采购合同的，采购人可以确定其他供应商作为成交供应商并签订采购合同，也可以重新开展采购活动。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 </w:t>
      </w:r>
      <w:r>
        <w:rPr>
          <w:rFonts w:ascii="SimSun" w:hAnsi="SimSun" w:eastAsia="SimSun" w:cs="SimSun"/>
          <w:b/>
          <w:color w:val="000000"/>
          <w:sz w:val="24"/>
        </w:rPr>
        <w:t xml:space="preserve">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成交供应商应按照磋商文件中的规定交纳代理服务费。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中小企业政策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rPr>
        <w:t xml:space="preserve">的扣除，用扣除后的价格参与评审。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于接受供应商以联合体形式参加采购活动的项目，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以上的，给予联合体或者大中型企业</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节能产品、环境标志产品政策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进口产品政策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未按要求提供相关材料的，不享受相关政策。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供应商认为采购文件、采购过程和成交结果使自己的权益受到损害的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可以在知道或者应知其权益受到损害之日起七个工作日内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以书面形式向采购代理机构提出质疑。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 </w:t>
      </w:r>
      <w:r>
        <w:rPr>
          <w:rFonts w:ascii="SimSun" w:hAnsi="SimSun" w:eastAsia="SimSun" w:cs="SimSun"/>
          <w:color w:val="000000"/>
          <w:sz w:val="24"/>
        </w:rPr>
        <w:t xml:space="preserve">供应商应知其权益受到损害之日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是指：对可以质疑的采购文件提出质疑的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为收到采购文件之日或者采购文件公告期限届满之日；对采购过程提出质疑的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为各采购程序环节结束之日；对成交结果提出质疑的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为成交结果公告期限届满之日。</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 </w:t>
      </w:r>
      <w:r>
        <w:rPr>
          <w:rFonts w:ascii="SimSun" w:hAnsi="SimSun" w:eastAsia="SimSun" w:cs="SimSun"/>
          <w:color w:val="000000"/>
          <w:sz w:val="24"/>
        </w:rPr>
        <w:t xml:space="preserve">提出质疑的供应商应当是参与所质疑项目采购活动的供应商。潜在供应商已依法获取其可质疑的采购文件的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可以对该文件提出质疑。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并加盖公章。代理人提出质疑和投诉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应当提交供应商签署的授权委托书。</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 </w:t>
      </w:r>
      <w:r>
        <w:rPr>
          <w:rFonts w:ascii="SimSun" w:hAnsi="SimSun" w:eastAsia="SimSun" w:cs="SimSun"/>
          <w:color w:val="000000"/>
          <w:sz w:val="24"/>
        </w:rPr>
        <w:t xml:space="preserve">以联合体形式参加政府采购活动的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其投诉应当由组成联合体的所有供应商共同提出。</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32.7 </w:t>
      </w:r>
      <w:r>
        <w:rPr>
          <w:rFonts w:ascii="SimSun" w:hAnsi="SimSun" w:eastAsia="SimSun" w:cs="SimSun"/>
          <w:color w:val="000000"/>
          <w:sz w:val="24"/>
        </w:rPr>
        <w:t xml:space="preserve">质疑函的主要内容须按照财政部制定的质疑函范本（财政部指定中国政府采购网发布）填写；供应商为自然人的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或者其授权代表签字或者盖章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32.8 </w:t>
      </w:r>
      <w:r>
        <w:rPr>
          <w:rFonts w:ascii="SimSun" w:hAnsi="SimSun" w:eastAsia="SimSun" w:cs="SimSun"/>
          <w:color w:val="000000"/>
          <w:sz w:val="24"/>
        </w:rPr>
        <w:t xml:space="preserve">质疑函应当使用中文。相关当事人提供外文书证或者外国语视听资料的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应当附有中文译本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由翻译机构盖章或者翻译人员签名。</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32.9 </w:t>
      </w:r>
      <w:r>
        <w:rPr>
          <w:rFonts w:ascii="SimSun" w:hAnsi="SimSun" w:eastAsia="SimSun" w:cs="SimSun"/>
          <w:color w:val="000000"/>
          <w:sz w:val="24"/>
        </w:rPr>
        <w:t xml:space="preserve">质疑函应当现场书面提交至采购代理机构联系人（详见采购公告）处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提交时应出示有效身份证明。</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32.10 </w:t>
      </w:r>
      <w:r>
        <w:rPr>
          <w:rFonts w:ascii="SimSun" w:hAnsi="SimSun" w:eastAsia="SimSun" w:cs="SimSun"/>
          <w:color w:val="000000"/>
          <w:sz w:val="24"/>
        </w:rPr>
        <w:t xml:space="preserve">以下情形的质疑不予受理</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32.10.1 </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32.10.2 </w:t>
      </w:r>
      <w:r>
        <w:rPr>
          <w:rFonts w:ascii="SimSun" w:hAnsi="SimSun" w:eastAsia="SimSun" w:cs="SimSun"/>
          <w:color w:val="000000"/>
          <w:sz w:val="24"/>
        </w:rPr>
        <w:t xml:space="preserve">超出政府采购法定期限的质疑。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32.10.3 </w:t>
      </w:r>
      <w:r>
        <w:rPr>
          <w:rFonts w:ascii="SimSun" w:hAnsi="SimSun" w:eastAsia="SimSun" w:cs="SimSun"/>
          <w:color w:val="000000"/>
          <w:sz w:val="24"/>
        </w:rPr>
        <w:t xml:space="preserve">以传真、电子邮件等方式递交的非原件形式的质疑。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32.10.5 </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32.10.6 </w:t>
      </w:r>
      <w:r>
        <w:rPr>
          <w:rFonts w:ascii="SimSun" w:hAnsi="SimSun" w:eastAsia="SimSun" w:cs="SimSun"/>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33</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供应商对采购代理机构的答复不满意或者采购代理机构未在规定的时间内作出答复的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可以在答复期满后十五个工作日内向同级政府采购监督管理部门投诉。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 </w:t>
      </w:r>
      <w:r>
        <w:rPr>
          <w:rFonts w:ascii="SimSun" w:hAnsi="SimSun" w:eastAsia="SimSun" w:cs="SimSun"/>
          <w:color w:val="000000"/>
          <w:sz w:val="24"/>
        </w:rPr>
        <w:t xml:space="preserve">投诉人对政府采购监督管理部门的投诉处理决定不服或者政府采购监督管理部门逾期未作处理的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可以依法申请行政复议或者向人民法院提起行政诉讼。</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 </w:t>
      </w:r>
      <w:r>
        <w:rPr>
          <w:rFonts w:ascii="SimSun" w:hAnsi="SimSun" w:eastAsia="SimSun" w:cs="SimSun"/>
          <w:color w:val="000000"/>
          <w:sz w:val="24"/>
        </w:rPr>
        <w:t xml:space="preserve">投诉人在全国范围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个月内三次以上投诉查无实据的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 </w:t>
      </w:r>
      <w:r>
        <w:rPr>
          <w:rFonts w:ascii="SimSun" w:hAnsi="SimSun" w:eastAsia="SimSun" w:cs="SimSun"/>
          <w:color w:val="000000"/>
          <w:sz w:val="24"/>
        </w:rPr>
        <w:t xml:space="preserve">投诉人有下列行为之一的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属于虚假、恶意投诉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禁止其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年内参加政府采购活动：</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）捏造事实；</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）提供虚假材料；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）以非法手段取得证明材料。证据来源的合法性存在明显疑问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投诉人无法证明其取得方式合法的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视为以非法手段取得证明材料。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br w:type="page" w:clear="all"/>
      </w:r>
      <w:r/>
    </w:p>
    <w:p>
      <w:pPr>
        <w:ind w:left="0" w:right="0" w:firstLine="480"/>
        <w:jc w:val="center"/>
        <w:spacing w:before="0" w:after="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第三章评审标准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进行评审，总分值为100分。即在最大限度地满足竞争性磋商文件实质性要求前提下，按照竞争性磋商文件中规定的各项因素进行综合评审。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576"/>
        <w:gridCol w:w="5490"/>
        <w:gridCol w:w="908"/>
      </w:tblGrid>
      <w:tr>
        <w:trPr>
          <w:trHeight w:val="607"/>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4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07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采用低价优先法计算，即满足采购文件要求且最终报价最低的有效供应商报价为评审基准价，其价格分为</w:t>
            </w:r>
            <w:r>
              <w:rPr>
                <w:rFonts w:ascii="SimSun" w:hAnsi="SimSun" w:eastAsia="SimSun" w:cs="SimSun"/>
                <w:b/>
                <w:color w:val="000000"/>
                <w:sz w:val="24"/>
              </w:rPr>
              <w:t xml:space="preserve">满分30分</w:t>
            </w:r>
            <w:r>
              <w:rPr>
                <w:rFonts w:ascii="SimSun" w:hAnsi="SimSun" w:eastAsia="SimSun" w:cs="SimSun"/>
                <w:color w:val="000000"/>
                <w:sz w:val="24"/>
              </w:rPr>
              <w:t xml:space="preserve">。其余有效供应商的价格分按照下列公式计算（小数点保留两位）。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报价得分=（评审基准价/该供应商的最终报价）×30分，</w:t>
            </w:r>
            <w:r>
              <w:rPr>
                <w:rFonts w:ascii="SimSun" w:hAnsi="SimSun" w:eastAsia="SimSun" w:cs="SimSun"/>
                <w:b/>
                <w:color w:val="000000"/>
                <w:sz w:val="24"/>
              </w:rPr>
              <w:t xml:space="preserve">最高30分。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有效供应商是指响应采购文件要求并通过实质性审核未被废标的所有供应商。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r>
      <w:tr>
        <w:trPr>
          <w:trHeight w:val="101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近3年内（2023年7月1日以来、时间以合同签订时间为准）具有类似工程，证明材料须提供：中标通知书&lt;如有&gt;、合同协议书、竣工验收文件或合同完工验收资料或发包人验收证明等证明材料）。供应商有上述业绩每1个得3分，</w:t>
            </w:r>
            <w:r>
              <w:rPr>
                <w:rFonts w:ascii="SimSun" w:hAnsi="SimSun" w:eastAsia="SimSun" w:cs="SimSun"/>
                <w:b/>
                <w:color w:val="000000"/>
                <w:sz w:val="24"/>
              </w:rPr>
              <w:t xml:space="preserve">满分9分</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注：如提供资料不能清楚分辨该类工程，不得分。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101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项目认知理解</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根据供应商对项目背景、概况，和范围认识与理解等进行评价：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完整阐述项目背景、概况、实施范围，逻辑层次清晰，精准掌握养护重难点、作业边界、管控要求，无认知偏差，理解深入到位，得15分；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完整覆盖项目背景、概况、实施范围，条理通顺，准确把握核心养护需求，仅缺少深度分析，无理解错误，得12分；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全部内容均有提及，但行文杂乱、仅照搬招标文件，或局部养护范围存在轻微理解偏差，得9分；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仅覆盖部分内容，或对养护范围、核心工作存在明显理解错误，得6分；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未对项目背景、概况、范围进行阐述，得0分。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9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项目总体方案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根据供应商提供的堤段养护总体设计、技术方案等内容进行评价：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总体设计贴合堤段养护现场工况，堤段维修、清障、巡查、应急处置等技术措施完备，方案完善、针对性极强，完全满足项目养护需求，得15分；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总体设计、技术内容完整，养护措施科学可行，无明显缺陷，可满足堤段养护全部工作要求，得12分；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养护内容均有阐述，但养护措施表述简略，存在少量不合理内容，基本可开展养护作业，得9分；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方案缺关键养护技术措施，存在重大缺陷，无法保障堤段养护实施，得6分；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未提供总体设计、技术方案相关内容，本项0分。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0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应急响应预案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根据供应商对本项目特点制定应急响应预案，突发情况考虑周全，预案详细完整，有针对性、可操作性进行评价：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结合本堤段养护特点，突发险情考虑全面，应急预案完整、针对性强、可操作性高，满足堤防防汛及安全处置要求，计8分。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覆盖堤防主要突发情况，应急方案安排合理，具备基本可操作性，满足项目常规应急需求，计6分。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险情覆盖不全，预案内容笼统，针对性与实操性不足，计4分。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未提供应急响应预案，本项得0分。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人员岗位配置方案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根据本项目实际养护范围及工作需要，供应商岗位设置合理性、人员配置量化性、岗位分工完整性、项目适配性方案。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方案完全匹配本项目实际养护规模，清晰列明各岗位配置人数、岗位职责、负责堤段范围，覆盖日常巡查、常态化养护，分工明确、人员配置科学、针对性强、方案详实可落地，得6分；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方案设有完整岗位类别，但未结合本项目堤段范围、养护实际工作量匹配人员数量，岗位职责划分笼统，仅能基本满足养护需求，方案针对性不足，得4分；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方案仅简单罗列岗位名称，未列明各岗位配置人数、岗位职责及对应堤段养护内容，内容简略空洞，岗位配置缺乏量化说明，得2分；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未提供岗位配置方案，无法满足项目基本管护要求，得0分。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注：需提供人员岗位配置承诺书（内容及格式自理）。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881"/>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质量管理体系、施工工序和过程质量控制方案。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6分；方案较贴合项目实际，合理性、可行性、针对性较强且较全面，得4分；上述方案贴合项目实际，合理性、可行性针对性不强，得2分；不提供或有重大缺陷，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进度保证措施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施工人员投入、制定进度计划和资金保证措施方案。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5分；方案较贴合项目实际，合理性、可行性、针对性较强且较全面，得3分；方案贴合项目实际，合理性、可行性针对性不强，得1分；不提供或有重大缺陷，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5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安全生产及环境保护、文明施工措施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安全生产资金、人员、设备等的投入，安全管理体系、安全防护、环境保护技术及管理措施和文明施工措施方案。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6分；方案较贴合项目实际，合理性、可行性、针对性较强且较全面，得4分；上述方案贴合项目实际，合理性、可行性针对性不强，得2分；不提供或有重大缺陷，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、以上评分标准中的各评分要点，各投标单位均应提供相关的证明材料并作出相应的对比（列表）供评委评判。（提供得分索引表）</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、以上所有要求提供的证明材料在投标截止时间之前扫描件加盖单位公章上传，用投标文件制作工具制作并生成上传至苏采云平台。</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w:t>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第四章采购需求（技术要求）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业主拒绝低于本竞争性磋商文件技术规范所列任一条款、技术参数、或性能指标要求的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级堤防，是淮河下游重要流域性防洪工程，位于洪泽湖东岸。洪泽湖大堤和沿堤建筑物三河闸、二河闸等工程构成了洪泽湖控制枢纽工程，拦蓄淮河上中游</w:t>
      </w:r>
      <w:r>
        <w:rPr>
          <w:rFonts w:ascii="Times New Roman" w:hAnsi="Times New Roman" w:eastAsia="Times New Roman" w:cs="Times New Roman"/>
          <w:color w:val="000000"/>
          <w:sz w:val="24"/>
          <w:u w:val="none"/>
        </w:rPr>
        <w:t xml:space="preserve">15.8</w:t>
      </w:r>
      <w:r>
        <w:rPr>
          <w:rFonts w:ascii="SimSun" w:hAnsi="SimSun" w:eastAsia="SimSun" w:cs="SimSun"/>
          <w:color w:val="000000"/>
          <w:sz w:val="24"/>
          <w:u w:val="none"/>
        </w:rPr>
        <w:t xml:space="preserve">万平方千米的洪水，是苏北里下河地区</w:t>
      </w:r>
      <w:r>
        <w:rPr>
          <w:rFonts w:ascii="Times New Roman" w:hAnsi="Times New Roman" w:eastAsia="Times New Roman" w:cs="Times New Roman"/>
          <w:color w:val="000000"/>
          <w:sz w:val="24"/>
          <w:u w:val="none"/>
        </w:rPr>
        <w:t xml:space="preserve">3000</w:t>
      </w:r>
      <w:r>
        <w:rPr>
          <w:rFonts w:ascii="SimSun" w:hAnsi="SimSun" w:eastAsia="SimSun" w:cs="SimSun"/>
          <w:color w:val="000000"/>
          <w:sz w:val="24"/>
          <w:u w:val="none"/>
        </w:rPr>
        <w:t xml:space="preserve">万亩农田和</w:t>
      </w:r>
      <w:r>
        <w:rPr>
          <w:rFonts w:ascii="Times New Roman" w:hAnsi="Times New Roman" w:eastAsia="Times New Roman" w:cs="Times New Roman"/>
          <w:color w:val="000000"/>
          <w:sz w:val="24"/>
          <w:u w:val="none"/>
        </w:rPr>
        <w:t xml:space="preserve">2600</w:t>
      </w:r>
      <w:r>
        <w:rPr>
          <w:rFonts w:ascii="SimSun" w:hAnsi="SimSun" w:eastAsia="SimSun" w:cs="SimSun"/>
          <w:color w:val="000000"/>
          <w:sz w:val="24"/>
          <w:u w:val="none"/>
        </w:rPr>
        <w:t xml:space="preserve">多万人民生命财产安全的屏障，是国务院规定任何时候必须确保安全的全国重点堤防，发挥着防洪、灌溉、城市供水、水产、航运等综合效益。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为及时有效保持洪泽湖大堤</w:t>
      </w:r>
      <w:r>
        <w:rPr>
          <w:rFonts w:ascii="Times New Roman" w:hAnsi="Times New Roman" w:eastAsia="Times New Roman" w:cs="Times New Roman"/>
          <w:color w:val="000000"/>
          <w:sz w:val="24"/>
        </w:rPr>
        <w:t xml:space="preserve">34K+900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45K+000</w:t>
      </w:r>
      <w:r>
        <w:rPr>
          <w:rFonts w:ascii="SimSun" w:hAnsi="SimSun" w:eastAsia="SimSun" w:cs="SimSun"/>
          <w:color w:val="000000"/>
          <w:sz w:val="24"/>
        </w:rPr>
        <w:t xml:space="preserve">堤段已实施项目良好工程面貌，防止高杆杂树杂草复生，影响堤防工程日常巡查，拟采取切实可行的整修措施，保障大堤的工程安全及便于堤防的管理。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完成洪泽湖大堤</w:t>
      </w:r>
      <w:r>
        <w:rPr>
          <w:rFonts w:ascii="Times New Roman" w:hAnsi="Times New Roman" w:eastAsia="Times New Roman" w:cs="Times New Roman"/>
          <w:color w:val="000000"/>
          <w:sz w:val="24"/>
        </w:rPr>
        <w:t xml:space="preserve">34K+900—60K+000</w:t>
      </w:r>
      <w:r>
        <w:rPr>
          <w:rFonts w:ascii="SimSun" w:hAnsi="SimSun" w:eastAsia="SimSun" w:cs="SimSun"/>
          <w:color w:val="000000"/>
          <w:sz w:val="24"/>
        </w:rPr>
        <w:t xml:space="preserve">堤段工程养护约</w:t>
      </w:r>
      <w:r>
        <w:rPr>
          <w:rFonts w:ascii="Times New Roman" w:hAnsi="Times New Roman" w:eastAsia="Times New Roman" w:cs="Times New Roman"/>
          <w:color w:val="000000"/>
          <w:sz w:val="24"/>
        </w:rPr>
        <w:t xml:space="preserve">3023575m</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（范围包括</w:t>
      </w:r>
      <w:r>
        <w:rPr>
          <w:rFonts w:ascii="Times New Roman" w:hAnsi="Times New Roman" w:eastAsia="Times New Roman" w:cs="Times New Roman"/>
          <w:color w:val="000000"/>
          <w:sz w:val="24"/>
        </w:rPr>
        <w:t xml:space="preserve">34K+900</w:t>
      </w:r>
      <w:r>
        <w:rPr>
          <w:rFonts w:ascii="SimSun" w:hAnsi="SimSun" w:eastAsia="SimSun" w:cs="SimSun"/>
          <w:color w:val="000000"/>
          <w:sz w:val="24"/>
        </w:rPr>
        <w:t xml:space="preserve">船塘裹头、</w:t>
      </w:r>
      <w:r>
        <w:rPr>
          <w:rFonts w:ascii="Times New Roman" w:hAnsi="Times New Roman" w:eastAsia="Times New Roman" w:cs="Times New Roman"/>
          <w:color w:val="000000"/>
          <w:sz w:val="24"/>
        </w:rPr>
        <w:t xml:space="preserve">50K+000-50K+500</w:t>
      </w:r>
      <w:r>
        <w:rPr>
          <w:rFonts w:ascii="SimSun" w:hAnsi="SimSun" w:eastAsia="SimSun" w:cs="SimSun"/>
          <w:color w:val="000000"/>
          <w:sz w:val="24"/>
        </w:rPr>
        <w:t xml:space="preserve">裹头；</w:t>
      </w:r>
      <w:r>
        <w:rPr>
          <w:rFonts w:ascii="Times New Roman" w:hAnsi="Times New Roman" w:eastAsia="Times New Roman" w:cs="Times New Roman"/>
          <w:color w:val="000000"/>
          <w:sz w:val="24"/>
        </w:rPr>
        <w:t xml:space="preserve">45K+000—45K+500</w:t>
      </w:r>
      <w:r>
        <w:rPr>
          <w:rFonts w:ascii="SimSun" w:hAnsi="SimSun" w:eastAsia="SimSun" w:cs="SimSun"/>
          <w:color w:val="000000"/>
          <w:sz w:val="24"/>
        </w:rPr>
        <w:t xml:space="preserve">段堤前一级坡、堤后周桥大塘石工墙至顺堤河区域；</w:t>
      </w:r>
      <w:r>
        <w:rPr>
          <w:rFonts w:ascii="Times New Roman" w:hAnsi="Times New Roman" w:eastAsia="Times New Roman" w:cs="Times New Roman"/>
          <w:color w:val="000000"/>
          <w:sz w:val="24"/>
        </w:rPr>
        <w:t xml:space="preserve">34K+900—36K+180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57K+300—60K+000</w:t>
      </w:r>
      <w:r>
        <w:rPr>
          <w:rFonts w:ascii="SimSun" w:hAnsi="SimSun" w:eastAsia="SimSun" w:cs="SimSun"/>
          <w:color w:val="000000"/>
          <w:sz w:val="24"/>
        </w:rPr>
        <w:t xml:space="preserve">段堤前一、二级坡；</w:t>
      </w:r>
      <w:r>
        <w:rPr>
          <w:rFonts w:ascii="Times New Roman" w:hAnsi="Times New Roman" w:eastAsia="Times New Roman" w:cs="Times New Roman"/>
          <w:color w:val="000000"/>
          <w:sz w:val="24"/>
        </w:rPr>
        <w:t xml:space="preserve">36K+180—36K+500</w:t>
      </w:r>
      <w:r>
        <w:rPr>
          <w:rFonts w:ascii="SimSun" w:hAnsi="SimSun" w:eastAsia="SimSun" w:cs="SimSun"/>
          <w:color w:val="000000"/>
          <w:sz w:val="24"/>
        </w:rPr>
        <w:t xml:space="preserve">段堤前一级坡至堤顶道路；</w:t>
      </w:r>
      <w:r>
        <w:rPr>
          <w:rFonts w:ascii="Times New Roman" w:hAnsi="Times New Roman" w:eastAsia="Times New Roman" w:cs="Times New Roman"/>
          <w:color w:val="000000"/>
          <w:sz w:val="24"/>
        </w:rPr>
        <w:t xml:space="preserve">36K+500—37K+600</w:t>
      </w:r>
      <w:r>
        <w:rPr>
          <w:rFonts w:ascii="SimSun" w:hAnsi="SimSun" w:eastAsia="SimSun" w:cs="SimSun"/>
          <w:color w:val="000000"/>
          <w:sz w:val="24"/>
        </w:rPr>
        <w:t xml:space="preserve">段堤后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平台防汛道路至坡脚；</w:t>
      </w:r>
      <w:r>
        <w:rPr>
          <w:rFonts w:ascii="Times New Roman" w:hAnsi="Times New Roman" w:eastAsia="Times New Roman" w:cs="Times New Roman"/>
          <w:color w:val="000000"/>
          <w:sz w:val="24"/>
        </w:rPr>
        <w:t xml:space="preserve">37K+600—44K+200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45K+500—57K+190</w:t>
      </w:r>
      <w:r>
        <w:rPr>
          <w:rFonts w:ascii="SimSun" w:hAnsi="SimSun" w:eastAsia="SimSun" w:cs="SimSun"/>
          <w:color w:val="000000"/>
          <w:sz w:val="24"/>
        </w:rPr>
        <w:t xml:space="preserve">段堤前一级坡至堤后顺堤河，</w:t>
      </w:r>
      <w:r>
        <w:rPr>
          <w:rFonts w:ascii="Times New Roman" w:hAnsi="Times New Roman" w:eastAsia="Times New Roman" w:cs="Times New Roman"/>
          <w:color w:val="000000"/>
          <w:sz w:val="24"/>
        </w:rPr>
        <w:t xml:space="preserve">44K+200—45K+000</w:t>
      </w:r>
      <w:r>
        <w:rPr>
          <w:rFonts w:ascii="SimSun" w:hAnsi="SimSun" w:eastAsia="SimSun" w:cs="SimSun"/>
          <w:color w:val="000000"/>
          <w:sz w:val="24"/>
        </w:rPr>
        <w:t xml:space="preserve">段堤顶道路至堤后顺堤河，其中</w:t>
      </w:r>
      <w:r>
        <w:rPr>
          <w:rFonts w:ascii="Times New Roman" w:hAnsi="Times New Roman" w:eastAsia="Times New Roman" w:cs="Times New Roman"/>
          <w:color w:val="000000"/>
          <w:sz w:val="24"/>
        </w:rPr>
        <w:t xml:space="preserve">49K+300—49K+510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51K+500—53K+700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53K+850—55K+400</w:t>
      </w:r>
      <w:r>
        <w:rPr>
          <w:rFonts w:ascii="SimSun" w:hAnsi="SimSun" w:eastAsia="SimSun" w:cs="SimSun"/>
          <w:color w:val="000000"/>
          <w:sz w:val="24"/>
        </w:rPr>
        <w:t xml:space="preserve">段，</w:t>
      </w:r>
      <w:r>
        <w:rPr>
          <w:rFonts w:ascii="Times New Roman" w:hAnsi="Times New Roman" w:eastAsia="Times New Roman" w:cs="Times New Roman"/>
          <w:color w:val="000000"/>
          <w:sz w:val="24"/>
        </w:rPr>
        <w:t xml:space="preserve">55K+550—55K+600</w:t>
      </w:r>
      <w:r>
        <w:rPr>
          <w:rFonts w:ascii="SimSun" w:hAnsi="SimSun" w:eastAsia="SimSun" w:cs="SimSun"/>
          <w:color w:val="000000"/>
          <w:sz w:val="24"/>
        </w:rPr>
        <w:t xml:space="preserve">段包含堤后青坎地。范围内堤前防浪林台清理堤前二级坡脚延伸至防浪林台</w:t>
      </w:r>
      <w:r>
        <w:rPr>
          <w:rFonts w:ascii="Times New Roman" w:hAnsi="Times New Roman" w:eastAsia="Times New Roman" w:cs="Times New Roman"/>
          <w:color w:val="000000"/>
          <w:sz w:val="24"/>
        </w:rPr>
        <w:t xml:space="preserve">6m</w:t>
      </w:r>
      <w:r>
        <w:rPr>
          <w:rFonts w:ascii="SimSun" w:hAnsi="SimSun" w:eastAsia="SimSun" w:cs="SimSun"/>
          <w:color w:val="000000"/>
          <w:sz w:val="24"/>
        </w:rPr>
        <w:t xml:space="preserve">范围，防浪林台上下巡查道路南、北方向各</w:t>
      </w:r>
      <w:r>
        <w:rPr>
          <w:rFonts w:ascii="Times New Roman" w:hAnsi="Times New Roman" w:eastAsia="Times New Roman" w:cs="Times New Roman"/>
          <w:color w:val="000000"/>
          <w:sz w:val="24"/>
        </w:rPr>
        <w:t xml:space="preserve">15m</w:t>
      </w:r>
      <w:r>
        <w:rPr>
          <w:rFonts w:ascii="SimSun" w:hAnsi="SimSun" w:eastAsia="SimSun" w:cs="SimSun"/>
          <w:color w:val="000000"/>
          <w:sz w:val="24"/>
        </w:rPr>
        <w:t xml:space="preserve">范围，该范围内杂草、杂物、高杆植物、断枝挂枝清理垃圾清运等（含一级坡及平台、二级坡、防汛块石清理；堤前、堤后上下巡查道路、堤后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平台防汛道路、排水沟清理）。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完成全堤上下巡查道路及堤后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平台巡查道路两侧</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米范围内树木修剪，修剪高度</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米，修剪后垃圾清运。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w:t>
      </w:r>
      <w:r>
        <w:rPr>
          <w:rFonts w:ascii="Times New Roman" w:hAnsi="Times New Roman" w:eastAsia="Times New Roman" w:cs="Times New Roman"/>
          <w:color w:val="000000"/>
          <w:sz w:val="24"/>
        </w:rPr>
        <w:t xml:space="preserve">50K+000-50K+500</w:t>
      </w:r>
      <w:r>
        <w:rPr>
          <w:rFonts w:ascii="SimSun" w:hAnsi="SimSun" w:eastAsia="SimSun" w:cs="SimSun"/>
          <w:color w:val="000000"/>
          <w:sz w:val="24"/>
        </w:rPr>
        <w:t xml:space="preserve">裹头桂花灌木进行养护，每周完成一次浇水。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完成工程范围内防浪林台所有垃圾收集清理，清运出管理范围。</w:t>
      </w:r>
      <w:r/>
    </w:p>
    <w:p>
      <w:pPr>
        <w:ind w:left="0" w:right="0" w:firstLine="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预算经费：</w:t>
      </w:r>
      <w:r>
        <w:rPr>
          <w:rFonts w:ascii="Times New Roman" w:hAnsi="Times New Roman" w:eastAsia="Times New Roman" w:cs="Times New Roman"/>
          <w:b/>
          <w:color w:val="000000"/>
          <w:sz w:val="24"/>
        </w:rPr>
        <w:t xml:space="preserve">195</w:t>
      </w:r>
      <w:r>
        <w:rPr>
          <w:rFonts w:ascii="SimSun" w:hAnsi="SimSun" w:eastAsia="SimSun" w:cs="SimSun"/>
          <w:b/>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本工程施工执行以下规程、规范（不限于）：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、《水利工程建设标准强制性条文》（</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年版）；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、《水利水电等级划分及洪水标准》（</w:t>
      </w:r>
      <w:r>
        <w:rPr>
          <w:rFonts w:ascii="Times New Roman" w:hAnsi="Times New Roman" w:eastAsia="Times New Roman" w:cs="Times New Roman"/>
          <w:color w:val="000000"/>
          <w:sz w:val="24"/>
        </w:rPr>
        <w:t xml:space="preserve">SL 252-2017</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、《防洪标准》（</w:t>
      </w:r>
      <w:r>
        <w:rPr>
          <w:rFonts w:ascii="Times New Roman" w:hAnsi="Times New Roman" w:eastAsia="Times New Roman" w:cs="Times New Roman"/>
          <w:color w:val="000000"/>
          <w:sz w:val="24"/>
        </w:rPr>
        <w:t xml:space="preserve">GB 50201-2014</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、《中国地震动参数区划图》（</w:t>
      </w:r>
      <w:r>
        <w:rPr>
          <w:rFonts w:ascii="Times New Roman" w:hAnsi="Times New Roman" w:eastAsia="Times New Roman" w:cs="Times New Roman"/>
          <w:color w:val="000000"/>
          <w:sz w:val="24"/>
        </w:rPr>
        <w:t xml:space="preserve">GB 18306-2015</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、《河道整治设计规范》（</w:t>
      </w:r>
      <w:r>
        <w:rPr>
          <w:rFonts w:ascii="Times New Roman" w:hAnsi="Times New Roman" w:eastAsia="Times New Roman" w:cs="Times New Roman"/>
          <w:color w:val="000000"/>
          <w:sz w:val="24"/>
        </w:rPr>
        <w:t xml:space="preserve">GB 50707-2011</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、《堤防工程设计规范》（</w:t>
      </w:r>
      <w:r>
        <w:rPr>
          <w:rFonts w:ascii="Times New Roman" w:hAnsi="Times New Roman" w:eastAsia="Times New Roman" w:cs="Times New Roman"/>
          <w:color w:val="000000"/>
          <w:sz w:val="24"/>
        </w:rPr>
        <w:t xml:space="preserve">GB 50286-2013</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、《水工挡土墙设计规范》（</w:t>
      </w:r>
      <w:r>
        <w:rPr>
          <w:rFonts w:ascii="Times New Roman" w:hAnsi="Times New Roman" w:eastAsia="Times New Roman" w:cs="Times New Roman"/>
          <w:color w:val="000000"/>
          <w:sz w:val="24"/>
        </w:rPr>
        <w:t xml:space="preserve">SL 379-2007</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、《水工建筑物抗震设计标准》（</w:t>
      </w:r>
      <w:r>
        <w:rPr>
          <w:rFonts w:ascii="Times New Roman" w:hAnsi="Times New Roman" w:eastAsia="Times New Roman" w:cs="Times New Roman"/>
          <w:color w:val="000000"/>
          <w:sz w:val="24"/>
        </w:rPr>
        <w:t xml:space="preserve">GB 51247-2018</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、《水工混凝土结构设计规范》（</w:t>
      </w:r>
      <w:r>
        <w:rPr>
          <w:rFonts w:ascii="Times New Roman" w:hAnsi="Times New Roman" w:eastAsia="Times New Roman" w:cs="Times New Roman"/>
          <w:color w:val="000000"/>
          <w:sz w:val="24"/>
        </w:rPr>
        <w:t xml:space="preserve">SL 191-2008</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、《水利水电工程施工组织设计规范》（</w:t>
      </w:r>
      <w:r>
        <w:rPr>
          <w:rFonts w:ascii="Times New Roman" w:hAnsi="Times New Roman" w:eastAsia="Times New Roman" w:cs="Times New Roman"/>
          <w:color w:val="000000"/>
          <w:sz w:val="24"/>
        </w:rPr>
        <w:t xml:space="preserve">SL 303-2017</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、《公路工程技术标准》（</w:t>
      </w:r>
      <w:r>
        <w:rPr>
          <w:rFonts w:ascii="Times New Roman" w:hAnsi="Times New Roman" w:eastAsia="Times New Roman" w:cs="Times New Roman"/>
          <w:color w:val="000000"/>
          <w:sz w:val="24"/>
        </w:rPr>
        <w:t xml:space="preserve">JTG B01-2014</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、《堤防工程管理设计规范》（</w:t>
      </w:r>
      <w:r>
        <w:rPr>
          <w:rFonts w:ascii="Times New Roman" w:hAnsi="Times New Roman" w:eastAsia="Times New Roman" w:cs="Times New Roman"/>
          <w:color w:val="000000"/>
          <w:sz w:val="24"/>
        </w:rPr>
        <w:t xml:space="preserve">SL T171-2020</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、《水利工程施工图设计文件编制规范》（</w:t>
      </w:r>
      <w:r>
        <w:rPr>
          <w:rFonts w:ascii="Times New Roman" w:hAnsi="Times New Roman" w:eastAsia="Times New Roman" w:cs="Times New Roman"/>
          <w:color w:val="000000"/>
          <w:sz w:val="24"/>
        </w:rPr>
        <w:t xml:space="preserve">DB32/T3260-2017</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、水利部《堤防运行管理办法》（</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月印发）；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、《江苏省工程建设标准 园林绿化工程施工及验收规范》</w:t>
      </w:r>
      <w:r>
        <w:rPr>
          <w:rFonts w:ascii="Times New Roman" w:hAnsi="Times New Roman" w:eastAsia="Times New Roman" w:cs="Times New Roman"/>
          <w:color w:val="000000"/>
          <w:sz w:val="24"/>
        </w:rPr>
        <w:t xml:space="preserve">DGJ32/TJ 201-2016</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、《施工现场临时用电安全技术规范》</w:t>
      </w:r>
      <w:r>
        <w:rPr>
          <w:rFonts w:ascii="Times New Roman" w:hAnsi="Times New Roman" w:eastAsia="Times New Roman" w:cs="Times New Roman"/>
          <w:color w:val="000000"/>
          <w:sz w:val="24"/>
        </w:rPr>
        <w:t xml:space="preserve">JGJ 46-2005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、《堤防工程技术管理规程》（</w:t>
      </w:r>
      <w:r>
        <w:rPr>
          <w:rFonts w:ascii="Times New Roman" w:hAnsi="Times New Roman" w:eastAsia="Times New Roman" w:cs="Times New Roman"/>
          <w:color w:val="000000"/>
          <w:sz w:val="24"/>
        </w:rPr>
        <w:t xml:space="preserve">DB32/T3935-2020</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、与本次设计有关的其它技术规范、规程和标准；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、其它相关资料。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以上所列规范、标准，按照合同严格执行。</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、场地清理、垃圾清运出管理范围。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、每月进行一次验收，养护期内保证施工范围无垃圾、断枝挂枝及高度超过</w:t>
      </w:r>
      <w:r>
        <w:rPr>
          <w:rFonts w:ascii="Times New Roman" w:hAnsi="Times New Roman" w:eastAsia="Times New Roman" w:cs="Times New Roman"/>
          <w:color w:val="000000"/>
          <w:sz w:val="24"/>
        </w:rPr>
        <w:t xml:space="preserve">10cm</w:t>
      </w:r>
      <w:r>
        <w:rPr>
          <w:rFonts w:ascii="SimSun" w:hAnsi="SimSun" w:eastAsia="SimSun" w:cs="SimSun"/>
          <w:color w:val="000000"/>
          <w:sz w:val="24"/>
        </w:rPr>
        <w:t xml:space="preserve">高杆植物（不得擅自砍伐树木，违者必究），保持工程面貌良好，未达到验收标准需在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天内整改完毕。逾期拒不整改，按</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天标准在进度款中扣除，若供应商</w:t>
      </w:r>
      <w:r>
        <w:rPr>
          <w:rFonts w:ascii="MS Mincho" w:hAnsi="MS Mincho" w:eastAsia="MS Mincho" w:cs="MS Mincho"/>
          <w:color w:val="000000"/>
          <w:sz w:val="24"/>
        </w:rPr>
        <w:t xml:space="preserve">‌履</w:t>
      </w:r>
      <w:r>
        <w:rPr>
          <w:rFonts w:ascii="SimSun" w:hAnsi="SimSun" w:eastAsia="SimSun" w:cs="SimSun"/>
          <w:color w:val="000000"/>
          <w:sz w:val="24"/>
        </w:rPr>
        <w:t xml:space="preserve">约验收不合格且拒不整改或整改后仍不合格，甲方有权单方面解除合同，且该供应商自解除合同之日起三年内禁止参与省洪泽湖管理处招标采购项目。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、施工过程中不得损坏堤防管理设施，如：测压管、百米桩、里程碑、巡查道路、巡更桩、标志标识牌、地下管线等。如有损坏需按管理所要求恢复原状。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、该项目工程范围广，工程量大，日常养护人员投入至少达到</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人。</w:t>
        <w:br w:type="page" w:clear="all"/>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五、本项目按工程清单报价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通过网盘分享的文件：工程量清单7.23</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https://pan.baidu.com/s/1lTUG8TxQsbhizBEE_amKfw?pwd=1234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工程项目总价表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工程名称：洪泽湖大堤34K+900-60K+000堤段养护工程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7"/>
        <w:gridCol w:w="2555"/>
        <w:gridCol w:w="2811"/>
        <w:gridCol w:w="1894"/>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分类分项工程（</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73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措施项目（</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2" w:type="dxa"/>
            <w:vAlign w:val="center"/>
            <w:textDirection w:val="lrTb"/>
            <w:noWrap w:val="false"/>
          </w:tcPr>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C=A+B</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1937"/>
        <w:gridCol w:w="684"/>
        <w:gridCol w:w="1453"/>
        <w:gridCol w:w="1027"/>
        <w:gridCol w:w="1027"/>
        <w:gridCol w:w="2638"/>
      </w:tblGrid>
      <w:tr>
        <w:trPr>
          <w:trHeight w:val="262"/>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分类分项工程量清单</w:t>
            </w:r>
            <w:r/>
          </w:p>
        </w:tc>
      </w:tr>
      <w:tr>
        <w:trPr>
          <w:trHeight w:val="504"/>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工程名称：洪泽湖大堤34K+900-60K+000堤段养护工程</w:t>
            </w:r>
            <w:r/>
          </w:p>
        </w:tc>
      </w:tr>
      <w:tr>
        <w:trPr>
          <w:trHeight w:val="6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复价（元）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1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洪泽湖大堤34K+900-60K+000堤段养护工程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2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堤段养护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3023575.00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清除杂树杂草，断枝挂枝及范围内所有垃圾清运；全堤上下巡查道路、堤后11平台巡查道路两侧5米范围内树木修剪至高度5米（包括所有巡查道路清扫、垃圾清运）。</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措施项目清单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工程名称：洪泽湖大堤34K+900-60K+000堤段养护工程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3525"/>
        <w:gridCol w:w="1796"/>
        <w:gridCol w:w="2629"/>
      </w:tblGrid>
      <w:tr>
        <w:trPr>
          <w:trHeight w:val="6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总价承包，费用为分类分项总价的</w:t>
            </w:r>
            <w:r>
              <w:rPr>
                <w:rFonts w:ascii="Times New Roman" w:hAnsi="Times New Roman" w:eastAsia="Times New Roman" w:cs="Times New Roman"/>
                <w:b/>
                <w:color w:val="000000"/>
                <w:sz w:val="24"/>
              </w:rPr>
              <w:t xml:space="preserve">2.5%</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85" w:lineRule="atLeast"/>
        <w:tabs>
          <w:tab w:val="left" w:pos="268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tabs>
          <w:tab w:val="left" w:pos="1548"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合同主要条款及格式</w:t>
      </w:r>
      <w:r/>
    </w:p>
    <w:p>
      <w:pPr>
        <w:ind w:left="0" w:right="0" w:firstLine="5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u w:val="single"/>
        </w:rPr>
        <w:t xml:space="preserve"> </w:t>
      </w:r>
      <w:r/>
    </w:p>
    <w:p>
      <w:pPr>
        <w:ind w:left="0" w:right="0" w:firstLine="5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u w:val="single"/>
        </w:rPr>
        <w:t xml:space="preserve"> </w:t>
      </w:r>
      <w:r/>
    </w:p>
    <w:p>
      <w:pPr>
        <w:ind w:left="0" w:right="0" w:firstLine="5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u w:val="single"/>
        </w:rPr>
        <w:t xml:space="preserve">以下为中标后签定本项目合同的通用条款，成交人不得提出实质性的修改，关于专用条款将由采购人与供应商结合本项目具体情况协商后签订。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供应商：（以下称乙方）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                                    住所地：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根据《中华人民共和国政府采购法》《中华人民共和国民法典》等法律法规的规定，甲乙双方经协商签订本合同。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rPr>
          <w:rFonts w:ascii="SimSun" w:hAnsi="SimSun" w:eastAsia="SimSun" w:cs="SimSun"/>
          <w:color w:val="000000"/>
          <w:sz w:val="24"/>
        </w:rPr>
        <w:t xml:space="preserve"> 乙方根据甲方需求提供下列服务：</w:t>
      </w:r>
      <w:r>
        <w:rPr>
          <w:rFonts w:ascii="SimSun" w:hAnsi="SimSun" w:eastAsia="SimSun" w:cs="SimSun"/>
          <w:b/>
          <w:color w:val="000000"/>
          <w:sz w:val="24"/>
          <w:u w:val="single"/>
        </w:rPr>
        <w:t xml:space="preserve">洪泽湖大堤34K+900-60K+000堤段养护工程</w:t>
      </w:r>
      <w:r>
        <w:rPr>
          <w:rFonts w:ascii="SimSun" w:hAnsi="SimSun" w:eastAsia="SimSun" w:cs="SimSun"/>
          <w:color w:val="000000"/>
          <w:sz w:val="24"/>
        </w:rPr>
        <w:t xml:space="preserve">，服务内容详见乙方投标（响应）文件。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w:t>
      </w:r>
      <w:r>
        <w:rPr>
          <w:rFonts w:ascii="SimSun" w:hAnsi="SimSun" w:eastAsia="SimSun" w:cs="SimSun"/>
          <w:color w:val="000000"/>
          <w:sz w:val="24"/>
        </w:rPr>
        <w:t xml:space="preserve"> 本合同项下服务总价为人民币（大写）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元。分项价款在“报价表”中有明确规定。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本合同执行期间合同总价款不变。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合同期限</w:t>
      </w:r>
      <w:r>
        <w:rPr>
          <w:rFonts w:ascii="SimSun" w:hAnsi="SimSun" w:eastAsia="SimSun" w:cs="SimSun"/>
          <w:color w:val="000000"/>
          <w:sz w:val="24"/>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自合同签订时间起一年。</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组成本合同的有关文件</w:t>
      </w:r>
      <w:r>
        <w:rPr>
          <w:rFonts w:ascii="SimSun" w:hAnsi="SimSun" w:eastAsia="SimSun" w:cs="SimSun"/>
          <w:color w:val="000000"/>
          <w:sz w:val="24"/>
        </w:rPr>
        <w:t xml:space="preserve">  采购文件、供应商响应文件，或与本次采购活动方式相适应的文件，以及有关附件是本合同不可分割的组成部分，与本合同具有同等法律效力，这些文件包括但不限于：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（1）投标（响应）文件和报价表；          （2）技术规格响应表；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（3）投标（响应）承诺；（4）服务承诺；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（5）中标（成交）通知书；（6）甲乙双方商定的其它文件。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权利保证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质量保证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乙方所提供的服务的技术规格应与招标（采购）文件规定的技术规格及所附的“技术规格响应表”相一致；若技术性能无特殊说明，则按国家有关部门最新颁布的标准及规范为准。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交付和验收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1.乙方应当在合同签订后按合同期限完成服务事项。采购文件有约定的，从其约定。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2.验收标准：按行业通行标准和乙方投标（响应）文件的承诺（不低于国家相关标准）。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履约保证金</w:t>
      </w:r>
      <w:r/>
    </w:p>
    <w:p>
      <w:pPr>
        <w:ind w:left="0" w:right="-2"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本项目实行履约担保制度。承包人在合同签订前，必须向甲方提交履约保证金人民币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。未按采购文件规定提交履约保证金的，甲方将取消其中标资格。工程验收合格并按照约定的工期交付使用后，履约保函失效，其他形式的履约保证金甲方将于一个月内予以无息退还乙方。履约担保的形式：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等。采用履约保函形式的，出具履约保函的银行必须是乙方接收甲方工程款的收款行。</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养护考核</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每月考核一次，不符合质量标准的问题及时整改，整改时间不得超过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天，逾期拒不整改，按</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天标准在进度款中扣除，若供应商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履约验收不合格且拒不整改或整改后仍不合格，甲方有权单方面解除合同，且该供应商自解除合同之日起三年内禁止参与省洪泽湖管理处招标采购项目。</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 </w:t>
      </w:r>
      <w:r/>
    </w:p>
    <w:p>
      <w:pPr>
        <w:ind w:left="0" w:right="0" w:firstLine="47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 </w:t>
      </w:r>
      <w:r/>
    </w:p>
    <w:p>
      <w:pPr>
        <w:ind w:left="0" w:right="0" w:firstLine="47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合同签定，根据施工要求及工程量，一个月内完成首次集中清理后，经省洪泽湖堤防管理所验收合格后支付至合同价款的30%；2026年12月验收合格后支付至合同价款的70%；2027年6月30日（以合同签订时间起一年）养护期满，项目完工验收合格后，支付剩余全部款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双方权利及义务</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1.甲方权利与义务</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（1）协调帮助乙方完成进场交接。</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（2）对乙方的堤防养护和保洁工作进行检查与指导，发现问题及时通知乙方进行整改。</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（3）对养护工作进行月度考核。</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（4）根据考核情况及时向乙方支付养护经费。</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乙方权利和义务</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（1）配合甲方完成养护工作的交接。</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（2）按约定做好相关养护工作并及时向甲方申报养护经费。</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（3）根据采购文件中招标项目的技术规格、要求和数量等要求投入符合条件人员、机械、设备，并提供相应的养护服务。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违约责任</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1.乙方实施下列行为之一的，乙方应向甲方支付合同总价5%的违约金，甲方有权解除合同，并有权要求乙方赔偿损失。</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（1）提供的服务不满足考核要求；</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（2）未完成合同约定的服务任务，甲方根据条款规定，视乙方违反规定的情节轻重，做出批评教育、警告、扣罚处理；情节严重者，甲方有权单方终止本合同，乙方自行承担一切经济损失和法律责任。</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2.由于不可抗力原因使甲、乙方无法履约，可不执行违约责任条款，由双方协商解决。</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3.乙方因人员、机械等跟不上管理需要影响工作，未达到质量标准或养护计划，经检查第一次不合格的，甲方要求乙方限期整改；第二次仍不合格的，甲方有权单方终止本合同。</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4.上述违约金不能补偿对方损失时，双方有权向对方追索实际损失的赔偿金。</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5.乙方违反规定的行为均属违约行为，采购人根据其条款规定，视乙方违反规定的情节轻重，做出批评教育、警告、扣罚处理；情况严重者，甲方有权单方终止本合同，乙方自行承担一切经济损失和法律责任。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合同的变更和终止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1.除《政府采购法》第五十条规定的情形外，本合同一经签订，甲乙双方不得擅自变更、中止或终止合同。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3.甲方考核不合格，可以按照合同约定的情形解除和终止合同。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合同的转让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争议的解决</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诚实信用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乙方应诚实信用，严格按照招标文件要求和响应承诺履行合同，不向甲方进行商业贿赂或者提供不正当利益。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其他约定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1.乙方向甲方出示本项目所有人员的劳务合同原件、身份证原件、社保缴纳证明，并将劳务合同复印件、身份证复印件、社保缴纳证明交甲方备案。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2.乙方向甲方出示管理人员资格证书原件（必要时），并将复印件交甲方备案。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3.乙方应自觉接受甲方及有关部门对合同履行情况的监督和考核，接受甲方考核制度及奖惩制度的规定。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4.乙方的管理人员调整，应提前 3 天书面通知甲方，经甲方同意后，出示新来管理人员的劳务合同原件、身份证原件、社保缴纳证明，并将劳务合同复印件、身份证复印件、社保缴纳证明送甲方备案。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5.乙方在考核、检查等各项活动中，做到各项检查合格并力争创优争先。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6.合同期内甲方有增加同类工作量的，甲乙双方按照法律规定另行约定。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7.乙方应按规定做好安全作业等相关工作，并承担任何在承包期内所有养护人员（含管理人员）安全责任事故的全部责任。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8.其他未尽事宜，双方协商解决。</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 合同生效及其他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2.本合同一式四份，甲乙双方各执贰份。</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                    乙方（供应商）：（盖章）</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    话：</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56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账    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7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57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如遇磋商文件及合同未约定事项，双方可友好协商签订补充协议</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注：响应单位所提交的响应文件资料文件的完整与否，将直接影响对响应单位是否实质性响应采购文件要求的评判或评分。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磋商 </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响</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 应</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文件</w:t>
      </w:r>
      <w:r/>
    </w:p>
    <w:p>
      <w:pPr>
        <w:pStyle w:val="1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rPr>
          <w:rFonts w:ascii="SimSun" w:hAnsi="SimSun" w:eastAsia="SimSun" w:cs="SimSun"/>
          <w:b/>
          <w:color w:val="000000"/>
          <w:sz w:val="36"/>
          <w:u w:val="single"/>
        </w:rPr>
        <w:t xml:space="preserve">  </w:t>
      </w:r>
      <w:r>
        <w:rPr>
          <w:rFonts w:ascii="Times New Roman" w:hAnsi="Times New Roman" w:eastAsia="Times New Roman" w:cs="Times New Roman"/>
          <w:b/>
          <w:color w:val="000000"/>
          <w:sz w:val="36"/>
          <w:u w:val="single"/>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pStyle w:val="1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（注：供应商根据本章提供的格式顺序编制响应文件并制作目录（须生成页码））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供应商法定代表人（负责人）或委托代理人（签字或盖章）：</w:t>
      </w: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项目编码：</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货币单位：人名币元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0"/>
        <w:gridCol w:w="2048"/>
        <w:gridCol w:w="3600"/>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报价说明：</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1</w:t>
      </w:r>
      <w:r>
        <w:rPr>
          <w:rFonts w:ascii="SimSun" w:hAnsi="SimSun" w:eastAsia="SimSun" w:cs="SimSun"/>
          <w:b/>
          <w:color w:val="000000"/>
          <w:spacing w:val="20"/>
          <w:sz w:val="24"/>
        </w:rPr>
        <w:t xml:space="preserve">、报价包括完成项目的所有费用。采购人不再支付报价以外的任何费用。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、如最后报价未列明单价，则最后所报各项单价计算方法为：（最后报价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最初报价）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各项最初报价的单价。</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注：供应商需附分项报价表。（</w:t>
      </w:r>
      <w:r>
        <w:rPr>
          <w:rFonts w:ascii="SimSun" w:hAnsi="SimSun" w:eastAsia="SimSun" w:cs="SimSun"/>
          <w:b/>
          <w:color w:val="000000"/>
          <w:spacing w:val="20"/>
          <w:sz w:val="24"/>
          <w:u w:val="single"/>
        </w:rPr>
        <w:t xml:space="preserve">本项目需对应“第四章采购需求及采购清单”自行编制分项报价表，否则视为不实质性响应采购文件</w:t>
      </w:r>
      <w:r>
        <w:rPr>
          <w:rFonts w:ascii="SimSun" w:hAnsi="SimSun" w:eastAsia="SimSun" w:cs="SimSun"/>
          <w:b/>
          <w:color w:val="000000"/>
          <w:spacing w:val="20"/>
          <w:sz w:val="24"/>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附件：（授权代表须为本单位正式员工，提供近半年内任一个月本单位为其缴纳的社会保险缴费证明材料，否则视为不实质性响应。）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（签字）</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6</w:t>
      </w:r>
      <w:r>
        <w:rPr>
          <w:rFonts w:ascii="SimSun" w:hAnsi="SimSun" w:eastAsia="SimSun" w:cs="SimSun"/>
          <w:color w:val="000000"/>
          <w:spacing w:val="20"/>
          <w:sz w:val="24"/>
        </w:rPr>
        <w:t xml:space="preserve">：</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年或</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年度经审计的财务报告复印件并加盖公章）；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信用中国</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）列入政府采购严重违法失信行为记录名单中被财政部门禁止参加政府采购活动的供应商且正在处罚期内的，无资格参加本项目的采购活动（以查询结果网页打印的形式提供证明）。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（二）采购人根据采购项目的特殊要求规定的特定条件：</w:t>
      </w:r>
      <w:r>
        <w:rPr>
          <w:rFonts w:ascii="SimSun" w:hAnsi="SimSun" w:eastAsia="SimSun" w:cs="SimSun"/>
          <w:color w:val="000000"/>
          <w:sz w:val="24"/>
          <w:u w:val="single"/>
        </w:rPr>
        <w:t xml:space="preserve">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（三）本项目专门面向中小微企业（提供《中小微企业声明函》）。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（四）联合体协议（如有，明确约定联合体各方承担的工作和相应的责任）</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注：以上资质条件要求请逐一提供相关证明文件，否则视为不实质性响应。如是联合体，上述证明材料联合体各方均需提供。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047"/>
        <w:gridCol w:w="2410"/>
        <w:gridCol w:w="248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备注：每项分包单独填写。主体工程项目不允许分包。</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2"/>
        <w:gridCol w:w="1166"/>
        <w:gridCol w:w="1652"/>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210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法定代表人（负责人）或授权委托人：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（签章或盖章）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系中华人民共和国合法企业，具有承接本项目服务的能力，公司法定地址：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项目组负责人签名：    法定代表人（负责人）（签字或签章）：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：组织实施工作方案（施工组织设计或设计方案）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第四章</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：评审标准中所涉及到的其他材料，以及供应商认为有必要的其他证明资料；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注：供应商所提交的其它资料文件的完整与否，将直接影响对供应商是否实质性响应采购文件要求的评判或评分。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14</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政策功能声明格式（请务必谨慎如实填报，如享受相关评审政策，需在报价函中详细清单中一一对应，否则不予认可。）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   ）</w:t>
      </w: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   ）采购活动由本单位提供服务。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439"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SimSun" w:hAnsi="SimSun" w:eastAsia="SimSun" w:cs="SimSun"/>
          <w:color w:val="000000"/>
          <w:sz w:val="24"/>
        </w:rPr>
        <w:t xml:space="preserve"> 供应商全称（加盖CA电子公章）：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t xml:space="preserve"> </w:t>
      </w:r>
      <w:r/>
    </w:p>
    <w:sectPr>
      <w:footnotePr/>
      <w:endnotePr/>
      <w:type w:val="nextPage"/>
      <w:pgSz w:w="11906" w:h="16838" w:orient="portrait"/>
      <w:pgMar w:top="1134" w:right="850"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MingLiU_HKSCS">
    <w:panose1 w:val="02020500000000000000"/>
  </w:font>
  <w:font w:name="Cambria">
    <w:panose1 w:val="02040503050406030204"/>
  </w:font>
  <w:font w:name="MS Mincho">
    <w:panose1 w:val="020206030504050903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1</cp:revision>
  <dcterms:created xsi:type="dcterms:W3CDTF">2026-07-10T05:29:46Z</dcterms:created>
  <dcterms:modified xsi:type="dcterms:W3CDTF">2026-07-10T06:01:21Z</dcterms:modified>
</cp:coreProperties>
</file>