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0" w:after="0" w:line="288" w:lineRule="auto"/>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jc w:val="left"/>
        <w:spacing w:before="0" w:after="0" w:line="288" w:lineRule="auto"/>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jc w:val="left"/>
        <w:spacing w:before="0" w:after="0" w:line="288" w:lineRule="auto"/>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jc w:val="center"/>
        <w:spacing w:before="0" w:after="0" w:line="288" w:lineRule="auto"/>
        <w:widowControl w:val="off"/>
        <w:rPr>
          <w:rFonts w:ascii="Times New Roman" w:hAnsi="Times New Roman" w:eastAsia="Times New Roman" w:cs="Times New Roman"/>
          <w:sz w:val="76"/>
          <w:szCs w:val="76"/>
        </w:rPr>
      </w:pPr>
      <w:r>
        <w:rPr>
          <w:rFonts w:ascii="黑体" w:hAnsi="黑体" w:eastAsia="黑体" w:cs="黑体"/>
          <w:sz w:val="76"/>
          <w:szCs w:val="76"/>
        </w:rPr>
        <w:t xml:space="preserve">公开招标文件</w:t>
      </w:r>
      <w:bookmarkStart w:id="0" w:name="_GoBack"/>
      <w:r/>
      <w:bookmarkEnd w:id="0"/>
      <w:r/>
      <w:r/>
    </w:p>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jc w:val="left"/>
        <w:spacing w:before="0" w:after="0" w:line="288" w:lineRule="auto"/>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ind w:firstLine="880"/>
        <w:jc w:val="left"/>
        <w:spacing w:before="0" w:after="0"/>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ind w:firstLine="880"/>
        <w:jc w:val="left"/>
        <w:spacing w:before="0" w:after="0"/>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tbl>
      <w:tblPr>
        <w:tblStyle w:val="819"/>
        <w:tblW w:w="4750" w:type="pct"/>
        <w:tblInd w:w="609" w:type="dxa"/>
        <w:tblLayout w:type="fixed"/>
        <w:tblCellMar>
          <w:left w:w="0" w:type="dxa"/>
          <w:top w:w="0" w:type="dxa"/>
          <w:right w:w="0" w:type="dxa"/>
          <w:bottom w:w="0" w:type="dxa"/>
        </w:tblCellMar>
        <w:tblLook w:val="04A0" w:firstRow="1" w:lastRow="0" w:firstColumn="1" w:lastColumn="0" w:noHBand="0" w:noVBand="1"/>
      </w:tblPr>
      <w:tblGrid>
        <w:gridCol w:w="8784"/>
      </w:tblGrid>
      <w:tr>
        <w:trPr>
          <w:trHeight w:val="1523"/>
        </w:trPr>
        <w:tc>
          <w:tcPr>
            <w:tcMar>
              <w:left w:w="113" w:type="dxa"/>
              <w:top w:w="5" w:type="dxa"/>
              <w:right w:w="113" w:type="dxa"/>
              <w:bottom w:w="5" w:type="dxa"/>
            </w:tcMar>
            <w:tcW w:w="8568" w:type="dxa"/>
            <w:vAlign w:val="top"/>
            <w:textDirection w:val="lrTb"/>
            <w:noWrap w:val="false"/>
          </w:tcPr>
          <w:p>
            <w:pPr>
              <w:ind w:left="2200" w:hanging="2200"/>
              <w:jc w:val="left"/>
              <w:spacing w:before="0" w:after="0" w:line="288" w:lineRule="auto"/>
              <w:widowControl w:val="off"/>
              <w:rPr>
                <w:rFonts w:hint="eastAsia" w:ascii="黑体" w:hAnsi="黑体" w:eastAsia="黑体" w:cs="黑体"/>
                <w:b w:val="0"/>
                <w:bCs w:val="0"/>
                <w:i w:val="0"/>
                <w:iCs w:val="0"/>
                <w:smallCaps w:val="0"/>
                <w:color w:val="000000"/>
                <w:sz w:val="44"/>
                <w:szCs w:val="44"/>
                <w:lang w:eastAsia="zh-CN"/>
              </w:rPr>
            </w:pPr>
            <w:r>
              <w:rPr>
                <w:rFonts w:hint="eastAsia" w:ascii="黑体" w:hAnsi="黑体" w:eastAsia="黑体" w:cs="黑体"/>
                <w:b w:val="0"/>
                <w:bCs w:val="0"/>
                <w:i w:val="0"/>
                <w:iCs w:val="0"/>
                <w:smallCaps w:val="0"/>
                <w:color w:val="000000"/>
                <w:sz w:val="44"/>
                <w:szCs w:val="44"/>
                <w:lang w:eastAsia="zh-CN"/>
              </w:rPr>
              <w:t xml:space="preserve">项目编号：JSZC-320000-SMDG-G2026-0063</w:t>
            </w:r>
            <w:r/>
          </w:p>
          <w:p>
            <w:pPr>
              <w:ind w:firstLine="440"/>
              <w:jc w:val="left"/>
              <w:spacing w:before="0" w:after="0" w:line="288" w:lineRule="auto"/>
              <w:widowControl w:val="off"/>
              <w:rPr>
                <w:rFonts w:ascii="Times New Roman" w:hAnsi="Times New Roman" w:eastAsia="Times New Roman" w:cs="Times New Roman"/>
                <w:b w:val="0"/>
                <w:bCs w:val="0"/>
                <w:i w:val="0"/>
                <w:iCs w:val="0"/>
                <w:smallCaps w:val="0"/>
                <w:color w:val="000000"/>
                <w:sz w:val="44"/>
                <w:szCs w:val="44"/>
              </w:rPr>
            </w:pPr>
            <w:r>
              <w:rPr>
                <w:rFonts w:ascii="Times New Roman" w:hAnsi="Times New Roman" w:eastAsia="Times New Roman" w:cs="Times New Roman"/>
                <w:b w:val="0"/>
                <w:bCs w:val="0"/>
                <w:i w:val="0"/>
                <w:iCs w:val="0"/>
                <w:smallCaps w:val="0"/>
                <w:color w:val="000000"/>
                <w:sz w:val="44"/>
                <w:szCs w:val="44"/>
              </w:rPr>
            </w:r>
            <w:r/>
          </w:p>
          <w:p>
            <w:pPr>
              <w:ind w:left="2200" w:hanging="2200"/>
              <w:jc w:val="left"/>
              <w:spacing w:before="0" w:after="0" w:line="288" w:lineRule="auto"/>
              <w:widowControl w:val="off"/>
              <w:rPr>
                <w:rFonts w:hint="eastAsia" w:ascii="Times New Roman" w:hAnsi="Times New Roman" w:eastAsia="黑体" w:cs="Times New Roman"/>
                <w:b w:val="0"/>
                <w:bCs w:val="0"/>
                <w:i w:val="0"/>
                <w:iCs w:val="0"/>
                <w:smallCaps w:val="0"/>
                <w:color w:val="000000"/>
                <w:sz w:val="44"/>
                <w:szCs w:val="44"/>
                <w:lang w:eastAsia="zh-CN"/>
              </w:rPr>
            </w:pPr>
            <w:r>
              <w:rPr>
                <w:rFonts w:ascii="黑体" w:hAnsi="黑体" w:eastAsia="黑体" w:cs="黑体"/>
                <w:b w:val="0"/>
                <w:bCs w:val="0"/>
                <w:i w:val="0"/>
                <w:iCs w:val="0"/>
                <w:smallCaps w:val="0"/>
                <w:color w:val="000000"/>
                <w:sz w:val="44"/>
                <w:szCs w:val="44"/>
              </w:rPr>
              <w:t xml:space="preserve">项目名称：</w:t>
            </w:r>
            <w:r>
              <w:rPr>
                <w:rFonts w:hint="eastAsia" w:ascii="黑体" w:hAnsi="黑体" w:eastAsia="黑体" w:cs="黑体"/>
                <w:b w:val="0"/>
                <w:bCs w:val="0"/>
                <w:i w:val="0"/>
                <w:iCs w:val="0"/>
                <w:smallCaps w:val="0"/>
                <w:color w:val="000000"/>
                <w:sz w:val="44"/>
                <w:szCs w:val="44"/>
                <w:lang w:eastAsia="zh-CN"/>
              </w:rPr>
              <w:t xml:space="preserve">江苏省肿瘤医院骨密度仪</w:t>
            </w:r>
            <w:r/>
          </w:p>
        </w:tc>
      </w:tr>
    </w:tbl>
    <w:p>
      <w:pPr>
        <w:jc w:val="left"/>
        <w:spacing w:before="0" w:after="0" w:line="288" w:lineRule="auto"/>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jc w:val="left"/>
        <w:spacing w:before="0" w:after="0" w:line="288" w:lineRule="auto"/>
        <w:widowControl w:val="off"/>
        <w:rPr>
          <w:rFonts w:ascii="Times New Roman" w:hAnsi="Times New Roman" w:eastAsia="Times New Roman" w:cs="Times New Roman"/>
          <w:sz w:val="44"/>
          <w:szCs w:val="44"/>
        </w:rPr>
      </w:pPr>
      <w:r>
        <w:rPr>
          <w:rFonts w:ascii="Times New Roman" w:hAnsi="Times New Roman" w:eastAsia="Times New Roman" w:cs="Times New Roman"/>
          <w:sz w:val="44"/>
          <w:szCs w:val="44"/>
        </w:rPr>
      </w:r>
      <w:r/>
    </w:p>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jc w:val="center"/>
        <w:spacing w:before="0" w:after="0" w:line="288" w:lineRule="auto"/>
        <w:widowControl w:val="off"/>
        <w:rPr>
          <w:rFonts w:ascii="Times New Roman" w:hAnsi="Times New Roman" w:eastAsia="Times New Roman" w:cs="Times New Roman"/>
          <w:sz w:val="44"/>
          <w:szCs w:val="44"/>
        </w:rPr>
      </w:pPr>
      <w:r>
        <w:rPr>
          <w:rFonts w:ascii="黑体" w:hAnsi="黑体" w:eastAsia="黑体" w:cs="黑体"/>
          <w:sz w:val="44"/>
          <w:szCs w:val="44"/>
        </w:rPr>
        <w:t xml:space="preserve">苏美达国际技术贸易有限公司</w:t>
      </w:r>
      <w:r/>
    </w:p>
    <w:p>
      <w:pPr>
        <w:jc w:val="center"/>
        <w:spacing w:before="0" w:after="0" w:line="288" w:lineRule="auto"/>
        <w:widowControl w:val="off"/>
        <w:rPr>
          <w:rFonts w:ascii="Times New Roman" w:hAnsi="Times New Roman" w:eastAsia="Times New Roman" w:cs="Times New Roman"/>
          <w:sz w:val="44"/>
          <w:szCs w:val="44"/>
        </w:rPr>
        <w:sectPr>
          <w:footnotePr/>
          <w:endnotePr/>
          <w:type w:val="nextPage"/>
          <w:pgSz w:w="11900" w:h="16840" w:orient="portrait"/>
          <w:pgMar w:top="1440" w:right="1440" w:bottom="1440" w:left="1440" w:header="708" w:footer="708" w:gutter="0"/>
          <w:cols w:num="1" w:sep="0" w:space="708" w:equalWidth="1"/>
          <w:docGrid w:linePitch="360"/>
        </w:sectPr>
      </w:pPr>
      <w:r>
        <w:rPr>
          <w:rFonts w:ascii="黑体" w:hAnsi="黑体" w:eastAsia="黑体" w:cs="黑体"/>
          <w:sz w:val="44"/>
          <w:szCs w:val="44"/>
        </w:rPr>
        <w:t xml:space="preserve">二〇二六年</w:t>
      </w:r>
      <w:r>
        <w:rPr>
          <w:rFonts w:hint="eastAsia" w:ascii="黑体" w:hAnsi="黑体" w:eastAsia="黑体" w:cs="黑体"/>
          <w:sz w:val="44"/>
          <w:szCs w:val="44"/>
          <w:lang w:val="en-US" w:eastAsia="zh-CN"/>
        </w:rPr>
        <w:t xml:space="preserve">七</w:t>
      </w:r>
      <w:r>
        <w:rPr>
          <w:rFonts w:ascii="黑体" w:hAnsi="黑体" w:eastAsia="黑体" w:cs="黑体"/>
          <w:sz w:val="44"/>
          <w:szCs w:val="44"/>
        </w:rPr>
        <w:t xml:space="preserve">月</w:t>
      </w:r>
      <w:r/>
    </w:p>
    <w:p>
      <w:pPr>
        <w:ind w:firstLine="425"/>
        <w:jc w:val="center"/>
        <w:spacing w:before="0" w:after="0" w:line="288" w:lineRule="auto"/>
        <w:widowControl w:val="off"/>
        <w:rPr>
          <w:rFonts w:ascii="Times New Roman" w:hAnsi="Times New Roman" w:eastAsia="Times New Roman" w:cs="Times New Roman"/>
          <w:sz w:val="36"/>
          <w:szCs w:val="36"/>
        </w:rPr>
      </w:pPr>
      <w:r>
        <w:rPr>
          <w:rFonts w:ascii="黑体" w:hAnsi="黑体" w:eastAsia="黑体" w:cs="黑体"/>
          <w:sz w:val="36"/>
          <w:szCs w:val="36"/>
        </w:rPr>
        <w:t xml:space="preserve">第一章 招标公告</w:t>
      </w:r>
      <w:r/>
    </w:p>
    <w:p>
      <w:pPr>
        <w:ind w:firstLine="42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xml:space="preserve">项目概况</w:t>
      </w:r>
      <w:r/>
    </w:p>
    <w:p>
      <w:pPr>
        <w:ind w:firstLine="420"/>
        <w:spacing w:before="0" w:after="0" w:line="360" w:lineRule="auto"/>
        <w:rPr>
          <w:rFonts w:ascii="Times New Roman" w:hAnsi="Times New Roman" w:eastAsia="Times New Roman" w:cs="Times New Roman"/>
          <w:sz w:val="21"/>
          <w:szCs w:val="21"/>
        </w:rPr>
      </w:pPr>
      <w:r>
        <w:rPr>
          <w:rFonts w:hint="eastAsia" w:ascii="宋体" w:hAnsi="宋体" w:eastAsia="宋体" w:cs="宋体"/>
          <w:sz w:val="21"/>
          <w:szCs w:val="21"/>
          <w:lang w:eastAsia="zh-CN"/>
        </w:rPr>
        <w:t xml:space="preserve">江苏省肿瘤医院骨密度仪</w:t>
      </w:r>
      <w:r>
        <w:rPr>
          <w:rFonts w:hint="eastAsia" w:ascii="宋体" w:hAnsi="宋体" w:eastAsia="宋体" w:cs="宋体"/>
          <w:sz w:val="21"/>
          <w:szCs w:val="21"/>
          <w:lang w:val="en-US" w:eastAsia="zh-CN"/>
        </w:rPr>
        <w:t xml:space="preserve">项目</w:t>
      </w:r>
      <w:r>
        <w:rPr>
          <w:rFonts w:ascii="宋体" w:hAnsi="宋体" w:eastAsia="宋体" w:cs="宋体"/>
          <w:sz w:val="21"/>
          <w:szCs w:val="21"/>
        </w:rPr>
        <w:t xml:space="preserve">的潜在供应商应在苏采云线上获取招标文件，并于2026年</w:t>
      </w:r>
      <w:r>
        <w:rPr>
          <w:rFonts w:hint="eastAsia" w:ascii="宋体" w:hAnsi="宋体" w:eastAsia="宋体" w:cs="宋体"/>
          <w:sz w:val="21"/>
          <w:szCs w:val="21"/>
          <w:lang w:val="en-US" w:eastAsia="zh-CN"/>
        </w:rPr>
        <w:t xml:space="preserve">7</w:t>
      </w:r>
      <w:r>
        <w:rPr>
          <w:rFonts w:ascii="宋体" w:hAnsi="宋体" w:eastAsia="宋体" w:cs="宋体"/>
          <w:sz w:val="21"/>
          <w:szCs w:val="21"/>
        </w:rPr>
        <w:t xml:space="preserve">月</w:t>
      </w:r>
      <w:r>
        <w:rPr>
          <w:rFonts w:hint="eastAsia" w:ascii="宋体" w:hAnsi="宋体" w:eastAsia="宋体" w:cs="宋体"/>
          <w:sz w:val="21"/>
          <w:szCs w:val="21"/>
          <w:lang w:val="en-US" w:eastAsia="zh-CN"/>
        </w:rPr>
        <w:t xml:space="preserve">28</w:t>
      </w:r>
      <w:r>
        <w:rPr>
          <w:rFonts w:ascii="宋体" w:hAnsi="宋体" w:eastAsia="宋体" w:cs="宋体"/>
          <w:sz w:val="21"/>
          <w:szCs w:val="21"/>
        </w:rPr>
        <w:t xml:space="preserve">日14:00（北京时间）前提交投标文件。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一、项目基本情况</w:t>
      </w:r>
      <w:r/>
    </w:p>
    <w:p>
      <w:pPr>
        <w:ind w:firstLine="420"/>
        <w:jc w:val="left"/>
        <w:spacing w:before="0" w:after="0" w:line="360" w:lineRule="auto"/>
        <w:widowControl w:val="off"/>
        <w:rPr>
          <w:rFonts w:ascii="宋体" w:hAnsi="宋体" w:eastAsia="宋体" w:cs="宋体"/>
          <w:b/>
          <w:bCs/>
          <w:sz w:val="21"/>
          <w:szCs w:val="21"/>
        </w:rPr>
      </w:pPr>
      <w:r>
        <w:rPr>
          <w:rFonts w:ascii="宋体" w:hAnsi="宋体" w:eastAsia="宋体" w:cs="宋体"/>
          <w:b/>
          <w:bCs/>
          <w:sz w:val="21"/>
          <w:szCs w:val="21"/>
        </w:rPr>
        <w:t xml:space="preserve">项目编号：</w:t>
      </w:r>
      <w:r>
        <w:rPr>
          <w:rFonts w:hint="eastAsia" w:ascii="宋体" w:hAnsi="宋体" w:eastAsia="宋体" w:cs="宋体"/>
          <w:b w:val="0"/>
          <w:bCs w:val="0"/>
          <w:sz w:val="21"/>
          <w:szCs w:val="21"/>
        </w:rPr>
        <w:t xml:space="preserve">JSZC-320000-SMDG-G2026-0063</w:t>
      </w:r>
      <w:r/>
    </w:p>
    <w:p>
      <w:pPr>
        <w:ind w:firstLine="420"/>
        <w:jc w:val="left"/>
        <w:spacing w:before="0" w:after="0" w:line="360" w:lineRule="auto"/>
        <w:widowControl w:val="off"/>
        <w:rPr>
          <w:rFonts w:hint="eastAsia" w:ascii="Times New Roman" w:hAnsi="Times New Roman" w:eastAsia="宋体" w:cs="Times New Roman"/>
          <w:sz w:val="21"/>
          <w:szCs w:val="21"/>
          <w:lang w:eastAsia="zh-CN"/>
        </w:rPr>
      </w:pPr>
      <w:r>
        <w:rPr>
          <w:rFonts w:ascii="宋体" w:hAnsi="宋体" w:eastAsia="宋体" w:cs="宋体"/>
          <w:b/>
          <w:bCs/>
          <w:sz w:val="21"/>
          <w:szCs w:val="21"/>
        </w:rPr>
        <w:t xml:space="preserve">项目名称：</w:t>
      </w:r>
      <w:r>
        <w:rPr>
          <w:rFonts w:hint="eastAsia" w:ascii="宋体" w:hAnsi="宋体" w:eastAsia="宋体" w:cs="宋体"/>
          <w:sz w:val="21"/>
          <w:szCs w:val="21"/>
          <w:lang w:eastAsia="zh-CN"/>
        </w:rPr>
        <w:t xml:space="preserve">江苏省肿瘤医院骨密度仪</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采购预算：</w:t>
      </w:r>
      <w:r>
        <w:rPr>
          <w:rFonts w:hint="eastAsia" w:ascii="宋体" w:hAnsi="宋体" w:eastAsia="宋体" w:cs="宋体"/>
          <w:sz w:val="21"/>
          <w:szCs w:val="21"/>
          <w:lang w:eastAsia="zh-CN"/>
        </w:rPr>
        <w:t xml:space="preserve">180万元</w:t>
      </w:r>
      <w:r/>
    </w:p>
    <w:p>
      <w:pPr>
        <w:ind w:firstLine="420"/>
        <w:jc w:val="left"/>
        <w:spacing w:before="0" w:after="0" w:line="360" w:lineRule="auto"/>
        <w:widowControl w:val="off"/>
        <w:rPr>
          <w:rFonts w:hint="eastAsia" w:ascii="宋体" w:hAnsi="宋体" w:eastAsia="宋体" w:cs="宋体"/>
          <w:sz w:val="21"/>
          <w:szCs w:val="21"/>
          <w:lang w:eastAsia="zh-CN"/>
        </w:rPr>
      </w:pPr>
      <w:r>
        <w:rPr>
          <w:rFonts w:ascii="宋体" w:hAnsi="宋体" w:eastAsia="宋体" w:cs="宋体"/>
          <w:b/>
          <w:bCs/>
          <w:sz w:val="21"/>
          <w:szCs w:val="21"/>
        </w:rPr>
        <w:t xml:space="preserve">最高限价：</w:t>
      </w:r>
      <w:r>
        <w:rPr>
          <w:rFonts w:hint="eastAsia" w:ascii="宋体" w:hAnsi="宋体" w:eastAsia="宋体" w:cs="宋体"/>
          <w:sz w:val="21"/>
          <w:szCs w:val="21"/>
          <w:lang w:eastAsia="zh-CN"/>
        </w:rPr>
        <w:t xml:space="preserve">180万元，超过采购预算金额及最高限价作无效投标处理。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采购需求简介：</w:t>
      </w:r>
      <w:r>
        <w:rPr>
          <w:rFonts w:ascii="宋体" w:hAnsi="宋体" w:eastAsia="宋体" w:cs="宋体"/>
          <w:sz w:val="21"/>
          <w:szCs w:val="21"/>
        </w:rPr>
        <w:t xml:space="preserve">采购骨密度仪1套，具体要求详见第四章。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采购标的对应中小企业划分标准所属行业：</w:t>
      </w:r>
      <w:r>
        <w:rPr>
          <w:rFonts w:ascii="宋体" w:hAnsi="宋体" w:eastAsia="宋体" w:cs="宋体"/>
          <w:sz w:val="21"/>
          <w:szCs w:val="21"/>
        </w:rPr>
        <w:t xml:space="preserve">工业</w:t>
      </w:r>
      <w:r>
        <w:rPr>
          <w:rFonts w:ascii="宋体" w:hAnsi="宋体" w:eastAsia="宋体" w:cs="宋体"/>
          <w:sz w:val="20"/>
          <w:szCs w:val="20"/>
        </w:rPr>
        <w:t xml:space="preserve">。</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合同履行期限：</w:t>
      </w:r>
      <w:r>
        <w:rPr>
          <w:rFonts w:ascii="宋体" w:hAnsi="宋体" w:eastAsia="宋体" w:cs="宋体"/>
          <w:sz w:val="21"/>
          <w:szCs w:val="21"/>
        </w:rPr>
        <w:t xml:space="preserve">签订合同后60个工作日之内。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本项目</w:t>
      </w:r>
      <w:r>
        <w:rPr>
          <w:rFonts w:ascii="宋体" w:hAnsi="宋体" w:eastAsia="宋体" w:cs="宋体"/>
          <w:b/>
          <w:bCs/>
          <w:sz w:val="21"/>
          <w:szCs w:val="21"/>
        </w:rPr>
        <w:t xml:space="preserve">不接受</w:t>
      </w:r>
      <w:r>
        <w:rPr>
          <w:rFonts w:ascii="宋体" w:hAnsi="宋体" w:eastAsia="宋体" w:cs="宋体"/>
          <w:sz w:val="21"/>
          <w:szCs w:val="21"/>
        </w:rPr>
        <w:t xml:space="preserve">联合体投标。</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本项目</w:t>
      </w:r>
      <w:r>
        <w:rPr>
          <w:rFonts w:ascii="宋体" w:hAnsi="宋体" w:eastAsia="宋体" w:cs="宋体"/>
          <w:b/>
          <w:bCs/>
          <w:sz w:val="21"/>
          <w:szCs w:val="21"/>
        </w:rPr>
        <w:t xml:space="preserve">不接受</w:t>
      </w:r>
      <w:r>
        <w:rPr>
          <w:rFonts w:ascii="宋体" w:hAnsi="宋体" w:eastAsia="宋体" w:cs="宋体"/>
          <w:sz w:val="21"/>
          <w:szCs w:val="21"/>
        </w:rPr>
        <w:t xml:space="preserve">进口产品投标。</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本项目中标后</w:t>
      </w:r>
      <w:r>
        <w:rPr>
          <w:rFonts w:ascii="宋体" w:hAnsi="宋体" w:eastAsia="宋体" w:cs="宋体"/>
          <w:b/>
          <w:bCs/>
          <w:sz w:val="21"/>
          <w:szCs w:val="21"/>
        </w:rPr>
        <w:t xml:space="preserve">不允许</w:t>
      </w:r>
      <w:r>
        <w:rPr>
          <w:rFonts w:ascii="宋体" w:hAnsi="宋体" w:eastAsia="宋体" w:cs="宋体"/>
          <w:sz w:val="21"/>
          <w:szCs w:val="21"/>
        </w:rPr>
        <w:t xml:space="preserve">转包、分包。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二、申请人的资格要求：</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2.1满足《中华人民共和国政府采购法》第二十二条规定：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（1）具有独立承担民事责任的能力，提供法人或其他组织的营业执照等证明文件，复印件加盖公章；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（2）法人代表授权书（原件）及法定代表人、授权代表身份证复印件及</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内任意一月投标单位为其缴纳的社保证明（如果是法定代表人直接参与投标的可以不提供授权书）；</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（3）具有良好的商业信誉和健全的财务会计制度，提供</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内），或2024或2025年度经审计的财务报告复印件加盖公章；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（6）有依法缴纳税收的良好记录，提供</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内任意一月份的纳税凭据复印件加盖公章（依法免税的应提供相应文件说明）；</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（7）有依法缴纳社会保障资金的良好记录，提供</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内任意一月份的依法缴纳社会保障资金的凭据复印件加盖公章；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2.2落实政府采购政策需满足的资格要求：无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2.3本项目的特定资格要求：</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投标产品按国家规定须进行医疗器械备案或注册的，须提供产品的《医疗器械注册（备案）证》（复印件加盖公章）（开标时，该证应在有效期内；若不在有效期内，则需提供该证和所投产品在该证有效期内生产的药监局出具的证明文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（2）若投标供应商为代理商，须根据国家相关规定提供范围涵盖投标产品的医疗器械经营许可证或医疗器械经营备案凭证复印件加盖公章；</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（3）若投标供应商为生产商，须根据国家相关规定提供范围涵盖投标产品的医疗器械生产许可证或生产备案凭证复印件加盖公章；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2.4供应商存在下列情形的不得参加本次招标活动：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（1）单位负责人为同一人或者存在直接控股、管理关系的不同供应商，不得参加同一合同项下的政府采购活动。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（2）除单一来源项目外，凡为采购项目提供整体设计、规范编制或者项目管理、监理、检测等服务的供应商不得再参加本项目的采购活动。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三、获取招标文件</w:t>
      </w:r>
      <w:r>
        <w:rPr>
          <w:rFonts w:ascii="宋体" w:hAnsi="宋体" w:eastAsia="宋体" w:cs="宋体"/>
          <w:sz w:val="21"/>
          <w:szCs w:val="21"/>
        </w:rPr>
        <w:t xml:space="preserve">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1.获取时间：自招标公告发布之日起5个工作日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2.地点：“苏采云”系统注册登记成功后免费下载</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3.获取方式：本项目采用网上注册登记方式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3.1潜在供应商访问电子招标响应交易平台的网络地址和方法：</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3.2潜在供应商访问“苏采云”系统的网络地址和方法：“苏采云”系统的网址：http://jszfcg.jsczt.cn/。</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3.3“CA数字证书”的获取：</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3.4采购文件（后缀名为“.kedt”）、供应商操作手册及政府采购客户端工具可通过“苏采云”系统--已报名项目--报名详情页面内相应链接进行下载。</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3.5招标代理机构（采购代理机构）将数据电文形式的采购文件加载至“苏采云”系统，供潜在供应商下载或者查阅。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3.6请潜在投标单位提前安装相应的控件（详见《江苏省政府采购管理交易系统（苏采云）供应商操作手册》）并使用谷歌浏览器登录“苏采云”系统参与不见面开评标。</w:t>
      </w:r>
      <w:r/>
    </w:p>
    <w:p>
      <w:pPr>
        <w:numPr>
          <w:ilvl w:val="0"/>
          <w:numId w:val="1"/>
        </w:numPr>
        <w:ind w:firstLine="420"/>
        <w:jc w:val="left"/>
        <w:spacing w:before="0" w:after="0" w:line="360" w:lineRule="auto"/>
        <w:widowControl w:val="off"/>
        <w:rPr>
          <w:rFonts w:ascii="宋体" w:hAnsi="宋体" w:eastAsia="宋体" w:cs="宋体"/>
          <w:b/>
          <w:bCs/>
          <w:sz w:val="21"/>
          <w:szCs w:val="21"/>
        </w:rPr>
      </w:pPr>
      <w:r>
        <w:rPr>
          <w:rFonts w:ascii="宋体" w:hAnsi="宋体" w:eastAsia="宋体" w:cs="宋体"/>
          <w:b/>
          <w:bCs/>
          <w:sz w:val="21"/>
          <w:szCs w:val="21"/>
        </w:rPr>
        <w:t xml:space="preserve">投标截止时间、开标时间和地点</w:t>
      </w:r>
      <w:r/>
    </w:p>
    <w:p>
      <w:pPr>
        <w:numPr>
          <w:ilvl w:val="0"/>
          <w:numId w:val="0"/>
        </w:num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1.投标截止时间：2026年</w:t>
      </w:r>
      <w:r>
        <w:rPr>
          <w:rFonts w:hint="eastAsia" w:ascii="宋体" w:hAnsi="宋体" w:eastAsia="宋体" w:cs="宋体"/>
          <w:sz w:val="21"/>
          <w:szCs w:val="21"/>
          <w:lang w:val="en-US" w:eastAsia="zh-CN"/>
        </w:rPr>
        <w:t xml:space="preserve">7</w:t>
      </w:r>
      <w:r>
        <w:rPr>
          <w:rFonts w:ascii="宋体" w:hAnsi="宋体" w:eastAsia="宋体" w:cs="宋体"/>
          <w:sz w:val="21"/>
          <w:szCs w:val="21"/>
        </w:rPr>
        <w:t xml:space="preserve">月</w:t>
      </w:r>
      <w:r>
        <w:rPr>
          <w:rFonts w:hint="eastAsia" w:ascii="宋体" w:hAnsi="宋体" w:eastAsia="宋体" w:cs="宋体"/>
          <w:sz w:val="21"/>
          <w:szCs w:val="21"/>
          <w:lang w:val="en-US" w:eastAsia="zh-CN"/>
        </w:rPr>
        <w:t xml:space="preserve">28</w:t>
      </w:r>
      <w:r>
        <w:rPr>
          <w:rFonts w:ascii="宋体" w:hAnsi="宋体" w:eastAsia="宋体" w:cs="宋体"/>
          <w:sz w:val="21"/>
          <w:szCs w:val="21"/>
        </w:rPr>
        <w:t xml:space="preserve">日14:00（北京时间）</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2.开标时间：2026年</w:t>
      </w:r>
      <w:r>
        <w:rPr>
          <w:rFonts w:hint="eastAsia" w:ascii="宋体" w:hAnsi="宋体" w:eastAsia="宋体" w:cs="宋体"/>
          <w:sz w:val="21"/>
          <w:szCs w:val="21"/>
          <w:lang w:val="en-US" w:eastAsia="zh-CN"/>
        </w:rPr>
        <w:t xml:space="preserve">7</w:t>
      </w:r>
      <w:r>
        <w:rPr>
          <w:rFonts w:ascii="宋体" w:hAnsi="宋体" w:eastAsia="宋体" w:cs="宋体"/>
          <w:sz w:val="21"/>
          <w:szCs w:val="21"/>
        </w:rPr>
        <w:t xml:space="preserve">月</w:t>
      </w:r>
      <w:r>
        <w:rPr>
          <w:rFonts w:hint="eastAsia" w:ascii="宋体" w:hAnsi="宋体" w:eastAsia="宋体" w:cs="宋体"/>
          <w:sz w:val="21"/>
          <w:szCs w:val="21"/>
          <w:lang w:val="en-US" w:eastAsia="zh-CN"/>
        </w:rPr>
        <w:t xml:space="preserve">28</w:t>
      </w:r>
      <w:r>
        <w:rPr>
          <w:rFonts w:ascii="宋体" w:hAnsi="宋体" w:eastAsia="宋体" w:cs="宋体"/>
          <w:sz w:val="21"/>
          <w:szCs w:val="21"/>
        </w:rPr>
        <w:t xml:space="preserve">日14:00（北京时间）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3.开标地点：“苏采云”系统（网址： http://jszfcg.jsczt.cn/）“开标大厅”，点击“苏采云”进入系统“开标大厅”。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注：各供应商请关注开标大厅交流区，在开标结束后，请勿离开开标大厅。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4.投标文件的解密：开标当天各供应商及时登录不见面开标大厅。响应文件递交截止时间后，采购人将在系统内公布投标</w:t>
      </w:r>
      <w:r>
        <w:rPr>
          <w:rFonts w:ascii="宋体" w:hAnsi="宋体" w:eastAsia="宋体" w:cs="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五、公告期限</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自本公告发布之日起5个工作日。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六、其他补充事宜</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1.本项目公告媒体：江苏政府采购网（http://www.ccgp-jiangsu.gov.cn/）</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http://www.ccgp-jiangsu.gov.cn/jiangsu/zlxz/ee/ee3a4bc5a3454aa2b0d9312230633ce9.html。</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4.有关本次招标的事项若存在变动或修改，敬请及时关注在“江苏政府采购网”发布的更正公告。</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七、对本次招标提出询问，请按以下方式联系</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1.采购人信息</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名 称：江苏省肿瘤医院</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地址：江苏省南京市百子亭42号</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联系人：康老师</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联系方式：025-83283339</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2.采购代理机构信息</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名    称：苏美达国际技术贸易有限公司</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地 址：江苏省南京市长江路198号苏美达大厦</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联系方式：</w:t>
      </w:r>
      <w:r>
        <w:rPr>
          <w:rFonts w:hint="eastAsia" w:ascii="宋体" w:hAnsi="宋体" w:eastAsia="宋体" w:cs="宋体"/>
          <w:sz w:val="21"/>
          <w:szCs w:val="21"/>
        </w:rPr>
        <w:t xml:space="preserve">025-84531327</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3.项目联系方式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项目联系人：</w:t>
      </w:r>
      <w:r>
        <w:rPr>
          <w:rFonts w:hint="eastAsia" w:ascii="宋体" w:hAnsi="宋体" w:eastAsia="宋体" w:cs="宋体"/>
          <w:sz w:val="21"/>
          <w:szCs w:val="21"/>
          <w:lang w:val="en-US" w:eastAsia="zh-CN"/>
        </w:rPr>
        <w:t xml:space="preserve">冯帆</w:t>
      </w:r>
      <w:r>
        <w:rPr>
          <w:rFonts w:ascii="宋体" w:hAnsi="宋体" w:eastAsia="宋体" w:cs="宋体"/>
          <w:sz w:val="21"/>
          <w:szCs w:val="21"/>
        </w:rPr>
        <w:t xml:space="preserve">、杨扬</w:t>
      </w:r>
      <w:r/>
    </w:p>
    <w:p>
      <w:pPr>
        <w:ind w:firstLine="420"/>
        <w:jc w:val="left"/>
        <w:spacing w:before="0" w:after="0" w:line="360" w:lineRule="auto"/>
        <w:widowControl w:val="off"/>
        <w:rPr>
          <w:rFonts w:ascii="Times New Roman" w:hAnsi="Times New Roman" w:eastAsia="Times New Roman" w:cs="Times New Roman"/>
          <w:sz w:val="21"/>
          <w:szCs w:val="21"/>
        </w:rPr>
        <w:sectPr>
          <w:footnotePr/>
          <w:endnotePr/>
          <w:type w:val="nextPage"/>
          <w:pgSz w:w="11900" w:h="16840" w:orient="portrait"/>
          <w:pgMar w:top="1440" w:right="1440" w:bottom="1440" w:left="1440" w:header="708" w:footer="708" w:gutter="0"/>
          <w:cols w:num="1" w:sep="0" w:space="708" w:equalWidth="1"/>
          <w:docGrid w:linePitch="360"/>
        </w:sectPr>
      </w:pPr>
      <w:r>
        <w:rPr>
          <w:rFonts w:ascii="宋体" w:hAnsi="宋体" w:eastAsia="宋体" w:cs="宋体"/>
          <w:sz w:val="21"/>
          <w:szCs w:val="21"/>
        </w:rPr>
        <w:t xml:space="preserve">电 话：</w:t>
      </w:r>
      <w:r>
        <w:rPr>
          <w:rFonts w:hint="eastAsia" w:ascii="宋体" w:hAnsi="宋体" w:eastAsia="宋体" w:cs="宋体"/>
          <w:sz w:val="21"/>
          <w:szCs w:val="21"/>
        </w:rPr>
        <w:t xml:space="preserve">025-84531327</w:t>
      </w:r>
      <w:r>
        <w:rPr>
          <w:rFonts w:ascii="宋体" w:hAnsi="宋体" w:eastAsia="宋体" w:cs="宋体"/>
          <w:sz w:val="21"/>
          <w:szCs w:val="21"/>
        </w:rPr>
        <w:t xml:space="preserve">、025-84532455</w:t>
      </w:r>
      <w:r/>
    </w:p>
    <w:p>
      <w:pPr>
        <w:jc w:val="center"/>
        <w:spacing w:before="0" w:after="0" w:line="360" w:lineRule="auto"/>
        <w:widowControl w:val="off"/>
        <w:rPr>
          <w:rFonts w:ascii="Times New Roman" w:hAnsi="Times New Roman" w:eastAsia="Times New Roman" w:cs="Times New Roman"/>
          <w:sz w:val="36"/>
          <w:szCs w:val="36"/>
        </w:rPr>
      </w:pPr>
      <w:r>
        <w:rPr>
          <w:rFonts w:ascii="黑体" w:hAnsi="黑体" w:eastAsia="黑体" w:cs="黑体"/>
          <w:sz w:val="36"/>
          <w:szCs w:val="36"/>
        </w:rPr>
        <w:t xml:space="preserve">第二章 投标人须知</w:t>
      </w:r>
      <w:r/>
    </w:p>
    <w:p>
      <w:pPr>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投标人须知前附表</w:t>
      </w:r>
      <w:r/>
    </w:p>
    <w:tbl>
      <w:tblPr>
        <w:tblStyle w:val="819"/>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7835"/>
      </w:tblGrid>
      <w:tr>
        <w:trPr>
          <w:trHeight w:val="240"/>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序号</w:t>
            </w:r>
            <w:r/>
          </w:p>
        </w:tc>
        <w:tc>
          <w:tcPr>
            <w:tcBorders>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主要内容</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采 购 人：江苏省肿瘤医院</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地    址：江苏省南京市百子亭42号</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项目联系人：康老师</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    话：025-83283339</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采购代理机构：苏美达国际技术贸易有限公司</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联 系 人：</w:t>
            </w:r>
            <w:r>
              <w:rPr>
                <w:rFonts w:hint="eastAsia" w:ascii="宋体" w:hAnsi="宋体" w:eastAsia="宋体" w:cs="宋体"/>
                <w:b w:val="0"/>
                <w:bCs w:val="0"/>
                <w:i w:val="0"/>
                <w:iCs w:val="0"/>
                <w:smallCaps w:val="0"/>
                <w:color w:val="000000"/>
                <w:sz w:val="21"/>
                <w:szCs w:val="21"/>
                <w:lang w:val="en-US" w:eastAsia="zh-CN"/>
              </w:rPr>
              <w:t xml:space="preserve">冯帆</w:t>
            </w:r>
            <w:r>
              <w:rPr>
                <w:rFonts w:ascii="宋体" w:hAnsi="宋体" w:eastAsia="宋体" w:cs="宋体"/>
                <w:b w:val="0"/>
                <w:bCs w:val="0"/>
                <w:i w:val="0"/>
                <w:iCs w:val="0"/>
                <w:smallCaps w:val="0"/>
                <w:color w:val="000000"/>
                <w:sz w:val="21"/>
                <w:szCs w:val="21"/>
              </w:rPr>
              <w:t xml:space="preserve">、杨扬   </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联系电话：</w:t>
            </w:r>
            <w:r>
              <w:rPr>
                <w:rFonts w:hint="eastAsia" w:ascii="宋体" w:hAnsi="宋体" w:eastAsia="宋体" w:cs="宋体"/>
                <w:b w:val="0"/>
                <w:bCs w:val="0"/>
                <w:i w:val="0"/>
                <w:iCs w:val="0"/>
                <w:smallCaps w:val="0"/>
                <w:color w:val="000000"/>
                <w:sz w:val="21"/>
                <w:szCs w:val="21"/>
              </w:rPr>
              <w:t xml:space="preserve">025-84531327</w:t>
            </w:r>
            <w:r>
              <w:rPr>
                <w:rFonts w:ascii="宋体" w:hAnsi="宋体" w:eastAsia="宋体" w:cs="宋体"/>
                <w:b w:val="0"/>
                <w:bCs w:val="0"/>
                <w:i w:val="0"/>
                <w:iCs w:val="0"/>
                <w:smallCaps w:val="0"/>
                <w:color w:val="000000"/>
                <w:sz w:val="21"/>
                <w:szCs w:val="21"/>
              </w:rPr>
              <w:t xml:space="preserve">、025-84532455</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联系地址：江苏省南京市长江路198号苏美达大厦</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hint="eastAsia" w:ascii="Times New Roman" w:hAnsi="Times New Roman" w:eastAsia="宋体" w:cs="Times New Roman"/>
                <w:b w:val="0"/>
                <w:bCs w:val="0"/>
                <w:i w:val="0"/>
                <w:iCs w:val="0"/>
                <w:smallCaps w:val="0"/>
                <w:color w:val="000000"/>
                <w:sz w:val="21"/>
                <w:szCs w:val="21"/>
                <w:lang w:eastAsia="zh-CN"/>
              </w:rPr>
            </w:pPr>
            <w:r>
              <w:rPr>
                <w:rFonts w:ascii="宋体" w:hAnsi="宋体" w:eastAsia="宋体" w:cs="宋体"/>
                <w:b w:val="0"/>
                <w:bCs w:val="0"/>
                <w:i w:val="0"/>
                <w:iCs w:val="0"/>
                <w:smallCaps w:val="0"/>
                <w:color w:val="000000"/>
                <w:sz w:val="21"/>
                <w:szCs w:val="21"/>
              </w:rPr>
              <w:t xml:space="preserve">项目名称：</w:t>
            </w:r>
            <w:r>
              <w:rPr>
                <w:rFonts w:hint="eastAsia" w:ascii="宋体" w:hAnsi="宋体" w:eastAsia="宋体" w:cs="宋体"/>
                <w:b w:val="0"/>
                <w:bCs w:val="0"/>
                <w:i w:val="0"/>
                <w:iCs w:val="0"/>
                <w:smallCaps w:val="0"/>
                <w:color w:val="000000"/>
                <w:sz w:val="21"/>
                <w:szCs w:val="21"/>
                <w:lang w:eastAsia="zh-CN"/>
              </w:rPr>
              <w:t xml:space="preserve">江苏省肿瘤医院骨密度仪</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eastAsia="zh-CN"/>
              </w:rPr>
              <w:t xml:space="preserve">项目编号：JSZC-320000-SMDG-G2026-0063</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采购方式：</w:t>
            </w:r>
            <w:r>
              <w:rPr>
                <w:rFonts w:ascii="宋体" w:hAnsi="宋体" w:eastAsia="宋体" w:cs="宋体"/>
                <w:b/>
                <w:bCs/>
                <w:i w:val="0"/>
                <w:iCs w:val="0"/>
                <w:smallCaps w:val="0"/>
                <w:color w:val="000000"/>
                <w:sz w:val="21"/>
                <w:szCs w:val="21"/>
              </w:rPr>
              <w:t xml:space="preserve">公开招标 </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投标有效期</w:t>
            </w:r>
            <w:r>
              <w:rPr>
                <w:rFonts w:ascii="宋体" w:hAnsi="宋体" w:eastAsia="宋体" w:cs="宋体"/>
                <w:b w:val="0"/>
                <w:bCs w:val="0"/>
                <w:i w:val="0"/>
                <w:iCs w:val="0"/>
                <w:smallCaps w:val="0"/>
                <w:color w:val="000000"/>
                <w:sz w:val="21"/>
                <w:szCs w:val="21"/>
              </w:rPr>
              <w:t xml:space="preserve">：开标之日起90天</w:t>
            </w:r>
            <w:r/>
          </w:p>
        </w:tc>
      </w:tr>
      <w:tr>
        <w:trPr>
          <w:trHeight w:val="47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投标保证金：本项目无需缴纳投标保证金</w:t>
            </w:r>
            <w:r/>
          </w:p>
        </w:tc>
      </w:tr>
      <w:tr>
        <w:trPr>
          <w:trHeight w:val="559"/>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7</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投标截止时间：2026年</w:t>
            </w:r>
            <w:r>
              <w:rPr>
                <w:rFonts w:hint="eastAsia" w:ascii="宋体" w:hAnsi="宋体" w:eastAsia="宋体" w:cs="宋体"/>
                <w:b w:val="0"/>
                <w:bCs w:val="0"/>
                <w:i w:val="0"/>
                <w:iCs w:val="0"/>
                <w:smallCaps w:val="0"/>
                <w:color w:val="000000"/>
                <w:sz w:val="21"/>
                <w:szCs w:val="21"/>
                <w:lang w:val="en-US" w:eastAsia="zh-CN"/>
              </w:rPr>
              <w:t xml:space="preserve">7</w:t>
            </w:r>
            <w:r>
              <w:rPr>
                <w:rFonts w:ascii="宋体" w:hAnsi="宋体" w:eastAsia="宋体" w:cs="宋体"/>
                <w:b w:val="0"/>
                <w:bCs w:val="0"/>
                <w:i w:val="0"/>
                <w:iCs w:val="0"/>
                <w:smallCaps w:val="0"/>
                <w:color w:val="000000"/>
                <w:sz w:val="21"/>
                <w:szCs w:val="21"/>
              </w:rPr>
              <w:t xml:space="preserve">月</w:t>
            </w:r>
            <w:r>
              <w:rPr>
                <w:rFonts w:hint="eastAsia" w:ascii="宋体" w:hAnsi="宋体" w:eastAsia="宋体" w:cs="宋体"/>
                <w:b w:val="0"/>
                <w:bCs w:val="0"/>
                <w:i w:val="0"/>
                <w:iCs w:val="0"/>
                <w:smallCaps w:val="0"/>
                <w:color w:val="000000"/>
                <w:sz w:val="21"/>
                <w:szCs w:val="21"/>
                <w:lang w:val="en-US" w:eastAsia="zh-CN"/>
              </w:rPr>
              <w:t xml:space="preserve">28</w:t>
            </w:r>
            <w:r>
              <w:rPr>
                <w:rFonts w:ascii="宋体" w:hAnsi="宋体" w:eastAsia="宋体" w:cs="宋体"/>
                <w:b w:val="0"/>
                <w:bCs w:val="0"/>
                <w:i w:val="0"/>
                <w:iCs w:val="0"/>
                <w:smallCaps w:val="0"/>
                <w:color w:val="000000"/>
                <w:sz w:val="21"/>
                <w:szCs w:val="21"/>
              </w:rPr>
              <w:t xml:space="preserve">日14:00（北京时间）</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开标时间：2026年</w:t>
            </w:r>
            <w:r>
              <w:rPr>
                <w:rFonts w:hint="eastAsia" w:ascii="宋体" w:hAnsi="宋体" w:eastAsia="宋体" w:cs="宋体"/>
                <w:b w:val="0"/>
                <w:bCs w:val="0"/>
                <w:i w:val="0"/>
                <w:iCs w:val="0"/>
                <w:smallCaps w:val="0"/>
                <w:color w:val="000000"/>
                <w:sz w:val="21"/>
                <w:szCs w:val="21"/>
                <w:lang w:val="en-US" w:eastAsia="zh-CN"/>
              </w:rPr>
              <w:t xml:space="preserve">7</w:t>
            </w:r>
            <w:r>
              <w:rPr>
                <w:rFonts w:ascii="宋体" w:hAnsi="宋体" w:eastAsia="宋体" w:cs="宋体"/>
                <w:b w:val="0"/>
                <w:bCs w:val="0"/>
                <w:i w:val="0"/>
                <w:iCs w:val="0"/>
                <w:smallCaps w:val="0"/>
                <w:color w:val="000000"/>
                <w:sz w:val="21"/>
                <w:szCs w:val="21"/>
              </w:rPr>
              <w:t xml:space="preserve">月</w:t>
            </w:r>
            <w:r>
              <w:rPr>
                <w:rFonts w:hint="eastAsia" w:ascii="宋体" w:hAnsi="宋体" w:eastAsia="宋体" w:cs="宋体"/>
                <w:b w:val="0"/>
                <w:bCs w:val="0"/>
                <w:i w:val="0"/>
                <w:iCs w:val="0"/>
                <w:smallCaps w:val="0"/>
                <w:color w:val="000000"/>
                <w:sz w:val="21"/>
                <w:szCs w:val="21"/>
                <w:lang w:val="en-US" w:eastAsia="zh-CN"/>
              </w:rPr>
              <w:t xml:space="preserve">28</w:t>
            </w:r>
            <w:r>
              <w:rPr>
                <w:rFonts w:ascii="宋体" w:hAnsi="宋体" w:eastAsia="宋体" w:cs="宋体"/>
                <w:b w:val="0"/>
                <w:bCs w:val="0"/>
                <w:i w:val="0"/>
                <w:iCs w:val="0"/>
                <w:smallCaps w:val="0"/>
                <w:color w:val="000000"/>
                <w:sz w:val="21"/>
                <w:szCs w:val="21"/>
              </w:rPr>
              <w:t xml:space="preserve">日14:00（北京时间）</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地点：“苏采云”政府采购交易系统网上开标大厅</w:t>
            </w:r>
            <w:r/>
          </w:p>
        </w:tc>
      </w:tr>
      <w:tr>
        <w:trPr>
          <w:trHeight w:val="3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8</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投标报价：</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1.本项目以人民币报价，本次采购采用总承包方式，投标报价为项目履约完成涉及的全部费用。</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2.除非采购文件有特别说明，采购人不接受备选的投标方案或有选择的报价。</w:t>
            </w:r>
            <w:r/>
          </w:p>
        </w:tc>
      </w:tr>
      <w:tr>
        <w:trPr>
          <w:trHeight w:val="863"/>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9</w:t>
            </w:r>
            <w:r/>
          </w:p>
        </w:tc>
        <w:tc>
          <w:tcPr>
            <w:tcBorders>
              <w:top w:val="single" w:color="000000" w:sz="6" w:space="0"/>
              <w:left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投标报价中的投标价不得超过招标公告、招标文件规定的采购预算及最高限价，超过规定的采购预算及最高限价的投标文件，按无效投标处理。 </w:t>
            </w:r>
            <w:r/>
          </w:p>
        </w:tc>
      </w:tr>
    </w:tbl>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Times New Roman" w:hAnsi="Times New Roman" w:eastAsia="Times New Roman" w:cs="Times New Roman"/>
        </w:rPr>
        <w:br w:type="page" w:clear="all"/>
      </w:r>
      <w:r>
        <w:rPr>
          <w:rFonts w:ascii="宋体" w:hAnsi="宋体" w:eastAsia="宋体" w:cs="宋体"/>
          <w:b/>
          <w:bCs/>
          <w:sz w:val="21"/>
          <w:szCs w:val="21"/>
        </w:rPr>
        <w:t xml:space="preserve">一、总 则</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1.适用法律</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1.1 《中华人民共和国招标投标法》《中华人民共和国政府采购法》《中华人民共和国政府采购法实施条例》《政府采购货物和服务招标投标管理办法》等有关法律、规章和规定等。</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2.定义</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2.1 本文件中采购代理机构为</w:t>
      </w:r>
      <w:r>
        <w:rPr>
          <w:rFonts w:ascii="宋体" w:hAnsi="宋体" w:eastAsia="宋体" w:cs="宋体"/>
          <w:b/>
          <w:bCs/>
          <w:sz w:val="21"/>
          <w:szCs w:val="21"/>
          <w:u w:val="single"/>
        </w:rPr>
        <w:t xml:space="preserve">苏美达国际技术贸易有限公司</w:t>
      </w:r>
      <w:r>
        <w:rPr>
          <w:rFonts w:ascii="宋体" w:hAnsi="宋体" w:eastAsia="宋体" w:cs="宋体"/>
          <w:sz w:val="21"/>
          <w:szCs w:val="21"/>
        </w:rPr>
        <w:t xml:space="preserve">；采购人为</w:t>
      </w:r>
      <w:r>
        <w:rPr>
          <w:rFonts w:ascii="宋体" w:hAnsi="宋体" w:eastAsia="宋体" w:cs="宋体"/>
          <w:b/>
          <w:bCs/>
          <w:sz w:val="21"/>
          <w:szCs w:val="21"/>
          <w:u w:val="single"/>
        </w:rPr>
        <w:t xml:space="preserve">江苏省肿瘤医院</w:t>
      </w:r>
      <w:r>
        <w:rPr>
          <w:rFonts w:ascii="宋体" w:hAnsi="宋体" w:eastAsia="宋体" w:cs="宋体"/>
          <w:sz w:val="21"/>
          <w:szCs w:val="21"/>
        </w:rPr>
        <w:t xml:space="preserve">；投标人（亦称供应商）系指参加投标竞争并满足招标文件资格要求规定的法人、其他组织或者自然人。</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2.2 “货物和服务”指本文件中所述产品及相关货物和服务。</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2.3 “用户或使用单位”指使用货物、服务的单位。</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3.政策功能</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 </w:t>
      </w:r>
      <w:r>
        <w:rPr>
          <w:rFonts w:ascii="宋体" w:hAnsi="宋体" w:eastAsia="宋体" w:cs="宋体"/>
          <w:sz w:val="21"/>
          <w:szCs w:val="21"/>
        </w:rPr>
        <w:t xml:space="preserve">3.1 促进中小企业发展政策</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宋体" w:hAnsi="宋体" w:eastAsia="宋体" w:cs="宋体"/>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3.2 节能产品、环境标志产品政策</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（1）政府采购节能产品、环境标志产品实施品目清单管理。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（2）拟采购产品属于节能产品、环境标志产品品目清单规定必须强制采购的，实行强制采购。</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（4）参加政府采购活动的节能产品、环境标志产品供应商应当提供国家确定的认证机构出具的、处于有效期之内的节能产品、环境标志产品认证证书。</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 采购本国产品的支持政策</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具体内容如下：</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3.3.3 供应商需按照招标文件的要求提供《关于符合本国产品标准的声明函》（以下简称《声明函》），如不提供将不享受本国产品价格评审优惠。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3.7 为推进社会诚信体系建设，根据财政部等政策要求，在政府采购活动中查询、使用信用记录，推进政府采购领域联合惩戒工作。</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4.投标费用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4.1 供应商应自行承担所有与参加投标有关的费用，无论采购结果如何，代理机构和采购人在任何情况下均无义务和责任承担这些费用。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5.招标文件的约束力</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5.1 供应商一旦参加本项目采购活动，即被认为接受了本招标文件的规定和约束。</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二、招标文件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6.招标文件构成</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6.1 招标文件由以下部分组成：</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第一章  招标公告</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第二章  投标人须知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第三章  评标标准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第四章  招标技术规格及要求</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第五章  合同草案条款</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第六章  投标文件格式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6.2 </w:t>
      </w:r>
      <w:r>
        <w:rPr>
          <w:rFonts w:ascii="宋体" w:hAnsi="宋体" w:eastAsia="宋体" w:cs="宋体"/>
          <w:b/>
          <w:bCs/>
          <w:sz w:val="21"/>
          <w:szCs w:val="21"/>
        </w:rPr>
        <w:t xml:space="preserve">招标的最小单位是包。采购需求中未分包的，供应商对要求提供的服务不得部分投标；采购需求中已经分包的，以包为单位投标</w:t>
      </w:r>
      <w:r>
        <w:rPr>
          <w:rFonts w:ascii="宋体" w:hAnsi="宋体" w:eastAsia="宋体" w:cs="宋体"/>
          <w:sz w:val="21"/>
          <w:szCs w:val="21"/>
        </w:rPr>
        <w:t xml:space="preserve">。</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6.4 供应商被视为充分熟悉本招标项目的各种情况以及与履行合同有关的一切其他情况。</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7.招标文件的澄清、补充或修改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7.1 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7.3 采购代理机构在招标文件要求提交投标文件截止时间3日前，有权决定延长投标截止时间和开标时间，并在原招标公告媒体上发布变更公告。</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7.4 为使供应商在准备投标时有合理的时间考虑招标文件的补充或修改，采购代理机构可视情况推迟投标截止时间和开标时间，并在原招标公告媒体发布更正公告。</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7.5 采购代理机构发出的所有补充、修改和变更文件均作为招标文件的组成部分，与招标文件具有同等法律效力，并对投标人具有约束力。 </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三、投标文件的编制</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8.投标文件的语言、计量单位、货币</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8.1 供应商提交的投标文件（包括技术文件和资料、图纸中的说明）以及供应商与采购代理机构之间就有关投标的所有来往函电均应以简体中文书写。</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8.2 供应商已印刷好的资料如产品样本、说明书等可以用其他语言，但其中要点应附有中文译文。对不同文本投标文件的解释发生异议的，以中文翻译文本为准。</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8.3 除招标文件中有特殊要求外，招标文件中所使用的计量单位应为国家法定计量单位。</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8.4 本招标文件所表述的时间均为北京时间。</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8.5 所有投标响应报价具体详见投标人须知前附表。</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9.联合体（本项目不接受联合体投标）</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10.投标文件的组成（相应内容上传至投标客户端，并签电子公章）：</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10.1 投标函（格式见附件）；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10.2 资格证明文件（详见第一章招标公告“申请人的资格要求”）；</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10.3 开标一览表（格式见附件）；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10.4 分项报价表（格式见附件）；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10.5 商务/技术条款偏离表（格式见附件）；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10.6 售后服务实施方案等；</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10.7 评分标准中对应的所需证明材料（如有自行添加）；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10.8 要求采购人提供的配合（如有自拟并自行添加）；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10.9 其他（投标人认为有必要提供的声明和文件，如有自拟并自行添加）；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（1）投标供应商简介和经营情况说明；</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（2）如是小微企业的，提供《中小企业声明函》；</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（3）残疾人福利性单位声明函（供应商为残疾人福利性单位的提供）；</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（4）由省级以上监狱管理局、戒毒管理局出具的属于监狱企业的证明文件（如适用）；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上述10.1-10.5项必须全部提供，否则投标文件无效。</w:t>
      </w:r>
      <w:r>
        <w:rPr>
          <w:rFonts w:ascii="宋体" w:hAnsi="宋体" w:eastAsia="宋体" w:cs="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其他部分由供应商根据编制投标文件需要提供的其他相关文件。</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11.投标文件的有效期</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11.1 自开标之日起90天内，投标文件应保持有效，有效期短于此规定的投标文件将视为无效。</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11.2 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12.投标文件的编制要求和签署要求</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12.2 投标人应对 CA 证书妥善保管，如被他人盗用投标，因此带来的结果均由投标人自行承担。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12.3 投标人应当对招标文件提出的要求和条件作出实质性响应，并在电子投标系统逐条应答。</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12.4 投标人应对要求提供的资格证明文件（如资质证书、资格证书）、技术资料（如白皮书、彩页、手册、检测报告等）扫描上传至投标系统。</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四、投标文件的递交</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13.电子投标文件的递交</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13.1 投标人应当按照规定，在投标截止时间前制作并上传电子投标文件。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14.投标截止日期</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14.1 投标人上传电子投标文件的时间不得迟于招标公告中规定的投标截止时间。</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投标人应充分考虑到网络环境、网络带宽等风险因素，如因投标人自身原因造成的电子投标文件上传不成功的作无效投标处理。</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15.投标文件的拒收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15.1 采购人及采购代理机构拒绝接收在其规定的投标截止时间后上传的任何投标文件。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16.投标文件的撤回和修改</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16.1 投标文件的撤回</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16.1.1 电子投标文件的撤回</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投标人可在投标截止时间前，撤回其电子投标文件。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16.1.2 投标人撤回电子投标文件，则认为其不再参与本项目投标活动。</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16.2 投标文件的修改</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16.2.1 投标人可在投标截止时间前，对其电子投标文件进行修改。</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16.2.2 在投标截止时间之后，投标人不得对其电子投标文件作任何修改。</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16.3 在投标截止时间至招标文件中规定的投标有效期满之间的这段时间内，投标人不得撤回其投标。</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五、开标与评标</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17.开标</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17.1 开标时间及地点。开标应当在招标文件确定的提交投标文件截止时间的同一时间公开进行；开标地点应当为招标文件中预先确定的地点。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17.2 由电子招标投标交易平台主持，邀请投标人参加。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17.3 所有投标单位使用 CA 证书在开标时间时解密各自投标文件，由工作人员操作系统进行开标。投标人不足3家的，不得开标。</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18.资格性审查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18.2 信用信息查询</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18.3 通过资格性审查合格的投标人不足3家的，不得评标。</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19.评标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19.1 评标组织</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评标工作由采购代理机构负责组织，具体评标事务由依法组建的评标委员会负责，并独立履行下列职责：</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（1）审查、评价投标文件是否符合招标文件的商务、技术等实质性要求；</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（2）要求投标人对投标文件有关事项作出澄清或者说明；</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（3）对投标文件进行比较和评价；</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（4）确定中标候选人名单，以及根据采购人委托直接确定中标人；</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（5）向采购人、采购代理机构或者有关部门报告评标中发现的违法行为。</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19.2 评标委员会由采购人代表和有关技术、经济等方面的专家组成，独立开展评审工作且评标委员会人员构成符合有关规定。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19.3 对投标文件的符合性审查</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19.3.1 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宋体" w:hAnsi="宋体" w:eastAsia="宋体" w:cs="宋体"/>
          <w:b/>
          <w:bCs/>
          <w:sz w:val="21"/>
          <w:szCs w:val="21"/>
        </w:rPr>
        <w:t xml:space="preserve">实质性要求是指本招标文件中带星号（“★”）的商务和技术要求（如有）。</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19.3.2 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19.3.3 评审时，投标文件出现不一致情形的，按下列规定执行：</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19.3.3.1 投标文件正本与副本不符的，以正本为准。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19.3.3.2 投标文件报价出现前后不一致的，按照下列规定修正：</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（1）投标文件中开标一览表（报价表）内容与投标文件中相应内容不一致的，以开标一览表（报价表）为准；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（2）大写金额和小写金额不一致的，以大写金额为准；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（3）单价金额小数点或者百分比有明显错位的，以开标一览表的总价为准，并修改单价；</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（4）总价金额与按单价汇总金额不一致的，以单价金额计算结果为准。</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19.3.4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评标过程中出现下列情形之一的，评标委员会应当启动异常低价投标（响应）审查程序：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①投标（响应）报价低于全部通过符合性审查供应商投标（响应）报价平均值50%的，即投标（响应）报价〈全部通过符合性审查供应商投标（响应）报价平均值×50%；</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②投标（响应）报价低于通过符合性审查的次低报价供应商投标（响应）报价50%的，即投标（响应）报价〈通过符合性审查的次低报价供应商投标（响应）报价×50%；</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③投标（响应）报价低于采购项目最高限价45%的，即投标（响应）报价〈采购项目最高限价×45%；</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④评标委员会基于专业判断，认为供应商报价过低，有可能影响产品质量或者不能诚信履约的其他情形。</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19.3.5 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19.4 投标文件的澄清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19.4.3 供应商澄清、说明或者补正不得超出投标文件的范围或者改变投标文件的实质性内容。供应商拒不按照要求对投标文件进行澄清、说明或者补正的，视其放弃该项权利。</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19.5 比较与评价</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19.5.1 投标文件资格性检查和符合性检查结束后，凡属于“无效投标文件确认”的投标文件不进入比较与评价程序。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19.5.2 评标委员会应当按照招标文件中规定的评标方法和标准，对符合性审查合格的投标文件进行商务和技术评估，综合比较与评价。</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19.5.3 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19.5.4 评审因素包括投标报价、技术或服务水平、履约能力、售后服务等。</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19.5.5 评标方法和评标标准详见文件第三章。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19.6 投标供应商存在下列情况之一的，其投标无效：</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（1）投标人在苏采云系统规定的时间内未成功解密电子投标文件的。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（2）投标人未按照招标文件要求上传电子投标文件的。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（3）供应商不具备招标文件中规定资格要求的；</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（4）供应商在报价时采用选择性报价；</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（5）报价超过招标文件中规定的预算金额或者最高限价的；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（6）投标文件含有采购人不能接受的附加条件的；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（7）不同供应商的投标文件由同一单位或者个人编制；</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（8）不同供应商委托同一单位或者个人办理投标事宜；</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（9）不同供应商的投标文件载明的项目管理成员或联系人员为同一人；</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（10）不同供应商的投标文件异常一致或者投标报价呈规律性差异；</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（11）不同供应商的投标文件相互混装；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（12）不同供应商的负责人为同一人或者存在控股、管理关系的；</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（13）不同供应商的委托代理人（或法定代表人、项目经理、项目总监、项目负责人等）在招标文件发布日上月至投标截止日当月在同一单位缴纳社会保险的；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（14）提供虚假材料的（包括工商营业执照、财务报表、资格证明文件等）；</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（15）未通过符合性检查的；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（17）不符合招标文件中规定的其他实质性要求的；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（18）法律法规和招标文件规定的其他无效情形。</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19.7 出现下列情形之一的，应予废标：</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（1）符合专业条件的供应商或者对招标文件作实质响应的供应商不足三家的；</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（2）出现影响采购公正的违法、违规行为的；</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（3）因重大变故，采购任务取消的；</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（4）评标委员会认定招标文件存在歧义、重大缺陷导致评审工作无法进行的，或者招标文件内容违反国家有关强制性规定的。</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在评标期间，通过资格审查或符合性审查的投标人不足3家情形的，比照</w:t>
      </w:r>
      <w:r>
        <w:rPr>
          <w:rFonts w:ascii="宋体" w:hAnsi="宋体" w:eastAsia="宋体" w:cs="宋体"/>
          <w:b/>
          <w:bCs/>
          <w:sz w:val="21"/>
          <w:szCs w:val="21"/>
        </w:rPr>
        <w:t xml:space="preserve">19.3.5</w:t>
      </w:r>
      <w:r>
        <w:rPr>
          <w:rFonts w:ascii="宋体" w:hAnsi="宋体" w:eastAsia="宋体" w:cs="宋体"/>
          <w:sz w:val="21"/>
          <w:szCs w:val="21"/>
        </w:rPr>
        <w:t xml:space="preserve">款执行。</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六、授标</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20.确定中标供应商</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20.1 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在满足招标文件要求的条件下，评标委员会根据评分细则进行评审，评标结果按评审后得分由高到低顺序排列。得分相同的，按投标报价由低到高顺序排列。得分且投标报价相同的按技术优劣顺序排列。最低投标价等任何单项因素的最优不是中标的必要条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20.2 中标人确定后，在江苏政府采购网上公告中标结果，中标公告期为1个工作日，公告的同时向中标供应商发出中标通知书。</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20.3 中标供应商在收到中标通知书后，应郑重保证履行中标供应商应履行的，含招标代理服务费在内的一切义务和责任。</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20.4 中标通知书对采购人和中标供应商具有同等法律效力。</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20.5 中标通知书发出后，中标或者成交后无正当理由拒不与采购人签订政府采购合同的，情节严重的，由财政部门将其列入不良行为记录名单，在一至三年内禁止参加政府采购活动，并予以通报。</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20.6 若评标委员会发现供应商的投标文件中有弄虚作假行为，则该供应商将失去中标资格。</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21.评标过程的保密性</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21.1 采购人和采购代理机构将采取必要措施，保证评标在严格保密的情况下进行。</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21.2 任何单位和个人不得非法干预、影响评标办法的确定，以及评标过程和结果。</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21.3 凡是与审查、澄清、评价和比较投标的有关资料等，均不向投标人及与评标无关的其他人员透露。</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22.签订合同</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22.1 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22.2 招标文件、中标供应商的投标文件及评标过程中有关澄清、说明或者补正文件均应作为合同附件。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22.3 采购人不得向中标人提出任何不合理的要求作为签订合同的条件。</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22.6 采购人与中标人应当根据合同的约定依法履行合同义务。</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22.7 履约保证金</w:t>
      </w:r>
      <w:r>
        <w:rPr>
          <w:rFonts w:ascii="宋体" w:hAnsi="宋体" w:eastAsia="宋体" w:cs="宋体"/>
          <w:sz w:val="21"/>
          <w:szCs w:val="21"/>
        </w:rPr>
        <w:t xml:space="preserve"> </w:t>
      </w:r>
      <w:r/>
    </w:p>
    <w:p>
      <w:pPr>
        <w:ind w:firstLine="48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合同签订前，中标人须一次性向采购人缴纳中标价的10%作为履约保证金，以支票、汇票、本票、汇款或银行保函等非现金形式提交，验收合格后十个工作日内采购人无息返还。</w:t>
      </w:r>
      <w:r/>
    </w:p>
    <w:p>
      <w:pPr>
        <w:ind w:firstLine="420"/>
        <w:jc w:val="left"/>
        <w:keepNex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23.招标代理服务费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23.1 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23.2中标供应商按《招标代理服务收费管理暂行办法》（国家发展计划委员会计价格</w:t>
      </w:r>
      <w:r>
        <w:rPr>
          <w:rFonts w:ascii="Calibri" w:hAnsi="Calibri" w:eastAsia="Calibri" w:cs="Calibri"/>
          <w:sz w:val="21"/>
          <w:szCs w:val="21"/>
        </w:rPr>
        <w:t xml:space="preserve">[2002]1980</w:t>
      </w:r>
      <w:r>
        <w:rPr>
          <w:rFonts w:ascii="宋体" w:hAnsi="宋体" w:eastAsia="宋体" w:cs="宋体"/>
          <w:sz w:val="21"/>
          <w:szCs w:val="21"/>
        </w:rPr>
        <w:t xml:space="preserve">号）规定的标准的</w:t>
      </w:r>
      <w:r>
        <w:rPr>
          <w:rFonts w:ascii="Calibri" w:hAnsi="Calibri" w:eastAsia="Calibri" w:cs="Calibri"/>
          <w:sz w:val="21"/>
          <w:szCs w:val="21"/>
        </w:rPr>
        <w:t xml:space="preserve">75%</w:t>
      </w:r>
      <w:r>
        <w:rPr>
          <w:rFonts w:ascii="宋体" w:hAnsi="宋体" w:eastAsia="宋体" w:cs="宋体"/>
          <w:sz w:val="21"/>
          <w:szCs w:val="21"/>
        </w:rPr>
        <w:t xml:space="preserve">向采购代理机构支付代理服务费。根据江苏省财政厅《关于进一步规范政府采购活动相关费用管理的通知》（苏财规〔2026〕1号）相关要求，为提高采购效率、简化资金支付流程，本项目代理费由中标供应商在领取中标通知书时，一次性支付至采购代理机构。</w:t>
      </w:r>
      <w:r/>
    </w:p>
    <w:p>
      <w:pPr>
        <w:ind w:firstLine="42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xml:space="preserve">23.3 服务费受理账户信息：</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收款单位：苏美达国际技术贸易有限公司</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开户行：中信南京分行营业部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账号：7321010182300013675 </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七、质疑和投诉</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24.质疑</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24.1 供应商对招标活动事项有疑问的，可以向采购代理机构提出询问，采购代理机构将依法作出答复，但答复的内容不涉及商业秘密</w:t>
      </w:r>
      <w:r>
        <w:rPr>
          <w:rFonts w:ascii="宋体" w:hAnsi="宋体" w:eastAsia="宋体" w:cs="宋体"/>
          <w:b/>
          <w:bCs/>
          <w:sz w:val="21"/>
          <w:szCs w:val="21"/>
        </w:rPr>
        <w:t xml:space="preserve">。</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24.2 供应商认为招标文件、采购过程和采购结果使自己的合法权益受到损害的，可以在知道或者应知其权益受到损害之日起七个工作日内，将质疑文件原件送达采购人或采购代理机构。</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供应商应知其权益受到损害之日，是指：</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（一）对可以质疑的招标文件提出质疑的，为收到招标文件之日或者招标文件公告期限届满之日；</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（二）对采购过程提出质疑的，为各采购程序环节结束之日；</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（三）对中标或者成交结果提出质疑的，为中标或者成交结果公告期限届满之日。</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24.3 提出质疑的供应商应当是参与所质疑项目采购活动的供应商。潜在供应商依法获取其可质疑的采购文件的，可以对采购文件提出质疑。</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邮寄提交至采购代理机构联系人处，提交时应出示/提供有效身份证明。未按上述要求提交质疑书的，质疑不予受理。</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采购代理机构将在一定范围内公开质疑人的名称、质疑事项、质疑处理结果，供有关采购人、财政部门、行业协会查询。</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24.4 质疑文件应包括以下主要内容，并按照“谁主张、谁举证”的原则，附上相关证明材料。否则，采购代理机构不予受理：</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（1）质疑项目名称、项目编号、包号、招标公告发布时间、开标时间；</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（2）具体的质疑事项及法律依据（具体条款）；</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ascii="宋体" w:hAnsi="宋体" w:eastAsia="宋体" w:cs="宋体"/>
          <w:b/>
          <w:bCs/>
          <w:sz w:val="21"/>
          <w:szCs w:val="21"/>
        </w:rPr>
        <w:t xml:space="preserve">修改理由</w:t>
      </w:r>
      <w:r>
        <w:rPr>
          <w:rFonts w:ascii="宋体" w:hAnsi="宋体" w:eastAsia="宋体" w:cs="宋体"/>
          <w:sz w:val="21"/>
          <w:szCs w:val="21"/>
        </w:rPr>
        <w:t xml:space="preserve">和</w:t>
      </w:r>
      <w:r>
        <w:rPr>
          <w:rFonts w:ascii="宋体" w:hAnsi="宋体" w:eastAsia="宋体" w:cs="宋体"/>
          <w:b/>
          <w:bCs/>
          <w:sz w:val="21"/>
          <w:szCs w:val="21"/>
        </w:rPr>
        <w:t xml:space="preserve">修改建议</w:t>
      </w:r>
      <w:r>
        <w:rPr>
          <w:rFonts w:ascii="宋体" w:hAnsi="宋体" w:eastAsia="宋体" w:cs="宋体"/>
          <w:sz w:val="21"/>
          <w:szCs w:val="21"/>
        </w:rPr>
        <w:t xml:space="preserve">）；</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（4）质疑供应商名称、地址、联系方式（包括手机、传真号码）；</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24.5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24.6 采购代理机构在收到投标商的书面质疑后将及时组织调查核实，在</w:t>
      </w:r>
      <w:r>
        <w:rPr>
          <w:rFonts w:ascii="宋体" w:hAnsi="宋体" w:eastAsia="宋体" w:cs="宋体"/>
          <w:b/>
          <w:bCs/>
          <w:sz w:val="21"/>
          <w:szCs w:val="21"/>
        </w:rPr>
        <w:t xml:space="preserve">七个工作日内</w:t>
      </w:r>
      <w:r>
        <w:rPr>
          <w:rFonts w:ascii="宋体" w:hAnsi="宋体" w:eastAsia="宋体" w:cs="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jc w:val="left"/>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b/>
          <w:bCs/>
          <w:sz w:val="21"/>
          <w:szCs w:val="21"/>
        </w:rPr>
        <w:t xml:space="preserve">25.投诉</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供应商对代理机构的答复不满意，或代理机构未在规定的时间内作出答复的，可以在答复期满后</w:t>
      </w:r>
      <w:r>
        <w:rPr>
          <w:rFonts w:ascii="宋体" w:hAnsi="宋体" w:eastAsia="宋体" w:cs="宋体"/>
          <w:b/>
          <w:bCs/>
          <w:sz w:val="21"/>
          <w:szCs w:val="21"/>
        </w:rPr>
        <w:t xml:space="preserve">十五个工作日内</w:t>
      </w:r>
      <w:r>
        <w:rPr>
          <w:rFonts w:ascii="宋体" w:hAnsi="宋体" w:eastAsia="宋体" w:cs="宋体"/>
          <w:sz w:val="21"/>
          <w:szCs w:val="21"/>
        </w:rPr>
        <w:t xml:space="preserve">向采购人同级财政部门投诉。</w:t>
      </w:r>
      <w:r/>
    </w:p>
    <w:p>
      <w:pPr>
        <w:jc w:val="center"/>
        <w:spacing w:before="0" w:after="0" w:line="288" w:lineRule="auto"/>
        <w:widowControl w:val="off"/>
        <w:rPr>
          <w:rFonts w:ascii="Times New Roman" w:hAnsi="Times New Roman" w:eastAsia="Times New Roman" w:cs="Times New Roman"/>
          <w:sz w:val="36"/>
          <w:szCs w:val="36"/>
        </w:rPr>
      </w:pPr>
      <w:r>
        <w:rPr>
          <w:rFonts w:ascii="Times New Roman" w:hAnsi="Times New Roman" w:eastAsia="Times New Roman" w:cs="Times New Roman"/>
          <w:sz w:val="36"/>
          <w:szCs w:val="36"/>
        </w:rPr>
        <w:br w:type="page" w:clear="all"/>
      </w:r>
      <w:r>
        <w:rPr>
          <w:rFonts w:ascii="黑体" w:hAnsi="黑体" w:eastAsia="黑体" w:cs="黑体"/>
          <w:sz w:val="36"/>
          <w:szCs w:val="36"/>
        </w:rPr>
        <w:t xml:space="preserve">第三章 评标标准</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819"/>
        <w:tblpPr w:horzAnchor="text" w:tblpXSpec="left" w:vertAnchor="text" w:tblpY="1" w:leftFromText="180" w:topFromText="0" w:rightFromText="180" w:bottomFromText="0"/>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3"/>
        <w:gridCol w:w="1207"/>
        <w:gridCol w:w="5701"/>
        <w:gridCol w:w="933"/>
      </w:tblGrid>
      <w:tr>
        <w:trPr>
          <w:trHeight w:val="421"/>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评审因素量化指标</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分值</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投标报价</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价格分采用低价优先法计算，即满足招标文件要求且投标价格最低的投标报价为评标基准价，其价格分为满分。其他投标人的价格分统一按照下列公式计算：投标报价得分=(评标基准价/投标报价)×30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30</w:t>
            </w:r>
            <w:r/>
          </w:p>
        </w:tc>
      </w:tr>
      <w:tr>
        <w:trPr>
          <w:trHeight w:val="162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技术部分</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（49分）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评委根据投标产品对招标文件第四章“二、技术参数-三、技术参数”响应情况进行打分。能够全部满足招标文件要求的得49分，加★项为实质性要求，负偏离作无效投标处理；加▲项为重要参数，每负偏离一项扣4分；其他一般性技术要求每有一项负偏离扣0.5分，直至扣完为止。</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注：招标文件中加“★”及“▲”项的技术参数必须在投标文件中提供技术支持资料（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并在《技术条款偏离表》中详细标明技术支持资料在投标文件中的页码和位置，未提供技术支持资料的作负偏离处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49</w:t>
            </w:r>
            <w:r/>
          </w:p>
        </w:tc>
      </w:tr>
      <w:tr>
        <w:trPr>
          <w:trHeight w:val="3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设备到货、安装、调试方案（5分）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投标人提供设备到货运输、安装、调试方案</w:t>
            </w:r>
            <w:r>
              <w:rPr>
                <w:rFonts w:ascii="宋体" w:hAnsi="宋体" w:eastAsia="宋体" w:cs="宋体"/>
                <w:b/>
                <w:bCs/>
                <w:i w:val="0"/>
                <w:iCs w:val="0"/>
                <w:smallCaps w:val="0"/>
                <w:color w:val="000000"/>
                <w:sz w:val="21"/>
                <w:szCs w:val="21"/>
              </w:rPr>
              <w:t xml:space="preserve">（包括产品出厂质量控制、包装方式、运输方式、安全保障、安装调试计划等）</w:t>
            </w:r>
            <w:r>
              <w:rPr>
                <w:rFonts w:ascii="宋体" w:hAnsi="宋体" w:eastAsia="宋体" w:cs="宋体"/>
                <w:b w:val="0"/>
                <w:bCs w:val="0"/>
                <w:i w:val="0"/>
                <w:iCs w:val="0"/>
                <w:smallCaps w:val="0"/>
                <w:color w:val="000000"/>
                <w:sz w:val="21"/>
                <w:szCs w:val="21"/>
              </w:rPr>
              <w:t xml:space="preserve">评委根据提供的项目方案综合评审：</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1）产品质量控制方案内容详实、科学、合理，安装调试计划针对性强、内容详实，调试人员配备齐全、技术水平高、分工明确、岗位设置科学合理，得5分。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2）产品质量控制方案内容较详实、科学、合理，安装调试计划针对性较强、内容详实，调试人员配备较齐全、技术水平较高、分工较明确、岗位设置较科学合理，得3分。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3）产品质量控制方案内容简单，安装调试计划针对性一般、内容简单，调试人员配备不足、技术水平较低、分工不够明确、岗位设置不够科学合理，得1分。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4）未提供方案或方案无可行性不得分。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91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培训方案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培训方案</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投标人提供对用户的操作培训</w:t>
            </w:r>
            <w:r>
              <w:rPr>
                <w:rFonts w:ascii="宋体" w:hAnsi="宋体" w:eastAsia="宋体" w:cs="宋体"/>
                <w:b/>
                <w:bCs/>
                <w:i w:val="0"/>
                <w:iCs w:val="0"/>
                <w:smallCaps w:val="0"/>
                <w:color w:val="000000"/>
                <w:sz w:val="21"/>
                <w:szCs w:val="21"/>
              </w:rPr>
              <w:t xml:space="preserve">（包括师资安排、培训时间、课程安排等）</w:t>
            </w:r>
            <w:r>
              <w:rPr>
                <w:rFonts w:ascii="宋体" w:hAnsi="宋体" w:eastAsia="宋体" w:cs="宋体"/>
                <w:b w:val="0"/>
                <w:bCs w:val="0"/>
                <w:i w:val="0"/>
                <w:iCs w:val="0"/>
                <w:smallCaps w:val="0"/>
                <w:color w:val="000000"/>
                <w:sz w:val="21"/>
                <w:szCs w:val="21"/>
              </w:rPr>
              <w:t xml:space="preserve">、业务功能培训等相关计划方案，评委会根据提供的项目培训方案综合评审：</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1）技术培训保障方案内容详实、科学、合理，培训计划针对性强、内容详实，培训人员配备齐全、技术水平高、分工明确、岗位设置科学合理，培训率承诺高，得5分。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2）技术培训保障方案内容较详实、较科学合理，培训计划较具体，培训人员较齐全，培训率承诺较高，得3分。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3）技术培训保障方案表述简单，培训计划简单、培训人员较少，培训率承诺一般，得1分。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4）未提供方案或方案无可行性不得分。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67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售后服务实施方案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售后及技术支持服务方案</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根据投标人质保期内售后服务方案</w:t>
            </w:r>
            <w:r>
              <w:rPr>
                <w:rFonts w:ascii="宋体" w:hAnsi="宋体" w:eastAsia="宋体" w:cs="宋体"/>
                <w:b/>
                <w:bCs/>
                <w:i w:val="0"/>
                <w:iCs w:val="0"/>
                <w:smallCaps w:val="0"/>
                <w:color w:val="000000"/>
                <w:sz w:val="21"/>
                <w:szCs w:val="21"/>
              </w:rPr>
              <w:t xml:space="preserve">（包括响应时间，回访巡检方案、故障解决措施、技术人员保障、备品配件价格等方面）</w:t>
            </w:r>
            <w:r>
              <w:rPr>
                <w:rFonts w:ascii="宋体" w:hAnsi="宋体" w:eastAsia="宋体" w:cs="宋体"/>
                <w:b w:val="0"/>
                <w:bCs w:val="0"/>
                <w:i w:val="0"/>
                <w:iCs w:val="0"/>
                <w:smallCaps w:val="0"/>
                <w:color w:val="000000"/>
                <w:sz w:val="21"/>
                <w:szCs w:val="21"/>
              </w:rPr>
              <w:t xml:space="preserve">、服务方案</w:t>
            </w:r>
            <w:r>
              <w:rPr>
                <w:rFonts w:ascii="宋体" w:hAnsi="宋体" w:eastAsia="宋体" w:cs="宋体"/>
                <w:b/>
                <w:bCs/>
                <w:i w:val="0"/>
                <w:iCs w:val="0"/>
                <w:smallCaps w:val="0"/>
                <w:color w:val="000000"/>
                <w:sz w:val="21"/>
                <w:szCs w:val="21"/>
              </w:rPr>
              <w:t xml:space="preserve">（包括服务网点、维修网点设置情况以及技术人员安排情况等方面）</w:t>
            </w:r>
            <w:r>
              <w:rPr>
                <w:rFonts w:ascii="宋体" w:hAnsi="宋体" w:eastAsia="宋体" w:cs="宋体"/>
                <w:b w:val="0"/>
                <w:bCs w:val="0"/>
                <w:i w:val="0"/>
                <w:iCs w:val="0"/>
                <w:smallCaps w:val="0"/>
                <w:color w:val="000000"/>
                <w:sz w:val="21"/>
                <w:szCs w:val="21"/>
              </w:rPr>
              <w:t xml:space="preserve">等内容综合评审：</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售后方案内容详实、科学、合理，考虑周全，对产品质量管控措施要求全面到位，相关服务承诺内容详实，人员配备齐全，分工明确、岗位设置科学合理，人员配备齐全、零配件配备齐全，技术培训保障完善的得5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2）售后方案内容较详细、较科学合理，对产品质量管控措施要求较到位，相关服务承诺内容具体，人员配备较齐全、零配件配备较齐全、技术培训保障较完善的得3分；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3）售后方案内容简单，产品质量管控措施要求较低，相关服务承诺内容简单，人员配备、零配件保障不完善的得1分；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4）未提供服务方案的不得分。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67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业绩</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供应商所投同类产品在近三年(2023年6月-至投标截止时间前)的业绩。每提供一份有效合同复印件得1分，最高得5分，未提供不得分。提供合同复印件加盖公章，原件备查。</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964" w:hRule="exact"/>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7</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保修期</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（1分）</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满足招标文件“整机5年”免费保修期要求的不得分。在此基础上，每增加一年原厂保修加1分，最高得1分。</w:t>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1</w:t>
            </w:r>
            <w:r/>
          </w:p>
        </w:tc>
      </w:tr>
    </w:tbl>
    <w:p>
      <w:pPr>
        <w:ind w:firstLine="420"/>
        <w:jc w:val="left"/>
        <w:spacing w:before="0" w:after="0" w:line="360" w:lineRule="auto"/>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注意事项：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1.评分办法中所涉及的相关各种资格、资质、证书、证明、业绩合同等材料在投标文件中提供复印件（加盖投标人公章），复印件不清晰时提供原件备查，以供评标委员会评标核实。</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2.为便于评分，请投标供应商按评分表样式，逐条列出证明材料所在页码，格式自定。</w:t>
      </w:r>
      <w:r/>
    </w:p>
    <w:p>
      <w:pPr>
        <w:jc w:val="center"/>
        <w:spacing w:before="0" w:after="0" w:line="288" w:lineRule="auto"/>
        <w:widowControl w:val="off"/>
        <w:rPr>
          <w:rFonts w:ascii="Times New Roman" w:hAnsi="Times New Roman" w:eastAsia="Times New Roman" w:cs="Times New Roman"/>
          <w:sz w:val="36"/>
          <w:szCs w:val="36"/>
        </w:rPr>
      </w:pPr>
      <w:r>
        <w:rPr>
          <w:rFonts w:ascii="Times New Roman" w:hAnsi="Times New Roman" w:eastAsia="Times New Roman" w:cs="Times New Roman"/>
          <w:sz w:val="36"/>
          <w:szCs w:val="36"/>
        </w:rPr>
        <w:br w:type="page" w:clear="all"/>
      </w:r>
      <w:r>
        <w:rPr>
          <w:rFonts w:ascii="黑体" w:hAnsi="黑体" w:eastAsia="黑体" w:cs="黑体"/>
          <w:sz w:val="36"/>
          <w:szCs w:val="36"/>
        </w:rPr>
        <w:t xml:space="preserve">第四章 招标技术规格及要求</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一、配置清单</w:t>
      </w:r>
      <w:r/>
    </w:p>
    <w:tbl>
      <w:tblPr>
        <w:tblStyle w:val="819"/>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45"/>
        <w:gridCol w:w="1622"/>
        <w:gridCol w:w="4093"/>
        <w:gridCol w:w="1514"/>
      </w:tblGrid>
      <w:tr>
        <w:trPr>
          <w:trHeight w:val="283"/>
        </w:trPr>
        <w:tc>
          <w:tcPr>
            <w:tcBorders>
              <w:bottom w:val="single" w:color="000000" w:sz="6" w:space="0"/>
              <w:right w:val="single" w:color="000000" w:sz="6" w:space="0"/>
            </w:tcBorders>
            <w:tcMar>
              <w:left w:w="108" w:type="dxa"/>
              <w:top w:w="8" w:type="dxa"/>
              <w:right w:w="108" w:type="dxa"/>
              <w:bottom w:w="8" w:type="dxa"/>
            </w:tcMar>
            <w:tcW w:w="1508" w:type="dxa"/>
            <w:vAlign w:val="center"/>
            <w:vMerge w:val="restart"/>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sz w:val="21"/>
                <w:szCs w:val="21"/>
                <w:lang w:eastAsia="zh-CN"/>
              </w:rPr>
            </w:pPr>
            <w:r>
              <w:rPr>
                <w:rFonts w:ascii="宋体" w:hAnsi="宋体" w:eastAsia="宋体" w:cs="宋体"/>
                <w:b w:val="0"/>
                <w:bCs w:val="0"/>
                <w:i w:val="0"/>
                <w:iCs w:val="0"/>
                <w:smallCaps w:val="0"/>
                <w:color w:val="000000"/>
                <w:sz w:val="21"/>
                <w:szCs w:val="21"/>
              </w:rPr>
              <w:t xml:space="preserve">骨密度仪</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主机系统</w:t>
            </w:r>
            <w:r/>
          </w:p>
        </w:tc>
        <w:tc>
          <w:tcPr>
            <w:tcBorders>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一套</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标准软件包</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DVA双能椎体评估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矫形髋关节软件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矫形膝关节软件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内脏脂肪分析软件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前臂骨密度测量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手部测量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小动物软件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非典型性股骨骨折</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肌少症</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一键四部位扫描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TBS骨小梁评分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TBS校准体膜</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多用户数据库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电源线</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一根</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电脑键盘</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LED显示器</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一台</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电脑/显示器电源线</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一根</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DICOM协议接口</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HL7协议接口</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彩色打印机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一台</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电脑工作站</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一套</w:t>
            </w:r>
            <w:r/>
          </w:p>
        </w:tc>
      </w:tr>
      <w:tr>
        <w:trPr>
          <w:trHeight w:val="283"/>
        </w:trPr>
        <w:tc>
          <w:tcPr>
            <w:tcBorders>
              <w:bottom w:val="single" w:color="000000" w:sz="6" w:space="0"/>
              <w:right w:val="single" w:color="000000" w:sz="6" w:space="0"/>
            </w:tcBorders>
            <w:tcW w:w="1508"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24</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39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DVD驱动器</w:t>
            </w:r>
            <w:r/>
          </w:p>
        </w:tc>
        <w:tc>
          <w:tcPr>
            <w:tcBorders>
              <w:top w:val="single" w:color="000000" w:sz="6" w:space="0"/>
              <w:left w:val="single" w:color="000000" w:sz="6" w:space="0"/>
            </w:tcBorders>
            <w:tcMar>
              <w:left w:w="108" w:type="dxa"/>
              <w:top w:w="8" w:type="dxa"/>
              <w:right w:w="108" w:type="dxa"/>
              <w:bottom w:w="8" w:type="dxa"/>
            </w:tcMar>
            <w:tcW w:w="147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一个</w:t>
            </w:r>
            <w:r/>
          </w:p>
        </w:tc>
      </w:tr>
    </w:tbl>
    <w:p>
      <w:pPr>
        <w:ind w:firstLine="422"/>
        <w:spacing w:before="0" w:after="0" w:line="360" w:lineRule="auto"/>
        <w:widowControl w:val="off"/>
        <w:rPr>
          <w:rFonts w:ascii="Times New Roman" w:hAnsi="Times New Roman" w:eastAsia="Times New Roman" w:cs="Times New Roman"/>
          <w:sz w:val="21"/>
          <w:szCs w:val="21"/>
        </w:rPr>
      </w:pPr>
      <w:r>
        <w:rPr>
          <w:rFonts w:hint="eastAsia" w:ascii="宋体" w:hAnsi="宋体" w:eastAsia="宋体" w:cs="宋体"/>
          <w:b/>
          <w:bCs/>
          <w:sz w:val="21"/>
          <w:szCs w:val="21"/>
          <w:lang w:val="en-US" w:eastAsia="zh-CN"/>
        </w:rPr>
        <w:t xml:space="preserve">二</w:t>
      </w:r>
      <w:r>
        <w:rPr>
          <w:rFonts w:ascii="宋体" w:hAnsi="宋体" w:eastAsia="宋体" w:cs="宋体"/>
          <w:b/>
          <w:bCs/>
          <w:sz w:val="21"/>
          <w:szCs w:val="21"/>
        </w:rPr>
        <w:t xml:space="preserve">、技术参数</w:t>
      </w:r>
      <w:r/>
    </w:p>
    <w:p>
      <w:pPr>
        <w:ind w:left="40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主要用途：可进行骨密度测定及体成分分析，用于骨质疏松的临床诊断、治疗效果观察、骨折危险性的预测研究，同时可进行肥胖、肌少症等疾病的评估和疗效监测。</w:t>
      </w:r>
      <w:r/>
    </w:p>
    <w:tbl>
      <w:tblPr>
        <w:tblStyle w:val="819"/>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92"/>
        <w:gridCol w:w="993"/>
        <w:gridCol w:w="4196"/>
        <w:gridCol w:w="2593"/>
      </w:tblGrid>
      <w:tr>
        <w:trPr>
          <w:trHeight w:val="260"/>
        </w:trPr>
        <w:tc>
          <w:tcPr>
            <w:tcBorders>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技术参数</w:t>
            </w:r>
            <w:r/>
          </w:p>
        </w:tc>
        <w:tc>
          <w:tcPr>
            <w:tcBorders>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高压发生器及X线源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高压发生器最大工作电压</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固定管电压，≥75kv</w:t>
            </w:r>
            <w:r/>
          </w:p>
        </w:tc>
      </w:tr>
      <w:tr>
        <w:trPr>
          <w:trHeight w:val="287"/>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X射线管电流工作档位</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≥4档</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最小工作电流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≤0.15mA</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双能产生方式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K缘过滤，同时产生高低双能X线，非高低压切换</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X射线扫描线束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窄角扇形</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扇形扫描角度</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≤5°</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球管最大热容量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≥260KJ</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X射线球管最大工作电流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≥3mA</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球管靶角</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探测器</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探测器材质</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光子计数探测器</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DQE</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≥95%</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扫描床</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扫描床大小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长度≥260cm，宽度≥105cm</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最大有效扫描视野</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≥195cmX60cm</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扫描臂沿床体长边运动范围</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≥190cm</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球管焦点到影像接收器的距离</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≤70cm</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探测器纵向运动范围</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≥60cm</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焦点与皮肤之间的距离</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≥25cm</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最大病人承重</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≥150kg</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扫描及定位系统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扫描部位：正/侧位腰椎、单侧/双侧股骨、前臂、全身</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313"/>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扫描时间</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具备快扫模式，腰椎≤10s，髋部≤10s</w:t>
            </w:r>
            <w:r/>
          </w:p>
        </w:tc>
      </w:tr>
      <w:tr>
        <w:trPr>
          <w:trHeight w:val="9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扫描定位器≥6个，包括：正位脊柱定位器、股骨定位器、前臂定位器、侧位脊柱定位器、骨科髋关节定位器、骨科膝关节定位器</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扫描剂量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最小空气入射比释动能</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≤10μGy</w:t>
            </w:r>
            <w:r/>
          </w:p>
        </w:tc>
      </w:tr>
      <w:tr>
        <w:trPr>
          <w:trHeight w:val="2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4.4.2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全身扫描放射剂量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≤0.5μGy</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腰椎、双侧股骨每个部位有至少3种扫描模式，以适应不同体型的患者</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智能自动确定骨边缘</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异常骨密度区域或金属自动排除</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扫描后系统能够自动检测脊柱、髋关节、前臂等部位是否存在摆位异常或是分析异常，并能给出提示和纠正</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质量控制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具备质控模块，可自动质控测试程序及趋势分析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4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5.2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质控模块含大、中、小三种骨密度校准，适合不同人群</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参考数据库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NHANES III骨密度参照数据库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中国人体成分参考数据库，测量的结果可精确到百分位数。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中国儿童骨密度数据库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6.4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中国成人中轴骨骨密度参考数据库：基于投标品牌设备采集的腰椎和髋部骨密度数据所建立，样本量≥10000例。</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具备，提供软件截图</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临床应用功能</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正位腰椎、单侧股骨、双侧股骨、前臂、全身骨密度扫描、评估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自动提供双侧股骨平均骨密度值以及差异分析功能并提供检测联合结果</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进行全身肌肉/脂肪成分分析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精细化体成分分析，分析部位可精确到大腿、小腿、上臂、下臂</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10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可提供静息代谢率、四肢骨骼肌质量指数、体成分Android和Gynoid ROI分析、自动腹臀区域脂肪分析、腹臀脂肪比</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78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脊柱形态学评估，提供双能剪影图，可评估椎体前后柱高度，判断椎体压缩程度，并自动将椎体骨折分为轻度、中度和重度，自动标定椎体畸形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78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人工髋关节置换后的自动扫描、评估，用于人工髋关节置换术后假体周围骨量测量及变化评估，人工髋关节周围划分的评估区个数：≥15个</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118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高级髋关节结构评估功能 ：自动髋关节中轴长度、颈干角、股骨颈及干皮质骨宽度、股骨颈上部骨密度测量测量评估，股骨颈最小横截面积及横贯力矩测量、髋关节强度指数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FRAX十年骨折风险评估软件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7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肌少症评估功能，可单独出具肌少症报告，且能够提供肌少症诊断标准定义工具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428"/>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定量检测分析腹部内脏脂肪组织和皮下脂肪的质量、体积和面积</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 </w:t>
            </w:r>
            <w:r/>
          </w:p>
        </w:tc>
      </w:tr>
      <w:tr>
        <w:trP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7.12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矫形膝关节软件，可进行膝关节假体周围骨密度测量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70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非典型性股骨骨折软件，定量测量股骨侧面皮质骨病灶的厚度，可自定义诊断阈值</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手部测量软件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小动物测量软件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DICOM 协议接口</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HL7协议接口</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具备多用户数据库：可实现同一平台不同设备之间的数据传输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具备TBS骨小梁评分，可进行骨微结构分析，精准糖尿病患者预测骨折风险。</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5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7.20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提供骨骼弹性指数分析，结合BMD和TBS评价骨强度，可提供报告证明。</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主机工作站</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内存：≥8GB、硬盘：≥1TB</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8.2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DVD光驱</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8.3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显示器：≥23英寸液晶显示器</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r>
        <w:trPr>
          <w:trHeight w:val="260"/>
        </w:trPr>
        <w:tc>
          <w:tcPr>
            <w:tcBorders>
              <w:top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8.4</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44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彩色打印机</w:t>
            </w:r>
            <w:r/>
          </w:p>
        </w:tc>
        <w:tc>
          <w:tcPr>
            <w:tcBorders>
              <w:top w:val="single" w:color="000000" w:sz="6" w:space="0"/>
              <w:left w:val="single" w:color="000000" w:sz="6" w:space="0"/>
            </w:tcBorders>
            <w:tcMar>
              <w:left w:w="108" w:type="dxa"/>
              <w:top w:w="8" w:type="dxa"/>
              <w:right w:w="108" w:type="dxa"/>
              <w:bottom w:w="8" w:type="dxa"/>
            </w:tcMar>
            <w:tcW w:w="274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具备</w:t>
            </w:r>
            <w:r/>
          </w:p>
        </w:tc>
      </w:tr>
    </w:tbl>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三、商务要求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（一）交货期（合同履行期限）、交货方式及交货地点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1.交货期（合同履行期限）：签订合同后60个工作日之内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2.交货方式：本合同项下的产品由乙方送至甲方指定的交货地点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3.交货地点：江苏省肿瘤医院</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（二）调试和验收 </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2.乙方交货前应对产品作出全面检查和对验收文件进行整理，并列出清单，作为甲方收货验收和使用的技术条件依据，检验的结果应随货物交甲方。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3.甲方对乙方提供的货物在使用前进行调试时，乙方需负责安装并培训甲方的使用操作人员，并协助甲方一起调试，直到符合技术要求，甲方才做最终验收。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4.对技术复杂的货物，甲方可请国家认可的专业检测机构参与初步验收及最终验收，并由其出具质量检测报告。</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5.验收时乙方必须在现场，验收完毕后作出验收结果报告；验收费用由乙方承担。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（三）货物包装、发运及运输</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1.乙方应在货物发运前对其进行满足运输距离、防潮、防震、防锈和防破损装卸等要求包装，以保证货物安全运达甲方指定地点。</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2.使用说明书、质量检验证明书、随配附件和工具以及清单一并附于货物内。</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3.乙方在货物发运手续办理完毕后24小时内或货到甲方48小时前通知甲方，以准备接货。</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4.货物在交付甲方前发生的风险均由乙方负责。</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5.货物在规定的交付期限内由乙方送达甲方指定的地点视为交付，乙方同时需通知甲方货物已送达。</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注：</w:t>
      </w:r>
      <w:r>
        <w:rPr>
          <w:rFonts w:ascii="宋体" w:hAnsi="宋体" w:eastAsia="宋体" w:cs="宋体"/>
          <w:sz w:val="21"/>
          <w:szCs w:val="21"/>
        </w:rPr>
        <w:t xml:space="preserve">（1）投标人需具有产品的供货组织方案及措施，以及针对该项目做出的合理计划及调配，保证顺利进行，采购人将根据方案进行综合评审；</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（2）投标人需提供特殊应急情况、协助医院因产品问题引起的医疗事故的处理方案、应急响应预案及出现产品质量问题的服务承诺方案，采购人将根据方案及服务承诺进行综合评审。</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（四）培训方案</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1.投标人或生产厂家须免费提供仪器使用方面的各种培训（包括但不限于设备使用前培训和定期培训）。</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2.根据投标人提供的培训方案进行比较，包括是否提供原厂培训，委派人员专业情况、是否可提供现场培训及培训次数等情况进行综合评价。</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（五）售后服务方案</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2.乙方提供的货物在质量期内因货物本身的质量问题发生故障，乙方应负责免费更换。对达不到技术要求者，根据实际情况，经双方协商，可按以下办法处理：</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(1)更换：由乙方承担所发生的全部费用。</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(2)贬值处理：由甲乙双方合议定价。</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(3)退货处理：乙方应退还甲方支付的合同款，同时应承担该货物的直接费用(运输、保险、检验、货款利息及银行手续费等)。</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3.如在使用过程中发生质量问题，乙方在接到甲方质量问题反馈后1小时内响应，</w:t>
      </w:r>
      <w:r>
        <w:rPr>
          <w:rFonts w:ascii="宋体" w:hAnsi="宋体" w:eastAsia="宋体" w:cs="宋体"/>
          <w:sz w:val="21"/>
          <w:szCs w:val="21"/>
          <w:u w:val="single"/>
        </w:rPr>
        <w:t xml:space="preserve">  24  </w:t>
      </w:r>
      <w:r>
        <w:rPr>
          <w:rFonts w:ascii="宋体" w:hAnsi="宋体" w:eastAsia="宋体" w:cs="宋体"/>
          <w:sz w:val="21"/>
          <w:szCs w:val="21"/>
        </w:rPr>
        <w:t xml:space="preserve">小时内到达甲方现场。</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4.在质保期内，乙方应对货物出现的质量及安全问题负责处理解决并承担一切费用。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5.免费提供至少每年2次的上门维修保养服务。</w:t>
      </w:r>
      <w:r/>
    </w:p>
    <w:p>
      <w:pPr>
        <w:ind w:firstLine="40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0"/>
          <w:szCs w:val="20"/>
        </w:rPr>
        <w:t xml:space="preserve">★</w:t>
      </w:r>
      <w:r>
        <w:rPr>
          <w:rFonts w:ascii="宋体" w:hAnsi="宋体" w:eastAsia="宋体" w:cs="宋体"/>
          <w:sz w:val="21"/>
          <w:szCs w:val="21"/>
        </w:rPr>
        <w:t xml:space="preserve">6.上述的货物免费保修期为</w:t>
      </w:r>
      <w:r>
        <w:rPr>
          <w:rFonts w:ascii="宋体" w:hAnsi="宋体" w:eastAsia="宋体" w:cs="宋体"/>
          <w:sz w:val="21"/>
          <w:szCs w:val="21"/>
          <w:u w:val="single"/>
        </w:rPr>
        <w:t xml:space="preserve">   整机5年   </w:t>
      </w:r>
      <w:r>
        <w:rPr>
          <w:rFonts w:ascii="宋体" w:hAnsi="宋体" w:eastAsia="宋体" w:cs="宋体"/>
          <w:sz w:val="21"/>
          <w:szCs w:val="21"/>
        </w:rPr>
        <w:t xml:space="preserve">。超过保修期的机器设备，终生维修，维修时只收部件成本费。</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（六）货款支付</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付款方式:设备验收合格后，由乙方开具发票,凭甲方开具的验收报告支付货款的90%，一年后无售后服务异议支付10%余款(如中小微企业中标，设备验收合格后，由乙方开具发票,甲方在验收合格30日内付合同全款)。</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注：</w:t>
      </w:r>
      <w:r>
        <w:rPr>
          <w:rFonts w:ascii="宋体" w:hAnsi="宋体" w:eastAsia="宋体" w:cs="宋体"/>
          <w:sz w:val="21"/>
          <w:szCs w:val="21"/>
        </w:rPr>
        <w:t xml:space="preserve">投标人需提供完整、可行的售后服务方案，内容包括但不限于：详尽的售后服务计划、售后服务措施及承诺、质保期及范围，售后服务团队等内容，采购人将根据方案及服务承诺进行综合评审。</w:t>
      </w:r>
      <w:r/>
    </w:p>
    <w:p>
      <w:pPr>
        <w:jc w:val="left"/>
        <w:spacing w:before="0" w:after="0" w:line="360" w:lineRule="auto"/>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jc w:val="center"/>
        <w:spacing w:before="0" w:after="0" w:line="288" w:lineRule="auto"/>
        <w:widowControl w:val="off"/>
        <w:rPr>
          <w:rFonts w:ascii="Times New Roman" w:hAnsi="Times New Roman" w:eastAsia="Times New Roman" w:cs="Times New Roman"/>
          <w:sz w:val="36"/>
          <w:szCs w:val="36"/>
        </w:rPr>
      </w:pPr>
      <w:r>
        <w:rPr>
          <w:rFonts w:ascii="Times New Roman" w:hAnsi="Times New Roman" w:eastAsia="Times New Roman" w:cs="Times New Roman"/>
          <w:sz w:val="36"/>
          <w:szCs w:val="36"/>
        </w:rPr>
        <w:br w:type="page" w:clear="all"/>
      </w:r>
      <w:r>
        <w:rPr>
          <w:rFonts w:ascii="黑体" w:hAnsi="黑体" w:eastAsia="黑体" w:cs="黑体"/>
          <w:sz w:val="36"/>
          <w:szCs w:val="36"/>
        </w:rPr>
        <w:t xml:space="preserve">第五章 合同草案条款</w:t>
      </w:r>
      <w:r/>
    </w:p>
    <w:p>
      <w:pPr>
        <w:jc w:val="center"/>
        <w:spacing w:before="0" w:after="29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（参考格式，本合同内容条款在正式签署前可具体补充细化，最终合同以采购人查通过的版本为准）</w:t>
      </w:r>
      <w:r/>
    </w:p>
    <w:p>
      <w:pPr>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                     合同编号</w:t>
      </w:r>
      <w:r>
        <w:rPr>
          <w:rFonts w:ascii="宋体" w:hAnsi="宋体" w:eastAsia="宋体" w:cs="宋体"/>
          <w:sz w:val="21"/>
          <w:szCs w:val="21"/>
          <w:u w:val="single"/>
        </w:rPr>
        <w:t xml:space="preserve">        </w:t>
      </w:r>
      <w:r>
        <w:rPr>
          <w:rFonts w:ascii="宋体" w:hAnsi="宋体" w:eastAsia="宋体" w:cs="宋体"/>
          <w:b/>
          <w:bCs/>
          <w:sz w:val="21"/>
          <w:szCs w:val="21"/>
        </w:rPr>
        <w:t xml:space="preserve">审</w:t>
      </w:r>
      <w:r>
        <w:rPr>
          <w:rFonts w:ascii="宋体" w:hAnsi="宋体" w:eastAsia="宋体" w:cs="宋体"/>
          <w:sz w:val="21"/>
          <w:szCs w:val="21"/>
          <w:u w:val="single"/>
        </w:rPr>
        <w:t xml:space="preserve">        </w:t>
      </w:r>
      <w:r>
        <w:rPr>
          <w:rFonts w:ascii="宋体" w:hAnsi="宋体" w:eastAsia="宋体" w:cs="宋体"/>
          <w:color w:val="ff0000"/>
          <w:sz w:val="21"/>
          <w:szCs w:val="21"/>
        </w:rPr>
        <w:t xml:space="preserve"> </w:t>
      </w:r>
      <w:r/>
    </w:p>
    <w:p>
      <w:pPr>
        <w:jc w:val="center"/>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江苏省肿瘤医院采购合同(货物)</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甲方：江苏省肿瘤防治研究所(江苏省肿瘤医院)</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乙方：</w:t>
      </w:r>
      <w:r>
        <w:rPr>
          <w:rFonts w:ascii="宋体" w:hAnsi="宋体" w:eastAsia="宋体" w:cs="宋体"/>
          <w:sz w:val="21"/>
          <w:szCs w:val="21"/>
          <w:u w:val="single"/>
        </w:rPr>
        <w:t xml:space="preserve">                        </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 </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依据(中华人民共和国民法典》、《中华人民共和国政府采购法》等有关法律法规以及《江苏省肿瘤医院合同管理制度》，遵循平等、自愿、公平和诚实信用的原则，经2026年</w:t>
      </w:r>
      <w:r>
        <w:rPr>
          <w:rFonts w:ascii="宋体" w:hAnsi="宋体" w:eastAsia="宋体" w:cs="宋体"/>
          <w:sz w:val="21"/>
          <w:szCs w:val="21"/>
          <w:u w:val="single"/>
        </w:rPr>
        <w:t xml:space="preserve">    </w:t>
      </w:r>
      <w:r>
        <w:rPr>
          <w:rFonts w:ascii="宋体" w:hAnsi="宋体" w:eastAsia="宋体" w:cs="宋体"/>
          <w:sz w:val="21"/>
          <w:szCs w:val="21"/>
        </w:rPr>
        <w:t xml:space="preserve">月</w:t>
      </w:r>
      <w:r>
        <w:rPr>
          <w:rFonts w:ascii="宋体" w:hAnsi="宋体" w:eastAsia="宋体" w:cs="宋体"/>
          <w:sz w:val="21"/>
          <w:szCs w:val="21"/>
          <w:u w:val="single"/>
        </w:rPr>
        <w:t xml:space="preserve">    </w:t>
      </w:r>
      <w:r>
        <w:rPr>
          <w:rFonts w:ascii="宋体" w:hAnsi="宋体" w:eastAsia="宋体" w:cs="宋体"/>
          <w:sz w:val="21"/>
          <w:szCs w:val="21"/>
        </w:rPr>
        <w:t xml:space="preserve">日招标代理公司名称</w:t>
      </w:r>
      <w:r>
        <w:rPr>
          <w:rFonts w:ascii="宋体" w:hAnsi="宋体" w:eastAsia="宋体" w:cs="宋体"/>
          <w:sz w:val="21"/>
          <w:szCs w:val="21"/>
          <w:u w:val="single"/>
        </w:rPr>
        <w:t xml:space="preserve">苏美达国际技术贸易有限公司</w:t>
      </w:r>
      <w:r>
        <w:rPr>
          <w:rFonts w:ascii="宋体" w:hAnsi="宋体" w:eastAsia="宋体" w:cs="宋体"/>
          <w:sz w:val="21"/>
          <w:szCs w:val="21"/>
        </w:rPr>
        <w:t xml:space="preserve">公开招标(项目编号:</w:t>
      </w:r>
      <w:r>
        <w:rPr>
          <w:rFonts w:ascii="宋体" w:hAnsi="宋体" w:eastAsia="宋体" w:cs="宋体"/>
          <w:sz w:val="21"/>
          <w:szCs w:val="21"/>
          <w:u w:val="single"/>
        </w:rPr>
        <w:t xml:space="preserve">         </w:t>
      </w:r>
      <w:r>
        <w:rPr>
          <w:rFonts w:ascii="宋体" w:hAnsi="宋体" w:eastAsia="宋体" w:cs="宋体"/>
          <w:sz w:val="21"/>
          <w:szCs w:val="21"/>
        </w:rPr>
        <w:t xml:space="preserve">)，就甲方向乙方购买</w:t>
      </w:r>
      <w:r>
        <w:rPr>
          <w:rFonts w:ascii="宋体" w:hAnsi="宋体" w:eastAsia="宋体" w:cs="宋体"/>
          <w:sz w:val="21"/>
          <w:szCs w:val="21"/>
          <w:u w:val="single"/>
        </w:rPr>
        <w:t xml:space="preserve">骨密度仪</w:t>
      </w:r>
      <w:r>
        <w:rPr>
          <w:rFonts w:ascii="宋体" w:hAnsi="宋体" w:eastAsia="宋体" w:cs="宋体"/>
          <w:sz w:val="21"/>
          <w:szCs w:val="21"/>
        </w:rPr>
        <w:t xml:space="preserve">，制定本合同。 </w:t>
      </w:r>
      <w:r>
        <w:rPr>
          <w:rFonts w:ascii="宋体" w:hAnsi="宋体" w:eastAsia="宋体" w:cs="宋体"/>
          <w:sz w:val="21"/>
          <w:szCs w:val="21"/>
        </w:rPr>
        <w:br/>
      </w:r>
      <w:r>
        <w:rPr>
          <w:rFonts w:ascii="宋体" w:hAnsi="宋体" w:eastAsia="宋体" w:cs="宋体"/>
          <w:sz w:val="21"/>
          <w:szCs w:val="21"/>
        </w:rPr>
        <w:t xml:space="preserve">    </w:t>
      </w:r>
      <w:r>
        <w:rPr>
          <w:rFonts w:ascii="宋体" w:hAnsi="宋体" w:eastAsia="宋体" w:cs="宋体"/>
          <w:b/>
          <w:bCs/>
          <w:sz w:val="21"/>
          <w:szCs w:val="21"/>
        </w:rPr>
        <w:t xml:space="preserve">一、货物内容</w:t>
      </w:r>
      <w:r/>
    </w:p>
    <w:tbl>
      <w:tblPr>
        <w:tblStyle w:val="819"/>
        <w:tblpPr w:horzAnchor="text" w:tblpXSpec="left" w:vertAnchor="text" w:tblpY="1" w:leftFromText="180" w:topFromText="0" w:rightFromText="180" w:bottomFromText="0"/>
        <w:tblW w:w="474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2"/>
        <w:gridCol w:w="737"/>
        <w:gridCol w:w="825"/>
        <w:gridCol w:w="875"/>
        <w:gridCol w:w="713"/>
        <w:gridCol w:w="850"/>
        <w:gridCol w:w="1525"/>
        <w:gridCol w:w="1775"/>
        <w:gridCol w:w="762"/>
      </w:tblGrid>
      <w:tr>
        <w:trPr>
          <w:trHeight w:val="552"/>
        </w:trPr>
        <w:tc>
          <w:tcPr>
            <w:tcBorders>
              <w:bottom w:val="single" w:color="000000" w:sz="6" w:space="0"/>
              <w:right w:val="single" w:color="000000" w:sz="6" w:space="0"/>
            </w:tcBorders>
            <w:tcMar>
              <w:left w:w="108" w:type="dxa"/>
              <w:top w:w="8" w:type="dxa"/>
              <w:right w:w="108" w:type="dxa"/>
              <w:bottom w:w="8" w:type="dxa"/>
            </w:tcMar>
            <w:tcW w:w="71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37"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2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7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单价</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13"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5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金额</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2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医疗器械注册证编号</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7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医疗器械注册人</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（备案人）名称</w:t>
            </w:r>
            <w:r/>
          </w:p>
        </w:tc>
        <w:tc>
          <w:tcPr>
            <w:tcBorders>
              <w:left w:val="single" w:color="000000" w:sz="6" w:space="0"/>
              <w:bottom w:val="single" w:color="000000" w:sz="6" w:space="0"/>
            </w:tcBorders>
            <w:tcMar>
              <w:left w:w="108" w:type="dxa"/>
              <w:top w:w="8" w:type="dxa"/>
              <w:right w:w="108" w:type="dxa"/>
              <w:bottom w:w="8" w:type="dxa"/>
            </w:tcMar>
            <w:tcW w:w="76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备注</w:t>
            </w:r>
            <w:r/>
          </w:p>
        </w:tc>
      </w:tr>
      <w:tr>
        <w:trPr>
          <w:trHeight w:val="514"/>
        </w:trPr>
        <w:tc>
          <w:tcPr>
            <w:tcBorders>
              <w:top w:val="single" w:color="000000" w:sz="6" w:space="0"/>
              <w:right w:val="single" w:color="000000" w:sz="6" w:space="0"/>
            </w:tcBorders>
            <w:tcMar>
              <w:left w:w="108" w:type="dxa"/>
              <w:top w:w="8" w:type="dxa"/>
              <w:right w:w="108" w:type="dxa"/>
              <w:bottom w:w="8" w:type="dxa"/>
            </w:tcMar>
            <w:tcW w:w="712"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737"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25"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75"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713"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50"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25"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75"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tcBorders>
            <w:tcMar>
              <w:left w:w="108" w:type="dxa"/>
              <w:top w:w="8" w:type="dxa"/>
              <w:right w:w="108" w:type="dxa"/>
              <w:bottom w:w="8" w:type="dxa"/>
            </w:tcMar>
            <w:tcW w:w="762"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bl>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二、合同金额</w:t>
      </w:r>
      <w:r>
        <w:rPr>
          <w:rFonts w:ascii="宋体" w:hAnsi="宋体" w:eastAsia="宋体" w:cs="宋体"/>
          <w:b/>
          <w:bCs/>
          <w:sz w:val="21"/>
          <w:szCs w:val="21"/>
        </w:rPr>
        <w:br/>
      </w:r>
      <w:r>
        <w:rPr>
          <w:rFonts w:ascii="宋体" w:hAnsi="宋体" w:eastAsia="宋体" w:cs="宋体"/>
          <w:sz w:val="21"/>
          <w:szCs w:val="21"/>
        </w:rPr>
        <w:t xml:space="preserve">2.1本合同金额为人民币(大写)：</w:t>
      </w:r>
      <w:r>
        <w:rPr>
          <w:rFonts w:ascii="宋体" w:hAnsi="宋体" w:eastAsia="宋体" w:cs="宋体"/>
          <w:sz w:val="21"/>
          <w:szCs w:val="21"/>
          <w:u w:val="single"/>
        </w:rPr>
        <w:t xml:space="preserve">         </w:t>
      </w:r>
      <w:r>
        <w:rPr>
          <w:rFonts w:ascii="宋体" w:hAnsi="宋体" w:eastAsia="宋体" w:cs="宋体"/>
          <w:sz w:val="21"/>
          <w:szCs w:val="21"/>
        </w:rPr>
        <w:t xml:space="preserve">（小写：￥</w:t>
      </w:r>
      <w:r>
        <w:rPr>
          <w:rFonts w:ascii="宋体" w:hAnsi="宋体" w:eastAsia="宋体" w:cs="宋体"/>
          <w:sz w:val="21"/>
          <w:szCs w:val="21"/>
          <w:u w:val="single"/>
        </w:rPr>
        <w:t xml:space="preserve">          </w:t>
      </w:r>
      <w:r>
        <w:rPr>
          <w:rFonts w:ascii="宋体" w:hAnsi="宋体" w:eastAsia="宋体" w:cs="宋体"/>
          <w:sz w:val="21"/>
          <w:szCs w:val="21"/>
        </w:rPr>
        <w:t xml:space="preserve">）</w:t>
      </w:r>
      <w:r>
        <w:rPr>
          <w:rFonts w:ascii="宋体" w:hAnsi="宋体" w:eastAsia="宋体" w:cs="宋体"/>
          <w:sz w:val="21"/>
          <w:szCs w:val="21"/>
        </w:rPr>
        <w:br/>
      </w:r>
      <w:r>
        <w:rPr>
          <w:rFonts w:ascii="宋体" w:hAnsi="宋体" w:eastAsia="宋体" w:cs="宋体"/>
          <w:b/>
          <w:bCs/>
          <w:sz w:val="21"/>
          <w:szCs w:val="21"/>
        </w:rPr>
        <w:t xml:space="preserve">三、技术资料</w:t>
      </w:r>
      <w:r>
        <w:rPr>
          <w:rFonts w:ascii="宋体" w:hAnsi="宋体" w:eastAsia="宋体" w:cs="宋体"/>
          <w:sz w:val="21"/>
          <w:szCs w:val="21"/>
        </w:rPr>
        <w:t xml:space="preserve">  </w:t>
      </w:r>
      <w:r>
        <w:rPr>
          <w:rFonts w:ascii="宋体" w:hAnsi="宋体" w:eastAsia="宋体" w:cs="宋体"/>
          <w:sz w:val="21"/>
          <w:szCs w:val="21"/>
        </w:rPr>
        <w:br/>
      </w:r>
      <w:r>
        <w:rPr>
          <w:rFonts w:ascii="宋体" w:hAnsi="宋体" w:eastAsia="宋体" w:cs="宋体"/>
          <w:sz w:val="21"/>
          <w:szCs w:val="21"/>
        </w:rPr>
        <w:t xml:space="preserve">3.1乙方应按招标文件规定的时间向甲方提供使用货物的有关技术资料。</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p>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四、知识产权</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4.1乙方应保证甲方在使用、接受本合同货物和服务或其任何一部分时不受第 三方提出侵犯其专利权、版权、商标权和工业设计权等知识产权的起诉。一旦出现侵权，由乙方负全部责任。</w:t>
      </w:r>
      <w:r>
        <w:rPr>
          <w:rFonts w:ascii="宋体" w:hAnsi="宋体" w:eastAsia="宋体" w:cs="宋体"/>
          <w:sz w:val="21"/>
          <w:szCs w:val="21"/>
        </w:rPr>
        <w:br/>
      </w:r>
      <w:r>
        <w:rPr>
          <w:rFonts w:ascii="宋体" w:hAnsi="宋体" w:eastAsia="宋体" w:cs="宋体"/>
          <w:sz w:val="21"/>
          <w:szCs w:val="21"/>
        </w:rPr>
        <w:t xml:space="preserve">   </w:t>
      </w:r>
      <w:r>
        <w:rPr>
          <w:rFonts w:ascii="宋体" w:hAnsi="宋体" w:eastAsia="宋体" w:cs="宋体"/>
          <w:b/>
          <w:bCs/>
          <w:sz w:val="21"/>
          <w:szCs w:val="21"/>
        </w:rPr>
        <w:t xml:space="preserve">五、产权担保</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5.1乙方保证所交付的货物的所有权完全属于乙方且无任何抵押、查封等产权瑕疵。</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六、履约保证金</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6.1乙方交纳人民币</w:t>
      </w:r>
      <w:r>
        <w:rPr>
          <w:rFonts w:ascii="宋体" w:hAnsi="宋体" w:eastAsia="宋体" w:cs="宋体"/>
          <w:sz w:val="21"/>
          <w:szCs w:val="21"/>
          <w:u w:val="single"/>
        </w:rPr>
        <w:t xml:space="preserve">         </w:t>
      </w:r>
      <w:r>
        <w:rPr>
          <w:rFonts w:ascii="宋体" w:hAnsi="宋体" w:eastAsia="宋体" w:cs="宋体"/>
          <w:sz w:val="21"/>
          <w:szCs w:val="21"/>
        </w:rPr>
        <w:t xml:space="preserve">元作为本合同的履约保证金。</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七、转包或分包</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7.1本合同范围的货物，应由乙方直接供应，不得转让他人供应；</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7.2除非得到甲方的书面同意，乙方不得部分分包给他人供应。</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7.3如有转让和未经甲方同意的分包行为，甲方有权给予终止合同。</w:t>
      </w:r>
      <w:r/>
    </w:p>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八、质保期</w:t>
      </w:r>
      <w:r>
        <w:rPr>
          <w:rFonts w:ascii="宋体" w:hAnsi="宋体" w:eastAsia="宋体" w:cs="宋体"/>
          <w:b/>
          <w:bCs/>
          <w:sz w:val="21"/>
          <w:szCs w:val="21"/>
        </w:rPr>
        <w:br/>
      </w:r>
      <w:r>
        <w:rPr>
          <w:rFonts w:ascii="宋体" w:hAnsi="宋体" w:eastAsia="宋体" w:cs="宋体"/>
          <w:sz w:val="21"/>
          <w:szCs w:val="21"/>
        </w:rPr>
        <w:t xml:space="preserve">8.1质保期为</w:t>
      </w:r>
      <w:r>
        <w:rPr>
          <w:rFonts w:ascii="宋体" w:hAnsi="宋体" w:eastAsia="宋体" w:cs="宋体"/>
          <w:sz w:val="21"/>
          <w:szCs w:val="21"/>
          <w:u w:val="single"/>
        </w:rPr>
        <w:t xml:space="preserve">                </w:t>
      </w:r>
      <w:r>
        <w:rPr>
          <w:rFonts w:ascii="宋体" w:hAnsi="宋体" w:eastAsia="宋体" w:cs="宋体"/>
          <w:sz w:val="21"/>
          <w:szCs w:val="21"/>
        </w:rPr>
        <w:t xml:space="preserve"> 。 (自交货验收合格之日起计)</w:t>
      </w:r>
      <w:r/>
    </w:p>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九、交货期、交货方式及交货地点</w:t>
      </w:r>
      <w:r>
        <w:rPr>
          <w:rFonts w:ascii="宋体" w:hAnsi="宋体" w:eastAsia="宋体" w:cs="宋体"/>
          <w:b/>
          <w:bCs/>
          <w:sz w:val="21"/>
          <w:szCs w:val="21"/>
        </w:rPr>
        <w:br/>
      </w:r>
      <w:r>
        <w:rPr>
          <w:rFonts w:ascii="宋体" w:hAnsi="宋体" w:eastAsia="宋体" w:cs="宋体"/>
          <w:sz w:val="21"/>
          <w:szCs w:val="21"/>
        </w:rPr>
        <w:t xml:space="preserve">9.1交货期：签订合同后</w:t>
      </w:r>
      <w:r>
        <w:rPr>
          <w:rFonts w:ascii="宋体" w:hAnsi="宋体" w:eastAsia="宋体" w:cs="宋体"/>
          <w:sz w:val="21"/>
          <w:szCs w:val="21"/>
          <w:u w:val="single"/>
        </w:rPr>
        <w:t xml:space="preserve">         </w:t>
      </w:r>
      <w:r>
        <w:rPr>
          <w:rFonts w:ascii="宋体" w:hAnsi="宋体" w:eastAsia="宋体" w:cs="宋体"/>
          <w:sz w:val="21"/>
          <w:szCs w:val="21"/>
        </w:rPr>
        <w:t xml:space="preserve">个工作日</w:t>
      </w:r>
      <w:r>
        <w:rPr>
          <w:rFonts w:ascii="宋体" w:hAnsi="宋体" w:eastAsia="宋体" w:cs="宋体"/>
          <w:sz w:val="21"/>
          <w:szCs w:val="21"/>
        </w:rPr>
        <w:br/>
      </w:r>
      <w:r>
        <w:rPr>
          <w:rFonts w:ascii="宋体" w:hAnsi="宋体" w:eastAsia="宋体" w:cs="宋体"/>
          <w:sz w:val="21"/>
          <w:szCs w:val="21"/>
        </w:rPr>
        <w:t xml:space="preserve">9.2交货方式：本合同项下的产品由乙方送至甲方指定的交货地点 </w:t>
      </w:r>
      <w:r>
        <w:rPr>
          <w:rFonts w:ascii="宋体" w:hAnsi="宋体" w:eastAsia="宋体" w:cs="宋体"/>
          <w:sz w:val="21"/>
          <w:szCs w:val="21"/>
        </w:rPr>
        <w:br/>
      </w:r>
      <w:r>
        <w:rPr>
          <w:rFonts w:ascii="宋体" w:hAnsi="宋体" w:eastAsia="宋体" w:cs="宋体"/>
          <w:sz w:val="21"/>
          <w:szCs w:val="21"/>
        </w:rPr>
        <w:t xml:space="preserve">9.3交货地点：江苏省肿瘤医院</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十、货款支付</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 10.1采购资金的支付方式、时间及条件：</w:t>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17"/>
        <w:gridCol w:w="1693"/>
        <w:gridCol w:w="1711"/>
        <w:gridCol w:w="1498"/>
        <w:gridCol w:w="2555"/>
      </w:tblGrid>
      <w:tr>
        <w:trPr>
          <w:jc w:val="center"/>
        </w:trPr>
        <w:tc>
          <w:tcPr>
            <w:tcBorders>
              <w:bottom w:val="single" w:color="000000" w:sz="6" w:space="0"/>
              <w:right w:val="single" w:color="000000" w:sz="6" w:space="0"/>
            </w:tcBorders>
            <w:tcMar>
              <w:left w:w="108" w:type="dxa"/>
              <w:top w:w="8" w:type="dxa"/>
              <w:right w:w="108" w:type="dxa"/>
              <w:bottom w:w="8" w:type="dxa"/>
            </w:tcMar>
            <w:tcW w:w="1286"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52"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7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62"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付款比例</w:t>
            </w:r>
            <w:r/>
          </w:p>
        </w:tc>
        <w:tc>
          <w:tcPr>
            <w:tcBorders>
              <w:left w:val="single" w:color="000000" w:sz="6" w:space="0"/>
              <w:bottom w:val="single" w:color="000000" w:sz="6" w:space="0"/>
            </w:tcBorders>
            <w:tcMar>
              <w:left w:w="108" w:type="dxa"/>
              <w:top w:w="8" w:type="dxa"/>
              <w:right w:w="108" w:type="dxa"/>
              <w:bottom w:w="8" w:type="dxa"/>
            </w:tcMar>
            <w:tcW w:w="249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286" w:type="dxa"/>
            <w:vAlign w:val="top"/>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52" w:type="dxa"/>
            <w:vAlign w:val="top"/>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70" w:type="dxa"/>
            <w:vAlign w:val="top"/>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462" w:type="dxa"/>
            <w:vAlign w:val="top"/>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Borders>
              <w:top w:val="single" w:color="000000" w:sz="6" w:space="0"/>
              <w:left w:val="single" w:color="000000" w:sz="6" w:space="0"/>
            </w:tcBorders>
            <w:tcMar>
              <w:left w:w="108" w:type="dxa"/>
              <w:top w:w="8" w:type="dxa"/>
              <w:right w:w="108" w:type="dxa"/>
              <w:bottom w:w="8" w:type="dxa"/>
            </w:tcMar>
            <w:tcW w:w="2494" w:type="dxa"/>
            <w:vAlign w:val="top"/>
            <w:textDirection w:val="lrTb"/>
            <w:noWrap w:val="false"/>
          </w:tcPr>
          <w:p>
            <w:pPr>
              <w:ind w:firstLine="420"/>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bl>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10.2当采购数量与实际使用数量不一致时，乙方应根据实际使用量供货，合同的最终结算金额按实际使用量乘以成交单价进行计算。</w:t>
      </w:r>
      <w:r/>
    </w:p>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十一、税</w:t>
      </w:r>
      <w:r>
        <w:rPr>
          <w:rFonts w:ascii="宋体" w:hAnsi="宋体" w:eastAsia="宋体" w:cs="宋体"/>
          <w:b/>
          <w:bCs/>
          <w:sz w:val="21"/>
          <w:szCs w:val="21"/>
        </w:rPr>
        <w:br/>
      </w:r>
      <w:r>
        <w:rPr>
          <w:rFonts w:ascii="宋体" w:hAnsi="宋体" w:eastAsia="宋体" w:cs="宋体"/>
          <w:sz w:val="21"/>
          <w:szCs w:val="21"/>
        </w:rPr>
        <w:t xml:space="preserve">11.1本合同执行中相关的一切税费均由乙方负担。</w:t>
      </w:r>
      <w:r/>
    </w:p>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十二、质量保证及售后服务</w:t>
      </w:r>
      <w:r>
        <w:rPr>
          <w:rFonts w:ascii="宋体" w:hAnsi="宋体" w:eastAsia="宋体" w:cs="宋体"/>
          <w:b/>
          <w:bCs/>
          <w:sz w:val="21"/>
          <w:szCs w:val="21"/>
        </w:rPr>
        <w:br/>
      </w:r>
      <w:r>
        <w:rPr>
          <w:rFonts w:ascii="宋体" w:hAnsi="宋体" w:eastAsia="宋体" w:cs="宋体"/>
          <w:sz w:val="21"/>
          <w:szCs w:val="21"/>
        </w:rPr>
        <w:t xml:space="preserve">12.1乙方应按招标文件规定的货物性能、技术要求、质量标准向甲方提供未经使用的全新产品。如采购事项未通过招投标的，应当在合同或者合同附件中明确相关验收、质量、技术标准等。</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12.2乙方提供的货物在质量期内因货物本身的质量问题发生故障，乙方应负责免费更换。对达不到技术要求者，根据实际情况，经双方协商，可按以下办法处理：</w:t>
      </w:r>
      <w:r>
        <w:rPr>
          <w:rFonts w:ascii="宋体" w:hAnsi="宋体" w:eastAsia="宋体" w:cs="宋体"/>
          <w:sz w:val="21"/>
          <w:szCs w:val="21"/>
        </w:rPr>
        <w:br/>
      </w:r>
      <w:r>
        <w:rPr>
          <w:rFonts w:ascii="宋体" w:hAnsi="宋体" w:eastAsia="宋体" w:cs="宋体"/>
          <w:sz w:val="21"/>
          <w:szCs w:val="21"/>
        </w:rPr>
        <w:t xml:space="preserve">    (1)更换：由乙方承担所发生的全部费用。</w:t>
      </w:r>
      <w:r>
        <w:rPr>
          <w:rFonts w:ascii="宋体" w:hAnsi="宋体" w:eastAsia="宋体" w:cs="宋体"/>
          <w:sz w:val="21"/>
          <w:szCs w:val="21"/>
        </w:rPr>
        <w:br/>
      </w:r>
      <w:r>
        <w:rPr>
          <w:rFonts w:ascii="宋体" w:hAnsi="宋体" w:eastAsia="宋体" w:cs="宋体"/>
          <w:sz w:val="21"/>
          <w:szCs w:val="21"/>
        </w:rPr>
        <w:t xml:space="preserve">    (2)贬值处理：由甲乙双方合议定价。</w:t>
      </w:r>
      <w:r>
        <w:rPr>
          <w:rFonts w:ascii="宋体" w:hAnsi="宋体" w:eastAsia="宋体" w:cs="宋体"/>
          <w:sz w:val="21"/>
          <w:szCs w:val="21"/>
        </w:rPr>
        <w:br/>
      </w:r>
      <w:r>
        <w:rPr>
          <w:rFonts w:ascii="宋体" w:hAnsi="宋体" w:eastAsia="宋体" w:cs="宋体"/>
          <w:sz w:val="21"/>
          <w:szCs w:val="21"/>
        </w:rPr>
        <w:t xml:space="preserve">    (3)退货处理：乙方应退还甲方支付的合同款，同时应承担该货物的直接费用(运输、保险、检验、货款利息及银行手续费等)。</w:t>
      </w:r>
      <w:r>
        <w:rPr>
          <w:rFonts w:ascii="宋体" w:hAnsi="宋体" w:eastAsia="宋体" w:cs="宋体"/>
          <w:sz w:val="21"/>
          <w:szCs w:val="21"/>
        </w:rPr>
        <w:br/>
      </w:r>
      <w:r>
        <w:rPr>
          <w:rFonts w:ascii="宋体" w:hAnsi="宋体" w:eastAsia="宋体" w:cs="宋体"/>
          <w:sz w:val="21"/>
          <w:szCs w:val="21"/>
        </w:rPr>
        <w:t xml:space="preserve">   12.3如在使用过程中发生质量问题，乙方在接到甲方通知后在</w:t>
      </w:r>
      <w:r>
        <w:rPr>
          <w:rFonts w:ascii="宋体" w:hAnsi="宋体" w:eastAsia="宋体" w:cs="宋体"/>
          <w:sz w:val="21"/>
          <w:szCs w:val="21"/>
          <w:u w:val="single"/>
        </w:rPr>
        <w:t xml:space="preserve">      </w:t>
      </w:r>
      <w:r>
        <w:rPr>
          <w:rFonts w:ascii="宋体" w:hAnsi="宋体" w:eastAsia="宋体" w:cs="宋体"/>
          <w:sz w:val="21"/>
          <w:szCs w:val="21"/>
        </w:rPr>
        <w:t xml:space="preserve">小时内到达甲方现场。</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12.4在质保期内，乙方应对货物出现的质量及安全问题负责处理解决并承担一切费用。</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12.5上述的货物免费保修期为</w:t>
      </w:r>
      <w:r>
        <w:rPr>
          <w:rFonts w:ascii="宋体" w:hAnsi="宋体" w:eastAsia="宋体" w:cs="宋体"/>
          <w:sz w:val="21"/>
          <w:szCs w:val="21"/>
          <w:u w:val="single"/>
        </w:rPr>
        <w:t xml:space="preserve">             </w:t>
      </w:r>
      <w:r>
        <w:rPr>
          <w:rFonts w:ascii="宋体" w:hAnsi="宋体" w:eastAsia="宋体" w:cs="宋体"/>
          <w:sz w:val="21"/>
          <w:szCs w:val="21"/>
        </w:rPr>
        <w:t xml:space="preserve">。超过保修期的机器设备，终生维修，维修时只收部件成本费。</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十三、调试和验收 </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13.1甲方对乙方提交的货物依据招标文件上的技术规格要求和国家有关质量标准进行现场初步验收，外观、说明书符合招标文件技术要求的，给予签收，初步验收不合格的不予签收。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13.2乙方交货前应对产品作出全面检查和对验收文件进行整理，并列出清单，作为甲方收货验收和使用的技术条件依据，检验的结果应随货物交甲方。</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13.3甲方对乙方提供的货物在使用前进行调试时，乙方需负责安装并培训甲方的使用操作人员，并协助甲方一起调试，直到符合技术要求，甲方才做最终验收。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13.4对技术复杂的货物，甲方可请国家认可的专业检测机构参与初步验收及最终验收，并由其出具质量检测报告。</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13.5验收时乙方必须在现场，验收完毕后作出验收结果报告；验收费用由甲乙双方协商解决。</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十四、货物包装、发运及运输</w:t>
      </w:r>
      <w:r>
        <w:rPr>
          <w:rFonts w:ascii="宋体" w:hAnsi="宋体" w:eastAsia="宋体" w:cs="宋体"/>
          <w:b/>
          <w:bCs/>
          <w:sz w:val="21"/>
          <w:szCs w:val="21"/>
        </w:rPr>
        <w:br/>
      </w:r>
      <w:r>
        <w:rPr>
          <w:rFonts w:ascii="宋体" w:hAnsi="宋体" w:eastAsia="宋体" w:cs="宋体"/>
          <w:sz w:val="21"/>
          <w:szCs w:val="21"/>
        </w:rPr>
        <w:t xml:space="preserve">14.1乙方应在货物发运前对其进行满足运输距离、防潮、防震、防锈和防破损装卸等要求包装，以保证货物安全运达甲方指定地点。</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14.2使用说明书、质量检验证明书、随配附件和工具以及清单一并附于货物内。</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14.3乙方在货物发运手续办理完毕后24小时内或货到甲方48小时前通知甲方，以准备接货。</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14.4货物在交付甲方前发生的风险均由乙方负责</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14.5货物在规定的交付期限内由乙方送达甲方指定的地点视为交付，乙方同时需通知甲方货物已送达。</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十五、违约责任</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15.2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416"/>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十六、不可抗力事件处理</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16.1在合同有效期内，任何一方因不可抗力事件导致不能履行合同，则合同履期可延长，其延长期与不可抗力影响期相同。</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16.2不可抗力事件发生后，应立即通知对方，并寄送有关权威机构出具的证明。</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16.3不可抗力事件延续120天以上，双方应通过友好协商，确定是否继续履行合同。</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十七、诉讼</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17.1双方在执行合同中所发生的一切争议，应通过协商解决。如协商不成，可向合同签订地法院起诉，合同签订地在此约定为南京市玄武区。</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十八、责任条款</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十九、合同生效及其它</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19.1 本合同是根据(中华人民共和国民法典》、《中华人民共和国政府采购法》等有关法律法规和《江苏省肿瘤医院合同管理制度》以及与甲、乙双方的招投标文件签订。</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19.2 与本次采购活动相关的文件及有关附件是本合同不可分割的组成部分，与本合同具有同等法律效力，这些文件包括但不限于：</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（1）合同变更、补充协议；         （2）服务一览表；</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（3）中标（成交）通知书；         （4）投标（响应）文件；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（5）采购文件；             （6）有关技术文件，图纸件；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（7）进口产品的产品报关单；         （8）国家法律、行政法规和规章制度规定或合同约定的作为合同组成部分的其他文件。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19.3本合同未尽事宜，遵照《民法典》有关条文执行。</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19.4本协议一式</w:t>
      </w:r>
      <w:r>
        <w:rPr>
          <w:rFonts w:ascii="宋体" w:hAnsi="宋体" w:eastAsia="宋体" w:cs="宋体"/>
          <w:sz w:val="21"/>
          <w:szCs w:val="21"/>
          <w:u w:val="single"/>
        </w:rPr>
        <w:t xml:space="preserve">          </w:t>
      </w:r>
      <w:r>
        <w:rPr>
          <w:rFonts w:ascii="宋体" w:hAnsi="宋体" w:eastAsia="宋体" w:cs="宋体"/>
          <w:sz w:val="21"/>
          <w:szCs w:val="21"/>
        </w:rPr>
        <w:t xml:space="preserve">份，经买卖双方签字盖章后生效。甲方执</w:t>
      </w:r>
      <w:r>
        <w:rPr>
          <w:rFonts w:ascii="宋体" w:hAnsi="宋体" w:eastAsia="宋体" w:cs="宋体"/>
          <w:sz w:val="21"/>
          <w:szCs w:val="21"/>
          <w:u w:val="single"/>
        </w:rPr>
        <w:t xml:space="preserve">          </w:t>
      </w:r>
      <w:r>
        <w:rPr>
          <w:rFonts w:ascii="宋体" w:hAnsi="宋体" w:eastAsia="宋体" w:cs="宋体"/>
          <w:sz w:val="21"/>
          <w:szCs w:val="21"/>
        </w:rPr>
        <w:t xml:space="preserve">份，乙方执</w:t>
      </w:r>
      <w:r>
        <w:rPr>
          <w:rFonts w:ascii="宋体" w:hAnsi="宋体" w:eastAsia="宋体" w:cs="宋体"/>
          <w:sz w:val="21"/>
          <w:szCs w:val="21"/>
          <w:u w:val="single"/>
        </w:rPr>
        <w:t xml:space="preserve">         </w:t>
      </w:r>
      <w:r>
        <w:rPr>
          <w:rFonts w:ascii="宋体" w:hAnsi="宋体" w:eastAsia="宋体" w:cs="宋体"/>
          <w:i/>
          <w:iCs/>
          <w:sz w:val="21"/>
          <w:szCs w:val="21"/>
          <w:u w:val="single"/>
        </w:rPr>
        <w:t xml:space="preserve">  </w:t>
      </w:r>
      <w:r>
        <w:rPr>
          <w:rFonts w:ascii="宋体" w:hAnsi="宋体" w:eastAsia="宋体" w:cs="宋体"/>
          <w:sz w:val="21"/>
          <w:szCs w:val="21"/>
        </w:rPr>
        <w:t xml:space="preserve">份，具有同等法律效力。</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二十、大型仪器设备安全及保密条款</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20.4乙方有义务严格遵守甲方的信息安全保护制度，规范数据的管理和权限控制，防止任何不具备权限的第三者非法获取、使用。</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20.5乙方在进行系统部署、开发、实施和运营过程中，需要严格按照甲方的要求进行操作。</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20.6甲乙双方在履行合同过程中所获得对方的业务、技术、管理资料和信息，亦属于保密范围，双方均不可将对方的资料和信息泄露给任何第三方。</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20.8保密期限不受本合同期限的限制。在本合同期限届满后，甲乙双方仍应保护对方的秘密，尊重并保证不侵犯对方因本项目获得之成果及其所附的一切权益。</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二十一、大型仪器设备接口开放协议</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21.1对于设备所产生的一切医疗及运行监控数据，乙方须以甲方可以使用的格式，无偿向甲方开放接口，并提供接口说明文档。设备升级后须及时更新。</w:t>
      </w:r>
      <w:r/>
    </w:p>
    <w:p>
      <w:pPr>
        <w:spacing w:before="0" w:after="12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 </w:t>
      </w:r>
      <w:r/>
    </w:p>
    <w:tbl>
      <w:tblPr>
        <w:tblStyle w:val="819"/>
        <w:tblW w:w="4747" w:type="pct"/>
        <w:tblInd w:w="246" w:type="dxa"/>
        <w:tblLayout w:type="fixed"/>
        <w:tblCellMar>
          <w:left w:w="0" w:type="dxa"/>
          <w:top w:w="0" w:type="dxa"/>
          <w:right w:w="0" w:type="dxa"/>
          <w:bottom w:w="0" w:type="dxa"/>
        </w:tblCellMar>
        <w:tblLook w:val="04A0" w:firstRow="1" w:lastRow="0" w:firstColumn="1" w:lastColumn="0" w:noHBand="0" w:noVBand="1"/>
      </w:tblPr>
      <w:tblGrid>
        <w:gridCol w:w="2461"/>
        <w:gridCol w:w="2400"/>
        <w:gridCol w:w="2387"/>
        <w:gridCol w:w="1560"/>
      </w:tblGrid>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甲方：</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江苏省肿瘤防治研究所</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(江苏省肿瘤医院)</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乙方：</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税号：</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12320000466002702G</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税号：</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电话：</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电话：</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地址：</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南京百子亭42号</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地址：</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法定（授权）代表人：</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法定（授权）代表人：</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部门负责人：</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签订日期：</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签订日期：</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签订地点：</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签订地点：</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开户银行：</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r>
        <w:trPr/>
        <w:tc>
          <w:tcPr>
            <w:tcMar>
              <w:left w:w="128" w:type="dxa"/>
              <w:top w:w="20" w:type="dxa"/>
              <w:right w:w="128" w:type="dxa"/>
              <w:bottom w:w="20" w:type="dxa"/>
            </w:tcMar>
            <w:tcW w:w="2461"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经办人：</w:t>
            </w:r>
            <w:r/>
          </w:p>
        </w:tc>
        <w:tc>
          <w:tcPr>
            <w:tcMar>
              <w:left w:w="128" w:type="dxa"/>
              <w:top w:w="20" w:type="dxa"/>
              <w:right w:w="128" w:type="dxa"/>
              <w:bottom w:w="20" w:type="dxa"/>
            </w:tcMar>
            <w:tcW w:w="240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c>
          <w:tcPr>
            <w:tcMar>
              <w:left w:w="128" w:type="dxa"/>
              <w:top w:w="20" w:type="dxa"/>
              <w:right w:w="128" w:type="dxa"/>
              <w:bottom w:w="20" w:type="dxa"/>
            </w:tcMar>
            <w:tcW w:w="2387"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银行账号：</w:t>
            </w:r>
            <w:r/>
          </w:p>
        </w:tc>
        <w:tc>
          <w:tcPr>
            <w:tcMar>
              <w:left w:w="128" w:type="dxa"/>
              <w:top w:w="20" w:type="dxa"/>
              <w:right w:w="128" w:type="dxa"/>
              <w:bottom w:w="20" w:type="dxa"/>
            </w:tcMar>
            <w:tcW w:w="1560"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 </w:t>
            </w:r>
            <w:r/>
          </w:p>
        </w:tc>
      </w:tr>
    </w:tbl>
    <w:p>
      <w:pPr>
        <w:pStyle w:val="814"/>
        <w:jc w:val="center"/>
        <w:spacing w:before="290" w:after="290"/>
        <w:widowControl w:val="off"/>
        <w:rPr>
          <w:rFonts w:ascii="Times New Roman" w:hAnsi="Times New Roman" w:eastAsia="Times New Roman" w:cs="Times New Roman"/>
          <w:b/>
          <w:bCs/>
          <w:sz w:val="44"/>
          <w:szCs w:val="44"/>
        </w:rPr>
        <w:outlineLvl w:val="9"/>
      </w:pPr>
      <w:r>
        <w:rPr>
          <w:rFonts w:ascii="Times New Roman" w:hAnsi="Times New Roman" w:eastAsia="Times New Roman" w:cs="Times New Roman"/>
          <w:sz w:val="44"/>
          <w:szCs w:val="44"/>
        </w:rPr>
        <w:br w:type="page" w:clear="all"/>
      </w:r>
      <w:r>
        <w:rPr>
          <w:rFonts w:ascii="黑体" w:hAnsi="黑体" w:eastAsia="黑体" w:cs="黑体"/>
          <w:sz w:val="44"/>
          <w:szCs w:val="44"/>
        </w:rPr>
        <w:t xml:space="preserve">第六章 投标文件格式</w:t>
      </w:r>
      <w:r/>
    </w:p>
    <w:p>
      <w:pPr>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xml:space="preserve">注：请供应商按照以下文件的要求格式、内容，顺序制作投标文件，并请编制目录及页码，否则可能将影响对投标文件的评价。</w:t>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center"/>
        <w:spacing w:before="0" w:after="0"/>
        <w:widowControl w:val="off"/>
        <w:rPr>
          <w:rFonts w:ascii="Times New Roman" w:hAnsi="Times New Roman" w:eastAsia="Times New Roman" w:cs="Times New Roman"/>
          <w:sz w:val="30"/>
          <w:szCs w:val="30"/>
        </w:rPr>
      </w:pPr>
      <w:r>
        <w:rPr>
          <w:rFonts w:ascii="Times New Roman" w:hAnsi="Times New Roman" w:eastAsia="Times New Roman" w:cs="Times New Roman"/>
          <w:sz w:val="30"/>
          <w:szCs w:val="30"/>
        </w:rPr>
        <w:br w:type="page" w:clear="all"/>
      </w:r>
      <w:r>
        <w:rPr>
          <w:rFonts w:ascii="PMingLiU" w:hAnsi="PMingLiU" w:eastAsia="PMingLiU" w:cs="PMingLiU"/>
          <w:b/>
          <w:bCs/>
          <w:sz w:val="30"/>
          <w:szCs w:val="30"/>
        </w:rPr>
        <w:t xml:space="preserve">评分索引表</w:t>
      </w:r>
      <w:r/>
    </w:p>
    <w:tbl>
      <w:tblPr>
        <w:tblStyle w:val="819"/>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80"/>
        <w:gridCol w:w="3394"/>
      </w:tblGrid>
      <w:tr>
        <w:trPr>
          <w:trHeight w:val="460"/>
        </w:trPr>
        <w:tc>
          <w:tcPr>
            <w:tcBorders>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PMingLiU" w:hAnsi="PMingLiU" w:eastAsia="PMingLiU" w:cs="PMingLiU"/>
                <w:b/>
                <w:bCs/>
                <w:i w:val="0"/>
                <w:iCs w:val="0"/>
                <w:smallCaps w:val="0"/>
                <w:color w:val="000000"/>
                <w:sz w:val="20"/>
                <w:szCs w:val="20"/>
              </w:rPr>
              <w:t xml:space="preserve">评分项目</w:t>
            </w:r>
            <w:r/>
          </w:p>
        </w:tc>
        <w:tc>
          <w:tcPr>
            <w:tcBorders>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PMingLiU" w:hAnsi="PMingLiU" w:eastAsia="PMingLiU" w:cs="PMingLiU"/>
                <w:b/>
                <w:bCs/>
                <w:i w:val="0"/>
                <w:iCs w:val="0"/>
                <w:smallCaps w:val="0"/>
                <w:color w:val="000000"/>
                <w:sz w:val="20"/>
                <w:szCs w:val="20"/>
              </w:rPr>
              <w:t xml:space="preserve">在投标文件中的页码位置</w:t>
            </w:r>
            <w:r/>
          </w:p>
        </w:tc>
      </w:tr>
      <w:tr>
        <w:trPr>
          <w:trHeight w:val="446"/>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28"/>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2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6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6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399"/>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388"/>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23"/>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07"/>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4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44"/>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385"/>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02"/>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37"/>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trHeight w:val="440"/>
        </w:trPr>
        <w:tc>
          <w:tcPr>
            <w:tcBorders>
              <w:top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c>
          <w:tcPr>
            <w:tcBorders>
              <w:top w:val="single" w:color="000000" w:sz="6" w:space="0"/>
              <w:left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bl>
    <w:p>
      <w:pPr>
        <w:jc w:val="left"/>
        <w:spacing w:before="0" w:after="0" w:line="288" w:lineRule="auto"/>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ind w:firstLine="420"/>
        <w:jc w:val="left"/>
        <w:spacing w:before="0" w:after="0"/>
        <w:widowControl w:val="off"/>
        <w:rPr>
          <w:rFonts w:ascii="Times New Roman" w:hAnsi="Times New Roman" w:eastAsia="Times New Roman" w:cs="Times New Roman"/>
          <w:sz w:val="32"/>
          <w:szCs w:val="32"/>
        </w:rPr>
      </w:pPr>
      <w:r>
        <w:rPr>
          <w:rFonts w:ascii="Times New Roman" w:hAnsi="Times New Roman" w:eastAsia="Times New Roman" w:cs="Times New Roman"/>
          <w:sz w:val="32"/>
          <w:szCs w:val="32"/>
        </w:rPr>
      </w:r>
      <w:r/>
    </w:p>
    <w:p>
      <w:pPr>
        <w:pStyle w:val="815"/>
        <w:keepNext w:val="0"/>
        <w:spacing w:before="120" w:after="120" w:line="400" w:lineRule="atLeast"/>
        <w:widowControl w:val="off"/>
        <w:rPr>
          <w:rFonts w:ascii="Times New Roman" w:hAnsi="Times New Roman" w:eastAsia="Times New Roman" w:cs="Times New Roman"/>
          <w:b/>
          <w:bCs/>
          <w:sz w:val="36"/>
          <w:szCs w:val="36"/>
        </w:rPr>
        <w:outlineLvl w:val="9"/>
      </w:pPr>
      <w:r>
        <w:rPr>
          <w:rFonts w:ascii="Times New Roman" w:hAnsi="Times New Roman" w:eastAsia="Times New Roman" w:cs="Times New Roman"/>
          <w:sz w:val="21"/>
          <w:szCs w:val="21"/>
        </w:rPr>
        <w:br w:type="page" w:clear="all"/>
      </w:r>
      <w:r>
        <w:rPr>
          <w:rFonts w:ascii="宋体" w:hAnsi="宋体" w:eastAsia="宋体" w:cs="宋体"/>
          <w:i w:val="0"/>
          <w:iCs w:val="0"/>
          <w:sz w:val="21"/>
          <w:szCs w:val="21"/>
        </w:rPr>
        <w:t xml:space="preserve">一、投标函、投标报价及项目相关文件</w:t>
      </w:r>
      <w:r/>
    </w:p>
    <w:p>
      <w:pPr>
        <w:pStyle w:val="816"/>
        <w:jc w:val="center"/>
        <w:keepNext w:val="0"/>
        <w:spacing w:before="0" w:after="0" w:line="400" w:lineRule="atLeast"/>
        <w:shd w:val="clear" w:color="auto" w:fill="ffffff"/>
        <w:widowControl w:val="off"/>
        <w:rPr>
          <w:rFonts w:ascii="Times New Roman" w:hAnsi="Times New Roman" w:eastAsia="Times New Roman" w:cs="Times New Roman"/>
          <w:b/>
          <w:bCs/>
          <w:sz w:val="28"/>
          <w:szCs w:val="28"/>
        </w:rPr>
        <w:outlineLvl w:val="9"/>
      </w:pPr>
      <w:r>
        <w:rPr>
          <w:rFonts w:ascii="宋体" w:hAnsi="宋体" w:eastAsia="宋体" w:cs="宋体"/>
          <w:sz w:val="21"/>
          <w:szCs w:val="21"/>
        </w:rPr>
        <w:t xml:space="preserve">1.投标函</w:t>
      </w:r>
      <w:r/>
    </w:p>
    <w:p>
      <w:pPr>
        <w:jc w:val="left"/>
        <w:spacing w:before="19"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苏美达国际技术贸易有限公司：</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贵单位招标文件（包括更正通知，如果有的话）收悉，我们经详细审阅和研究，现决定参加投标。</w:t>
      </w:r>
      <w:r/>
    </w:p>
    <w:p>
      <w:pPr>
        <w:ind w:firstLine="420"/>
        <w:jc w:val="left"/>
        <w:spacing w:before="19"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1.我们郑重承诺：我们是符合《中华人民共和国政府采购法》第二十二条规定的供应商，并严格遵守《中华人民共和国政府采购法》的规定。</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2.我们接受招标文件的所有条款和规定。</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3.我们同意按照招标文件第二章“投标人须知”第11条的规定，本投标文件的有效期为从投标截止日期起计算的九十天，在此期间，本投标文件将始终对我们具有约束力，并可随时被接受。如果我们中标，本投标文件在此期间之后将继续保持有效。</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4.我们同意提供采购人要求的有关本次招标的所有资料。</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5.我们理解，贵公司无义务必须接受投标价最低的投标，并有权拒绝所有的投标。同时也理解贵公司不承担我们本次投标的费用。</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6.如果我们中标，我们将按照招标文件的规定向贵公司支付招标代理服务费及其他相关费用；为执行合同，我们将按投标人须知有关要求提供必要的履约保证。</w:t>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供应商名称：</w:t>
      </w:r>
      <w:r>
        <w:rPr>
          <w:rFonts w:ascii="Calibri" w:hAnsi="Calibri" w:eastAsia="Calibri" w:cs="Calibri"/>
          <w:sz w:val="21"/>
          <w:szCs w:val="21"/>
        </w:rPr>
        <w:tab/>
      </w:r>
      <w:r>
        <w:rPr>
          <w:rFonts w:ascii="PMingLiU" w:hAnsi="PMingLiU" w:eastAsia="PMingLiU" w:cs="PMingLiU"/>
          <w:sz w:val="21"/>
          <w:szCs w:val="21"/>
          <w:u w:val="single"/>
        </w:rPr>
        <w:t xml:space="preserve">（公章）</w:t>
      </w:r>
      <w:r/>
    </w:p>
    <w:p>
      <w:pPr>
        <w:jc w:val="left"/>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地址：邮编：</w:t>
      </w:r>
      <w:r/>
    </w:p>
    <w:p>
      <w:pPr>
        <w:jc w:val="left"/>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电话：传真：</w:t>
      </w:r>
      <w:r/>
    </w:p>
    <w:p>
      <w:pPr>
        <w:jc w:val="left"/>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授权代表签字：</w:t>
      </w:r>
      <w:r/>
    </w:p>
    <w:p>
      <w:pPr>
        <w:jc w:val="left"/>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职务：</w:t>
      </w:r>
      <w:r/>
    </w:p>
    <w:p>
      <w:pPr>
        <w:jc w:val="left"/>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日期：</w:t>
      </w:r>
      <w:r/>
    </w:p>
    <w:p>
      <w:pPr>
        <w:pStyle w:val="816"/>
        <w:jc w:val="center"/>
        <w:keepNext w:val="0"/>
        <w:spacing w:before="0" w:after="0" w:line="400" w:lineRule="atLeast"/>
        <w:shd w:val="clear" w:color="auto" w:fill="ffffff"/>
        <w:widowControl w:val="off"/>
        <w:rPr>
          <w:rFonts w:ascii="Times New Roman" w:hAnsi="Times New Roman" w:eastAsia="Times New Roman" w:cs="Times New Roman"/>
          <w:b/>
          <w:bCs/>
          <w:sz w:val="28"/>
          <w:szCs w:val="28"/>
        </w:rPr>
        <w:outlineLvl w:val="9"/>
      </w:pPr>
      <w:r>
        <w:rPr>
          <w:rFonts w:ascii="Times New Roman" w:hAnsi="Times New Roman" w:eastAsia="Times New Roman" w:cs="Times New Roman"/>
        </w:rPr>
        <w:br w:type="page" w:clear="all"/>
      </w:r>
      <w:r>
        <w:rPr>
          <w:rFonts w:ascii="宋体" w:hAnsi="宋体" w:eastAsia="宋体" w:cs="宋体"/>
          <w:sz w:val="21"/>
          <w:szCs w:val="21"/>
        </w:rPr>
        <w:t xml:space="preserve">2.开标一览表</w:t>
      </w:r>
      <w:r/>
    </w:p>
    <w:p>
      <w:pPr>
        <w:jc w:val="left"/>
        <w:spacing w:before="0" w:after="0" w:line="400" w:lineRule="atLeast"/>
        <w:widowControl w:val="off"/>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p>
    <w:tbl>
      <w:tblPr>
        <w:tblStyle w:val="819"/>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331"/>
        <w:gridCol w:w="6443"/>
      </w:tblGrid>
      <w:tr>
        <w:trPr>
          <w:trHeight w:val="560"/>
        </w:trPr>
        <w:tc>
          <w:tcPr>
            <w:tcBorders>
              <w:bottom w:val="single" w:color="000000" w:sz="6" w:space="0"/>
              <w:right w:val="single" w:color="000000" w:sz="6" w:space="0"/>
            </w:tcBorders>
            <w:tcMar>
              <w:left w:w="108" w:type="dxa"/>
              <w:top w:w="8" w:type="dxa"/>
              <w:right w:w="108" w:type="dxa"/>
              <w:bottom w:w="8" w:type="dxa"/>
            </w:tcMar>
            <w:tcW w:w="2484" w:type="dxa"/>
            <w:vAlign w:val="center"/>
            <w:textDirection w:val="lrTb"/>
            <w:noWrap w:val="false"/>
          </w:tcPr>
          <w:p>
            <w:pPr>
              <w:jc w:val="center"/>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项目名称</w:t>
            </w:r>
            <w:r/>
          </w:p>
        </w:tc>
        <w:tc>
          <w:tcPr>
            <w:tcBorders>
              <w:left w:val="single" w:color="000000" w:sz="6" w:space="0"/>
              <w:bottom w:val="single" w:color="000000" w:sz="6" w:space="0"/>
            </w:tcBorders>
            <w:tcMar>
              <w:left w:w="108" w:type="dxa"/>
              <w:top w:w="8" w:type="dxa"/>
              <w:right w:w="108" w:type="dxa"/>
              <w:bottom w:w="8" w:type="dxa"/>
            </w:tcMar>
            <w:tcW w:w="6898" w:type="dxa"/>
            <w:vAlign w:val="center"/>
            <w:textDirection w:val="lrTb"/>
            <w:noWrap w:val="false"/>
          </w:tcPr>
          <w:p>
            <w:pPr>
              <w:ind w:firstLine="105"/>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560"/>
        </w:trPr>
        <w:tc>
          <w:tcPr>
            <w:tcBorders>
              <w:top w:val="single" w:color="000000" w:sz="6" w:space="0"/>
              <w:bottom w:val="single" w:color="000000" w:sz="6" w:space="0"/>
              <w:right w:val="single" w:color="000000" w:sz="6" w:space="0"/>
            </w:tcBorders>
            <w:tcMar>
              <w:left w:w="108" w:type="dxa"/>
              <w:top w:w="8" w:type="dxa"/>
              <w:right w:w="108" w:type="dxa"/>
              <w:bottom w:w="8" w:type="dxa"/>
            </w:tcMar>
            <w:tcW w:w="2484" w:type="dxa"/>
            <w:vAlign w:val="center"/>
            <w:textDirection w:val="lrTb"/>
            <w:noWrap w:val="false"/>
          </w:tcPr>
          <w:p>
            <w:pPr>
              <w:jc w:val="center"/>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项目编号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898" w:type="dxa"/>
            <w:vAlign w:val="center"/>
            <w:textDirection w:val="lrTb"/>
            <w:noWrap w:val="false"/>
          </w:tcPr>
          <w:p>
            <w:pPr>
              <w:ind w:firstLine="105"/>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1280"/>
        </w:trPr>
        <w:tc>
          <w:tcPr>
            <w:tcBorders>
              <w:top w:val="single" w:color="000000" w:sz="6" w:space="0"/>
              <w:bottom w:val="single" w:color="000000" w:sz="6" w:space="0"/>
              <w:right w:val="single" w:color="000000" w:sz="6" w:space="0"/>
            </w:tcBorders>
            <w:tcMar>
              <w:left w:w="108" w:type="dxa"/>
              <w:top w:w="8" w:type="dxa"/>
              <w:right w:w="108" w:type="dxa"/>
              <w:bottom w:w="8" w:type="dxa"/>
            </w:tcMar>
            <w:tcW w:w="2484" w:type="dxa"/>
            <w:vAlign w:val="center"/>
            <w:textDirection w:val="lrTb"/>
            <w:noWrap w:val="false"/>
          </w:tcPr>
          <w:p>
            <w:pPr>
              <w:jc w:val="center"/>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报价（总价）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898" w:type="dxa"/>
            <w:vAlign w:val="center"/>
            <w:textDirection w:val="lrTb"/>
            <w:noWrap w:val="false"/>
          </w:tcPr>
          <w:p>
            <w:pPr>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人民币：</w:t>
            </w:r>
            <w:r>
              <w:rPr>
                <w:rFonts w:ascii="宋体" w:hAnsi="宋体" w:eastAsia="宋体" w:cs="宋体"/>
                <w:b w:val="0"/>
                <w:bCs w:val="0"/>
                <w:i w:val="0"/>
                <w:iCs w:val="0"/>
                <w:smallCaps w:val="0"/>
                <w:color w:val="000000"/>
                <w:sz w:val="21"/>
                <w:szCs w:val="21"/>
                <w:u w:val="single"/>
              </w:rPr>
              <w:t xml:space="preserve">           </w:t>
            </w:r>
            <w:r/>
          </w:p>
          <w:p>
            <w:pPr>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（大写）：</w:t>
            </w:r>
            <w:r>
              <w:rPr>
                <w:rFonts w:ascii="宋体" w:hAnsi="宋体" w:eastAsia="宋体" w:cs="宋体"/>
                <w:b w:val="0"/>
                <w:bCs w:val="0"/>
                <w:i w:val="0"/>
                <w:iCs w:val="0"/>
                <w:smallCaps w:val="0"/>
                <w:color w:val="000000"/>
                <w:sz w:val="21"/>
                <w:szCs w:val="21"/>
                <w:u w:val="single"/>
              </w:rPr>
              <w:t xml:space="preserve">         </w:t>
            </w:r>
            <w:r/>
          </w:p>
        </w:tc>
      </w:tr>
      <w:tr>
        <w:trPr>
          <w:trHeight w:val="820"/>
        </w:trPr>
        <w:tc>
          <w:tcPr>
            <w:gridSpan w:val="2"/>
            <w:tcBorders>
              <w:top w:val="single" w:color="000000" w:sz="6" w:space="0"/>
              <w:bottom w:val="single" w:color="000000" w:sz="6" w:space="0"/>
            </w:tcBorders>
            <w:tcMar>
              <w:left w:w="108" w:type="dxa"/>
              <w:top w:w="8" w:type="dxa"/>
              <w:right w:w="108" w:type="dxa"/>
              <w:bottom w:w="8" w:type="dxa"/>
            </w:tcMar>
            <w:tcW w:w="2484" w:type="dxa"/>
            <w:vAlign w:val="center"/>
            <w:textDirection w:val="lrTb"/>
            <w:noWrap w:val="false"/>
          </w:tcPr>
          <w:p>
            <w:pPr>
              <w:ind w:firstLine="420"/>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本采购包中提供的符合本国产品标准的产品成本之和占该采购包提供的全部产品成本之和的比例为</w:t>
            </w:r>
            <w:r>
              <w:rPr>
                <w:rFonts w:ascii="宋体" w:hAnsi="宋体" w:eastAsia="宋体" w:cs="宋体"/>
                <w:b w:val="0"/>
                <w:bCs w:val="0"/>
                <w:i w:val="0"/>
                <w:iCs w:val="0"/>
                <w:smallCaps w:val="0"/>
                <w:color w:val="000000"/>
                <w:sz w:val="21"/>
                <w:szCs w:val="21"/>
                <w:u w:val="single"/>
              </w:rPr>
              <w:t xml:space="preserve">  </w:t>
            </w:r>
            <w:r>
              <w:rPr>
                <w:rFonts w:hint="eastAsia" w:ascii="宋体" w:hAnsi="宋体" w:eastAsia="宋体" w:cs="宋体"/>
                <w:b w:val="0"/>
                <w:bCs w:val="0"/>
                <w:i w:val="0"/>
                <w:iCs w:val="0"/>
                <w:smallCaps w:val="0"/>
                <w:color w:val="000000"/>
                <w:sz w:val="21"/>
                <w:szCs w:val="21"/>
                <w:u w:val="single"/>
                <w:lang w:val="en-US" w:eastAsia="zh-CN"/>
              </w:rPr>
              <w:t xml:space="preserve"> </w:t>
            </w:r>
            <w:r>
              <w:rPr>
                <w:rFonts w:ascii="宋体" w:hAnsi="宋体" w:eastAsia="宋体" w:cs="宋体"/>
                <w:b w:val="0"/>
                <w:bCs w:val="0"/>
                <w:i w:val="0"/>
                <w:iCs w:val="0"/>
                <w:smallCaps w:val="0"/>
                <w:color w:val="000000"/>
                <w:sz w:val="21"/>
                <w:szCs w:val="21"/>
                <w:u w:val="single"/>
              </w:rPr>
              <w:t xml:space="preserve">  </w:t>
            </w:r>
            <w:r>
              <w:rPr>
                <w:rFonts w:ascii="宋体" w:hAnsi="宋体" w:eastAsia="宋体" w:cs="宋体"/>
                <w:b w:val="0"/>
                <w:bCs w:val="0"/>
                <w:i w:val="0"/>
                <w:iCs w:val="0"/>
                <w:smallCaps w:val="0"/>
                <w:color w:val="000000"/>
                <w:sz w:val="21"/>
                <w:szCs w:val="21"/>
              </w:rPr>
              <w:t xml:space="preserve">%。</w:t>
            </w:r>
            <w:r/>
          </w:p>
        </w:tc>
      </w:tr>
      <w:tr>
        <w:trPr>
          <w:trHeight w:val="615"/>
        </w:trPr>
        <w:tc>
          <w:tcPr>
            <w:tcBorders>
              <w:top w:val="single" w:color="000000" w:sz="6" w:space="0"/>
              <w:bottom w:val="single" w:color="000000" w:sz="6" w:space="0"/>
              <w:right w:val="single" w:color="000000" w:sz="6" w:space="0"/>
            </w:tcBorders>
            <w:tcMar>
              <w:left w:w="108" w:type="dxa"/>
              <w:top w:w="8" w:type="dxa"/>
              <w:right w:w="108" w:type="dxa"/>
              <w:bottom w:w="8" w:type="dxa"/>
            </w:tcMar>
            <w:tcW w:w="2484" w:type="dxa"/>
            <w:vAlign w:val="center"/>
            <w:textDirection w:val="lrTb"/>
            <w:noWrap w:val="false"/>
          </w:tcPr>
          <w:p>
            <w:pPr>
              <w:jc w:val="center"/>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所投品牌</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898" w:type="dxa"/>
            <w:vAlign w:val="center"/>
            <w:textDirection w:val="lrTb"/>
            <w:noWrap w:val="false"/>
          </w:tcPr>
          <w:p>
            <w:pPr>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389"/>
        </w:trPr>
        <w:tc>
          <w:tcPr>
            <w:tcBorders>
              <w:top w:val="single" w:color="000000" w:sz="6" w:space="0"/>
              <w:bottom w:val="single" w:color="000000" w:sz="6" w:space="0"/>
              <w:right w:val="single" w:color="000000" w:sz="6" w:space="0"/>
            </w:tcBorders>
            <w:tcMar>
              <w:left w:w="108" w:type="dxa"/>
              <w:top w:w="8" w:type="dxa"/>
              <w:right w:w="108" w:type="dxa"/>
              <w:bottom w:w="8" w:type="dxa"/>
            </w:tcMar>
            <w:tcW w:w="2484" w:type="dxa"/>
            <w:vAlign w:val="center"/>
            <w:textDirection w:val="lrTb"/>
            <w:noWrap w:val="false"/>
          </w:tcPr>
          <w:p>
            <w:pPr>
              <w:jc w:val="center"/>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合同履行期限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898" w:type="dxa"/>
            <w:vAlign w:val="center"/>
            <w:textDirection w:val="lrTb"/>
            <w:noWrap w:val="false"/>
          </w:tcPr>
          <w:p>
            <w:pPr>
              <w:ind w:firstLine="105"/>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389"/>
        </w:trPr>
        <w:tc>
          <w:tcPr>
            <w:tcBorders>
              <w:top w:val="single" w:color="000000" w:sz="6" w:space="0"/>
              <w:bottom w:val="single" w:color="000000" w:sz="6" w:space="0"/>
              <w:right w:val="single" w:color="000000" w:sz="6" w:space="0"/>
            </w:tcBorders>
            <w:tcMar>
              <w:left w:w="108" w:type="dxa"/>
              <w:top w:w="8" w:type="dxa"/>
              <w:right w:w="108" w:type="dxa"/>
              <w:bottom w:w="8" w:type="dxa"/>
            </w:tcMar>
            <w:tcW w:w="2484" w:type="dxa"/>
            <w:vAlign w:val="top"/>
            <w:textDirection w:val="lrTb"/>
            <w:noWrap w:val="false"/>
          </w:tcPr>
          <w:p>
            <w:pPr>
              <w:jc w:val="center"/>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是否属于小微型企业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898" w:type="dxa"/>
            <w:vAlign w:val="top"/>
            <w:textDirection w:val="lrTb"/>
            <w:noWrap w:val="false"/>
          </w:tcPr>
          <w:p>
            <w:pPr>
              <w:ind w:firstLine="210"/>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□是                       □否</w:t>
            </w:r>
            <w:r/>
          </w:p>
        </w:tc>
      </w:tr>
      <w:tr>
        <w:trPr>
          <w:trHeight w:val="389"/>
        </w:trPr>
        <w:tc>
          <w:tcPr>
            <w:gridSpan w:val="2"/>
            <w:tcBorders>
              <w:top w:val="single" w:color="000000" w:sz="6" w:space="0"/>
            </w:tcBorders>
            <w:tcMar>
              <w:left w:w="108" w:type="dxa"/>
              <w:top w:w="8" w:type="dxa"/>
              <w:right w:w="108" w:type="dxa"/>
              <w:bottom w:w="8" w:type="dxa"/>
            </w:tcMar>
            <w:tcW w:w="2484" w:type="dxa"/>
            <w:vAlign w:val="top"/>
            <w:textDirection w:val="lrTb"/>
            <w:noWrap w:val="false"/>
          </w:tcPr>
          <w:p>
            <w:pPr>
              <w:ind w:firstLine="105"/>
              <w:jc w:val="left"/>
              <w:spacing w:before="0" w:after="0" w:line="48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bCs/>
                <w:i w:val="0"/>
                <w:iCs w:val="0"/>
                <w:smallCaps w:val="0"/>
                <w:color w:val="000000"/>
                <w:sz w:val="21"/>
                <w:szCs w:val="21"/>
              </w:rPr>
              <w:t xml:space="preserve">“是否属于小微型企业”栏内请勾选“是”或“否”。如勾选“是”，投标人需同时提供附件六所要求的对应文件。</w:t>
            </w:r>
            <w:r/>
          </w:p>
        </w:tc>
      </w:tr>
    </w:tbl>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left="400"/>
        <w:jc w:val="left"/>
        <w:spacing w:before="0" w:after="120"/>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jc w:val="left"/>
        <w:spacing w:before="0" w:after="0" w:line="440" w:lineRule="atLeast"/>
        <w:widowControl w:val="off"/>
        <w:rPr>
          <w:rFonts w:ascii="Times New Roman" w:hAnsi="Times New Roman" w:eastAsia="Times New Roman" w:cs="Times New Roman"/>
        </w:rPr>
      </w:pPr>
      <w:r>
        <w:rPr>
          <w:rFonts w:ascii="宋体" w:hAnsi="宋体" w:eastAsia="宋体" w:cs="宋体"/>
          <w:sz w:val="21"/>
          <w:szCs w:val="21"/>
        </w:rPr>
        <w:t xml:space="preserve">投标人名称（公章）：</w:t>
      </w:r>
      <w:r/>
    </w:p>
    <w:p>
      <w:pPr>
        <w:jc w:val="left"/>
        <w:spacing w:before="0" w:after="0" w:line="440" w:lineRule="atLeast"/>
        <w:widowControl w:val="off"/>
        <w:rPr>
          <w:rFonts w:ascii="Times New Roman" w:hAnsi="Times New Roman" w:eastAsia="Times New Roman" w:cs="Times New Roman"/>
        </w:rPr>
      </w:pPr>
      <w:r>
        <w:rPr>
          <w:rFonts w:ascii="宋体" w:hAnsi="宋体" w:eastAsia="宋体" w:cs="宋体"/>
          <w:sz w:val="21"/>
          <w:szCs w:val="21"/>
        </w:rPr>
        <w:t xml:space="preserve">授权代表（签字）：</w:t>
      </w:r>
      <w:r/>
    </w:p>
    <w:p>
      <w:pPr>
        <w:jc w:val="left"/>
        <w:spacing w:before="0" w:after="0" w:line="440" w:lineRule="atLeast"/>
        <w:widowControl w:val="off"/>
        <w:rPr>
          <w:rFonts w:ascii="Times New Roman" w:hAnsi="Times New Roman" w:eastAsia="Times New Roman" w:cs="Times New Roman"/>
        </w:rPr>
      </w:pPr>
      <w:r>
        <w:rPr>
          <w:rFonts w:ascii="宋体" w:hAnsi="宋体" w:eastAsia="宋体" w:cs="宋体"/>
          <w:sz w:val="21"/>
          <w:szCs w:val="21"/>
        </w:rPr>
        <w:t xml:space="preserve">日期：</w:t>
      </w:r>
      <w:r/>
    </w:p>
    <w:p>
      <w:pPr>
        <w:jc w:val="lef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40" w:lineRule="atLeast"/>
        <w:widowControl w:val="off"/>
        <w:rPr>
          <w:rFonts w:ascii="Times New Roman" w:hAnsi="Times New Roman" w:eastAsia="Times New Roman" w:cs="Times New Roman"/>
        </w:rPr>
      </w:pPr>
      <w:r>
        <w:rPr>
          <w:rFonts w:ascii="宋体" w:hAnsi="宋体" w:eastAsia="宋体" w:cs="宋体"/>
          <w:sz w:val="21"/>
          <w:szCs w:val="21"/>
        </w:rPr>
        <w:t xml:space="preserve">注：1.此表中，投标总价合计应和分项报价表中的总价一致。</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供应商名称：</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供应商公章：</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授权代表（签字）：</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日期：</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sz w:val="20"/>
          <w:szCs w:val="20"/>
        </w:rPr>
        <w:br w:type="page" w:clear="all"/>
      </w:r>
      <w:r>
        <w:rPr>
          <w:rFonts w:ascii="宋体" w:hAnsi="宋体" w:eastAsia="宋体" w:cs="宋体"/>
          <w:sz w:val="21"/>
          <w:szCs w:val="21"/>
        </w:rPr>
        <w:t xml:space="preserve">3.分项报价表</w:t>
      </w:r>
      <w:r/>
    </w:p>
    <w:p>
      <w:pPr>
        <w:jc w:val="center"/>
        <w:spacing w:before="0" w:after="0"/>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3.分项报价表</w:t>
      </w:r>
      <w:r/>
    </w:p>
    <w:p>
      <w:pPr>
        <w:jc w:val="left"/>
        <w:spacing w:before="0" w:after="0"/>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jc w:val="right"/>
        <w:spacing w:before="0" w:after="0" w:line="440" w:lineRule="atLeast"/>
        <w:widowControl w:val="off"/>
        <w:rPr>
          <w:rFonts w:ascii="Times New Roman" w:hAnsi="Times New Roman" w:eastAsia="Times New Roman" w:cs="Times New Roman"/>
        </w:rPr>
      </w:pPr>
      <w:r>
        <w:rPr>
          <w:rFonts w:ascii="PMingLiU" w:hAnsi="PMingLiU" w:eastAsia="PMingLiU" w:cs="PMingLiU"/>
          <w:sz w:val="20"/>
          <w:szCs w:val="20"/>
        </w:rPr>
        <w:t xml:space="preserve">报价单位：人民币（小数点后保留</w:t>
      </w:r>
      <w:r>
        <w:rPr>
          <w:rFonts w:ascii="Calibri" w:hAnsi="Calibri" w:eastAsia="Calibri" w:cs="Calibri"/>
          <w:sz w:val="20"/>
          <w:szCs w:val="20"/>
        </w:rPr>
        <w:t xml:space="preserve">2</w:t>
      </w:r>
      <w:r>
        <w:rPr>
          <w:rFonts w:ascii="PMingLiU" w:hAnsi="PMingLiU" w:eastAsia="PMingLiU" w:cs="PMingLiU"/>
          <w:sz w:val="20"/>
          <w:szCs w:val="20"/>
        </w:rPr>
        <w:t xml:space="preserve">位）</w:t>
      </w:r>
      <w:r/>
    </w:p>
    <w:tbl>
      <w:tblPr>
        <w:tblStyle w:val="819"/>
        <w:tblW w:w="4632"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1033"/>
        <w:gridCol w:w="861"/>
        <w:gridCol w:w="959"/>
        <w:gridCol w:w="1408"/>
        <w:gridCol w:w="773"/>
        <w:gridCol w:w="1382"/>
        <w:gridCol w:w="1279"/>
      </w:tblGrid>
      <w:tr>
        <w:trPr>
          <w:jc w:val="center"/>
        </w:trPr>
        <w:tc>
          <w:tcPr>
            <w:tcMar>
              <w:left w:w="108" w:type="dxa"/>
              <w:top w:w="8" w:type="dxa"/>
              <w:right w:w="113" w:type="dxa"/>
              <w:bottom w:w="5" w:type="dxa"/>
            </w:tcMar>
            <w:tcW w:w="860" w:type="dxa"/>
            <w:vAlign w:val="center"/>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序号</w:t>
            </w:r>
            <w:r/>
          </w:p>
        </w:tc>
        <w:tc>
          <w:tcPr>
            <w:tcMar>
              <w:left w:w="113" w:type="dxa"/>
              <w:top w:w="8" w:type="dxa"/>
              <w:right w:w="113" w:type="dxa"/>
              <w:bottom w:w="5" w:type="dxa"/>
            </w:tcMar>
            <w:tcW w:w="1034" w:type="dxa"/>
            <w:vAlign w:val="center"/>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名</w:t>
            </w:r>
            <w:r>
              <w:rPr>
                <w:rFonts w:ascii="Calibri" w:hAnsi="Calibri" w:eastAsia="Calibri" w:cs="Calibri"/>
                <w:b w:val="0"/>
                <w:bCs w:val="0"/>
                <w:i w:val="0"/>
                <w:iCs w:val="0"/>
                <w:smallCaps w:val="0"/>
                <w:color w:val="000000"/>
                <w:sz w:val="20"/>
                <w:szCs w:val="20"/>
              </w:rPr>
              <w:t xml:space="preserve"> </w:t>
            </w:r>
            <w:r>
              <w:rPr>
                <w:rFonts w:ascii="PMingLiU" w:hAnsi="PMingLiU" w:eastAsia="PMingLiU" w:cs="PMingLiU"/>
                <w:b w:val="0"/>
                <w:bCs w:val="0"/>
                <w:i w:val="0"/>
                <w:iCs w:val="0"/>
                <w:smallCaps w:val="0"/>
                <w:color w:val="000000"/>
                <w:sz w:val="20"/>
                <w:szCs w:val="20"/>
              </w:rPr>
              <w:t xml:space="preserve">称</w:t>
            </w:r>
            <w:r/>
          </w:p>
        </w:tc>
        <w:tc>
          <w:tcPr>
            <w:tcMar>
              <w:left w:w="113" w:type="dxa"/>
              <w:top w:w="8" w:type="dxa"/>
              <w:right w:w="113" w:type="dxa"/>
              <w:bottom w:w="5" w:type="dxa"/>
            </w:tcMar>
            <w:tcW w:w="862" w:type="dxa"/>
            <w:vAlign w:val="center"/>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品牌</w:t>
            </w:r>
            <w:r/>
          </w:p>
        </w:tc>
        <w:tc>
          <w:tcPr>
            <w:tcMar>
              <w:left w:w="113" w:type="dxa"/>
              <w:top w:w="8" w:type="dxa"/>
              <w:right w:w="113" w:type="dxa"/>
              <w:bottom w:w="5" w:type="dxa"/>
            </w:tcMar>
            <w:tcW w:w="960" w:type="dxa"/>
            <w:vAlign w:val="center"/>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规格或型号</w:t>
            </w:r>
            <w:r/>
          </w:p>
        </w:tc>
        <w:tc>
          <w:tcPr>
            <w:tcMar>
              <w:left w:w="113" w:type="dxa"/>
              <w:top w:w="8" w:type="dxa"/>
              <w:right w:w="113" w:type="dxa"/>
              <w:bottom w:w="5" w:type="dxa"/>
            </w:tcMar>
            <w:tcW w:w="1409" w:type="dxa"/>
            <w:vAlign w:val="center"/>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原产地和</w:t>
            </w:r>
            <w:r/>
          </w:p>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制造商名称</w:t>
            </w:r>
            <w:r/>
          </w:p>
        </w:tc>
        <w:tc>
          <w:tcPr>
            <w:tcMar>
              <w:left w:w="113" w:type="dxa"/>
              <w:top w:w="8" w:type="dxa"/>
              <w:right w:w="113" w:type="dxa"/>
              <w:bottom w:w="5" w:type="dxa"/>
            </w:tcMar>
            <w:tcW w:w="773" w:type="dxa"/>
            <w:vAlign w:val="center"/>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数量</w:t>
            </w:r>
            <w:r/>
          </w:p>
        </w:tc>
        <w:tc>
          <w:tcPr>
            <w:tcMar>
              <w:left w:w="113" w:type="dxa"/>
              <w:top w:w="8" w:type="dxa"/>
              <w:right w:w="113" w:type="dxa"/>
              <w:bottom w:w="5" w:type="dxa"/>
            </w:tcMar>
            <w:tcW w:w="1383" w:type="dxa"/>
            <w:vAlign w:val="center"/>
            <w:textDirection w:val="lrTb"/>
            <w:noWrap w:val="false"/>
          </w:tcPr>
          <w:p>
            <w:pPr>
              <w:jc w:val="center"/>
              <w:spacing w:before="0" w:after="0" w:line="440" w:lineRule="atLeast"/>
              <w:widowControl w:val="off"/>
              <w:rPr>
                <w:rFonts w:ascii="PMingLiU" w:hAnsi="PMingLiU" w:eastAsia="PMingLiU" w:cs="PMingLiU"/>
                <w:b w:val="0"/>
                <w:bCs w:val="0"/>
                <w:i w:val="0"/>
                <w:iCs w:val="0"/>
                <w:smallCaps w:val="0"/>
                <w:color w:val="000000"/>
                <w:sz w:val="20"/>
                <w:szCs w:val="20"/>
              </w:rPr>
            </w:pPr>
            <w:r>
              <w:rPr>
                <w:rFonts w:ascii="PMingLiU" w:hAnsi="PMingLiU" w:eastAsia="PMingLiU" w:cs="PMingLiU"/>
                <w:b w:val="0"/>
                <w:bCs w:val="0"/>
                <w:i w:val="0"/>
                <w:iCs w:val="0"/>
                <w:smallCaps w:val="0"/>
                <w:color w:val="000000"/>
                <w:sz w:val="20"/>
                <w:szCs w:val="20"/>
              </w:rPr>
              <w:t xml:space="preserve">单项金额</w:t>
            </w:r>
            <w:r/>
          </w:p>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（元）</w:t>
            </w:r>
            <w:r/>
          </w:p>
        </w:tc>
        <w:tc>
          <w:tcPr>
            <w:tcMar>
              <w:left w:w="113" w:type="dxa"/>
              <w:top w:w="8" w:type="dxa"/>
              <w:right w:w="108" w:type="dxa"/>
              <w:bottom w:w="5" w:type="dxa"/>
            </w:tcMar>
            <w:tcW w:w="1280" w:type="dxa"/>
            <w:vAlign w:val="center"/>
            <w:textDirection w:val="lrTb"/>
            <w:noWrap w:val="false"/>
          </w:tcPr>
          <w:p>
            <w:pPr>
              <w:jc w:val="center"/>
              <w:rPr>
                <w:rFonts w:ascii="PMingLiU" w:hAnsi="PMingLiU" w:eastAsia="PMingLiU" w:cs="PMingLiU"/>
                <w:b w:val="0"/>
                <w:bCs w:val="0"/>
                <w:i w:val="0"/>
                <w:iCs w:val="0"/>
                <w:smallCaps w:val="0"/>
                <w:color w:val="000000"/>
                <w:sz w:val="20"/>
                <w:szCs w:val="20"/>
              </w:rPr>
            </w:pPr>
            <w:r>
              <w:rPr>
                <w:rFonts w:ascii="PMingLiU" w:hAnsi="PMingLiU" w:eastAsia="PMingLiU" w:cs="PMingLiU"/>
                <w:b w:val="0"/>
                <w:bCs w:val="0"/>
                <w:i w:val="0"/>
                <w:iCs w:val="0"/>
                <w:smallCaps w:val="0"/>
                <w:color w:val="000000"/>
                <w:sz w:val="20"/>
                <w:szCs w:val="20"/>
              </w:rPr>
              <w:t xml:space="preserve">总价金额</w:t>
            </w:r>
            <w:r/>
          </w:p>
          <w:p>
            <w:pPr>
              <w:jc w:val="center"/>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（元）</w:t>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1</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2</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3</w:t>
            </w:r>
            <w:r/>
          </w:p>
        </w:tc>
        <w:tc>
          <w:tcPr>
            <w:tcMar>
              <w:left w:w="113" w:type="dxa"/>
              <w:top w:w="5" w:type="dxa"/>
              <w:right w:w="113" w:type="dxa"/>
              <w:bottom w:w="5" w:type="dxa"/>
            </w:tcMar>
            <w:tcW w:w="1034" w:type="dxa"/>
            <w:vAlign w:val="top"/>
            <w:textDirection w:val="lrTb"/>
            <w:noWrap w:val="false"/>
          </w:tcPr>
          <w:p>
            <w:pPr>
              <w:ind w:firstLine="827"/>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4</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5</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6</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7</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Mar>
              <w:left w:w="108" w:type="dxa"/>
              <w:top w:w="5" w:type="dxa"/>
              <w:right w:w="113" w:type="dxa"/>
              <w:bottom w:w="5" w:type="dxa"/>
            </w:tcMar>
            <w:tcW w:w="860"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Calibri" w:hAnsi="Calibri" w:eastAsia="Calibri" w:cs="Calibri"/>
                <w:b w:val="0"/>
                <w:bCs w:val="0"/>
                <w:i w:val="0"/>
                <w:iCs w:val="0"/>
                <w:smallCaps w:val="0"/>
                <w:color w:val="000000"/>
                <w:sz w:val="20"/>
                <w:szCs w:val="20"/>
              </w:rPr>
              <w:t xml:space="preserve">8</w:t>
            </w:r>
            <w:r/>
          </w:p>
        </w:tc>
        <w:tc>
          <w:tcPr>
            <w:tcMar>
              <w:left w:w="113" w:type="dxa"/>
              <w:top w:w="5" w:type="dxa"/>
              <w:right w:w="113" w:type="dxa"/>
              <w:bottom w:w="5" w:type="dxa"/>
            </w:tcMar>
            <w:tcW w:w="1034"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862"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960"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409"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77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13" w:type="dxa"/>
              <w:bottom w:w="5" w:type="dxa"/>
            </w:tcMar>
            <w:tcW w:w="1383"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Mar>
              <w:left w:w="113" w:type="dxa"/>
              <w:top w:w="5" w:type="dxa"/>
              <w:right w:w="108" w:type="dxa"/>
              <w:bottom w:w="5" w:type="dxa"/>
            </w:tcMar>
            <w:tcW w:w="1280" w:type="dxa"/>
            <w:vAlign w:val="top"/>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gridSpan w:val="4"/>
            <w:tcMar>
              <w:left w:w="108" w:type="dxa"/>
              <w:top w:w="5" w:type="dxa"/>
              <w:right w:w="113" w:type="dxa"/>
              <w:bottom w:w="8" w:type="dxa"/>
            </w:tcMar>
            <w:tcW w:w="3716" w:type="dxa"/>
            <w:vAlign w:val="top"/>
            <w:textDirection w:val="lrTb"/>
            <w:noWrap w:val="false"/>
          </w:tcPr>
          <w:p>
            <w:pPr>
              <w:jc w:val="center"/>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0"/>
                <w:szCs w:val="20"/>
              </w:rPr>
              <w:t xml:space="preserve">投标总价合计（元）：</w:t>
            </w:r>
            <w:r/>
          </w:p>
        </w:tc>
        <w:tc>
          <w:tcPr>
            <w:gridSpan w:val="4"/>
            <w:tcMar>
              <w:left w:w="113" w:type="dxa"/>
              <w:top w:w="5" w:type="dxa"/>
              <w:right w:w="108" w:type="dxa"/>
              <w:bottom w:w="8" w:type="dxa"/>
            </w:tcMar>
            <w:tcW w:w="4845" w:type="dxa"/>
            <w:vAlign w:val="top"/>
            <w:textDirection w:val="lrTb"/>
            <w:noWrap w:val="false"/>
          </w:tcPr>
          <w:p>
            <w:pPr>
              <w:jc w:val="left"/>
              <w:spacing w:before="0" w:after="0" w:line="44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bl>
    <w:p>
      <w:pPr>
        <w:jc w:val="right"/>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360" w:lineRule="auto"/>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PMingLiU" w:hAnsi="PMingLiU" w:eastAsia="PMingLiU" w:cs="PMingLiU"/>
          <w:b/>
          <w:bCs/>
          <w:sz w:val="21"/>
          <w:szCs w:val="21"/>
        </w:rPr>
        <w:t xml:space="preserve">供应商名称（公章）：</w:t>
      </w:r>
      <w:r/>
    </w:p>
    <w:p>
      <w:pPr>
        <w:jc w:val="left"/>
        <w:spacing w:before="0" w:after="0" w:line="400" w:lineRule="atLeast"/>
        <w:widowControl w:val="off"/>
        <w:rPr>
          <w:rFonts w:ascii="Times New Roman" w:hAnsi="Times New Roman" w:eastAsia="Times New Roman" w:cs="Times New Roman"/>
        </w:rPr>
      </w:pPr>
      <w:r>
        <w:rPr>
          <w:rFonts w:ascii="PMingLiU" w:hAnsi="PMingLiU" w:eastAsia="PMingLiU" w:cs="PMingLiU"/>
          <w:b/>
          <w:bCs/>
          <w:sz w:val="21"/>
          <w:szCs w:val="21"/>
        </w:rPr>
        <w:t xml:space="preserve">供应商代表签字：</w:t>
      </w:r>
      <w:r/>
    </w:p>
    <w:p>
      <w:pPr>
        <w:jc w:val="left"/>
        <w:spacing w:before="0" w:after="0" w:line="400" w:lineRule="atLeast"/>
        <w:widowControl w:val="off"/>
        <w:rPr>
          <w:rFonts w:ascii="Times New Roman" w:hAnsi="Times New Roman" w:eastAsia="Times New Roman" w:cs="Times New Roman"/>
        </w:rPr>
      </w:pPr>
      <w:r>
        <w:rPr>
          <w:rFonts w:ascii="PMingLiU" w:hAnsi="PMingLiU" w:eastAsia="PMingLiU" w:cs="PMingLiU"/>
          <w:b/>
          <w:bCs/>
          <w:sz w:val="21"/>
          <w:szCs w:val="21"/>
        </w:rPr>
        <w:t xml:space="preserve">日期：</w:t>
      </w:r>
      <w:r/>
    </w:p>
    <w:p>
      <w:pPr>
        <w:spacing w:before="0" w:after="0" w:line="440" w:lineRule="atLeast"/>
        <w:widowControl w:val="off"/>
        <w:rPr>
          <w:rFonts w:ascii="Times New Roman" w:hAnsi="Times New Roman" w:eastAsia="Times New Roman" w:cs="Times New Roman"/>
        </w:rPr>
      </w:pPr>
      <w:r>
        <w:rPr>
          <w:rFonts w:ascii="Times New Roman" w:hAnsi="Times New Roman" w:eastAsia="Times New Roman" w:cs="Times New Roman"/>
        </w:rPr>
      </w:r>
      <w:r/>
    </w:p>
    <w:p>
      <w:pPr>
        <w:spacing w:before="0" w:after="0" w:line="440" w:lineRule="atLeast"/>
        <w:widowControl w:val="off"/>
        <w:rPr>
          <w:rFonts w:ascii="Times New Roman" w:hAnsi="Times New Roman" w:eastAsia="Times New Roman" w:cs="Times New Roman"/>
        </w:rPr>
      </w:pPr>
      <w:r>
        <w:rPr>
          <w:rFonts w:ascii="宋体" w:hAnsi="宋体" w:eastAsia="宋体" w:cs="宋体"/>
          <w:sz w:val="21"/>
          <w:szCs w:val="21"/>
        </w:rPr>
        <w:t xml:space="preserve">注：1.投标人应根据项目情况提供详细分项报价。投标人应对上述每项内容列明组成的详细分项价格。</w:t>
      </w:r>
      <w:r/>
    </w:p>
    <w:p>
      <w:pPr>
        <w:numPr>
          <w:ilvl w:val="0"/>
          <w:numId w:val="2"/>
        </w:numPr>
        <w:ind w:left="0" w:right="0" w:firstLine="420"/>
        <w:jc w:val="left"/>
        <w:spacing w:before="0" w:after="0" w:line="400" w:lineRule="atLeast"/>
        <w:widowControl w:val="off"/>
        <w:tabs>
          <w:tab w:val="left" w:pos="788" w:leader="none"/>
        </w:tabs>
        <w:rPr>
          <w:rFonts w:ascii="宋体" w:hAnsi="宋体" w:eastAsia="宋体" w:cs="宋体"/>
          <w:sz w:val="21"/>
          <w:szCs w:val="21"/>
        </w:rPr>
      </w:pPr>
      <w:r>
        <w:rPr>
          <w:rFonts w:ascii="宋体" w:hAnsi="宋体" w:eastAsia="宋体" w:cs="宋体"/>
          <w:sz w:val="21"/>
          <w:szCs w:val="21"/>
        </w:rPr>
        <w:t xml:space="preserve">表中表格行数可自行添加。</w:t>
      </w:r>
      <w:r/>
    </w:p>
    <w:p>
      <w:pPr>
        <w:jc w:val="center"/>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sz w:val="21"/>
          <w:szCs w:val="21"/>
        </w:rPr>
        <w:br w:type="page" w:clear="all"/>
      </w:r>
      <w:r>
        <w:rPr>
          <w:rFonts w:ascii="宋体" w:hAnsi="宋体" w:eastAsia="宋体" w:cs="宋体"/>
          <w:b/>
          <w:bCs/>
          <w:sz w:val="21"/>
          <w:szCs w:val="21"/>
        </w:rPr>
        <w:t xml:space="preserve">4.商务条款偏离表</w:t>
      </w:r>
      <w:r/>
    </w:p>
    <w:tbl>
      <w:tblPr>
        <w:tblStyle w:val="819"/>
        <w:tblW w:w="4750" w:type="pct"/>
        <w:tblInd w:w="123" w:type="dxa"/>
        <w:tblLayout w:type="fixed"/>
        <w:tblCellMar>
          <w:left w:w="0" w:type="dxa"/>
          <w:top w:w="0" w:type="dxa"/>
          <w:right w:w="0" w:type="dxa"/>
          <w:bottom w:w="0" w:type="dxa"/>
        </w:tblCellMar>
        <w:tblLook w:val="04A0" w:firstRow="1" w:lastRow="0" w:firstColumn="1" w:lastColumn="0" w:noHBand="0" w:noVBand="1"/>
      </w:tblPr>
      <w:tblGrid>
        <w:gridCol w:w="1027"/>
        <w:gridCol w:w="1903"/>
        <w:gridCol w:w="2378"/>
        <w:gridCol w:w="2378"/>
        <w:gridCol w:w="1088"/>
      </w:tblGrid>
      <w:tr>
        <w:trPr/>
        <w:tc>
          <w:tcPr>
            <w:tcBorders>
              <w:top w:val="single" w:color="000000" w:sz="12" w:space="0"/>
              <w:left w:val="single" w:color="000000" w:sz="12" w:space="0"/>
              <w:bottom w:val="single" w:color="000000" w:sz="6" w:space="0"/>
              <w:right w:val="single" w:color="000000" w:sz="6" w:space="0"/>
            </w:tcBorders>
            <w:tcMar>
              <w:left w:w="108" w:type="dxa"/>
              <w:top w:w="15" w:type="dxa"/>
              <w:right w:w="108" w:type="dxa"/>
              <w:bottom w:w="8" w:type="dxa"/>
            </w:tcMar>
            <w:tcW w:w="1040"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Mar>
              <w:left w:w="108" w:type="dxa"/>
              <w:top w:w="15" w:type="dxa"/>
              <w:right w:w="108" w:type="dxa"/>
              <w:bottom w:w="8" w:type="dxa"/>
            </w:tcMar>
            <w:tcW w:w="1930"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招标文件条目号</w:t>
            </w:r>
            <w:r/>
          </w:p>
        </w:tc>
        <w:tc>
          <w:tcPr>
            <w:tcBorders>
              <w:top w:val="single" w:color="000000" w:sz="12" w:space="0"/>
              <w:left w:val="single" w:color="000000" w:sz="6" w:space="0"/>
              <w:bottom w:val="single" w:color="000000" w:sz="6" w:space="0"/>
              <w:right w:val="single" w:color="000000" w:sz="6" w:space="0"/>
            </w:tcBorders>
            <w:tcMar>
              <w:left w:w="108" w:type="dxa"/>
              <w:top w:w="15" w:type="dxa"/>
              <w:right w:w="108" w:type="dxa"/>
              <w:bottom w:w="8" w:type="dxa"/>
            </w:tcMar>
            <w:tcW w:w="2412"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招标文件的商务条款</w:t>
            </w:r>
            <w:r/>
          </w:p>
        </w:tc>
        <w:tc>
          <w:tcPr>
            <w:tcBorders>
              <w:top w:val="single" w:color="000000" w:sz="12" w:space="0"/>
              <w:left w:val="single" w:color="000000" w:sz="6" w:space="0"/>
              <w:bottom w:val="single" w:color="000000" w:sz="6" w:space="0"/>
              <w:right w:val="single" w:color="000000" w:sz="6" w:space="0"/>
            </w:tcBorders>
            <w:tcMar>
              <w:left w:w="108" w:type="dxa"/>
              <w:top w:w="15" w:type="dxa"/>
              <w:right w:w="108" w:type="dxa"/>
              <w:bottom w:w="8" w:type="dxa"/>
            </w:tcMar>
            <w:tcW w:w="2412"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投标文件的商务条款</w:t>
            </w:r>
            <w:r/>
          </w:p>
        </w:tc>
        <w:tc>
          <w:tcPr>
            <w:tcBorders>
              <w:top w:val="single" w:color="000000" w:sz="12" w:space="0"/>
              <w:left w:val="single" w:color="000000" w:sz="6" w:space="0"/>
              <w:bottom w:val="single" w:color="000000" w:sz="6" w:space="0"/>
              <w:right w:val="single" w:color="000000" w:sz="12" w:space="0"/>
            </w:tcBorders>
            <w:tcMar>
              <w:left w:w="108" w:type="dxa"/>
              <w:top w:w="15" w:type="dxa"/>
              <w:right w:w="108" w:type="dxa"/>
              <w:bottom w:w="8" w:type="dxa"/>
            </w:tcMar>
            <w:tcW w:w="1102"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说明</w:t>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合同履行期限</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付款方式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bl>
    <w:p>
      <w:pPr>
        <w:jc w:val="center"/>
        <w:spacing w:before="0" w:after="0" w:line="400" w:lineRule="atLeast"/>
        <w:widowControl w:val="off"/>
        <w:rPr>
          <w:rFonts w:ascii="Times New Roman" w:hAnsi="Times New Roman" w:eastAsia="Times New Roman" w:cs="Times New Roman"/>
        </w:rPr>
      </w:pPr>
      <w:r>
        <w:rPr>
          <w:rFonts w:ascii="Calibri" w:hAnsi="Calibri" w:eastAsia="Calibri" w:cs="Calibri"/>
          <w:b/>
          <w:bCs/>
          <w:sz w:val="21"/>
          <w:szCs w:val="21"/>
        </w:rPr>
        <w:t xml:space="preserve">               </w:t>
      </w:r>
      <w:r>
        <w:rPr>
          <w:rFonts w:ascii="PMingLiU" w:hAnsi="PMingLiU" w:eastAsia="PMingLiU" w:cs="PMingLiU"/>
          <w:b/>
          <w:bCs/>
          <w:sz w:val="21"/>
          <w:szCs w:val="21"/>
        </w:rPr>
        <w:t xml:space="preserve">供应商名称（公章）：</w:t>
      </w:r>
      <w:r/>
    </w:p>
    <w:p>
      <w:pPr>
        <w:jc w:val="center"/>
        <w:spacing w:before="0" w:after="0" w:line="400" w:lineRule="atLeast"/>
        <w:widowControl w:val="off"/>
        <w:rPr>
          <w:rFonts w:ascii="Times New Roman" w:hAnsi="Times New Roman" w:eastAsia="Times New Roman" w:cs="Times New Roman"/>
        </w:rPr>
      </w:pPr>
      <w:r>
        <w:rPr>
          <w:rFonts w:ascii="Calibri" w:hAnsi="Calibri" w:eastAsia="Calibri" w:cs="Calibri"/>
          <w:b/>
          <w:bCs/>
          <w:sz w:val="21"/>
          <w:szCs w:val="21"/>
        </w:rPr>
        <w:t xml:space="preserve">           </w:t>
      </w:r>
      <w:r>
        <w:rPr>
          <w:rFonts w:ascii="PMingLiU" w:hAnsi="PMingLiU" w:eastAsia="PMingLiU" w:cs="PMingLiU"/>
          <w:b/>
          <w:bCs/>
          <w:sz w:val="21"/>
          <w:szCs w:val="21"/>
        </w:rPr>
        <w:t xml:space="preserve">供应商代表签字：</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注：1. 如供应商无任何偏离，也需在响应表中注明并在投标文件中递交此表。</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 偏离包括正、负偏离，正偏离指供应商的响应高于招标文件要求，负偏离指供应商的响应低于招标文件要求。</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pStyle w:val="816"/>
        <w:jc w:val="center"/>
        <w:keepNext w:val="0"/>
        <w:spacing w:before="0" w:after="0" w:line="400" w:lineRule="atLeast"/>
        <w:shd w:val="clear" w:color="auto" w:fill="ffffff"/>
        <w:widowControl w:val="off"/>
        <w:rPr>
          <w:rFonts w:ascii="Times New Roman" w:hAnsi="Times New Roman" w:eastAsia="Times New Roman" w:cs="Times New Roman"/>
          <w:b/>
          <w:bCs/>
          <w:sz w:val="28"/>
          <w:szCs w:val="28"/>
        </w:rPr>
        <w:outlineLvl w:val="9"/>
      </w:pPr>
      <w:r>
        <w:rPr>
          <w:rFonts w:ascii="Times New Roman" w:hAnsi="Times New Roman" w:eastAsia="Times New Roman" w:cs="Times New Roman"/>
        </w:rPr>
        <w:br w:type="page" w:clear="all"/>
      </w:r>
      <w:r>
        <w:rPr>
          <w:rFonts w:ascii="宋体" w:hAnsi="宋体" w:eastAsia="宋体" w:cs="宋体"/>
          <w:sz w:val="21"/>
          <w:szCs w:val="21"/>
        </w:rPr>
        <w:t xml:space="preserve">5.技术条款偏离表</w:t>
      </w:r>
      <w:r/>
    </w:p>
    <w:tbl>
      <w:tblPr>
        <w:tblStyle w:val="819"/>
        <w:tblW w:w="4750" w:type="pct"/>
        <w:tblInd w:w="3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87"/>
        <w:gridCol w:w="1859"/>
        <w:gridCol w:w="2028"/>
        <w:gridCol w:w="1154"/>
        <w:gridCol w:w="1694"/>
      </w:tblGrid>
      <w:tr>
        <w:trPr>
          <w:trHeight w:val="567"/>
        </w:trPr>
        <w:tc>
          <w:tcPr>
            <w:tcBorders>
              <w:bottom w:val="single" w:color="000000" w:sz="6" w:space="0"/>
              <w:right w:val="single" w:color="000000" w:sz="6" w:space="0"/>
            </w:tcBorders>
            <w:tcMar>
              <w:left w:w="28" w:type="dxa"/>
              <w:top w:w="8" w:type="dxa"/>
              <w:right w:w="28" w:type="dxa"/>
              <w:bottom w:w="8" w:type="dxa"/>
            </w:tcMar>
            <w:tcW w:w="1874" w:type="dxa"/>
            <w:vAlign w:val="center"/>
            <w:textDirection w:val="lrTb"/>
            <w:noWrap w:val="false"/>
          </w:tcPr>
          <w:p>
            <w:pPr>
              <w:jc w:val="center"/>
              <w:spacing w:before="12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招标文件项目需求书技术规范对应序号</w:t>
            </w:r>
            <w:r/>
          </w:p>
        </w:tc>
        <w:tc>
          <w:tcPr>
            <w:tcBorders>
              <w:left w:val="single" w:color="000000" w:sz="6" w:space="0"/>
              <w:bottom w:val="single" w:color="000000" w:sz="6" w:space="0"/>
              <w:right w:val="single" w:color="000000" w:sz="6" w:space="0"/>
            </w:tcBorders>
            <w:tcMar>
              <w:left w:w="28" w:type="dxa"/>
              <w:top w:w="8" w:type="dxa"/>
              <w:right w:w="28" w:type="dxa"/>
              <w:bottom w:w="8" w:type="dxa"/>
            </w:tcMar>
            <w:tcW w:w="1846" w:type="dxa"/>
            <w:vAlign w:val="center"/>
            <w:textDirection w:val="lrTb"/>
            <w:noWrap w:val="false"/>
          </w:tcPr>
          <w:p>
            <w:pPr>
              <w:jc w:val="center"/>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招标文件</w:t>
            </w:r>
            <w:r/>
          </w:p>
          <w:p>
            <w:pPr>
              <w:jc w:val="center"/>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技术规范要求</w:t>
            </w:r>
            <w:r/>
          </w:p>
        </w:tc>
        <w:tc>
          <w:tcPr>
            <w:tcBorders>
              <w:left w:val="single" w:color="000000" w:sz="6" w:space="0"/>
              <w:bottom w:val="single" w:color="000000" w:sz="6" w:space="0"/>
              <w:right w:val="single" w:color="000000" w:sz="6" w:space="0"/>
            </w:tcBorders>
            <w:tcMar>
              <w:left w:w="28" w:type="dxa"/>
              <w:top w:w="8" w:type="dxa"/>
              <w:right w:w="28" w:type="dxa"/>
              <w:bottom w:w="8" w:type="dxa"/>
            </w:tcMar>
            <w:tcW w:w="2014" w:type="dxa"/>
            <w:vAlign w:val="center"/>
            <w:textDirection w:val="lrTb"/>
            <w:noWrap w:val="false"/>
          </w:tcPr>
          <w:p>
            <w:pPr>
              <w:jc w:val="center"/>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投标文件</w:t>
            </w:r>
            <w:r/>
          </w:p>
          <w:p>
            <w:pPr>
              <w:jc w:val="center"/>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对应技术应答</w:t>
            </w:r>
            <w:r/>
          </w:p>
        </w:tc>
        <w:tc>
          <w:tcPr>
            <w:tcBorders>
              <w:left w:val="single" w:color="000000" w:sz="6" w:space="0"/>
              <w:bottom w:val="single" w:color="000000" w:sz="6" w:space="0"/>
              <w:right w:val="single" w:color="000000" w:sz="6" w:space="0"/>
            </w:tcBorders>
            <w:tcMar>
              <w:left w:w="28" w:type="dxa"/>
              <w:top w:w="8" w:type="dxa"/>
              <w:right w:w="28" w:type="dxa"/>
              <w:bottom w:w="8" w:type="dxa"/>
            </w:tcMar>
            <w:tcW w:w="1146" w:type="dxa"/>
            <w:vAlign w:val="center"/>
            <w:textDirection w:val="lrTb"/>
            <w:noWrap w:val="false"/>
          </w:tcPr>
          <w:p>
            <w:pPr>
              <w:jc w:val="center"/>
              <w:spacing w:before="12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偏差</w:t>
            </w:r>
            <w:r/>
          </w:p>
        </w:tc>
        <w:tc>
          <w:tcPr>
            <w:tcBorders>
              <w:left w:val="single" w:color="000000" w:sz="6" w:space="0"/>
              <w:bottom w:val="single" w:color="000000" w:sz="6" w:space="0"/>
            </w:tcBorders>
            <w:tcMar>
              <w:left w:w="28" w:type="dxa"/>
              <w:top w:w="8" w:type="dxa"/>
              <w:right w:w="28" w:type="dxa"/>
              <w:bottom w:w="8" w:type="dxa"/>
            </w:tcMar>
            <w:tcW w:w="1682" w:type="dxa"/>
            <w:vAlign w:val="center"/>
            <w:textDirection w:val="lrTb"/>
            <w:noWrap w:val="false"/>
          </w:tcPr>
          <w:p>
            <w:pPr>
              <w:jc w:val="center"/>
              <w:spacing w:before="120" w:after="0" w:line="56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标注“★”“▲”技术内容的技术支持资料对应页码</w:t>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87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846"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01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146"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68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87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846"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01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146"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68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87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846"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01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146"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68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87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846"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01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146"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68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87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846"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01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146"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68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trHeight w:val="567"/>
        </w:trPr>
        <w:tc>
          <w:tcPr>
            <w:tcBorders>
              <w:top w:val="single" w:color="000000" w:sz="6" w:space="0"/>
              <w:right w:val="single" w:color="000000" w:sz="6" w:space="0"/>
            </w:tcBorders>
            <w:tcMar>
              <w:left w:w="28" w:type="dxa"/>
              <w:top w:w="8" w:type="dxa"/>
              <w:right w:w="28" w:type="dxa"/>
              <w:bottom w:w="8" w:type="dxa"/>
            </w:tcMar>
            <w:tcW w:w="187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28" w:type="dxa"/>
              <w:top w:w="8" w:type="dxa"/>
              <w:right w:w="28" w:type="dxa"/>
              <w:bottom w:w="8" w:type="dxa"/>
            </w:tcMar>
            <w:tcW w:w="1846"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28" w:type="dxa"/>
              <w:top w:w="8" w:type="dxa"/>
              <w:right w:w="28" w:type="dxa"/>
              <w:bottom w:w="8" w:type="dxa"/>
            </w:tcMar>
            <w:tcW w:w="201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28" w:type="dxa"/>
              <w:top w:w="8" w:type="dxa"/>
              <w:right w:w="28" w:type="dxa"/>
              <w:bottom w:w="8" w:type="dxa"/>
            </w:tcMar>
            <w:tcW w:w="1146"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tcBorders>
            <w:tcMar>
              <w:left w:w="28" w:type="dxa"/>
              <w:top w:w="8" w:type="dxa"/>
              <w:right w:w="28" w:type="dxa"/>
              <w:bottom w:w="8" w:type="dxa"/>
            </w:tcMar>
            <w:tcW w:w="168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bl>
    <w:p>
      <w:pPr>
        <w:jc w:val="center"/>
        <w:spacing w:before="0" w:after="0" w:line="400" w:lineRule="atLeast"/>
        <w:widowControl w:val="off"/>
        <w:rPr>
          <w:rFonts w:ascii="Times New Roman" w:hAnsi="Times New Roman" w:eastAsia="Times New Roman" w:cs="Times New Roman"/>
        </w:rPr>
      </w:pPr>
      <w:r>
        <w:rPr>
          <w:rFonts w:ascii="PMingLiU" w:hAnsi="PMingLiU" w:eastAsia="PMingLiU" w:cs="PMingLiU"/>
          <w:b/>
          <w:bCs/>
          <w:sz w:val="21"/>
          <w:szCs w:val="21"/>
        </w:rPr>
        <w:t xml:space="preserve">供应商名称（公章）：</w:t>
      </w:r>
      <w:r/>
    </w:p>
    <w:p>
      <w:pPr>
        <w:jc w:val="center"/>
        <w:spacing w:before="0" w:after="0" w:line="400" w:lineRule="atLeast"/>
        <w:widowControl w:val="off"/>
        <w:rPr>
          <w:rFonts w:ascii="Times New Roman" w:hAnsi="Times New Roman" w:eastAsia="Times New Roman" w:cs="Times New Roman"/>
        </w:rPr>
      </w:pPr>
      <w:r>
        <w:rPr>
          <w:rFonts w:ascii="PMingLiU" w:hAnsi="PMingLiU" w:eastAsia="PMingLiU" w:cs="PMingLiU"/>
          <w:b/>
          <w:bCs/>
          <w:sz w:val="21"/>
          <w:szCs w:val="21"/>
        </w:rPr>
        <w:t xml:space="preserve">供应商代表签字：</w:t>
      </w:r>
      <w:r/>
    </w:p>
    <w:p>
      <w:pPr>
        <w:jc w:val="left"/>
        <w:spacing w:before="0" w:after="0" w:line="56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560" w:lineRule="atLeast"/>
        <w:widowControl w:val="off"/>
        <w:rPr>
          <w:rFonts w:ascii="Times New Roman" w:hAnsi="Times New Roman" w:eastAsia="Times New Roman" w:cs="Times New Roman"/>
        </w:rPr>
      </w:pPr>
      <w:r>
        <w:rPr>
          <w:rFonts w:ascii="宋体" w:hAnsi="宋体" w:eastAsia="宋体" w:cs="宋体"/>
        </w:rPr>
        <w:t xml:space="preserve">注：</w:t>
      </w:r>
      <w:r>
        <w:rPr>
          <w:rFonts w:ascii="宋体" w:hAnsi="宋体" w:eastAsia="宋体" w:cs="宋体"/>
          <w:sz w:val="21"/>
          <w:szCs w:val="21"/>
        </w:rPr>
        <w:t xml:space="preserve">1.按照招标文件中列明的技术性能、功能及配置或服务要求进行如实逐条应答。</w:t>
      </w:r>
      <w:r/>
    </w:p>
    <w:p>
      <w:pPr>
        <w:ind w:firstLine="435"/>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2.对于那些可以用量化形式表示的条款，供应商必须明确回答，对于那些非量化的条款供应商应以功能描述回答，指出所报提供的货物和服务是否做出实质性响应。</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sz w:val="21"/>
          <w:szCs w:val="21"/>
        </w:rPr>
        <w:br w:type="page" w:clear="all"/>
      </w:r>
      <w:r>
        <w:rPr>
          <w:rFonts w:ascii="宋体" w:hAnsi="宋体" w:eastAsia="宋体" w:cs="宋体"/>
          <w:b/>
          <w:bCs/>
          <w:sz w:val="21"/>
          <w:szCs w:val="21"/>
        </w:rPr>
        <w:t xml:space="preserve">二、资格证明文件</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2.1满足《中华人民共和国政府采购法》第二十二条规定：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（1）具有独立承担民事责任的能力，提供法人或其他组织的营业执照等证明文件，复印件加盖公章；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（2）法人代表授权书（原件）及法定代表人、授权代表身份证复印件及</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内任意一月投标单位为其缴纳的社保证明（如果是法定代表人直接参与投标的可以不提供授权书）；</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（3）具有良好的商业信誉和健全的财务会计制度，提供</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内），或2024或2025年度经审计的财务报告复印件加盖公章；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（6）有依法缴纳税收的良好记录，提供</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内任意一月份的纳税凭据复印件加盖公章（依法免税的应提供相应文件说明）；</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（7）有依法缴纳社会保障资金的良好记录，提供</w:t>
      </w:r>
      <w:r>
        <w:rPr>
          <w:rFonts w:hint="eastAsia" w:ascii="宋体" w:hAnsi="宋体" w:eastAsia="宋体" w:cs="宋体"/>
          <w:b/>
          <w:bCs/>
          <w:sz w:val="21"/>
          <w:szCs w:val="21"/>
          <w:lang w:eastAsia="zh-CN"/>
        </w:rPr>
        <w:t xml:space="preserve">2026年2月-2026年7月</w:t>
      </w:r>
      <w:r>
        <w:rPr>
          <w:rFonts w:ascii="宋体" w:hAnsi="宋体" w:eastAsia="宋体" w:cs="宋体"/>
          <w:sz w:val="21"/>
          <w:szCs w:val="21"/>
        </w:rPr>
        <w:t xml:space="preserve">内任意一月份的依法缴纳社会保障资金的凭据复印件加盖公章；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2.2落实政府采购政策需满足的资格要求：无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2.3本项目的特定资格要求：</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投标产品按国家规定须进行医疗器械备案或注册的，须提供产品的《医疗器械注册（备案）证》（复印件加盖公章）（开标时，该证应在有效期内；若不在有效期内，则需提供该证和所投产品在该证有效期内生产的药监局出具的证明文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（2）若投标供应商为代理商，须根据国家相关规定提供范围涵盖投标产品的医疗器械经营许可证或医疗器械经营备案凭证复印件加盖公章；</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（3）若投标供应商为生产商，须根据国家相关规定提供范围涵盖投标产品的医疗器械生产许可证或生产备案凭证复印件加盖公章；</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2.4供应商存在下列情形的不得参加本次招标活动：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（1）单位负责人为同一人或者存在直接控股、管理关系的不同供应商，不得参加同一合同项下的政府采购活动。</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（2）除单一来源项目外，凡为采购项目提供整体设计、规范编制或者项目管理、监理、检测等服务的供应商不得再参加本项目的采购活动。</w:t>
      </w:r>
      <w:r/>
    </w:p>
    <w:p>
      <w:pPr>
        <w:ind w:firstLine="420"/>
        <w:spacing w:before="0" w:after="0" w:line="360" w:lineRule="auto"/>
        <w:shd w:val="clear" w:color="auto" w:fill="ffffff"/>
        <w:rPr>
          <w:rFonts w:ascii="Times New Roman" w:hAnsi="Times New Roman" w:eastAsia="Times New Roman" w:cs="Times New Roman"/>
          <w:sz w:val="21"/>
          <w:szCs w:val="21"/>
        </w:rPr>
      </w:pPr>
      <w:r>
        <w:rPr>
          <w:rFonts w:ascii="宋体" w:hAnsi="宋体" w:eastAsia="宋体" w:cs="宋体"/>
          <w:sz w:val="21"/>
          <w:szCs w:val="21"/>
        </w:rPr>
        <w:t xml:space="preserve">（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tbl>
      <w:tblPr>
        <w:tblStyle w:val="819"/>
        <w:tblpPr w:horzAnchor="text" w:tblpXSpec="left" w:vertAnchor="text" w:tblpY="1" w:leftFromText="180" w:topFromText="0" w:rightFromText="180" w:bottomFromText="0"/>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74"/>
      </w:tblGrid>
      <w:tr>
        <w:trPr/>
        <w:tc>
          <w:tcPr>
            <w:tcMar>
              <w:left w:w="108" w:type="dxa"/>
              <w:top w:w="8" w:type="dxa"/>
              <w:right w:w="108" w:type="dxa"/>
              <w:bottom w:w="8" w:type="dxa"/>
            </w:tcMar>
            <w:tcW w:w="9430" w:type="dxa"/>
            <w:vAlign w:val="top"/>
            <w:textDirection w:val="lrTb"/>
            <w:noWrap w:val="false"/>
          </w:tcPr>
          <w:p>
            <w:pPr>
              <w:jc w:val="center"/>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bCs/>
                <w:i w:val="0"/>
                <w:iCs w:val="0"/>
                <w:smallCaps w:val="0"/>
                <w:color w:val="000000"/>
                <w:sz w:val="21"/>
                <w:szCs w:val="21"/>
              </w:rPr>
              <w:t xml:space="preserve">参加政府采购活动前 3 年内在经营活动中</w:t>
            </w:r>
            <w:r/>
          </w:p>
          <w:p>
            <w:pPr>
              <w:jc w:val="center"/>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bCs/>
                <w:i w:val="0"/>
                <w:iCs w:val="0"/>
                <w:smallCaps w:val="0"/>
                <w:color w:val="000000"/>
                <w:sz w:val="21"/>
                <w:szCs w:val="21"/>
              </w:rPr>
              <w:t xml:space="preserve">没有重大违法记录的书面声明（参考格式）</w:t>
            </w:r>
            <w:r/>
          </w:p>
          <w:p>
            <w:pPr>
              <w:ind w:firstLine="420"/>
              <w:jc w:val="left"/>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p>
            <w:pPr>
              <w:ind w:firstLine="3570"/>
              <w:jc w:val="left"/>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 供应商名称（公章）：</w:t>
            </w:r>
            <w:r/>
          </w:p>
          <w:p>
            <w:pPr>
              <w:jc w:val="left"/>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                                   授权代表签字： </w:t>
            </w:r>
            <w:r/>
          </w:p>
          <w:p>
            <w:pPr>
              <w:jc w:val="center"/>
              <w:spacing w:before="0" w:after="0" w:line="40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                                   日期：     年    月    日</w:t>
            </w:r>
            <w:r/>
          </w:p>
        </w:tc>
      </w:tr>
    </w:tbl>
    <w:p>
      <w:pPr>
        <w:pStyle w:val="815"/>
        <w:keepNext w:val="0"/>
        <w:spacing w:before="0" w:after="120" w:line="400" w:lineRule="atLeast"/>
        <w:widowControl w:val="off"/>
        <w:rPr>
          <w:rFonts w:ascii="Times New Roman" w:hAnsi="Times New Roman" w:eastAsia="Times New Roman" w:cs="Times New Roman"/>
          <w:b/>
          <w:bCs/>
          <w:sz w:val="36"/>
          <w:szCs w:val="36"/>
        </w:rPr>
        <w:outlineLvl w:val="9"/>
      </w:pPr>
      <w:r>
        <w:rPr>
          <w:rFonts w:ascii="Times New Roman" w:hAnsi="Times New Roman" w:eastAsia="Times New Roman" w:cs="Times New Roman"/>
          <w:b/>
          <w:bCs/>
          <w:sz w:val="36"/>
          <w:szCs w:val="36"/>
        </w:rPr>
        <w:br w:type="page" w:clear="all"/>
      </w:r>
      <w:r>
        <w:rPr>
          <w:rFonts w:ascii="宋体" w:hAnsi="宋体" w:eastAsia="宋体" w:cs="宋体"/>
          <w:i w:val="0"/>
          <w:iCs w:val="0"/>
          <w:sz w:val="21"/>
          <w:szCs w:val="21"/>
        </w:rPr>
        <w:t xml:space="preserve">三、其他相关文件</w:t>
      </w:r>
      <w:r/>
    </w:p>
    <w:p>
      <w:pPr>
        <w:pStyle w:val="816"/>
        <w:jc w:val="left"/>
        <w:keepNext w:val="0"/>
        <w:spacing w:before="0" w:after="0" w:line="400" w:lineRule="atLeast"/>
        <w:shd w:val="clear" w:color="auto" w:fill="ffffff"/>
        <w:widowControl w:val="off"/>
        <w:rPr>
          <w:rFonts w:ascii="Times New Roman" w:hAnsi="Times New Roman" w:eastAsia="Times New Roman" w:cs="Times New Roman"/>
          <w:b/>
          <w:bCs/>
          <w:sz w:val="28"/>
          <w:szCs w:val="28"/>
        </w:rPr>
        <w:outlineLvl w:val="9"/>
      </w:pPr>
      <w:r>
        <w:rPr>
          <w:rFonts w:ascii="宋体" w:hAnsi="宋体" w:eastAsia="宋体" w:cs="宋体"/>
          <w:sz w:val="21"/>
          <w:szCs w:val="21"/>
        </w:rPr>
        <w:t xml:space="preserve">1.授权委托书</w:t>
      </w:r>
      <w:r/>
    </w:p>
    <w:p>
      <w:pPr>
        <w:jc w:val="center"/>
        <w:spacing w:before="0" w:after="0" w:line="400" w:lineRule="atLeast"/>
        <w:widowControl w:val="off"/>
        <w:rPr>
          <w:rFonts w:ascii="Times New Roman" w:hAnsi="Times New Roman" w:eastAsia="Times New Roman" w:cs="Times New Roman"/>
        </w:rPr>
      </w:pPr>
      <w:r>
        <w:rPr>
          <w:rFonts w:ascii="PMingLiU" w:hAnsi="PMingLiU" w:eastAsia="PMingLiU" w:cs="PMingLiU"/>
          <w:b/>
          <w:bCs/>
          <w:sz w:val="21"/>
          <w:szCs w:val="21"/>
        </w:rPr>
        <w:t xml:space="preserve">授权委托书</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致苏美达国际技术贸易有限公司：</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本授权书宣告：</w:t>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委托人：</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地    址： </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法定代表人：</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受托人： </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性别： </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出生日期：</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所在单位：</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职务：</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身份证号：</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联系方式：</w:t>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受托人在办理上述事宜过程中以其自己的名义所签署的所有文件我均予以承认。受托人无转委托权。</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委托期限：至上述事宜处理完毕止。</w:t>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3079"/>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委托单位   </w:t>
      </w:r>
      <w:r>
        <w:rPr>
          <w:rFonts w:ascii="宋体" w:hAnsi="宋体" w:eastAsia="宋体" w:cs="宋体"/>
          <w:sz w:val="21"/>
          <w:szCs w:val="21"/>
          <w:u w:val="single"/>
        </w:rPr>
        <w:t xml:space="preserve"> （公章）          </w:t>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                             法定代表人 </w:t>
      </w:r>
      <w:r>
        <w:rPr>
          <w:rFonts w:ascii="宋体" w:hAnsi="宋体" w:eastAsia="宋体" w:cs="宋体"/>
          <w:sz w:val="21"/>
          <w:szCs w:val="21"/>
          <w:u w:val="single"/>
        </w:rPr>
        <w:t xml:space="preserve"> （签名或盖章）          </w:t>
      </w:r>
      <w:r/>
    </w:p>
    <w:p>
      <w:pPr>
        <w:ind w:firstLine="3885"/>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年    月    日</w:t>
      </w:r>
      <w:r/>
    </w:p>
    <w:p>
      <w:pPr>
        <w:jc w:val="left"/>
        <w:spacing w:before="0" w:after="0"/>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b/>
          <w:bCs/>
          <w:sz w:val="21"/>
          <w:szCs w:val="21"/>
        </w:rPr>
        <w:t xml:space="preserve">附：法定代表人、授权代表身份证复印件及</w:t>
      </w:r>
      <w:r>
        <w:rPr>
          <w:rFonts w:hint="eastAsia" w:ascii="宋体" w:hAnsi="宋体" w:eastAsia="宋体" w:cs="宋体"/>
          <w:b/>
          <w:bCs/>
          <w:sz w:val="21"/>
          <w:szCs w:val="21"/>
          <w:lang w:eastAsia="zh-CN"/>
        </w:rPr>
        <w:t xml:space="preserve">2026年2月-2026年7月</w:t>
      </w:r>
      <w:r>
        <w:rPr>
          <w:rFonts w:ascii="宋体" w:hAnsi="宋体" w:eastAsia="宋体" w:cs="宋体"/>
          <w:b/>
          <w:bCs/>
          <w:sz w:val="21"/>
          <w:szCs w:val="21"/>
        </w:rPr>
        <w:t xml:space="preserve">内任意一月投标单位为其缴纳的社保证明（如果是法定代表人直接参与投标的可以不提供授权书）。</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sz w:val="20"/>
          <w:szCs w:val="20"/>
        </w:rPr>
        <w:br w:type="page" w:clear="all"/>
      </w:r>
      <w:r>
        <w:rPr>
          <w:rFonts w:ascii="宋体" w:hAnsi="宋体" w:eastAsia="宋体" w:cs="宋体"/>
          <w:sz w:val="21"/>
          <w:szCs w:val="21"/>
        </w:rPr>
        <w:t xml:space="preserve">2.相关资质、业绩证明文件</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2.1 </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2.2</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2.3 </w:t>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sz w:val="21"/>
          <w:szCs w:val="21"/>
        </w:rPr>
        <w:t xml:space="preserve">2.4 </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left"/>
        <w:spacing w:before="0" w:after="0" w:line="400" w:lineRule="atLeast"/>
        <w:widowControl w:val="off"/>
        <w:rPr>
          <w:rFonts w:ascii="Times New Roman" w:hAnsi="Times New Roman" w:eastAsia="Times New Roman" w:cs="Times New Roman"/>
        </w:rPr>
      </w:pPr>
      <w:r>
        <w:rPr>
          <w:rFonts w:ascii="宋体" w:hAnsi="宋体" w:eastAsia="宋体" w:cs="宋体"/>
          <w:b/>
          <w:bCs/>
          <w:sz w:val="21"/>
          <w:szCs w:val="21"/>
        </w:rPr>
        <w:t xml:space="preserve">3.供应商拟承担本项目主要专业技术人员一览表格式</w:t>
      </w:r>
      <w:r/>
    </w:p>
    <w:p>
      <w:pPr>
        <w:jc w:val="center"/>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jc w:val="center"/>
        <w:spacing w:before="0" w:after="0" w:line="400" w:lineRule="atLeast"/>
        <w:widowControl w:val="off"/>
        <w:rPr>
          <w:rFonts w:ascii="Times New Roman" w:hAnsi="Times New Roman" w:eastAsia="Times New Roman" w:cs="Times New Roman"/>
        </w:rPr>
      </w:pPr>
      <w:r>
        <w:rPr>
          <w:rFonts w:ascii="宋体" w:hAnsi="宋体" w:eastAsia="宋体" w:cs="宋体"/>
          <w:b/>
          <w:bCs/>
          <w:sz w:val="21"/>
          <w:szCs w:val="21"/>
        </w:rPr>
        <w:t xml:space="preserve">供应商拟承担本项目主要专业技术人员一览表</w:t>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727"/>
        <w:gridCol w:w="1763"/>
        <w:gridCol w:w="1763"/>
        <w:gridCol w:w="1906"/>
        <w:gridCol w:w="1615"/>
      </w:tblGrid>
      <w:tr>
        <w:trPr>
          <w:jc w:val="center"/>
          <w:trHeight w:val="399"/>
        </w:trPr>
        <w:tc>
          <w:tcPr>
            <w:tcBorders>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人员姓名</w:t>
            </w:r>
            <w:r/>
          </w:p>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联系电话</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专业</w:t>
            </w:r>
            <w:r>
              <w:rPr>
                <w:rFonts w:ascii="Calibri" w:hAnsi="Calibri" w:eastAsia="Calibri" w:cs="Calibri"/>
                <w:b w:val="0"/>
                <w:bCs w:val="0"/>
                <w:i w:val="0"/>
                <w:iCs w:val="0"/>
                <w:smallCaps w:val="0"/>
                <w:color w:val="000000"/>
                <w:sz w:val="21"/>
                <w:szCs w:val="21"/>
              </w:rPr>
              <w:t xml:space="preserve">/</w:t>
            </w:r>
            <w:r>
              <w:rPr>
                <w:rFonts w:ascii="PMingLiU" w:hAnsi="PMingLiU" w:eastAsia="PMingLiU" w:cs="PMingLiU"/>
                <w:b w:val="0"/>
                <w:bCs w:val="0"/>
                <w:i w:val="0"/>
                <w:iCs w:val="0"/>
                <w:smallCaps w:val="0"/>
                <w:color w:val="000000"/>
                <w:sz w:val="21"/>
                <w:szCs w:val="21"/>
              </w:rPr>
              <w:t xml:space="preserve">类别</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工作时间</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工作业绩</w:t>
            </w:r>
            <w:r/>
          </w:p>
        </w:tc>
        <w:tc>
          <w:tcPr>
            <w:tcBorders>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在本项目中</w:t>
            </w:r>
            <w:r/>
          </w:p>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PMingLiU" w:hAnsi="PMingLiU" w:eastAsia="PMingLiU" w:cs="PMingLiU"/>
                <w:b w:val="0"/>
                <w:bCs w:val="0"/>
                <w:i w:val="0"/>
                <w:iCs w:val="0"/>
                <w:smallCaps w:val="0"/>
                <w:color w:val="000000"/>
                <w:sz w:val="21"/>
                <w:szCs w:val="21"/>
              </w:rPr>
              <w:t xml:space="preserve">职责分工</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bl>
    <w:p>
      <w:pPr>
        <w:ind w:left="420" w:hanging="420"/>
        <w:jc w:val="left"/>
        <w:spacing w:before="0" w:after="145" w:line="400" w:lineRule="atLeast"/>
        <w:widowControl w:val="off"/>
        <w:rPr>
          <w:rFonts w:ascii="Times New Roman" w:hAnsi="Times New Roman" w:eastAsia="Times New Roman" w:cs="Times New Roman"/>
        </w:rPr>
      </w:pPr>
      <w:r>
        <w:rPr>
          <w:rFonts w:ascii="PMingLiU" w:hAnsi="PMingLiU" w:eastAsia="PMingLiU" w:cs="PMingLiU"/>
          <w:sz w:val="21"/>
          <w:szCs w:val="21"/>
        </w:rPr>
        <w:t xml:space="preserve">注：附技术人员相关资格证书复印件。</w:t>
      </w:r>
      <w:r/>
    </w:p>
    <w:p>
      <w:pPr>
        <w:jc w:val="center"/>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供应商单位公章：</w:t>
      </w:r>
      <w:r/>
    </w:p>
    <w:p>
      <w:pPr>
        <w:jc w:val="center"/>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供应商代表签字</w:t>
      </w:r>
      <w:r>
        <w:rPr>
          <w:rFonts w:ascii="宋体" w:hAnsi="宋体" w:eastAsia="宋体" w:cs="宋体"/>
          <w:sz w:val="21"/>
          <w:szCs w:val="21"/>
        </w:rPr>
        <w:t xml:space="preserve">：</w:t>
      </w:r>
      <w:r>
        <w:rPr>
          <w:rFonts w:ascii="Calibri" w:hAnsi="Calibri" w:eastAsia="Calibri" w:cs="Calibri"/>
          <w:sz w:val="21"/>
          <w:szCs w:val="21"/>
        </w:rPr>
        <w:t xml:space="preserve">  </w:t>
      </w:r>
      <w:r/>
    </w:p>
    <w:p>
      <w:pPr>
        <w:jc w:val="center"/>
        <w:spacing w:before="0" w:after="0" w:line="400" w:lineRule="atLeast"/>
        <w:widowControl w:val="off"/>
        <w:rPr>
          <w:rFonts w:ascii="Times New Roman" w:hAnsi="Times New Roman" w:eastAsia="Times New Roman" w:cs="Times New Roman"/>
        </w:rPr>
      </w:pPr>
      <w:r>
        <w:rPr>
          <w:rFonts w:ascii="Calibri" w:hAnsi="Calibri" w:eastAsia="Calibri" w:cs="Calibri"/>
          <w:sz w:val="21"/>
          <w:szCs w:val="21"/>
        </w:rPr>
        <w:t xml:space="preserve">                                   </w:t>
      </w:r>
      <w:r>
        <w:rPr>
          <w:rFonts w:ascii="PMingLiU" w:hAnsi="PMingLiU" w:eastAsia="PMingLiU" w:cs="PMingLiU"/>
          <w:sz w:val="21"/>
          <w:szCs w:val="21"/>
        </w:rPr>
        <w:t xml:space="preserve">年</w:t>
      </w:r>
      <w:r>
        <w:rPr>
          <w:rFonts w:ascii="Calibri" w:hAnsi="Calibri" w:eastAsia="Calibri" w:cs="Calibri"/>
          <w:sz w:val="21"/>
          <w:szCs w:val="21"/>
        </w:rPr>
        <w:t xml:space="preserve">   </w:t>
      </w:r>
      <w:r>
        <w:rPr>
          <w:rFonts w:ascii="PMingLiU" w:hAnsi="PMingLiU" w:eastAsia="PMingLiU" w:cs="PMingLiU"/>
          <w:sz w:val="21"/>
          <w:szCs w:val="21"/>
        </w:rPr>
        <w:t xml:space="preserve">月</w:t>
      </w:r>
      <w:r>
        <w:rPr>
          <w:rFonts w:ascii="Calibri" w:hAnsi="Calibri" w:eastAsia="Calibri" w:cs="Calibri"/>
          <w:sz w:val="21"/>
          <w:szCs w:val="21"/>
        </w:rPr>
        <w:t xml:space="preserve">    </w:t>
      </w:r>
      <w:r>
        <w:rPr>
          <w:rFonts w:ascii="PMingLiU" w:hAnsi="PMingLiU" w:eastAsia="PMingLiU" w:cs="PMingLiU"/>
          <w:sz w:val="21"/>
          <w:szCs w:val="21"/>
        </w:rPr>
        <w:t xml:space="preserve">日</w:t>
      </w:r>
      <w:r/>
    </w:p>
    <w:p>
      <w:pPr>
        <w:jc w:val="left"/>
        <w:spacing w:before="12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pStyle w:val="816"/>
        <w:jc w:val="left"/>
        <w:keepNext w:val="0"/>
        <w:spacing w:before="0" w:after="0" w:line="400" w:lineRule="atLeast"/>
        <w:shd w:val="clear" w:color="auto" w:fill="ffffff"/>
        <w:widowControl w:val="off"/>
        <w:rPr>
          <w:rFonts w:ascii="Times New Roman" w:hAnsi="Times New Roman" w:eastAsia="Times New Roman" w:cs="Times New Roman"/>
          <w:b/>
          <w:bCs/>
          <w:sz w:val="28"/>
          <w:szCs w:val="28"/>
        </w:rPr>
        <w:outlineLvl w:val="9"/>
      </w:pPr>
      <w:r>
        <w:rPr>
          <w:rFonts w:ascii="宋体" w:hAnsi="宋体" w:eastAsia="宋体" w:cs="宋体"/>
          <w:sz w:val="21"/>
          <w:szCs w:val="21"/>
        </w:rPr>
        <w:t xml:space="preserve">4.服务承诺</w:t>
      </w:r>
      <w:r/>
    </w:p>
    <w:p>
      <w:pPr>
        <w:jc w:val="left"/>
        <w:spacing w:before="0" w:after="0" w:line="400" w:lineRule="atLeast"/>
        <w:widowControl w:val="off"/>
        <w:rPr>
          <w:rFonts w:ascii="Times New Roman" w:hAnsi="Times New Roman" w:eastAsia="Times New Roman" w:cs="Times New Roman"/>
        </w:rPr>
      </w:pPr>
      <w:r>
        <w:rPr>
          <w:rFonts w:ascii="PMingLiU" w:hAnsi="PMingLiU" w:eastAsia="PMingLiU" w:cs="PMingLiU"/>
          <w:sz w:val="21"/>
          <w:szCs w:val="21"/>
        </w:rPr>
        <w:t xml:space="preserve">（结合评标办法）</w:t>
      </w:r>
      <w:r/>
    </w:p>
    <w:p>
      <w:pPr>
        <w:pStyle w:val="816"/>
        <w:jc w:val="left"/>
        <w:keepNext w:val="0"/>
        <w:spacing w:before="0" w:after="0" w:line="400" w:lineRule="atLeast"/>
        <w:shd w:val="clear" w:color="auto" w:fill="ffffff"/>
        <w:widowControl w:val="off"/>
        <w:rPr>
          <w:rFonts w:ascii="Times New Roman" w:hAnsi="Times New Roman" w:eastAsia="Times New Roman" w:cs="Times New Roman"/>
          <w:b/>
          <w:bCs/>
          <w:sz w:val="28"/>
          <w:szCs w:val="28"/>
        </w:rPr>
        <w:outlineLvl w:val="9"/>
      </w:pPr>
      <w:r>
        <w:rPr>
          <w:rFonts w:ascii="Times New Roman" w:hAnsi="Times New Roman" w:eastAsia="Times New Roman" w:cs="Times New Roman"/>
          <w:b/>
          <w:bCs/>
          <w:sz w:val="28"/>
          <w:szCs w:val="28"/>
        </w:rPr>
        <w:br/>
      </w:r>
      <w:r>
        <w:rPr>
          <w:rFonts w:ascii="宋体" w:hAnsi="宋体" w:eastAsia="宋体" w:cs="宋体"/>
          <w:sz w:val="21"/>
          <w:szCs w:val="21"/>
        </w:rPr>
        <w:t xml:space="preserve">5.其他可以提供的关于投标的证明材料（样本、说明书或者检测报告等）</w:t>
      </w:r>
      <w:r/>
    </w:p>
    <w:p>
      <w:pPr>
        <w:pStyle w:val="815"/>
        <w:keepNext w:val="0"/>
        <w:spacing w:before="120" w:after="120" w:line="400" w:lineRule="atLeast"/>
        <w:widowControl w:val="off"/>
        <w:rPr>
          <w:rFonts w:ascii="Times New Roman" w:hAnsi="Times New Roman" w:eastAsia="Times New Roman" w:cs="Times New Roman"/>
          <w:b/>
          <w:bCs/>
          <w:sz w:val="36"/>
          <w:szCs w:val="36"/>
        </w:rPr>
        <w:outlineLvl w:val="9"/>
      </w:pPr>
      <w:r>
        <w:rPr>
          <w:rFonts w:ascii="宋体" w:hAnsi="宋体" w:eastAsia="宋体" w:cs="宋体"/>
          <w:i w:val="0"/>
          <w:iCs w:val="0"/>
          <w:sz w:val="21"/>
          <w:szCs w:val="21"/>
        </w:rPr>
        <w:t xml:space="preserve">四、服务方案及建议书</w:t>
      </w:r>
      <w:r/>
    </w:p>
    <w:p>
      <w:pPr>
        <w:ind w:firstLine="420"/>
        <w:jc w:val="left"/>
        <w:spacing w:before="0" w:after="0" w:line="560" w:lineRule="atLeast"/>
        <w:widowControl w:val="off"/>
        <w:rPr>
          <w:rFonts w:ascii="Times New Roman" w:hAnsi="Times New Roman" w:eastAsia="Times New Roman" w:cs="Times New Roman"/>
        </w:rPr>
      </w:pPr>
      <w:r>
        <w:rPr>
          <w:rFonts w:ascii="PMingLiU" w:hAnsi="PMingLiU" w:eastAsia="PMingLiU" w:cs="PMingLiU"/>
          <w:sz w:val="21"/>
          <w:szCs w:val="21"/>
        </w:rPr>
        <w:t xml:space="preserve">供应商应根据招标文件中《</w:t>
      </w:r>
      <w:r>
        <w:rPr>
          <w:rFonts w:ascii="宋体" w:hAnsi="宋体" w:eastAsia="宋体" w:cs="宋体"/>
          <w:sz w:val="21"/>
          <w:szCs w:val="21"/>
        </w:rPr>
        <w:t xml:space="preserve">服务</w:t>
      </w:r>
      <w:r>
        <w:rPr>
          <w:rFonts w:ascii="PMingLiU" w:hAnsi="PMingLiU" w:eastAsia="PMingLiU" w:cs="PMingLiU"/>
          <w:sz w:val="21"/>
          <w:szCs w:val="21"/>
        </w:rPr>
        <w:t xml:space="preserve">要求》，详细叙述拟提供技术及服务方案</w:t>
      </w:r>
      <w:r>
        <w:rPr>
          <w:rFonts w:ascii="Calibri" w:hAnsi="Calibri" w:eastAsia="Calibri" w:cs="Calibri"/>
          <w:sz w:val="21"/>
          <w:szCs w:val="21"/>
        </w:rPr>
        <w:t xml:space="preserve">/</w:t>
      </w:r>
      <w:r>
        <w:rPr>
          <w:rFonts w:ascii="PMingLiU" w:hAnsi="PMingLiU" w:eastAsia="PMingLiU" w:cs="PMingLiU"/>
          <w:sz w:val="21"/>
          <w:szCs w:val="21"/>
        </w:rPr>
        <w:t xml:space="preserve">服务情况。供应商提出的本项目技术及服务方案应包括：</w:t>
      </w:r>
      <w:r/>
    </w:p>
    <w:p>
      <w:pPr>
        <w:ind w:firstLine="420"/>
        <w:jc w:val="left"/>
        <w:spacing w:before="0" w:after="0" w:line="560" w:lineRule="atLeast"/>
        <w:widowControl w:val="off"/>
        <w:rPr>
          <w:rFonts w:ascii="Times New Roman" w:hAnsi="Times New Roman" w:eastAsia="Times New Roman" w:cs="Times New Roman"/>
        </w:rPr>
      </w:pPr>
      <w:r>
        <w:rPr>
          <w:rFonts w:ascii="PMingLiU" w:hAnsi="PMingLiU" w:eastAsia="PMingLiU" w:cs="PMingLiU"/>
          <w:sz w:val="21"/>
          <w:szCs w:val="21"/>
        </w:rPr>
        <w:t xml:space="preserve">（结合评标办法）</w:t>
      </w:r>
      <w:r/>
    </w:p>
    <w:p>
      <w:pPr>
        <w:pStyle w:val="815"/>
        <w:keepNext w:val="0"/>
        <w:spacing w:before="120" w:after="120" w:line="400" w:lineRule="atLeast"/>
        <w:widowControl w:val="off"/>
        <w:rPr>
          <w:rFonts w:ascii="Times New Roman" w:hAnsi="Times New Roman" w:eastAsia="Times New Roman" w:cs="Times New Roman"/>
          <w:b/>
          <w:bCs/>
          <w:sz w:val="36"/>
          <w:szCs w:val="36"/>
        </w:rPr>
        <w:outlineLvl w:val="9"/>
      </w:pPr>
      <w:r>
        <w:rPr>
          <w:rFonts w:ascii="Times New Roman" w:hAnsi="Times New Roman" w:eastAsia="Times New Roman" w:cs="Times New Roman"/>
          <w:sz w:val="20"/>
          <w:szCs w:val="20"/>
        </w:rPr>
        <w:br w:type="page" w:clear="all"/>
      </w:r>
      <w:r>
        <w:rPr>
          <w:rFonts w:ascii="宋体" w:hAnsi="宋体" w:eastAsia="宋体" w:cs="宋体"/>
          <w:i w:val="0"/>
          <w:iCs w:val="0"/>
          <w:sz w:val="21"/>
          <w:szCs w:val="21"/>
        </w:rPr>
        <w:t xml:space="preserve">五、政府采购政策</w:t>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b/>
          <w:bCs/>
          <w:sz w:val="21"/>
          <w:szCs w:val="21"/>
        </w:rPr>
        <w:t xml:space="preserve">1.中小企业声明函</w:t>
      </w:r>
      <w:r>
        <w:rPr>
          <w:rFonts w:ascii="Calibri" w:hAnsi="Calibri" w:eastAsia="Calibri" w:cs="Calibri"/>
          <w:b/>
          <w:bCs/>
          <w:sz w:val="21"/>
          <w:szCs w:val="21"/>
        </w:rPr>
        <w:t xml:space="preserve"> </w:t>
      </w:r>
      <w:r/>
    </w:p>
    <w:p>
      <w:pPr>
        <w:jc w:val="center"/>
        <w:spacing w:before="0" w:after="0" w:line="360" w:lineRule="auto"/>
        <w:widowControl w:val="off"/>
        <w:rPr>
          <w:rFonts w:ascii="Times New Roman" w:hAnsi="Times New Roman" w:eastAsia="Times New Roman" w:cs="Times New Roman"/>
          <w:sz w:val="30"/>
          <w:szCs w:val="30"/>
        </w:rPr>
      </w:pPr>
      <w:r>
        <w:rPr>
          <w:rFonts w:ascii="PMingLiU" w:hAnsi="PMingLiU" w:eastAsia="PMingLiU" w:cs="PMingLiU"/>
          <w:b/>
          <w:bCs/>
          <w:sz w:val="30"/>
          <w:szCs w:val="30"/>
        </w:rPr>
        <w:t xml:space="preserve">【不属于小微企业的无需填写、递交】</w:t>
      </w:r>
      <w:r/>
    </w:p>
    <w:p>
      <w:pPr>
        <w:ind w:left="425"/>
        <w:jc w:val="center"/>
        <w:spacing w:before="0" w:after="0" w:line="360" w:lineRule="auto"/>
        <w:rPr>
          <w:rFonts w:ascii="Times New Roman" w:hAnsi="Times New Roman" w:eastAsia="Times New Roman" w:cs="Times New Roman"/>
        </w:rPr>
      </w:pPr>
      <w:r>
        <w:rPr>
          <w:rFonts w:ascii="PMingLiU" w:hAnsi="PMingLiU" w:eastAsia="PMingLiU" w:cs="PMingLiU"/>
          <w:b/>
          <w:bCs/>
        </w:rPr>
        <w:t xml:space="preserve">中小企业声明函（货物）</w:t>
      </w:r>
      <w:r/>
    </w:p>
    <w:p>
      <w:pPr>
        <w:ind w:left="199" w:right="199" w:firstLine="640"/>
        <w:jc w:val="left"/>
        <w:spacing w:before="199" w:after="199"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本公司（联合体）郑重声明 ，根据《政府采购促进中小企业发展管理办法》（财库﹝2020 ﹞46号）的规定，本公司（联合体）参加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采购活动，提供的货物</w:t>
      </w:r>
      <w:r>
        <w:rPr>
          <w:rFonts w:ascii="宋体" w:hAnsi="宋体" w:eastAsia="宋体" w:cs="宋体"/>
          <w:b/>
          <w:bCs/>
          <w:sz w:val="21"/>
          <w:szCs w:val="21"/>
        </w:rPr>
        <w:t xml:space="preserve">全部</w:t>
      </w:r>
      <w:r>
        <w:rPr>
          <w:rFonts w:ascii="宋体" w:hAnsi="宋体" w:eastAsia="宋体" w:cs="宋体"/>
          <w:sz w:val="21"/>
          <w:szCs w:val="21"/>
        </w:rPr>
        <w:t xml:space="preserve">由符合政策要求的中小企业制造。相关企业（含联合体中的中小企业、签订分包意向协议的中小企业）的具体情况如下 ：</w:t>
      </w:r>
      <w:r/>
    </w:p>
    <w:p>
      <w:pPr>
        <w:ind w:left="199" w:right="199" w:firstLine="640"/>
        <w:jc w:val="left"/>
        <w:spacing w:before="199" w:after="199"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，属于</w:t>
      </w:r>
      <w:r>
        <w:rPr>
          <w:rFonts w:ascii="宋体" w:hAnsi="宋体" w:eastAsia="宋体" w:cs="宋体"/>
          <w:sz w:val="21"/>
          <w:szCs w:val="21"/>
          <w:u w:val="single"/>
        </w:rPr>
        <w:t xml:space="preserve">（采购文件中明确的所属行业）</w:t>
      </w:r>
      <w:r>
        <w:rPr>
          <w:rFonts w:ascii="宋体" w:hAnsi="宋体" w:eastAsia="宋体" w:cs="宋体"/>
          <w:sz w:val="21"/>
          <w:szCs w:val="21"/>
        </w:rPr>
        <w:t xml:space="preserve">行业；制造商为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 从业人员</w:t>
      </w:r>
      <w:r>
        <w:rPr>
          <w:rFonts w:ascii="宋体" w:hAnsi="宋体" w:eastAsia="宋体" w:cs="宋体"/>
          <w:sz w:val="21"/>
          <w:szCs w:val="21"/>
          <w:u w:val="single"/>
        </w:rPr>
        <w:t xml:space="preserve">   </w:t>
      </w:r>
      <w:r>
        <w:rPr>
          <w:rFonts w:ascii="宋体" w:hAnsi="宋体" w:eastAsia="宋体" w:cs="宋体"/>
          <w:sz w:val="21"/>
          <w:szCs w:val="21"/>
        </w:rPr>
        <w:t xml:space="preserve">人， 营业收入为</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中型企业、小型企业、微型企业</w:t>
      </w:r>
      <w:r>
        <w:rPr>
          <w:rFonts w:ascii="宋体" w:hAnsi="宋体" w:eastAsia="宋体" w:cs="宋体"/>
          <w:sz w:val="21"/>
          <w:szCs w:val="21"/>
        </w:rPr>
        <w:t xml:space="preserve">）；</w:t>
      </w:r>
      <w:r/>
    </w:p>
    <w:p>
      <w:pPr>
        <w:ind w:left="199" w:right="199" w:firstLine="640"/>
        <w:jc w:val="left"/>
        <w:spacing w:before="199" w:after="199"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，属于</w:t>
      </w:r>
      <w:r>
        <w:rPr>
          <w:rFonts w:ascii="宋体" w:hAnsi="宋体" w:eastAsia="宋体" w:cs="宋体"/>
          <w:sz w:val="21"/>
          <w:szCs w:val="21"/>
          <w:u w:val="single"/>
        </w:rPr>
        <w:t xml:space="preserve">（采购文件中明确的所属行业）</w:t>
      </w:r>
      <w:r>
        <w:rPr>
          <w:rFonts w:ascii="宋体" w:hAnsi="宋体" w:eastAsia="宋体" w:cs="宋体"/>
          <w:sz w:val="21"/>
          <w:szCs w:val="21"/>
        </w:rPr>
        <w:t xml:space="preserve">行业；制造商为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 从业人员</w:t>
      </w:r>
      <w:r>
        <w:rPr>
          <w:rFonts w:ascii="宋体" w:hAnsi="宋体" w:eastAsia="宋体" w:cs="宋体"/>
          <w:sz w:val="21"/>
          <w:szCs w:val="21"/>
          <w:u w:val="single"/>
        </w:rPr>
        <w:t xml:space="preserve">   </w:t>
      </w:r>
      <w:r>
        <w:rPr>
          <w:rFonts w:ascii="宋体" w:hAnsi="宋体" w:eastAsia="宋体" w:cs="宋体"/>
          <w:sz w:val="21"/>
          <w:szCs w:val="21"/>
        </w:rPr>
        <w:t xml:space="preserve">人， 营业收入为</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ascii="宋体" w:hAnsi="宋体" w:eastAsia="宋体" w:cs="宋体"/>
          <w:sz w:val="21"/>
          <w:szCs w:val="21"/>
          <w:u w:val="single"/>
        </w:rPr>
        <w:t xml:space="preserve">    </w:t>
      </w:r>
      <w:r>
        <w:rPr>
          <w:rFonts w:ascii="宋体" w:hAnsi="宋体" w:eastAsia="宋体" w:cs="宋体"/>
          <w:sz w:val="21"/>
          <w:szCs w:val="21"/>
        </w:rPr>
        <w:t xml:space="preserve">万元 ，属于（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w:t>
      </w:r>
      <w:r/>
    </w:p>
    <w:p>
      <w:pPr>
        <w:ind w:firstLine="688"/>
        <w:jc w:val="left"/>
        <w:spacing w:before="132" w:after="0" w:line="360" w:lineRule="auto"/>
        <w:widowControl w:val="off"/>
        <w:rPr>
          <w:rFonts w:ascii="Times New Roman" w:hAnsi="Times New Roman" w:eastAsia="Times New Roman" w:cs="Times New Roman"/>
          <w:sz w:val="21"/>
          <w:szCs w:val="21"/>
        </w:rPr>
      </w:pPr>
      <w:r>
        <w:rPr>
          <w:rFonts w:ascii="宋体" w:hAnsi="宋体" w:eastAsia="宋体" w:cs="宋体"/>
          <w:position w:val="-7"/>
          <w:sz w:val="21"/>
          <w:szCs w:val="21"/>
        </w:rPr>
        <w:t xml:space="preserve">……</w:t>
      </w:r>
      <w:r/>
    </w:p>
    <w:p>
      <w:pPr>
        <w:ind w:firstLine="594"/>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本企业对上述声明内容的真实性负责 。如有虚假 ，将依 法承担相应责任</w:t>
      </w:r>
      <w:r>
        <w:rPr>
          <w:rFonts w:ascii="宋体" w:hAnsi="宋体" w:eastAsia="宋体" w:cs="宋体"/>
          <w:b/>
          <w:bCs/>
          <w:sz w:val="21"/>
          <w:szCs w:val="21"/>
        </w:rPr>
        <w:t xml:space="preserve">。</w:t>
      </w:r>
      <w:r/>
    </w:p>
    <w:p>
      <w:pPr>
        <w:ind w:right="1560" w:firstLine="444"/>
        <w:jc w:val="center"/>
        <w:spacing w:before="0" w:after="0" w:line="360" w:lineRule="auto"/>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ind w:right="1560" w:firstLine="444"/>
        <w:jc w:val="center"/>
        <w:spacing w:before="0" w:after="0" w:line="360" w:lineRule="auto"/>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ind w:right="1560" w:firstLine="444"/>
        <w:jc w:val="right"/>
        <w:spacing w:before="0" w:after="0" w:line="360" w:lineRule="auto"/>
        <w:widowControl w:val="off"/>
        <w:rPr>
          <w:rFonts w:ascii="Times New Roman" w:hAnsi="Times New Roman" w:eastAsia="Times New Roman" w:cs="Times New Roman"/>
          <w:sz w:val="21"/>
          <w:szCs w:val="21"/>
        </w:rPr>
      </w:pPr>
      <w:r>
        <w:rPr>
          <w:rFonts w:ascii="宋体" w:hAnsi="宋体" w:eastAsia="宋体" w:cs="宋体"/>
          <w:spacing w:val="6"/>
          <w:sz w:val="21"/>
          <w:szCs w:val="21"/>
        </w:rPr>
        <w:t xml:space="preserve">            企业名称（盖章）：</w:t>
      </w:r>
      <w:r/>
    </w:p>
    <w:p>
      <w:pPr>
        <w:ind w:right="1560" w:firstLine="444"/>
        <w:jc w:val="right"/>
        <w:spacing w:before="0" w:after="0" w:line="360" w:lineRule="auto"/>
        <w:widowControl w:val="off"/>
        <w:rPr>
          <w:rFonts w:ascii="Times New Roman" w:hAnsi="Times New Roman" w:eastAsia="Times New Roman" w:cs="Times New Roman"/>
          <w:sz w:val="21"/>
          <w:szCs w:val="21"/>
        </w:rPr>
      </w:pPr>
      <w:r>
        <w:rPr>
          <w:rFonts w:ascii="宋体" w:hAnsi="宋体" w:eastAsia="宋体" w:cs="宋体"/>
          <w:spacing w:val="6"/>
          <w:sz w:val="21"/>
          <w:szCs w:val="21"/>
        </w:rPr>
        <w:t xml:space="preserve">         日  期：</w:t>
      </w:r>
      <w:r/>
    </w:p>
    <w:p>
      <w:pPr>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注：1.投标人提供的货物全部由符合政策要求的中小企业制造的参加本次政府采购项目需提供此声明函</w:t>
      </w:r>
      <w:r>
        <w:rPr>
          <w:rFonts w:ascii="宋体" w:hAnsi="宋体" w:eastAsia="宋体" w:cs="宋体"/>
          <w:sz w:val="21"/>
          <w:szCs w:val="21"/>
        </w:rPr>
        <w:t xml:space="preserve">（中小企业划型标准详见《关于印发中小企业划型标准规定的通知》工信部联企业〔2011〕300号）</w:t>
      </w:r>
      <w:r>
        <w:rPr>
          <w:rFonts w:ascii="宋体" w:hAnsi="宋体" w:eastAsia="宋体" w:cs="宋体"/>
          <w:b/>
          <w:bCs/>
          <w:sz w:val="21"/>
          <w:szCs w:val="21"/>
        </w:rPr>
        <w:t xml:space="preserve">，其他情况无需提供此声明函。</w:t>
      </w:r>
      <w:r/>
    </w:p>
    <w:p>
      <w:pPr>
        <w:ind w:firstLine="422"/>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2.投标人未按上述要求提供声明函的，价格将不做相应扣除。</w:t>
      </w:r>
      <w:r/>
    </w:p>
    <w:p>
      <w:pPr>
        <w:ind w:firstLine="422"/>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3.在货物采购项目中，供应商提供的货物既有中小企业制造货物，也有大型企业制造货物的，不享受本办法规定的中小企业扶持政策。</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sz w:val="21"/>
          <w:szCs w:val="21"/>
        </w:rPr>
        <w:br w:type="page" w:clear="all"/>
      </w:r>
      <w:r>
        <w:rPr>
          <w:rFonts w:ascii="宋体" w:hAnsi="宋体" w:eastAsia="宋体" w:cs="宋体"/>
          <w:b/>
          <w:bCs/>
          <w:sz w:val="21"/>
          <w:szCs w:val="21"/>
        </w:rPr>
        <w:t xml:space="preserve">2.残疾人福利性单位声明函</w:t>
      </w:r>
      <w:r/>
    </w:p>
    <w:p>
      <w:pPr>
        <w:ind w:firstLine="444"/>
        <w:spacing w:before="0" w:after="0" w:line="360" w:lineRule="auto"/>
        <w:widowControl w:val="off"/>
        <w:rPr>
          <w:rFonts w:ascii="Times New Roman" w:hAnsi="Times New Roman" w:eastAsia="Times New Roman" w:cs="Times New Roman"/>
          <w:sz w:val="20"/>
          <w:szCs w:val="20"/>
        </w:rPr>
      </w:pPr>
      <w:r>
        <w:rPr>
          <w:rFonts w:ascii="Times New Roman" w:hAnsi="Times New Roman" w:eastAsia="Times New Roman" w:cs="Times New Roman"/>
          <w:sz w:val="20"/>
          <w:szCs w:val="20"/>
        </w:rPr>
      </w:r>
      <w:r/>
    </w:p>
    <w:p>
      <w:pPr>
        <w:ind w:firstLine="444"/>
        <w:spacing w:before="0" w:after="0" w:line="360" w:lineRule="auto"/>
        <w:widowControl w:val="off"/>
        <w:rPr>
          <w:rFonts w:ascii="Times New Roman" w:hAnsi="Times New Roman" w:eastAsia="Times New Roman" w:cs="Times New Roman"/>
          <w:sz w:val="21"/>
          <w:szCs w:val="21"/>
        </w:rPr>
      </w:pPr>
      <w:r>
        <w:rPr>
          <w:rFonts w:ascii="宋体" w:hAnsi="宋体" w:eastAsia="宋体" w:cs="宋体"/>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pacing w:val="6"/>
          <w:sz w:val="21"/>
          <w:szCs w:val="21"/>
          <w:u w:val="single"/>
        </w:rPr>
        <w:t xml:space="preserve">     </w:t>
      </w:r>
      <w:r>
        <w:rPr>
          <w:rFonts w:ascii="宋体" w:hAnsi="宋体" w:eastAsia="宋体" w:cs="宋体"/>
          <w:spacing w:val="6"/>
          <w:sz w:val="21"/>
          <w:szCs w:val="21"/>
        </w:rPr>
        <w:t xml:space="preserve">单位的</w:t>
      </w:r>
      <w:r>
        <w:rPr>
          <w:rFonts w:ascii="宋体" w:hAnsi="宋体" w:eastAsia="宋体" w:cs="宋体"/>
          <w:spacing w:val="6"/>
          <w:sz w:val="21"/>
          <w:szCs w:val="21"/>
          <w:u w:val="single"/>
        </w:rPr>
        <w:t xml:space="preserve">     </w:t>
      </w:r>
      <w:r>
        <w:rPr>
          <w:rFonts w:ascii="宋体" w:hAnsi="宋体" w:eastAsia="宋体" w:cs="宋体"/>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before="0" w:after="0" w:line="360" w:lineRule="auto"/>
        <w:widowControl w:val="off"/>
        <w:rPr>
          <w:rFonts w:ascii="Times New Roman" w:hAnsi="Times New Roman" w:eastAsia="Times New Roman" w:cs="Times New Roman"/>
          <w:sz w:val="21"/>
          <w:szCs w:val="21"/>
        </w:rPr>
      </w:pPr>
      <w:r>
        <w:rPr>
          <w:rFonts w:ascii="宋体" w:hAnsi="宋体" w:eastAsia="宋体" w:cs="宋体"/>
          <w:spacing w:val="6"/>
          <w:sz w:val="21"/>
          <w:szCs w:val="21"/>
        </w:rPr>
        <w:t xml:space="preserve">本单位对上述声明的真实性负责。如有虚假，将依法承担相应责任。</w:t>
      </w:r>
      <w:r/>
    </w:p>
    <w:p>
      <w:pPr>
        <w:ind w:firstLine="444"/>
        <w:jc w:val="center"/>
        <w:spacing w:before="0" w:after="0" w:line="360" w:lineRule="auto"/>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jc w:val="center"/>
        <w:spacing w:before="0" w:after="0" w:line="360" w:lineRule="auto"/>
        <w:widowControl w:val="off"/>
        <w:rPr>
          <w:rFonts w:ascii="Times New Roman" w:hAnsi="Times New Roman" w:eastAsia="Times New Roman" w:cs="Times New Roman"/>
          <w:sz w:val="21"/>
          <w:szCs w:val="21"/>
        </w:rPr>
      </w:pPr>
      <w:r>
        <w:rPr>
          <w:rFonts w:ascii="宋体" w:hAnsi="宋体" w:eastAsia="宋体" w:cs="宋体"/>
          <w:spacing w:val="6"/>
          <w:sz w:val="21"/>
          <w:szCs w:val="21"/>
        </w:rPr>
        <w:t xml:space="preserve">单位名称（盖章）：</w:t>
      </w:r>
      <w:r/>
    </w:p>
    <w:p>
      <w:pPr>
        <w:jc w:val="center"/>
        <w:spacing w:before="120" w:after="0" w:line="400" w:lineRule="atLeast"/>
        <w:widowControl w:val="off"/>
        <w:rPr>
          <w:rFonts w:ascii="Times New Roman" w:hAnsi="Times New Roman" w:eastAsia="Times New Roman" w:cs="Times New Roman"/>
        </w:rPr>
      </w:pPr>
      <w:r>
        <w:rPr>
          <w:rFonts w:ascii="宋体" w:hAnsi="宋体" w:eastAsia="宋体" w:cs="宋体"/>
          <w:spacing w:val="6"/>
          <w:sz w:val="21"/>
          <w:szCs w:val="21"/>
        </w:rPr>
        <w:t xml:space="preserve">日 期：</w:t>
      </w:r>
      <w:r/>
    </w:p>
    <w:p>
      <w:pPr>
        <w:jc w:val="left"/>
        <w:spacing w:before="0" w:after="0" w:line="400" w:lineRule="atLeast"/>
        <w:widowControl w:val="off"/>
        <w:rPr>
          <w:rFonts w:ascii="Times New Roman" w:hAnsi="Times New Roman" w:eastAsia="Times New Roman" w:cs="Times New Roman"/>
        </w:rPr>
      </w:pPr>
      <w:r>
        <w:rPr>
          <w:rFonts w:ascii="Times New Roman" w:hAnsi="Times New Roman" w:eastAsia="Times New Roman" w:cs="Times New Roman"/>
        </w:rPr>
      </w:r>
      <w:r/>
    </w:p>
    <w:p>
      <w:pPr>
        <w:ind w:firstLine="420"/>
        <w:jc w:val="left"/>
        <w:spacing w:before="0" w:after="0" w:line="400" w:lineRule="atLeast"/>
        <w:widowControl w:val="off"/>
        <w:rPr>
          <w:rFonts w:ascii="Times New Roman" w:hAnsi="Times New Roman" w:eastAsia="Times New Roman" w:cs="Times New Roman"/>
        </w:rPr>
      </w:pPr>
      <w:r>
        <w:rPr>
          <w:rFonts w:ascii="宋体" w:hAnsi="宋体" w:eastAsia="宋体" w:cs="宋体"/>
          <w:b/>
          <w:bCs/>
          <w:sz w:val="21"/>
          <w:szCs w:val="21"/>
        </w:rPr>
        <w:t xml:space="preserve">3.关于符合本国产品标准的声明函</w:t>
      </w:r>
      <w:r/>
    </w:p>
    <w:p>
      <w:pPr>
        <w:ind w:firstLine="420"/>
        <w:spacing w:before="0" w:after="0" w:line="240" w:lineRule="atLeast"/>
        <w:rPr>
          <w:rFonts w:ascii="Times New Roman" w:hAnsi="Times New Roman" w:eastAsia="Times New Roman" w:cs="Times New Roman"/>
        </w:rPr>
      </w:pPr>
      <w:r>
        <w:rPr>
          <w:rFonts w:ascii="Times New Roman" w:hAnsi="Times New Roman" w:eastAsia="Times New Roman" w:cs="Times New Roman"/>
        </w:rPr>
      </w:r>
      <w:r/>
    </w:p>
    <w:p>
      <w:pPr>
        <w:ind w:firstLine="42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30" w:line="360" w:lineRule="auto"/>
        <w:rPr>
          <w:rFonts w:ascii="宋体" w:hAnsi="宋体" w:eastAsia="宋体" w:cs="宋体"/>
          <w:sz w:val="21"/>
          <w:szCs w:val="21"/>
          <w:shd w:val="clear" w:color="auto" w:fill="ffffff"/>
        </w:rPr>
      </w:pP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4232910</wp:posOffset>
                </wp:positionH>
                <wp:positionV relativeFrom="paragraph">
                  <wp:posOffset>24765</wp:posOffset>
                </wp:positionV>
                <wp:extent cx="962025" cy="95250"/>
                <wp:effectExtent l="0" t="0" r="3175" b="6350"/>
                <wp:wrapNone/>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33.3pt;mso-position-horizontal:absolute;mso-position-vertical-relative:text;margin-top:1.9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1054100</wp:posOffset>
                </wp:positionH>
                <wp:positionV relativeFrom="paragraph">
                  <wp:posOffset>553720</wp:posOffset>
                </wp:positionV>
                <wp:extent cx="962025" cy="95250"/>
                <wp:effectExtent l="0" t="0" r="3175" b="6350"/>
                <wp:wrapNone/>
                <wp:docPr id="2"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83.0pt;mso-position-horizontal:absolute;mso-position-vertical-relative:text;margin-top:43.6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-24130</wp:posOffset>
                </wp:positionH>
                <wp:positionV relativeFrom="paragraph">
                  <wp:posOffset>542925</wp:posOffset>
                </wp:positionV>
                <wp:extent cx="962025" cy="95250"/>
                <wp:effectExtent l="0" t="0" r="3175" b="6350"/>
                <wp:wrapNone/>
                <wp:docPr id="3"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4384;o:allowoverlap:true;o:allowincell:true;mso-position-horizontal-relative:text;margin-left:-1.9pt;mso-position-horizontal:absolute;mso-position-vertical-relative:text;margin-top:42.8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3563620</wp:posOffset>
                </wp:positionH>
                <wp:positionV relativeFrom="paragraph">
                  <wp:posOffset>273050</wp:posOffset>
                </wp:positionV>
                <wp:extent cx="962025" cy="95250"/>
                <wp:effectExtent l="0" t="0" r="3175" b="635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80.6pt;mso-position-horizontal:absolute;mso-position-vertical-relative:text;margin-top:21.5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2550795</wp:posOffset>
                </wp:positionH>
                <wp:positionV relativeFrom="paragraph">
                  <wp:posOffset>282575</wp:posOffset>
                </wp:positionV>
                <wp:extent cx="962025" cy="95250"/>
                <wp:effectExtent l="0" t="0" r="3175" b="6350"/>
                <wp:wrapNone/>
                <wp:docPr id="5"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00.8pt;mso-position-horizontal:absolute;mso-position-vertical-relative:text;margin-top:22.2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1444625</wp:posOffset>
                </wp:positionH>
                <wp:positionV relativeFrom="paragraph">
                  <wp:posOffset>280670</wp:posOffset>
                </wp:positionV>
                <wp:extent cx="962025" cy="95250"/>
                <wp:effectExtent l="0" t="0" r="3175" b="6350"/>
                <wp:wrapNone/>
                <wp:docPr id="6"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13.8pt;mso-position-horizontal:absolute;mso-position-vertical-relative:text;margin-top:22.1pt;mso-position-vertical:absolute;width:75.8pt;height:7.5pt;mso-wrap-distance-left:9.0pt;mso-wrap-distance-top:0.0pt;mso-wrap-distance-right:9.0pt;mso-wrap-distance-bottom:0.0pt;" stroked="false">
                <v:path textboxrect="0,0,0,0"/>
                <v:imagedata r:id="rId9" o:title=""/>
              </v:shape>
            </w:pict>
          </mc:Fallback>
        </mc:AlternateContent>
      </w:r>
      <w:r>
        <w:rPr>
          <w:rFonts w:ascii="宋体" w:hAnsi="宋体" w:eastAsia="宋体" w:cs="宋体"/>
          <w:sz w:val="21"/>
          <w:szCs w:val="21"/>
          <w:shd w:val="clear" w:color="auto" w:fill="ffffff"/>
        </w:rPr>
        <w:t xml:space="preserve">1.</w:t>
      </w:r>
      <w:r>
        <w:rPr>
          <w:rFonts w:ascii="宋体" w:hAnsi="宋体" w:eastAsia="宋体" w:cs="宋体"/>
          <w:b/>
          <w:bCs/>
          <w:spacing w:val="10"/>
          <w:sz w:val="21"/>
          <w:szCs w:val="21"/>
          <w:u w:val="single"/>
          <w:shd w:val="clear" w:color="auto" w:fill="ffffff"/>
        </w:rPr>
        <w:t xml:space="preserve">（产品名称1）</w:t>
      </w:r>
      <w:r>
        <w:rPr>
          <w:rFonts w:ascii="宋体" w:hAnsi="宋体" w:eastAsia="宋体" w:cs="宋体"/>
          <w:b/>
          <w:bCs/>
          <w:spacing w:val="10"/>
          <w:sz w:val="21"/>
          <w:szCs w:val="21"/>
          <w:shd w:val="clear" w:color="auto" w:fill="ffffff"/>
          <w:vertAlign w:val="superscript"/>
        </w:rPr>
        <w:t xml:space="preserve">1</w:t>
      </w:r>
      <w:r>
        <w:rPr>
          <w:rFonts w:ascii="宋体" w:hAnsi="宋体" w:eastAsia="宋体" w:cs="宋体"/>
          <w:sz w:val="21"/>
          <w:szCs w:val="21"/>
          <w:shd w:val="clear" w:color="auto" w:fill="ffffff"/>
        </w:rPr>
        <w:t xml:space="preserve">，生产厂为</w:t>
      </w:r>
      <w:r>
        <w:rPr>
          <w:rFonts w:ascii="宋体" w:hAnsi="宋体" w:eastAsia="宋体" w:cs="宋体"/>
          <w:b/>
          <w:bCs/>
          <w:spacing w:val="10"/>
          <w:sz w:val="21"/>
          <w:szCs w:val="21"/>
          <w:u w:val="single"/>
          <w:shd w:val="clear" w:color="auto" w:fill="ffffff"/>
        </w:rPr>
        <w:t xml:space="preserve">（厂名）</w:t>
      </w:r>
      <w:r>
        <w:rPr>
          <w:rFonts w:ascii="宋体" w:hAnsi="宋体" w:eastAsia="宋体" w:cs="宋体"/>
          <w:b/>
          <w:bCs/>
          <w:spacing w:val="10"/>
          <w:sz w:val="21"/>
          <w:szCs w:val="21"/>
          <w:shd w:val="clear" w:color="auto" w:fill="ffffff"/>
          <w:vertAlign w:val="superscript"/>
        </w:rPr>
        <w:t xml:space="preserve">2</w:t>
      </w:r>
      <w:r>
        <w:rPr>
          <w:rFonts w:ascii="宋体" w:hAnsi="宋体" w:eastAsia="宋体" w:cs="宋体"/>
          <w:sz w:val="21"/>
          <w:szCs w:val="21"/>
          <w:shd w:val="clear" w:color="auto" w:fill="ffffff"/>
        </w:rPr>
        <w:t xml:space="preserve">，厂址为</w:t>
      </w:r>
      <w:r>
        <w:rPr>
          <w:rFonts w:ascii="宋体" w:hAnsi="宋体" w:eastAsia="宋体" w:cs="宋体"/>
          <w:b/>
          <w:bCs/>
          <w:spacing w:val="10"/>
          <w:sz w:val="21"/>
          <w:szCs w:val="21"/>
          <w:u w:val="single"/>
          <w:shd w:val="clear" w:color="auto" w:fill="ffffff"/>
        </w:rPr>
        <w:t xml:space="preserve">（生产厂址）</w:t>
      </w:r>
      <w:r>
        <w:rPr>
          <w:rFonts w:ascii="宋体" w:hAnsi="宋体" w:eastAsia="宋体" w:cs="宋体"/>
          <w:sz w:val="21"/>
          <w:szCs w:val="21"/>
          <w:shd w:val="clear" w:color="auto" w:fill="ffffff"/>
        </w:rPr>
        <w:t xml:space="preserve">。</w:t>
      </w:r>
      <w:r>
        <w:rPr>
          <w:rFonts w:ascii="宋体" w:hAnsi="宋体" w:eastAsia="宋体" w:cs="宋体"/>
          <w:sz w:val="21"/>
          <w:szCs w:val="21"/>
          <w:u w:val="single"/>
          <w:shd w:val="clear" w:color="auto" w:fill="ffffff"/>
        </w:rPr>
        <w:t xml:space="preserve"> </w:t>
      </w:r>
      <w:r>
        <w:rPr>
          <w:rFonts w:ascii="宋体" w:hAnsi="宋体" w:eastAsia="宋体" w:cs="宋体"/>
          <w:b/>
          <w:bCs/>
          <w:spacing w:val="10"/>
          <w:sz w:val="21"/>
          <w:szCs w:val="21"/>
          <w:u w:val="single"/>
          <w:shd w:val="clear" w:color="auto" w:fill="ffffff"/>
        </w:rPr>
        <w:t xml:space="preserve">（产品名称1） </w:t>
      </w:r>
      <w:r>
        <w:rPr>
          <w:rFonts w:ascii="宋体" w:hAnsi="宋体" w:eastAsia="宋体" w:cs="宋体"/>
          <w:sz w:val="21"/>
          <w:szCs w:val="21"/>
          <w:shd w:val="clear" w:color="auto" w:fill="ffffff"/>
        </w:rPr>
        <w:t xml:space="preserve">的中国境内生产的组件成本占比≥</w:t>
      </w:r>
      <w:r>
        <w:rPr>
          <w:rFonts w:ascii="宋体" w:hAnsi="宋体" w:eastAsia="宋体" w:cs="宋体"/>
          <w:b/>
          <w:bCs/>
          <w:spacing w:val="10"/>
          <w:sz w:val="21"/>
          <w:szCs w:val="21"/>
          <w:u w:val="single"/>
          <w:shd w:val="clear" w:color="auto" w:fill="ffffff"/>
        </w:rPr>
        <w:t xml:space="preserve">（规定比例）</w:t>
      </w:r>
      <w:r>
        <w:rPr>
          <w:rFonts w:ascii="宋体" w:hAnsi="宋体" w:eastAsia="宋体" w:cs="宋体"/>
          <w:b/>
          <w:bCs/>
          <w:spacing w:val="10"/>
          <w:sz w:val="21"/>
          <w:szCs w:val="21"/>
          <w:shd w:val="clear" w:color="auto" w:fill="ffffff"/>
          <w:vertAlign w:val="superscript"/>
        </w:rPr>
        <w:t xml:space="preserve">3</w:t>
      </w:r>
      <w:r>
        <w:rPr>
          <w:rFonts w:ascii="宋体" w:hAnsi="宋体" w:eastAsia="宋体" w:cs="宋体"/>
          <w:sz w:val="21"/>
          <w:szCs w:val="21"/>
          <w:shd w:val="clear" w:color="auto" w:fill="ffffff"/>
        </w:rPr>
        <w:t xml:space="preserve">。</w:t>
      </w:r>
      <w:r>
        <w:rPr>
          <w:rFonts w:ascii="宋体" w:hAnsi="宋体" w:eastAsia="宋体" w:cs="宋体"/>
          <w:b/>
          <w:bCs/>
          <w:spacing w:val="10"/>
          <w:sz w:val="21"/>
          <w:szCs w:val="21"/>
          <w:u w:val="single"/>
          <w:shd w:val="clear" w:color="auto" w:fill="ffffff"/>
        </w:rPr>
        <w:t xml:space="preserve">（产品名称1）</w:t>
      </w:r>
      <w:r>
        <w:rPr>
          <w:rFonts w:ascii="宋体" w:hAnsi="宋体" w:eastAsia="宋体" w:cs="宋体"/>
          <w:sz w:val="21"/>
          <w:szCs w:val="21"/>
          <w:shd w:val="clear" w:color="auto" w:fill="ffffff"/>
        </w:rPr>
        <w:t xml:space="preserve">的</w:t>
      </w:r>
      <w:r>
        <w:rPr>
          <w:rFonts w:ascii="宋体" w:hAnsi="宋体" w:eastAsia="宋体" w:cs="宋体"/>
          <w:b/>
          <w:bCs/>
          <w:spacing w:val="10"/>
          <w:sz w:val="21"/>
          <w:szCs w:val="21"/>
          <w:u w:val="single"/>
          <w:shd w:val="clear" w:color="auto" w:fill="ffffff"/>
        </w:rPr>
        <w:t xml:space="preserve">（关键组件）</w:t>
      </w:r>
      <w:r>
        <w:rPr>
          <w:rFonts w:ascii="宋体" w:hAnsi="宋体" w:eastAsia="宋体" w:cs="宋体"/>
          <w:b/>
          <w:bCs/>
          <w:spacing w:val="10"/>
          <w:sz w:val="21"/>
          <w:szCs w:val="21"/>
          <w:shd w:val="clear" w:color="auto" w:fill="ffffff"/>
          <w:vertAlign w:val="superscript"/>
        </w:rPr>
        <w:t xml:space="preserve">4</w:t>
      </w:r>
      <w:r>
        <w:rPr>
          <w:rFonts w:ascii="宋体" w:hAnsi="宋体" w:eastAsia="宋体" w:cs="宋体"/>
          <w:sz w:val="21"/>
          <w:szCs w:val="21"/>
          <w:shd w:val="clear" w:color="auto" w:fill="ffffff"/>
        </w:rPr>
        <w:t xml:space="preserve">在中国境内生产。</w:t>
      </w:r>
      <w:r>
        <w:rPr>
          <w:rFonts w:ascii="宋体" w:hAnsi="宋体" w:eastAsia="宋体" w:cs="宋体"/>
          <w:b/>
          <w:bCs/>
          <w:spacing w:val="10"/>
          <w:sz w:val="21"/>
          <w:szCs w:val="21"/>
          <w:u w:val="single"/>
          <w:shd w:val="clear" w:color="auto" w:fill="ffffff"/>
        </w:rPr>
        <w:t xml:space="preserve">（产品名称1）</w:t>
      </w:r>
      <w:r>
        <w:rPr>
          <w:rFonts w:ascii="宋体" w:hAnsi="宋体" w:eastAsia="宋体" w:cs="宋体"/>
          <w:sz w:val="21"/>
          <w:szCs w:val="21"/>
          <w:shd w:val="clear" w:color="auto" w:fill="ffffff"/>
        </w:rPr>
        <w:t xml:space="preserve">的</w:t>
      </w:r>
      <w:r>
        <w:rPr>
          <w:rFonts w:ascii="宋体" w:hAnsi="宋体" w:eastAsia="宋体" w:cs="宋体"/>
          <w:b/>
          <w:bCs/>
          <w:spacing w:val="10"/>
          <w:sz w:val="21"/>
          <w:szCs w:val="21"/>
          <w:u w:val="single"/>
          <w:shd w:val="clear" w:color="auto" w:fill="ffffff"/>
        </w:rPr>
        <w:t xml:space="preserve">（关键工序）</w:t>
      </w:r>
      <w:r>
        <w:rPr>
          <w:rFonts w:ascii="宋体" w:hAnsi="宋体" w:eastAsia="宋体" w:cs="宋体"/>
          <w:b/>
          <w:bCs/>
          <w:spacing w:val="10"/>
          <w:sz w:val="21"/>
          <w:szCs w:val="21"/>
          <w:shd w:val="clear" w:color="auto" w:fill="ffffff"/>
          <w:vertAlign w:val="superscript"/>
        </w:rPr>
        <w:t xml:space="preserve">5</w:t>
      </w:r>
      <w:r>
        <w:rPr>
          <w:rFonts w:ascii="宋体" w:hAnsi="宋体" w:eastAsia="宋体" w:cs="宋体"/>
          <w:sz w:val="21"/>
          <w:szCs w:val="21"/>
          <w:shd w:val="clear" w:color="auto" w:fill="ffffff"/>
        </w:rPr>
        <w:t xml:space="preserve">在中国境内完成。</w:t>
      </w:r>
      <w:r/>
    </w:p>
    <w:p>
      <w:pPr>
        <w:ind w:firstLine="420"/>
        <w:spacing w:after="30" w:line="360" w:lineRule="auto"/>
        <w:rPr>
          <w:rFonts w:ascii="宋体" w:hAnsi="宋体" w:eastAsia="宋体" w:cs="宋体"/>
          <w:sz w:val="21"/>
          <w:szCs w:val="21"/>
          <w:shd w:val="clear" w:color="auto" w:fill="ffffff"/>
        </w:rPr>
      </w:pP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711200</wp:posOffset>
                </wp:positionH>
                <wp:positionV relativeFrom="paragraph">
                  <wp:posOffset>499745</wp:posOffset>
                </wp:positionV>
                <wp:extent cx="736600" cy="145415"/>
                <wp:effectExtent l="0" t="0" r="0" b="6985"/>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736600" cy="1454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1552;o:allowoverlap:true;o:allowincell:true;mso-position-horizontal-relative:text;margin-left:56.0pt;mso-position-horizontal:absolute;mso-position-vertical-relative:text;margin-top:39.4pt;mso-position-vertical:absolute;width:58.0pt;height:11.4pt;mso-wrap-distance-left:9.0pt;mso-wrap-distance-top:0.0pt;mso-wrap-distance-right:9.0pt;mso-wrap-distance-bottom:0.0pt;" stroked="false">
                <v:path textboxrect="0,0,0,0"/>
                <v:imagedata r:id="rId10"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534035</wp:posOffset>
                </wp:positionV>
                <wp:extent cx="553720" cy="109220"/>
                <wp:effectExtent l="0" t="0" r="5080" b="5080"/>
                <wp:wrapNone/>
                <wp:docPr id="8"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r/>
                      </pic:nvPicPr>
                      <pic:blipFill>
                        <a:blip r:embed="rId10"/>
                        <a:stretch/>
                      </pic:blipFill>
                      <pic:spPr bwMode="auto">
                        <a:xfrm>
                          <a:off x="0" y="0"/>
                          <a:ext cx="553720" cy="1092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0528;o:allowoverlap:true;o:allowincell:true;mso-position-horizontal-relative:text;margin-left:-3.5pt;mso-position-horizontal:absolute;mso-position-vertical-relative:text;margin-top:42.0pt;mso-position-vertical:absolute;width:43.6pt;height:8.6pt;mso-wrap-distance-left:9.0pt;mso-wrap-distance-top:0.0pt;mso-wrap-distance-right:9.0pt;mso-wrap-distance-bottom:0.0pt;" stroked="false">
                <v:path textboxrect="0,0,0,0"/>
                <v:imagedata r:id="rId10"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5210810</wp:posOffset>
                </wp:positionH>
                <wp:positionV relativeFrom="paragraph">
                  <wp:posOffset>273685</wp:posOffset>
                </wp:positionV>
                <wp:extent cx="612775" cy="76200"/>
                <wp:effectExtent l="0" t="0" r="9525" b="0"/>
                <wp:wrapNone/>
                <wp:docPr id="9"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r/>
                      </pic:nvPicPr>
                      <pic:blipFill>
                        <a:blip r:embed="rId9"/>
                        <a:stretch/>
                      </pic:blipFill>
                      <pic:spPr bwMode="auto">
                        <a:xfrm>
                          <a:off x="0" y="0"/>
                          <a:ext cx="612775" cy="762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9504;o:allowoverlap:true;o:allowincell:true;mso-position-horizontal-relative:text;margin-left:410.3pt;mso-position-horizontal:absolute;mso-position-vertical-relative:text;margin-top:21.6pt;mso-position-vertical:absolute;width:48.2pt;height:6.0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3231515</wp:posOffset>
                </wp:positionH>
                <wp:positionV relativeFrom="paragraph">
                  <wp:posOffset>286385</wp:posOffset>
                </wp:positionV>
                <wp:extent cx="962025" cy="95250"/>
                <wp:effectExtent l="0" t="0" r="3175" b="6350"/>
                <wp:wrapNone/>
                <wp:docPr id="10"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图片 100008"/>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254.4pt;mso-position-horizontal:absolute;mso-position-vertical-relative:text;margin-top:22.5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2286635</wp:posOffset>
                </wp:positionH>
                <wp:positionV relativeFrom="paragraph">
                  <wp:posOffset>298450</wp:posOffset>
                </wp:positionV>
                <wp:extent cx="962025" cy="95250"/>
                <wp:effectExtent l="0" t="0" r="3175" b="6350"/>
                <wp:wrapNone/>
                <wp:docPr id="11"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180.0pt;mso-position-horizontal:absolute;mso-position-vertical-relative:text;margin-top:23.5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1196340</wp:posOffset>
                </wp:positionH>
                <wp:positionV relativeFrom="paragraph">
                  <wp:posOffset>294005</wp:posOffset>
                </wp:positionV>
                <wp:extent cx="962025" cy="95250"/>
                <wp:effectExtent l="0" t="0" r="3175" b="6350"/>
                <wp:wrapNone/>
                <wp:docPr id="12"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6432;o:allowoverlap:true;o:allowincell:true;mso-position-horizontal-relative:text;margin-left:94.2pt;mso-position-horizontal:absolute;mso-position-vertical-relative:text;margin-top:23.1pt;mso-position-vertical:absolute;width:75.8pt;height:7.5pt;mso-wrap-distance-left:9.0pt;mso-wrap-distance-top:0.0pt;mso-wrap-distance-right:9.0pt;mso-wrap-distance-bottom:0.0pt;" stroked="false">
                <v:path textboxrect="0,0,0,0"/>
                <v:imagedata r:id="rId9" o:title=""/>
              </v:shape>
            </w:pict>
          </mc:Fallback>
        </mc:AlternateContent>
      </w:r>
      <w:r>
        <w:rPr>
          <w:rFonts w:ascii="Times New Roman" w:hAnsi="Times New Roman" w:eastAsia="Times New Roman" w:cs="Times New Roman"/>
          <w:strike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4125595</wp:posOffset>
                </wp:positionH>
                <wp:positionV relativeFrom="paragraph">
                  <wp:posOffset>8890</wp:posOffset>
                </wp:positionV>
                <wp:extent cx="962025" cy="95250"/>
                <wp:effectExtent l="0" t="0" r="3175" b="6350"/>
                <wp:wrapNone/>
                <wp:docPr id="13"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r/>
                      </pic:nvPicPr>
                      <pic:blipFill>
                        <a:blip r:embed="rId9"/>
                        <a:stretch/>
                      </pic:blipFill>
                      <pic:spPr bwMode="auto">
                        <a:xfrm>
                          <a:off x="0" y="0"/>
                          <a:ext cx="962159" cy="9526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324.8pt;mso-position-horizontal:absolute;mso-position-vertical-relative:text;margin-top:0.7pt;mso-position-vertical:absolute;width:75.8pt;height:7.5pt;mso-wrap-distance-left:9.0pt;mso-wrap-distance-top:0.0pt;mso-wrap-distance-right:9.0pt;mso-wrap-distance-bottom:0.0pt;" stroked="false">
                <v:path textboxrect="0,0,0,0"/>
                <v:imagedata r:id="rId9" o:title=""/>
              </v:shape>
            </w:pict>
          </mc:Fallback>
        </mc:AlternateContent>
      </w:r>
      <w:r>
        <w:rPr>
          <w:rFonts w:ascii="宋体" w:hAnsi="宋体" w:eastAsia="宋体" w:cs="宋体"/>
          <w:sz w:val="21"/>
          <w:szCs w:val="21"/>
          <w:shd w:val="clear" w:color="auto" w:fill="ffffff"/>
        </w:rPr>
        <w:t xml:space="preserve">2.</w:t>
      </w:r>
      <w:r>
        <w:rPr>
          <w:rFonts w:ascii="宋体" w:hAnsi="宋体" w:eastAsia="宋体" w:cs="宋体"/>
          <w:b/>
          <w:bCs/>
          <w:spacing w:val="10"/>
          <w:sz w:val="21"/>
          <w:szCs w:val="21"/>
          <w:u w:val="single"/>
          <w:shd w:val="clear" w:color="auto" w:fill="ffffff"/>
        </w:rPr>
        <w:t xml:space="preserve">（产品名称2）</w:t>
      </w:r>
      <w:r>
        <w:rPr>
          <w:rFonts w:ascii="宋体" w:hAnsi="宋体" w:eastAsia="宋体" w:cs="宋体"/>
          <w:sz w:val="21"/>
          <w:szCs w:val="21"/>
          <w:shd w:val="clear" w:color="auto" w:fill="ffffff"/>
        </w:rPr>
        <w:t xml:space="preserve">，生产厂为</w:t>
      </w:r>
      <w:r>
        <w:rPr>
          <w:rFonts w:ascii="宋体" w:hAnsi="宋体" w:eastAsia="宋体" w:cs="宋体"/>
          <w:b/>
          <w:bCs/>
          <w:spacing w:val="10"/>
          <w:sz w:val="21"/>
          <w:szCs w:val="21"/>
          <w:u w:val="single"/>
          <w:shd w:val="clear" w:color="auto" w:fill="ffffff"/>
        </w:rPr>
        <w:t xml:space="preserve">（厂名）</w:t>
      </w:r>
      <w:r>
        <w:rPr>
          <w:rFonts w:ascii="宋体" w:hAnsi="宋体" w:eastAsia="宋体" w:cs="宋体"/>
          <w:sz w:val="21"/>
          <w:szCs w:val="21"/>
          <w:shd w:val="clear" w:color="auto" w:fill="ffffff"/>
        </w:rPr>
        <w:t xml:space="preserve">，厂址为</w:t>
      </w:r>
      <w:r>
        <w:rPr>
          <w:rFonts w:ascii="宋体" w:hAnsi="宋体" w:eastAsia="宋体" w:cs="宋体"/>
          <w:b/>
          <w:bCs/>
          <w:spacing w:val="10"/>
          <w:sz w:val="21"/>
          <w:szCs w:val="21"/>
          <w:u w:val="single"/>
          <w:shd w:val="clear" w:color="auto" w:fill="ffffff"/>
        </w:rPr>
        <w:t xml:space="preserve">（生产厂址）</w:t>
      </w:r>
      <w:r>
        <w:rPr>
          <w:rFonts w:ascii="宋体" w:hAnsi="宋体" w:eastAsia="宋体" w:cs="宋体"/>
          <w:sz w:val="21"/>
          <w:szCs w:val="21"/>
          <w:shd w:val="clear" w:color="auto" w:fill="ffffff"/>
        </w:rPr>
        <w:t xml:space="preserve">。</w:t>
      </w:r>
      <w:r>
        <w:rPr>
          <w:rFonts w:ascii="宋体" w:hAnsi="宋体" w:eastAsia="宋体" w:cs="宋体"/>
          <w:b/>
          <w:bCs/>
          <w:spacing w:val="10"/>
          <w:sz w:val="21"/>
          <w:szCs w:val="21"/>
          <w:u w:val="single"/>
          <w:shd w:val="clear" w:color="auto" w:fill="ffffff"/>
        </w:rPr>
        <w:t xml:space="preserve">（产品名称2）</w:t>
      </w:r>
      <w:r>
        <w:rPr>
          <w:rFonts w:ascii="宋体" w:hAnsi="宋体" w:eastAsia="宋体" w:cs="宋体"/>
          <w:sz w:val="21"/>
          <w:szCs w:val="21"/>
          <w:shd w:val="clear" w:color="auto" w:fill="ffffff"/>
        </w:rPr>
        <w:t xml:space="preserve">的中国境内生产的组件成本占比≥</w:t>
      </w:r>
      <w:r>
        <w:rPr>
          <w:rFonts w:ascii="宋体" w:hAnsi="宋体" w:eastAsia="宋体" w:cs="宋体"/>
          <w:b/>
          <w:bCs/>
          <w:spacing w:val="10"/>
          <w:sz w:val="21"/>
          <w:szCs w:val="21"/>
          <w:u w:val="single"/>
          <w:shd w:val="clear" w:color="auto" w:fill="ffffff"/>
        </w:rPr>
        <w:t xml:space="preserve">（规定比例）</w:t>
      </w:r>
      <w:r>
        <w:rPr>
          <w:rFonts w:ascii="宋体" w:hAnsi="宋体" w:eastAsia="宋体" w:cs="宋体"/>
          <w:sz w:val="21"/>
          <w:szCs w:val="21"/>
          <w:shd w:val="clear" w:color="auto" w:fill="ffffff"/>
        </w:rPr>
        <w:t xml:space="preserve">。</w:t>
      </w:r>
      <w:r>
        <w:rPr>
          <w:rFonts w:ascii="宋体" w:hAnsi="宋体" w:eastAsia="宋体" w:cs="宋体"/>
          <w:b/>
          <w:bCs/>
          <w:spacing w:val="10"/>
          <w:sz w:val="21"/>
          <w:szCs w:val="21"/>
          <w:u w:val="single"/>
          <w:shd w:val="clear" w:color="auto" w:fill="ffffff"/>
        </w:rPr>
        <w:t xml:space="preserve">（产品名称2）</w:t>
      </w:r>
      <w:r>
        <w:rPr>
          <w:rFonts w:ascii="宋体" w:hAnsi="宋体" w:eastAsia="宋体" w:cs="宋体"/>
          <w:sz w:val="21"/>
          <w:szCs w:val="21"/>
          <w:shd w:val="clear" w:color="auto" w:fill="ffffff"/>
        </w:rPr>
        <w:t xml:space="preserve">的</w:t>
      </w:r>
      <w:r>
        <w:rPr>
          <w:rFonts w:ascii="宋体" w:hAnsi="宋体" w:eastAsia="宋体" w:cs="宋体"/>
          <w:b/>
          <w:bCs/>
          <w:spacing w:val="10"/>
          <w:sz w:val="21"/>
          <w:szCs w:val="21"/>
          <w:u w:val="single"/>
          <w:shd w:val="clear" w:color="auto" w:fill="ffffff"/>
        </w:rPr>
        <w:t xml:space="preserve">（关键组件）</w:t>
      </w:r>
      <w:r>
        <w:rPr>
          <w:rFonts w:ascii="宋体" w:hAnsi="宋体" w:eastAsia="宋体" w:cs="宋体"/>
          <w:sz w:val="21"/>
          <w:szCs w:val="21"/>
          <w:shd w:val="clear" w:color="auto" w:fill="ffffff"/>
        </w:rPr>
        <w:t xml:space="preserve">在中国境内生产。</w:t>
      </w:r>
      <w:r>
        <w:rPr>
          <w:rFonts w:ascii="宋体" w:hAnsi="宋体" w:eastAsia="宋体" w:cs="宋体"/>
          <w:b/>
          <w:bCs/>
          <w:spacing w:val="10"/>
          <w:sz w:val="21"/>
          <w:szCs w:val="21"/>
          <w:u w:val="single"/>
          <w:shd w:val="clear" w:color="auto" w:fill="ffffff"/>
        </w:rPr>
        <w:t xml:space="preserve">（产品名称1）</w:t>
      </w:r>
      <w:r>
        <w:rPr>
          <w:rFonts w:ascii="宋体" w:hAnsi="宋体" w:eastAsia="宋体" w:cs="宋体"/>
          <w:sz w:val="21"/>
          <w:szCs w:val="21"/>
          <w:shd w:val="clear" w:color="auto" w:fill="ffffff"/>
        </w:rPr>
        <w:t xml:space="preserve">的</w:t>
      </w:r>
      <w:r>
        <w:rPr>
          <w:rFonts w:ascii="宋体" w:hAnsi="宋体" w:eastAsia="宋体" w:cs="宋体"/>
          <w:b/>
          <w:bCs/>
          <w:spacing w:val="10"/>
          <w:sz w:val="21"/>
          <w:szCs w:val="21"/>
          <w:u w:val="single"/>
          <w:shd w:val="clear" w:color="auto" w:fill="ffffff"/>
        </w:rPr>
        <w:t xml:space="preserve">（关键工序）</w:t>
      </w:r>
      <w:r>
        <w:rPr>
          <w:rFonts w:ascii="宋体" w:hAnsi="宋体" w:eastAsia="宋体" w:cs="宋体"/>
          <w:sz w:val="21"/>
          <w:szCs w:val="21"/>
          <w:shd w:val="clear" w:color="auto" w:fill="ffffff"/>
        </w:rPr>
        <w:t xml:space="preserve">在中国境内完成。</w:t>
      </w:r>
      <w:r/>
    </w:p>
    <w:p>
      <w:pPr>
        <w:ind w:firstLine="420"/>
        <w:spacing w:before="30" w:after="30" w:line="360" w:lineRule="auto"/>
        <w:rPr>
          <w:rFonts w:ascii="Times New Roman" w:hAnsi="Times New Roman" w:eastAsia="Times New Roman" w:cs="Times New Roman"/>
          <w:sz w:val="21"/>
          <w:szCs w:val="21"/>
        </w:rPr>
      </w:pPr>
      <w:r>
        <w:rPr>
          <w:rFonts w:ascii="宋体" w:hAnsi="宋体" w:eastAsia="宋体" w:cs="宋体"/>
          <w:sz w:val="21"/>
          <w:szCs w:val="21"/>
          <w:shd w:val="clear" w:color="auto" w:fill="ffffff"/>
        </w:rPr>
        <w:t xml:space="preserve">……</w:t>
      </w:r>
      <w:r/>
    </w:p>
    <w:p>
      <w:pPr>
        <w:ind w:firstLine="420"/>
        <w:spacing w:before="30" w:after="30" w:line="360" w:lineRule="auto"/>
        <w:rPr>
          <w:rFonts w:ascii="Times New Roman" w:hAnsi="Times New Roman" w:eastAsia="Times New Roman" w:cs="Times New Roman"/>
          <w:sz w:val="21"/>
          <w:szCs w:val="21"/>
        </w:rPr>
      </w:pPr>
      <w:r>
        <w:rPr>
          <w:rFonts w:ascii="宋体" w:hAnsi="宋体" w:eastAsia="宋体" w:cs="宋体"/>
          <w:sz w:val="21"/>
          <w:szCs w:val="21"/>
          <w:shd w:val="clear" w:color="auto" w:fill="ffffff"/>
        </w:rPr>
        <w:t xml:space="preserve">本公司（单位）对上述声明内容的真实性负责。如有虚假，愿承担相应法律责任。</w:t>
      </w:r>
      <w:r/>
    </w:p>
    <w:p>
      <w:pPr>
        <w:spacing w:before="30" w:after="30" w:line="360" w:lineRule="auto"/>
        <w:rPr>
          <w:rFonts w:ascii="Times New Roman" w:hAnsi="Times New Roman" w:eastAsia="Times New Roman" w:cs="Times New Roman"/>
          <w:sz w:val="21"/>
          <w:szCs w:val="21"/>
        </w:rPr>
      </w:pPr>
      <w:r>
        <w:rPr>
          <w:rFonts w:ascii="Times New Roman" w:hAnsi="Times New Roman" w:eastAsia="Times New Roman" w:cs="Times New Roman"/>
          <w:sz w:val="21"/>
          <w:szCs w:val="21"/>
        </w:rPr>
      </w:r>
      <w:r/>
    </w:p>
    <w:p>
      <w:pPr>
        <w:ind w:right="480" w:firstLine="4095"/>
        <w:spacing w:before="30" w:after="30" w:line="360" w:lineRule="auto"/>
        <w:rPr>
          <w:rFonts w:ascii="Times New Roman" w:hAnsi="Times New Roman" w:eastAsia="Times New Roman" w:cs="Times New Roman"/>
          <w:sz w:val="21"/>
          <w:szCs w:val="21"/>
        </w:rPr>
      </w:pPr>
      <w:r>
        <w:rPr>
          <w:rFonts w:ascii="宋体" w:hAnsi="宋体" w:eastAsia="宋体" w:cs="宋体"/>
          <w:sz w:val="21"/>
          <w:szCs w:val="21"/>
          <w:shd w:val="clear" w:color="auto" w:fill="ffffff"/>
        </w:rPr>
        <w:t xml:space="preserve">单位名称（盖章）：         </w:t>
      </w:r>
      <w:r/>
    </w:p>
    <w:p>
      <w:pPr>
        <w:jc w:val="center"/>
        <w:spacing w:before="30" w:after="30" w:line="360" w:lineRule="auto"/>
        <w:rPr>
          <w:rFonts w:ascii="Times New Roman" w:hAnsi="Times New Roman" w:eastAsia="Times New Roman" w:cs="Times New Roman"/>
          <w:sz w:val="21"/>
          <w:szCs w:val="21"/>
        </w:rPr>
      </w:pPr>
      <w:r>
        <w:rPr>
          <w:rFonts w:ascii="宋体" w:hAnsi="宋体" w:eastAsia="宋体" w:cs="宋体"/>
          <w:sz w:val="21"/>
          <w:szCs w:val="21"/>
          <w:shd w:val="clear" w:color="auto" w:fill="ffffff"/>
        </w:rPr>
        <w:t xml:space="preserve">             日 期：         </w:t>
      </w:r>
      <w:r/>
    </w:p>
    <w:p>
      <w:pPr>
        <w:spacing w:before="30" w:after="30" w:line="210" w:lineRule="atLeast"/>
        <w:rPr>
          <w:rFonts w:ascii="Times New Roman" w:hAnsi="Times New Roman" w:eastAsia="Times New Roman" w:cs="Times New Roman"/>
        </w:rPr>
      </w:pPr>
      <w:r>
        <w:rPr>
          <w:rFonts w:ascii="宋体" w:hAnsi="宋体" w:eastAsia="宋体" w:cs="宋体"/>
          <w:sz w:val="21"/>
          <w:szCs w:val="21"/>
          <w:u w:val="single"/>
          <w:shd w:val="clear" w:color="auto" w:fill="ffffff"/>
        </w:rPr>
        <w:t xml:space="preserve">..................</w:t>
      </w:r>
      <w:r/>
    </w:p>
    <w:p>
      <w:pPr>
        <w:spacing w:before="30" w:after="30" w:line="210" w:lineRule="atLeast"/>
        <w:rPr>
          <w:rFonts w:ascii="Times New Roman" w:hAnsi="Times New Roman" w:eastAsia="Times New Roman" w:cs="Times New Roman"/>
        </w:rPr>
      </w:pPr>
      <w:r>
        <w:rPr>
          <w:rFonts w:ascii="宋体" w:hAnsi="宋体" w:eastAsia="宋体" w:cs="宋体"/>
          <w:sz w:val="21"/>
          <w:szCs w:val="21"/>
          <w:shd w:val="clear" w:color="auto" w:fill="ffffff"/>
        </w:rPr>
        <w:t xml:space="preserve">1.产品如有型号，请在“产品名称”栏一并填写。</w:t>
      </w:r>
      <w:r/>
    </w:p>
    <w:p>
      <w:pPr>
        <w:spacing w:before="30" w:after="30" w:line="210" w:lineRule="atLeast"/>
        <w:rPr>
          <w:rFonts w:ascii="Times New Roman" w:hAnsi="Times New Roman" w:eastAsia="Times New Roman" w:cs="Times New Roman"/>
        </w:rPr>
      </w:pPr>
      <w:r>
        <w:rPr>
          <w:rFonts w:ascii="宋体" w:hAnsi="宋体" w:eastAsia="宋体" w:cs="宋体"/>
          <w:sz w:val="21"/>
          <w:szCs w:val="21"/>
          <w:shd w:val="clear" w:color="auto" w:fill="ffffff"/>
        </w:rPr>
        <w:t xml:space="preserve">2.生产厂名与厂址应与生产厂营业执照载明的相关信息保持一致。</w:t>
      </w:r>
      <w:r/>
    </w:p>
    <w:p>
      <w:pPr>
        <w:spacing w:before="30" w:after="30" w:line="210" w:lineRule="atLeast"/>
        <w:rPr>
          <w:rFonts w:ascii="Times New Roman" w:hAnsi="Times New Roman" w:eastAsia="Times New Roman" w:cs="Times New Roman"/>
        </w:rPr>
      </w:pPr>
      <w:r>
        <w:rPr>
          <w:rFonts w:ascii="宋体" w:hAnsi="宋体" w:eastAsia="宋体" w:cs="宋体"/>
          <w:sz w:val="21"/>
          <w:szCs w:val="21"/>
          <w:shd w:val="clear" w:color="auto" w:fill="ffffff"/>
        </w:rPr>
        <w:t xml:space="preserve">3.该产品的中国境内生产的组件成本占比相关要求实施前，“规定比例”栏可不填，下同。</w:t>
      </w:r>
      <w:r/>
    </w:p>
    <w:p>
      <w:pPr>
        <w:spacing w:before="30" w:after="30" w:line="210" w:lineRule="atLeast"/>
        <w:rPr>
          <w:rFonts w:ascii="Times New Roman" w:hAnsi="Times New Roman" w:eastAsia="Times New Roman" w:cs="Times New Roman"/>
        </w:rPr>
      </w:pPr>
      <w:r>
        <w:rPr>
          <w:rFonts w:ascii="宋体" w:hAnsi="宋体" w:eastAsia="宋体" w:cs="宋体"/>
          <w:sz w:val="21"/>
          <w:szCs w:val="21"/>
          <w:shd w:val="clear" w:color="auto" w:fill="ffffff"/>
        </w:rPr>
        <w:t xml:space="preserve">4.该产品的关键组件要求实施前，“关键组件”栏可不填，下同。</w:t>
      </w:r>
      <w:r/>
    </w:p>
    <w:p>
      <w:pPr>
        <w:spacing w:before="30" w:after="30" w:line="210" w:lineRule="atLeast"/>
        <w:rPr>
          <w:rFonts w:ascii="Times New Roman" w:hAnsi="Times New Roman" w:eastAsia="Times New Roman" w:cs="Times New Roman"/>
        </w:rPr>
      </w:pPr>
      <w:r>
        <w:rPr>
          <w:rFonts w:ascii="宋体" w:hAnsi="宋体" w:eastAsia="宋体" w:cs="宋体"/>
          <w:sz w:val="21"/>
          <w:szCs w:val="21"/>
          <w:shd w:val="clear" w:color="auto" w:fill="ffffff"/>
        </w:rPr>
        <w:t xml:space="preserve">5.该产品的关键工序要求实施前，“关键工序”栏可不填，下同。</w:t>
      </w:r>
      <w:r/>
    </w:p>
    <w:p>
      <w:pPr>
        <w:spacing w:before="30" w:after="30" w:line="240" w:lineRule="atLeast"/>
        <w:rPr>
          <w:rFonts w:ascii="Times New Roman" w:hAnsi="Times New Roman" w:eastAsia="Times New Roman" w:cs="Times New Roman"/>
        </w:rPr>
      </w:pPr>
      <w:r>
        <w:rPr>
          <w:rFonts w:ascii="宋体" w:hAnsi="宋体" w:eastAsia="宋体" w:cs="宋体"/>
          <w:sz w:val="21"/>
          <w:szCs w:val="21"/>
          <w:shd w:val="clear" w:color="auto" w:fill="ffffff"/>
        </w:rPr>
        <w:t xml:space="preserve">6.用斜线划除的地方无需填写。</w:t>
      </w:r>
      <w:r>
        <w:rPr>
          <w:rFonts w:ascii="宋体" w:hAnsi="宋体" w:eastAsia="宋体" w:cs="宋体"/>
          <w:sz w:val="21"/>
          <w:szCs w:val="21"/>
          <w:shd w:val="clear" w:color="auto" w:fill="ffffff"/>
        </w:rPr>
        <w:br/>
      </w:r>
      <w:r/>
    </w:p>
    <w:p>
      <w:pPr>
        <w:pStyle w:val="815"/>
        <w:keepLines/>
        <w:spacing w:before="120" w:after="120" w:line="400" w:lineRule="atLeast"/>
        <w:widowControl w:val="off"/>
        <w:rPr>
          <w:rFonts w:ascii="Times New Roman" w:hAnsi="Times New Roman" w:eastAsia="Times New Roman" w:cs="Times New Roman"/>
          <w:b/>
          <w:bCs/>
          <w:sz w:val="36"/>
          <w:szCs w:val="36"/>
        </w:rPr>
        <w:sectPr>
          <w:footnotePr/>
          <w:endnotePr/>
          <w:type w:val="nextPage"/>
          <w:pgSz w:w="11900" w:h="16840" w:orient="portrait"/>
          <w:pgMar w:top="1440" w:right="1440" w:bottom="1440" w:left="1440" w:header="708" w:footer="708" w:gutter="0"/>
          <w:cols w:num="1" w:sep="0" w:space="708" w:equalWidth="1"/>
          <w:docGrid w:linePitch="360"/>
        </w:sectPr>
        <w:outlineLvl w:val="9"/>
      </w:pPr>
      <w:r>
        <w:rPr>
          <w:rFonts w:ascii="Times New Roman" w:hAnsi="Times New Roman" w:eastAsia="Times New Roman" w:cs="Times New Roman"/>
          <w:sz w:val="20"/>
          <w:szCs w:val="20"/>
        </w:rPr>
        <w:br w:type="page" w:clear="all"/>
      </w:r>
      <w:r>
        <w:rPr>
          <w:rFonts w:ascii="宋体" w:hAnsi="宋体" w:eastAsia="宋体" w:cs="宋体"/>
          <w:i w:val="0"/>
          <w:iCs w:val="0"/>
          <w:sz w:val="21"/>
          <w:szCs w:val="21"/>
        </w:rPr>
        <w:t xml:space="preserve">六、其他针对评标办法的其他相关文件</w:t>
      </w:r>
      <w:r/>
    </w:p>
    <w:p>
      <w:r/>
      <w:r/>
    </w:p>
    <w:sectPr>
      <w:footnotePr/>
      <w:endnotePr/>
      <w:type w:val="continuous"/>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alibri">
    <w:panose1 w:val="020F0502020204030204"/>
  </w:font>
  <w:font w:name="宋体">
    <w:panose1 w:val="02010600030101010101"/>
  </w:font>
  <w:font w:name="黑体">
    <w:panose1 w:val="0201060906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p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817"/>
    <w:link w:val="814"/>
    <w:uiPriority w:val="9"/>
    <w:rPr>
      <w:rFonts w:ascii="Arial" w:hAnsi="Arial" w:eastAsia="Arial" w:cs="Arial"/>
      <w:sz w:val="40"/>
      <w:szCs w:val="40"/>
    </w:rPr>
  </w:style>
  <w:style w:type="character" w:styleId="639">
    <w:name w:val="Heading 2 Char"/>
    <w:basedOn w:val="817"/>
    <w:link w:val="815"/>
    <w:uiPriority w:val="9"/>
    <w:rPr>
      <w:rFonts w:ascii="Arial" w:hAnsi="Arial" w:eastAsia="Arial" w:cs="Arial"/>
      <w:sz w:val="34"/>
    </w:rPr>
  </w:style>
  <w:style w:type="character" w:styleId="640">
    <w:name w:val="Heading 3 Char"/>
    <w:basedOn w:val="817"/>
    <w:link w:val="816"/>
    <w:uiPriority w:val="9"/>
    <w:rPr>
      <w:rFonts w:ascii="Arial" w:hAnsi="Arial" w:eastAsia="Arial" w:cs="Arial"/>
      <w:sz w:val="30"/>
      <w:szCs w:val="30"/>
    </w:rPr>
  </w:style>
  <w:style w:type="paragraph" w:styleId="641">
    <w:name w:val="Heading 4"/>
    <w:basedOn w:val="813"/>
    <w:next w:val="813"/>
    <w:link w:val="642"/>
    <w:uiPriority w:val="9"/>
    <w:unhideWhenUsed/>
    <w:qFormat/>
    <w:pPr>
      <w:keepLines/>
      <w:keepNext/>
      <w:spacing w:before="320" w:after="200"/>
      <w:outlineLvl w:val="3"/>
    </w:pPr>
    <w:rPr>
      <w:rFonts w:ascii="Arial" w:hAnsi="Arial" w:eastAsia="Arial" w:cs="Arial"/>
      <w:b/>
      <w:bCs/>
      <w:sz w:val="26"/>
      <w:szCs w:val="26"/>
    </w:rPr>
  </w:style>
  <w:style w:type="character" w:styleId="642">
    <w:name w:val="Heading 4 Char"/>
    <w:basedOn w:val="817"/>
    <w:link w:val="641"/>
    <w:uiPriority w:val="9"/>
    <w:rPr>
      <w:rFonts w:ascii="Arial" w:hAnsi="Arial" w:eastAsia="Arial" w:cs="Arial"/>
      <w:b/>
      <w:bCs/>
      <w:sz w:val="26"/>
      <w:szCs w:val="26"/>
    </w:rPr>
  </w:style>
  <w:style w:type="paragraph" w:styleId="643">
    <w:name w:val="Heading 5"/>
    <w:basedOn w:val="813"/>
    <w:next w:val="813"/>
    <w:link w:val="644"/>
    <w:uiPriority w:val="9"/>
    <w:unhideWhenUsed/>
    <w:qFormat/>
    <w:pPr>
      <w:keepLines/>
      <w:keepNext/>
      <w:spacing w:before="320" w:after="200"/>
      <w:outlineLvl w:val="4"/>
    </w:pPr>
    <w:rPr>
      <w:rFonts w:ascii="Arial" w:hAnsi="Arial" w:eastAsia="Arial" w:cs="Arial"/>
      <w:b/>
      <w:bCs/>
      <w:sz w:val="24"/>
      <w:szCs w:val="24"/>
    </w:rPr>
  </w:style>
  <w:style w:type="character" w:styleId="644">
    <w:name w:val="Heading 5 Char"/>
    <w:basedOn w:val="817"/>
    <w:link w:val="643"/>
    <w:uiPriority w:val="9"/>
    <w:rPr>
      <w:rFonts w:ascii="Arial" w:hAnsi="Arial" w:eastAsia="Arial" w:cs="Arial"/>
      <w:b/>
      <w:bCs/>
      <w:sz w:val="24"/>
      <w:szCs w:val="24"/>
    </w:rPr>
  </w:style>
  <w:style w:type="paragraph" w:styleId="645">
    <w:name w:val="Heading 6"/>
    <w:basedOn w:val="813"/>
    <w:next w:val="813"/>
    <w:link w:val="646"/>
    <w:uiPriority w:val="9"/>
    <w:unhideWhenUsed/>
    <w:qFormat/>
    <w:pPr>
      <w:keepLines/>
      <w:keepNext/>
      <w:spacing w:before="320" w:after="200"/>
      <w:outlineLvl w:val="5"/>
    </w:pPr>
    <w:rPr>
      <w:rFonts w:ascii="Arial" w:hAnsi="Arial" w:eastAsia="Arial" w:cs="Arial"/>
      <w:b/>
      <w:bCs/>
      <w:sz w:val="22"/>
      <w:szCs w:val="22"/>
    </w:rPr>
  </w:style>
  <w:style w:type="character" w:styleId="646">
    <w:name w:val="Heading 6 Char"/>
    <w:basedOn w:val="817"/>
    <w:link w:val="645"/>
    <w:uiPriority w:val="9"/>
    <w:rPr>
      <w:rFonts w:ascii="Arial" w:hAnsi="Arial" w:eastAsia="Arial" w:cs="Arial"/>
      <w:b/>
      <w:bCs/>
      <w:sz w:val="22"/>
      <w:szCs w:val="22"/>
    </w:rPr>
  </w:style>
  <w:style w:type="paragraph" w:styleId="647">
    <w:name w:val="Heading 7"/>
    <w:basedOn w:val="813"/>
    <w:next w:val="813"/>
    <w:link w:val="648"/>
    <w:uiPriority w:val="9"/>
    <w:unhideWhenUsed/>
    <w:qFormat/>
    <w:pPr>
      <w:keepLines/>
      <w:keepNext/>
      <w:spacing w:before="320" w:after="200"/>
      <w:outlineLvl w:val="6"/>
    </w:pPr>
    <w:rPr>
      <w:rFonts w:ascii="Arial" w:hAnsi="Arial" w:eastAsia="Arial" w:cs="Arial"/>
      <w:b/>
      <w:bCs/>
      <w:i/>
      <w:iCs/>
      <w:sz w:val="22"/>
      <w:szCs w:val="22"/>
    </w:rPr>
  </w:style>
  <w:style w:type="character" w:styleId="648">
    <w:name w:val="Heading 7 Char"/>
    <w:basedOn w:val="817"/>
    <w:link w:val="647"/>
    <w:uiPriority w:val="9"/>
    <w:rPr>
      <w:rFonts w:ascii="Arial" w:hAnsi="Arial" w:eastAsia="Arial" w:cs="Arial"/>
      <w:b/>
      <w:bCs/>
      <w:i/>
      <w:iCs/>
      <w:sz w:val="22"/>
      <w:szCs w:val="22"/>
    </w:rPr>
  </w:style>
  <w:style w:type="paragraph" w:styleId="649">
    <w:name w:val="Heading 8"/>
    <w:basedOn w:val="813"/>
    <w:next w:val="813"/>
    <w:link w:val="650"/>
    <w:uiPriority w:val="9"/>
    <w:unhideWhenUsed/>
    <w:qFormat/>
    <w:pPr>
      <w:keepLines/>
      <w:keepNext/>
      <w:spacing w:before="320" w:after="200"/>
      <w:outlineLvl w:val="7"/>
    </w:pPr>
    <w:rPr>
      <w:rFonts w:ascii="Arial" w:hAnsi="Arial" w:eastAsia="Arial" w:cs="Arial"/>
      <w:i/>
      <w:iCs/>
      <w:sz w:val="22"/>
      <w:szCs w:val="22"/>
    </w:rPr>
  </w:style>
  <w:style w:type="character" w:styleId="650">
    <w:name w:val="Heading 8 Char"/>
    <w:basedOn w:val="817"/>
    <w:link w:val="649"/>
    <w:uiPriority w:val="9"/>
    <w:rPr>
      <w:rFonts w:ascii="Arial" w:hAnsi="Arial" w:eastAsia="Arial" w:cs="Arial"/>
      <w:i/>
      <w:iCs/>
      <w:sz w:val="22"/>
      <w:szCs w:val="22"/>
    </w:rPr>
  </w:style>
  <w:style w:type="paragraph" w:styleId="651">
    <w:name w:val="Heading 9"/>
    <w:basedOn w:val="813"/>
    <w:next w:val="813"/>
    <w:link w:val="652"/>
    <w:uiPriority w:val="9"/>
    <w:unhideWhenUsed/>
    <w:qFormat/>
    <w:pPr>
      <w:keepLines/>
      <w:keepNext/>
      <w:spacing w:before="320" w:after="200"/>
      <w:outlineLvl w:val="8"/>
    </w:pPr>
    <w:rPr>
      <w:rFonts w:ascii="Arial" w:hAnsi="Arial" w:eastAsia="Arial" w:cs="Arial"/>
      <w:i/>
      <w:iCs/>
      <w:sz w:val="21"/>
      <w:szCs w:val="21"/>
    </w:rPr>
  </w:style>
  <w:style w:type="character" w:styleId="652">
    <w:name w:val="Heading 9 Char"/>
    <w:basedOn w:val="817"/>
    <w:link w:val="651"/>
    <w:uiPriority w:val="9"/>
    <w:rPr>
      <w:rFonts w:ascii="Arial" w:hAnsi="Arial" w:eastAsia="Arial" w:cs="Arial"/>
      <w:i/>
      <w:iCs/>
      <w:sz w:val="21"/>
      <w:szCs w:val="21"/>
    </w:rPr>
  </w:style>
  <w:style w:type="paragraph" w:styleId="653">
    <w:name w:val="List Paragraph"/>
    <w:basedOn w:val="813"/>
    <w:uiPriority w:val="34"/>
    <w:qFormat/>
    <w:pPr>
      <w:contextualSpacing/>
      <w:ind w:left="720"/>
    </w:pPr>
  </w:style>
  <w:style w:type="paragraph" w:styleId="654">
    <w:name w:val="No Spacing"/>
    <w:uiPriority w:val="1"/>
    <w:qFormat/>
    <w:pPr>
      <w:spacing w:before="0" w:after="0" w:line="240" w:lineRule="auto"/>
    </w:pPr>
  </w:style>
  <w:style w:type="paragraph" w:styleId="655">
    <w:name w:val="Title"/>
    <w:basedOn w:val="813"/>
    <w:next w:val="813"/>
    <w:link w:val="656"/>
    <w:uiPriority w:val="10"/>
    <w:qFormat/>
    <w:pPr>
      <w:contextualSpacing/>
      <w:spacing w:before="300" w:after="200"/>
    </w:pPr>
    <w:rPr>
      <w:sz w:val="48"/>
      <w:szCs w:val="48"/>
    </w:rPr>
  </w:style>
  <w:style w:type="character" w:styleId="656">
    <w:name w:val="Title Char"/>
    <w:basedOn w:val="817"/>
    <w:link w:val="655"/>
    <w:uiPriority w:val="10"/>
    <w:rPr>
      <w:sz w:val="48"/>
      <w:szCs w:val="48"/>
    </w:rPr>
  </w:style>
  <w:style w:type="paragraph" w:styleId="657">
    <w:name w:val="Subtitle"/>
    <w:basedOn w:val="813"/>
    <w:next w:val="813"/>
    <w:link w:val="658"/>
    <w:uiPriority w:val="11"/>
    <w:qFormat/>
    <w:pPr>
      <w:spacing w:before="200" w:after="200"/>
    </w:pPr>
    <w:rPr>
      <w:sz w:val="24"/>
      <w:szCs w:val="24"/>
    </w:rPr>
  </w:style>
  <w:style w:type="character" w:styleId="658">
    <w:name w:val="Subtitle Char"/>
    <w:basedOn w:val="817"/>
    <w:link w:val="657"/>
    <w:uiPriority w:val="11"/>
    <w:rPr>
      <w:sz w:val="24"/>
      <w:szCs w:val="24"/>
    </w:rPr>
  </w:style>
  <w:style w:type="paragraph" w:styleId="659">
    <w:name w:val="Quote"/>
    <w:basedOn w:val="813"/>
    <w:next w:val="813"/>
    <w:link w:val="660"/>
    <w:uiPriority w:val="29"/>
    <w:qFormat/>
    <w:pPr>
      <w:ind w:left="720" w:right="720"/>
    </w:pPr>
    <w:rPr>
      <w:i/>
    </w:rPr>
  </w:style>
  <w:style w:type="character" w:styleId="660">
    <w:name w:val="Quote Char"/>
    <w:link w:val="659"/>
    <w:uiPriority w:val="29"/>
    <w:rPr>
      <w:i/>
    </w:rPr>
  </w:style>
  <w:style w:type="paragraph" w:styleId="661">
    <w:name w:val="Intense Quote"/>
    <w:basedOn w:val="813"/>
    <w:next w:val="813"/>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paragraph" w:styleId="663">
    <w:name w:val="Header"/>
    <w:basedOn w:val="813"/>
    <w:link w:val="664"/>
    <w:uiPriority w:val="99"/>
    <w:unhideWhenUsed/>
    <w:pPr>
      <w:spacing w:after="0" w:line="240" w:lineRule="auto"/>
      <w:tabs>
        <w:tab w:val="center" w:pos="7143" w:leader="none"/>
        <w:tab w:val="right" w:pos="14287" w:leader="none"/>
      </w:tabs>
    </w:pPr>
  </w:style>
  <w:style w:type="character" w:styleId="664">
    <w:name w:val="Header Char"/>
    <w:basedOn w:val="817"/>
    <w:link w:val="663"/>
    <w:uiPriority w:val="99"/>
  </w:style>
  <w:style w:type="paragraph" w:styleId="665">
    <w:name w:val="Footer"/>
    <w:basedOn w:val="813"/>
    <w:link w:val="668"/>
    <w:uiPriority w:val="99"/>
    <w:unhideWhenUsed/>
    <w:pPr>
      <w:spacing w:after="0" w:line="240" w:lineRule="auto"/>
      <w:tabs>
        <w:tab w:val="center" w:pos="7143" w:leader="none"/>
        <w:tab w:val="right" w:pos="14287" w:leader="none"/>
      </w:tabs>
    </w:pPr>
  </w:style>
  <w:style w:type="character" w:styleId="666">
    <w:name w:val="Footer Char"/>
    <w:basedOn w:val="817"/>
    <w:link w:val="665"/>
    <w:uiPriority w:val="99"/>
  </w:style>
  <w:style w:type="paragraph" w:styleId="667">
    <w:name w:val="Caption"/>
    <w:basedOn w:val="813"/>
    <w:next w:val="813"/>
    <w:uiPriority w:val="35"/>
    <w:semiHidden/>
    <w:unhideWhenUsed/>
    <w:qFormat/>
    <w:pPr>
      <w:spacing w:line="276" w:lineRule="auto"/>
    </w:pPr>
    <w:rPr>
      <w:b/>
      <w:bCs/>
      <w:color w:val="4f81bd" w:themeColor="accent1"/>
      <w:sz w:val="18"/>
      <w:szCs w:val="18"/>
    </w:rPr>
  </w:style>
  <w:style w:type="character" w:styleId="668">
    <w:name w:val="Caption Char"/>
    <w:basedOn w:val="667"/>
    <w:link w:val="665"/>
    <w:uiPriority w:val="99"/>
  </w:style>
  <w:style w:type="table" w:styleId="669">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0">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6">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7">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8">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9">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0">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1">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1">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2">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3">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4">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5">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6">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9">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0">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1">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2">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3">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2">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3">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4">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5">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6">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7">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9">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0">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1">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2">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3">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4">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6">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7">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8">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9">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0">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1">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5">
    <w:name w:val="Hyperlink"/>
    <w:uiPriority w:val="99"/>
    <w:unhideWhenUsed/>
    <w:rPr>
      <w:color w:val="0000ff" w:themeColor="hyperlink"/>
      <w:u w:val="single"/>
    </w:rPr>
  </w:style>
  <w:style w:type="paragraph" w:styleId="796">
    <w:name w:val="footnote text"/>
    <w:basedOn w:val="813"/>
    <w:link w:val="797"/>
    <w:uiPriority w:val="99"/>
    <w:semiHidden/>
    <w:unhideWhenUsed/>
    <w:pPr>
      <w:spacing w:after="40" w:line="240" w:lineRule="auto"/>
    </w:pPr>
    <w:rPr>
      <w:sz w:val="18"/>
    </w:rPr>
  </w:style>
  <w:style w:type="character" w:styleId="797">
    <w:name w:val="Footnote Text Char"/>
    <w:link w:val="796"/>
    <w:uiPriority w:val="99"/>
    <w:rPr>
      <w:sz w:val="18"/>
    </w:rPr>
  </w:style>
  <w:style w:type="character" w:styleId="798">
    <w:name w:val="footnote reference"/>
    <w:basedOn w:val="817"/>
    <w:uiPriority w:val="99"/>
    <w:unhideWhenUsed/>
    <w:rPr>
      <w:vertAlign w:val="superscript"/>
    </w:rPr>
  </w:style>
  <w:style w:type="paragraph" w:styleId="799">
    <w:name w:val="endnote text"/>
    <w:basedOn w:val="813"/>
    <w:link w:val="800"/>
    <w:uiPriority w:val="99"/>
    <w:semiHidden/>
    <w:unhideWhenUsed/>
    <w:pPr>
      <w:spacing w:after="0" w:line="240" w:lineRule="auto"/>
    </w:pPr>
    <w:rPr>
      <w:sz w:val="20"/>
    </w:rPr>
  </w:style>
  <w:style w:type="character" w:styleId="800">
    <w:name w:val="Endnote Text Char"/>
    <w:link w:val="799"/>
    <w:uiPriority w:val="99"/>
    <w:rPr>
      <w:sz w:val="20"/>
    </w:rPr>
  </w:style>
  <w:style w:type="character" w:styleId="801">
    <w:name w:val="endnote reference"/>
    <w:basedOn w:val="817"/>
    <w:uiPriority w:val="99"/>
    <w:semiHidden/>
    <w:unhideWhenUsed/>
    <w:rPr>
      <w:vertAlign w:val="superscript"/>
    </w:rPr>
  </w:style>
  <w:style w:type="paragraph" w:styleId="802">
    <w:name w:val="toc 1"/>
    <w:basedOn w:val="813"/>
    <w:next w:val="813"/>
    <w:uiPriority w:val="39"/>
    <w:unhideWhenUsed/>
    <w:pPr>
      <w:ind w:left="0" w:right="0" w:firstLine="0"/>
      <w:spacing w:after="57"/>
    </w:pPr>
  </w:style>
  <w:style w:type="paragraph" w:styleId="803">
    <w:name w:val="toc 2"/>
    <w:basedOn w:val="813"/>
    <w:next w:val="813"/>
    <w:uiPriority w:val="39"/>
    <w:unhideWhenUsed/>
    <w:pPr>
      <w:ind w:left="283" w:right="0" w:firstLine="0"/>
      <w:spacing w:after="57"/>
    </w:pPr>
  </w:style>
  <w:style w:type="paragraph" w:styleId="804">
    <w:name w:val="toc 3"/>
    <w:basedOn w:val="813"/>
    <w:next w:val="813"/>
    <w:uiPriority w:val="39"/>
    <w:unhideWhenUsed/>
    <w:pPr>
      <w:ind w:left="567" w:right="0" w:firstLine="0"/>
      <w:spacing w:after="57"/>
    </w:pPr>
  </w:style>
  <w:style w:type="paragraph" w:styleId="805">
    <w:name w:val="toc 4"/>
    <w:basedOn w:val="813"/>
    <w:next w:val="813"/>
    <w:uiPriority w:val="39"/>
    <w:unhideWhenUsed/>
    <w:pPr>
      <w:ind w:left="850" w:right="0" w:firstLine="0"/>
      <w:spacing w:after="57"/>
    </w:pPr>
  </w:style>
  <w:style w:type="paragraph" w:styleId="806">
    <w:name w:val="toc 5"/>
    <w:basedOn w:val="813"/>
    <w:next w:val="813"/>
    <w:uiPriority w:val="39"/>
    <w:unhideWhenUsed/>
    <w:pPr>
      <w:ind w:left="1134" w:right="0" w:firstLine="0"/>
      <w:spacing w:after="57"/>
    </w:pPr>
  </w:style>
  <w:style w:type="paragraph" w:styleId="807">
    <w:name w:val="toc 6"/>
    <w:basedOn w:val="813"/>
    <w:next w:val="813"/>
    <w:uiPriority w:val="39"/>
    <w:unhideWhenUsed/>
    <w:pPr>
      <w:ind w:left="1417" w:right="0" w:firstLine="0"/>
      <w:spacing w:after="57"/>
    </w:pPr>
  </w:style>
  <w:style w:type="paragraph" w:styleId="808">
    <w:name w:val="toc 7"/>
    <w:basedOn w:val="813"/>
    <w:next w:val="813"/>
    <w:uiPriority w:val="39"/>
    <w:unhideWhenUsed/>
    <w:pPr>
      <w:ind w:left="1701" w:right="0" w:firstLine="0"/>
      <w:spacing w:after="57"/>
    </w:pPr>
  </w:style>
  <w:style w:type="paragraph" w:styleId="809">
    <w:name w:val="toc 8"/>
    <w:basedOn w:val="813"/>
    <w:next w:val="813"/>
    <w:uiPriority w:val="39"/>
    <w:unhideWhenUsed/>
    <w:pPr>
      <w:ind w:left="1984" w:right="0" w:firstLine="0"/>
      <w:spacing w:after="57"/>
    </w:pPr>
  </w:style>
  <w:style w:type="paragraph" w:styleId="810">
    <w:name w:val="toc 9"/>
    <w:basedOn w:val="813"/>
    <w:next w:val="813"/>
    <w:uiPriority w:val="39"/>
    <w:unhideWhenUsed/>
    <w:pPr>
      <w:ind w:left="2268" w:right="0" w:firstLine="0"/>
      <w:spacing w:after="57"/>
    </w:pPr>
  </w:style>
  <w:style w:type="paragraph" w:styleId="811">
    <w:name w:val="TOC Heading"/>
    <w:uiPriority w:val="39"/>
    <w:unhideWhenUsed/>
  </w:style>
  <w:style w:type="paragraph" w:styleId="812">
    <w:name w:val="table of figures"/>
    <w:basedOn w:val="813"/>
    <w:next w:val="813"/>
    <w:uiPriority w:val="99"/>
    <w:unhideWhenUsed/>
    <w:pPr>
      <w:spacing w:after="0" w:afterAutospacing="0"/>
    </w:pPr>
  </w:style>
  <w:style w:type="paragraph" w:styleId="813" w:default="1">
    <w:name w:val="Normal"/>
    <w:uiPriority w:val="0"/>
    <w:qFormat/>
    <w:rPr>
      <w:rFonts w:ascii="Times New Roman" w:hAnsi="Times New Roman" w:eastAsia="Times New Roman" w:cs="Times New Roman"/>
      <w:sz w:val="24"/>
      <w:szCs w:val="24"/>
      <w:lang w:val="en-US" w:eastAsia="en-US" w:bidi="ar-SA"/>
    </w:rPr>
  </w:style>
  <w:style w:type="paragraph" w:styleId="814">
    <w:name w:val="Heading 1"/>
    <w:basedOn w:val="813"/>
    <w:next w:val="813"/>
    <w:uiPriority w:val="0"/>
    <w:qFormat/>
    <w:pPr>
      <w:keepNext/>
      <w:spacing w:before="240" w:after="60"/>
      <w:outlineLvl w:val="0"/>
    </w:pPr>
    <w:rPr>
      <w:rFonts w:ascii="Arial" w:hAnsi="Arial" w:cs="Arial"/>
      <w:b/>
      <w:bCs/>
      <w:sz w:val="32"/>
      <w:szCs w:val="32"/>
    </w:rPr>
  </w:style>
  <w:style w:type="paragraph" w:styleId="815">
    <w:name w:val="Heading 2"/>
    <w:basedOn w:val="813"/>
    <w:next w:val="813"/>
    <w:uiPriority w:val="0"/>
    <w:qFormat/>
    <w:pPr>
      <w:keepNext/>
      <w:spacing w:before="240" w:after="60"/>
      <w:outlineLvl w:val="1"/>
    </w:pPr>
    <w:rPr>
      <w:rFonts w:ascii="Arial" w:hAnsi="Arial" w:cs="Arial"/>
      <w:b/>
      <w:bCs/>
      <w:i/>
      <w:iCs/>
      <w:sz w:val="28"/>
      <w:szCs w:val="28"/>
    </w:rPr>
  </w:style>
  <w:style w:type="paragraph" w:styleId="816">
    <w:name w:val="Heading 3"/>
    <w:basedOn w:val="813"/>
    <w:next w:val="813"/>
    <w:uiPriority w:val="0"/>
    <w:qFormat/>
    <w:pPr>
      <w:keepNext/>
      <w:spacing w:before="240" w:after="60"/>
      <w:outlineLvl w:val="2"/>
    </w:pPr>
    <w:rPr>
      <w:rFonts w:ascii="Arial" w:hAnsi="Arial" w:cs="Arial"/>
      <w:b/>
      <w:bCs/>
      <w:sz w:val="26"/>
      <w:szCs w:val="26"/>
    </w:rPr>
  </w:style>
  <w:style w:type="character" w:styleId="817" w:default="1">
    <w:name w:val="Default Paragraph Font"/>
    <w:uiPriority w:val="0"/>
    <w:semiHidden/>
    <w:qFormat/>
  </w:style>
  <w:style w:type="table" w:styleId="818" w:default="1">
    <w:name w:val="Normal Table"/>
    <w:uiPriority w:val="0"/>
    <w:semiHidden/>
    <w:tblPr>
      <w:tblCellMar>
        <w:left w:w="108" w:type="dxa"/>
        <w:top w:w="0" w:type="dxa"/>
        <w:right w:w="108" w:type="dxa"/>
        <w:bottom w:w="0" w:type="dxa"/>
      </w:tblCellMar>
    </w:tblPr>
  </w:style>
  <w:style w:type="table" w:styleId="819" w:customStyle="1">
    <w:name w:val="table"/>
    <w:basedOn w:val="818"/>
    <w:uiPriority w:val="0"/>
    <w:tblPr/>
  </w:style>
  <w:style w:type="numbering" w:styleId="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19536</dc:creator>
  <cp:lastModifiedBy>冯帆</cp:lastModifiedBy>
  <cp:revision>7</cp:revision>
  <dcterms:created xsi:type="dcterms:W3CDTF">2026-07-01T04:22:00Z</dcterms:created>
  <dcterms:modified xsi:type="dcterms:W3CDTF">2026-07-01T08:40:01Z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eyJoZGlkIjoiNjg5MmY0MzU5ZjljMmRjNTBlZmU2NjA0YzcwODBmZTUiLCJ1c2VySWQiOiIyOTUzMDQ2OTQifQ==</vt:lpwstr>
  </property>
  <property fmtid="{D5CDD505-2E9C-101B-9397-08002B2CF9AE}" pid="3" name="KSOProductBuildVer">
    <vt:lpwstr>2052-12.1.0.26895</vt:lpwstr>
  </property>
  <property fmtid="{D5CDD505-2E9C-101B-9397-08002B2CF9AE}" pid="4" name="ICV">
    <vt:lpwstr>7FD306919B7C422C9AEBCBAFF5FBD7EC_12</vt:lpwstr>
  </property>
</Properties>
</file>