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jc w:val="center"/>
        <w:spacing w:before="120" w:after="120" w:line="360" w:lineRule="auto"/>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jc w:val="center"/>
        <w:rPr>
          <w:rFonts w:ascii="Times New Roman" w:hAnsi="Times New Roman"/>
          <w:b/>
          <w:bCs/>
          <w:color w:val="000000" w:themeColor="text1"/>
          <w:sz w:val="72"/>
          <w:szCs w:val="72"/>
          <w:highlight w:val="none"/>
          <w14:textFill>
            <w14:solidFill>
              <w14:schemeClr w14:val="tx1"/>
            </w14:solidFill>
          </w14:textFill>
        </w:rPr>
      </w:pPr>
      <w:r>
        <w:rPr>
          <w:rFonts w:ascii="Times New Roman" w:hAnsi="Times New Roman"/>
          <w:b/>
          <w:bCs/>
          <w:color w:val="000000" w:themeColor="text1"/>
          <w:sz w:val="72"/>
          <w:szCs w:val="72"/>
          <w:highlight w:val="none"/>
          <w14:textFill>
            <w14:solidFill>
              <w14:schemeClr w14:val="tx1"/>
            </w14:solidFill>
          </w14:textFill>
        </w:rPr>
        <w:t xml:space="preserve">招　标　文　件</w:t>
      </w:r>
      <w:r/>
    </w:p>
    <w:p>
      <w:pPr>
        <w:jc w:val="center"/>
        <w:spacing w:before="120" w:after="120" w:line="360" w:lineRule="auto"/>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jc w:val="center"/>
        <w:spacing w:before="120" w:after="120" w:line="360" w:lineRule="auto"/>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jc w:val="center"/>
        <w:spacing w:line="480" w:lineRule="auto"/>
        <w:rPr>
          <w:rFonts w:ascii="Times New Roman" w:hAnsi="Times New Roman"/>
          <w:b/>
          <w:bCs/>
          <w:color w:val="000000" w:themeColor="text1"/>
          <w:sz w:val="32"/>
          <w:szCs w:val="32"/>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t xml:space="preserve">项目名称：</w:t>
      </w:r>
      <w:r>
        <w:rPr>
          <w:rFonts w:hint="eastAsia" w:ascii="Times New Roman" w:hAnsi="Times New Roman"/>
          <w:b/>
          <w:bCs/>
          <w:color w:val="000000" w:themeColor="text1"/>
          <w:sz w:val="32"/>
          <w:szCs w:val="32"/>
          <w:highlight w:val="none"/>
          <w14:textFill>
            <w14:solidFill>
              <w14:schemeClr w14:val="tx1"/>
            </w14:solidFill>
          </w14:textFill>
        </w:rPr>
        <w:t xml:space="preserve">大新镇镇区一体化保洁及厨余等垃圾清运项目</w:t>
      </w:r>
      <w:r/>
    </w:p>
    <w:p>
      <w:pPr>
        <w:jc w:val="center"/>
        <w:spacing w:line="480" w:lineRule="auto"/>
        <w:rPr>
          <w:rFonts w:hint="eastAsia" w:ascii="Segoe UI" w:hAnsi="Segoe UI" w:eastAsia="宋体" w:cs="Segoe UI"/>
          <w:color w:val="000000" w:themeColor="text1"/>
          <w:szCs w:val="21"/>
          <w:highlight w:val="none"/>
          <w:shd w:val="clear" w:color="auto" w:fill="ffffff"/>
          <w:lang w:eastAsia="zh-CN"/>
          <w14:textFill>
            <w14:solidFill>
              <w14:schemeClr w14:val="tx1"/>
            </w14:solidFill>
          </w14:textFill>
        </w:rPr>
      </w:pPr>
      <w:r>
        <w:rPr>
          <w:rFonts w:ascii="Times New Roman" w:hAnsi="Times New Roman"/>
          <w:b/>
          <w:color w:val="000000" w:themeColor="text1"/>
          <w:sz w:val="32"/>
          <w:szCs w:val="32"/>
          <w:highlight w:val="none"/>
          <w14:textFill>
            <w14:solidFill>
              <w14:schemeClr w14:val="tx1"/>
            </w14:solidFill>
          </w14:textFill>
        </w:rPr>
        <w:t xml:space="preserve">标书编号</w:t>
      </w:r>
      <w:r>
        <w:rPr>
          <w:rFonts w:hint="eastAsia" w:ascii="Times New Roman" w:hAnsi="Times New Roman"/>
          <w:b/>
          <w:bCs/>
          <w:color w:val="000000" w:themeColor="text1"/>
          <w:sz w:val="32"/>
          <w:szCs w:val="32"/>
          <w:highlight w:val="none"/>
          <w14:textFill>
            <w14:solidFill>
              <w14:schemeClr w14:val="tx1"/>
            </w14:solidFill>
          </w14:textFill>
        </w:rPr>
        <w:t xml:space="preserve">：</w:t>
      </w:r>
      <w:r>
        <w:rPr>
          <w:rFonts w:hint="eastAsia" w:ascii="Times New Roman" w:hAnsi="Times New Roman"/>
          <w:b/>
          <w:bCs/>
          <w:color w:val="000000" w:themeColor="text1"/>
          <w:sz w:val="32"/>
          <w:szCs w:val="32"/>
          <w:highlight w:val="none"/>
          <w:lang w:eastAsia="zh-CN"/>
          <w14:textFill>
            <w14:solidFill>
              <w14:schemeClr w14:val="tx1"/>
            </w14:solidFill>
          </w14:textFill>
        </w:rPr>
        <w:t xml:space="preserve">JSZC-320582-NDZB-G2026-0004</w:t>
      </w:r>
      <w:r/>
    </w:p>
    <w:p>
      <w:pPr>
        <w:jc w:val="center"/>
        <w:spacing w:line="480" w:lineRule="auto"/>
        <w:rPr>
          <w:rFonts w:ascii="Times New Roman" w:hAnsi="Times New Roman"/>
          <w:color w:val="000000" w:themeColor="text1"/>
          <w:sz w:val="32"/>
          <w:szCs w:val="32"/>
          <w:highlight w:val="none"/>
          <w14:textFill>
            <w14:solidFill>
              <w14:schemeClr w14:val="tx1"/>
            </w14:solidFill>
          </w14:textFill>
        </w:rPr>
      </w:pPr>
      <w:r>
        <w:rPr>
          <w:rFonts w:ascii="Times New Roman" w:hAnsi="Times New Roman"/>
          <w:b/>
          <w:color w:val="000000" w:themeColor="text1"/>
          <w:sz w:val="32"/>
          <w:szCs w:val="32"/>
          <w:highlight w:val="none"/>
          <w14:textFill>
            <w14:solidFill>
              <w14:schemeClr w14:val="tx1"/>
            </w14:solidFill>
          </w14:textFill>
        </w:rPr>
        <w:t xml:space="preserve">项目属性：</w:t>
      </w:r>
      <w:r>
        <w:rPr>
          <w:rFonts w:hint="eastAsia" w:ascii="Times New Roman" w:hAnsi="Times New Roman"/>
          <w:b/>
          <w:color w:val="000000" w:themeColor="text1"/>
          <w:sz w:val="32"/>
          <w:szCs w:val="32"/>
          <w:highlight w:val="none"/>
          <w14:textFill>
            <w14:solidFill>
              <w14:schemeClr w14:val="tx1"/>
            </w14:solidFill>
          </w14:textFill>
        </w:rPr>
        <w:t xml:space="preserve">服务类</w:t>
      </w:r>
      <w:r/>
    </w:p>
    <w:p>
      <w:pPr>
        <w:jc w:val="center"/>
        <w:spacing w:before="120" w:after="120" w:line="360" w:lineRule="auto"/>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jc w:val="center"/>
        <w:spacing w:before="120" w:after="120" w:line="360" w:lineRule="auto"/>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jc w:val="center"/>
        <w:spacing w:before="120" w:after="120" w:line="360" w:lineRule="auto"/>
        <w:rPr>
          <w:rFonts w:ascii="Times New Roman" w:hAnsi="Times New Roman"/>
          <w:b/>
          <w:bCs/>
          <w:color w:val="000000" w:themeColor="text1"/>
          <w:sz w:val="52"/>
          <w:szCs w:val="52"/>
          <w:highlight w:val="none"/>
          <w14:textFill>
            <w14:solidFill>
              <w14:schemeClr w14:val="tx1"/>
            </w14:solidFill>
          </w14:textFill>
        </w:rPr>
      </w:pPr>
      <w:r>
        <w:rPr>
          <w:rFonts w:ascii="Times New Roman" w:hAnsi="Times New Roman"/>
          <w:b/>
          <w:bCs/>
          <w:color w:val="000000" w:themeColor="text1"/>
          <w:sz w:val="52"/>
          <w:szCs w:val="52"/>
          <w:highlight w:val="none"/>
          <w14:textFill>
            <w14:solidFill>
              <w14:schemeClr w14:val="tx1"/>
            </w14:solidFill>
          </w14:textFill>
        </w:rPr>
      </w:r>
      <w:r/>
    </w:p>
    <w:p>
      <w:pPr>
        <w:jc w:val="center"/>
        <w:spacing w:line="360" w:lineRule="auto"/>
        <w:rPr>
          <w:rFonts w:ascii="Times New Roman" w:hAnsi="Times New Roman"/>
          <w:b/>
          <w:bCs/>
          <w:color w:val="000000" w:themeColor="text1"/>
          <w:sz w:val="32"/>
          <w:szCs w:val="32"/>
          <w:highlight w:val="none"/>
          <w14:textFill>
            <w14:solidFill>
              <w14:schemeClr w14:val="tx1"/>
            </w14:solidFill>
          </w14:textFill>
        </w:rPr>
      </w:pPr>
      <w:r>
        <w:rPr>
          <w:rFonts w:ascii="Times New Roman" w:hAnsi="Times New Roman"/>
          <w:b/>
          <w:bCs/>
          <w:color w:val="000000" w:themeColor="text1"/>
          <w:sz w:val="32"/>
          <w:szCs w:val="32"/>
          <w:highlight w:val="none"/>
          <w14:textFill>
            <w14:solidFill>
              <w14:schemeClr w14:val="tx1"/>
            </w14:solidFill>
          </w14:textFill>
        </w:rPr>
        <w:t xml:space="preserve">诺德招投标咨询服务（苏州）有限公司</w:t>
      </w:r>
      <w:r/>
    </w:p>
    <w:p>
      <w:pPr>
        <w:jc w:val="center"/>
        <w:rPr>
          <w:rFonts w:ascii="Times New Roman" w:hAnsi="Times New Roman"/>
          <w:b/>
          <w:bCs/>
          <w:color w:val="000000" w:themeColor="text1"/>
          <w:sz w:val="44"/>
          <w:szCs w:val="44"/>
          <w:highlight w:val="none"/>
          <w14:textFill>
            <w14:solidFill>
              <w14:schemeClr w14:val="tx1"/>
            </w14:solidFill>
          </w14:textFill>
        </w:rPr>
      </w:pPr>
      <w:r>
        <w:rPr>
          <w:rFonts w:ascii="Times New Roman" w:hAnsi="Times New Roman"/>
          <w:b/>
          <w:bCs/>
          <w:color w:val="000000" w:themeColor="text1"/>
          <w:sz w:val="32"/>
          <w:highlight w:val="none"/>
          <w14:textFill>
            <w14:solidFill>
              <w14:schemeClr w14:val="tx1"/>
            </w14:solidFill>
          </w14:textFill>
        </w:rPr>
        <w:t xml:space="preserve">202</w:t>
      </w:r>
      <w:r>
        <w:rPr>
          <w:rFonts w:hint="eastAsia" w:ascii="Times New Roman" w:hAnsi="Times New Roman"/>
          <w:b/>
          <w:bCs/>
          <w:color w:val="000000" w:themeColor="text1"/>
          <w:sz w:val="32"/>
          <w:highlight w:val="none"/>
          <w14:textFill>
            <w14:solidFill>
              <w14:schemeClr w14:val="tx1"/>
            </w14:solidFill>
          </w14:textFill>
        </w:rPr>
        <w:t xml:space="preserve">6</w:t>
      </w:r>
      <w:r>
        <w:rPr>
          <w:rFonts w:ascii="Times New Roman" w:hAnsi="Times New Roman"/>
          <w:b/>
          <w:bCs/>
          <w:color w:val="000000" w:themeColor="text1"/>
          <w:sz w:val="32"/>
          <w:highlight w:val="none"/>
          <w14:textFill>
            <w14:solidFill>
              <w14:schemeClr w14:val="tx1"/>
            </w14:solidFill>
          </w14:textFill>
        </w:rPr>
        <w:t xml:space="preserve">年</w:t>
      </w:r>
      <w:r>
        <w:rPr>
          <w:rFonts w:hint="eastAsia" w:ascii="Times New Roman" w:hAnsi="Times New Roman"/>
          <w:b/>
          <w:bCs/>
          <w:color w:val="000000" w:themeColor="text1"/>
          <w:sz w:val="32"/>
          <w:highlight w:val="none"/>
          <w14:textFill>
            <w14:solidFill>
              <w14:schemeClr w14:val="tx1"/>
            </w14:solidFill>
          </w14:textFill>
        </w:rPr>
        <w:t xml:space="preserve">06</w:t>
      </w:r>
      <w:r>
        <w:rPr>
          <w:rFonts w:ascii="Times New Roman" w:hAnsi="Times New Roman"/>
          <w:b/>
          <w:bCs/>
          <w:color w:val="000000" w:themeColor="text1"/>
          <w:sz w:val="32"/>
          <w:highlight w:val="none"/>
          <w14:textFill>
            <w14:solidFill>
              <w14:schemeClr w14:val="tx1"/>
            </w14:solidFill>
          </w14:textFill>
        </w:rPr>
        <w:t xml:space="preserve">月</w:t>
      </w:r>
      <w:r>
        <w:rPr>
          <w:rFonts w:hint="eastAsia" w:ascii="Times New Roman" w:hAnsi="Times New Roman"/>
          <w:b/>
          <w:bCs/>
          <w:color w:val="000000" w:themeColor="text1"/>
          <w:sz w:val="32"/>
          <w:highlight w:val="none"/>
          <w:lang w:val="en-US" w:eastAsia="zh-CN"/>
          <w14:textFill>
            <w14:solidFill>
              <w14:schemeClr w14:val="tx1"/>
            </w14:solidFill>
          </w14:textFill>
        </w:rPr>
        <w:t xml:space="preserve">25</w:t>
      </w:r>
      <w:r>
        <w:rPr>
          <w:rFonts w:ascii="Times New Roman" w:hAnsi="Times New Roman"/>
          <w:b/>
          <w:bCs/>
          <w:color w:val="000000" w:themeColor="text1"/>
          <w:sz w:val="32"/>
          <w:highlight w:val="none"/>
          <w14:textFill>
            <w14:solidFill>
              <w14:schemeClr w14:val="tx1"/>
            </w14:solidFill>
          </w14:textFill>
        </w:rPr>
        <w:t xml:space="preserve">日</w:t>
      </w:r>
      <w:bookmarkStart w:id="0" w:name="_Toc120614210"/>
      <w:r/>
      <w:bookmarkStart w:id="1" w:name="_Toc16938516"/>
      <w:r/>
      <w:bookmarkStart w:id="2" w:name="_Toc20823272"/>
      <w:r/>
      <w:bookmarkStart w:id="3" w:name="_Toc479757206"/>
      <w:r/>
      <w:bookmarkStart w:id="4" w:name="_Toc523127445"/>
      <w:r/>
      <w:bookmarkStart w:id="5" w:name="_Toc513029200"/>
      <w:r>
        <w:rPr>
          <w:rFonts w:ascii="Times New Roman" w:hAnsi="Times New Roman"/>
          <w:b/>
          <w:bCs/>
          <w:color w:val="000000" w:themeColor="text1"/>
          <w:sz w:val="44"/>
          <w:szCs w:val="44"/>
          <w:highlight w:val="none"/>
          <w14:textFill>
            <w14:solidFill>
              <w14:schemeClr w14:val="tx1"/>
            </w14:solidFill>
          </w14:textFill>
        </w:rPr>
        <w:br w:type="page" w:clear="all"/>
      </w:r>
      <w:r>
        <w:rPr>
          <w:rFonts w:ascii="Times New Roman" w:hAnsi="Times New Roman"/>
          <w:b/>
          <w:bCs/>
          <w:color w:val="000000" w:themeColor="text1"/>
          <w:sz w:val="44"/>
          <w:szCs w:val="44"/>
          <w:highlight w:val="none"/>
          <w14:textFill>
            <w14:solidFill>
              <w14:schemeClr w14:val="tx1"/>
            </w14:solidFill>
          </w14:textFill>
        </w:rPr>
        <w:t xml:space="preserve">总  目  录</w:t>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15"/>
        <w:spacing w:line="276" w:lineRule="auto"/>
        <w:tabs>
          <w:tab w:val="right" w:pos="8618" w:leader="dot"/>
        </w:tabs>
        <w:rPr>
          <w:rFonts w:hint="eastAsia" w:ascii="宋体" w:hAnsi="宋体" w:cs="宋体"/>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"1-2" \h \u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"_Toc26169" </w:instrText>
      </w:r>
      <w:r>
        <w:rPr>
          <w:color w:val="000000" w:themeColor="text1"/>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第一章  投标邀请</w:t>
      </w:r>
      <w:r>
        <w:rPr>
          <w:rFonts w:hint="eastAsia" w:ascii="宋体" w:hAnsi="宋体" w:cs="宋体"/>
          <w:b/>
          <w:bCs/>
          <w:color w:val="000000" w:themeColor="text1"/>
          <w:sz w:val="24"/>
          <w:szCs w:val="24"/>
          <w:highlight w:val="none"/>
          <w14:textFill>
            <w14:solidFill>
              <w14:schemeClr w14:val="tx1"/>
            </w14:solidFill>
          </w14:textFill>
        </w:rPr>
        <w:tab/>
      </w:r>
      <w:r>
        <w:rPr>
          <w:rFonts w:hint="eastAsia" w:ascii="宋体" w:hAnsi="宋体" w:cs="宋体"/>
          <w:b/>
          <w:bCs/>
          <w:color w:val="000000" w:themeColor="text1"/>
          <w:sz w:val="24"/>
          <w:szCs w:val="24"/>
          <w:highlight w:val="none"/>
          <w14:textFill>
            <w14:solidFill>
              <w14:schemeClr w14:val="tx1"/>
            </w14:solidFill>
          </w14:textFill>
        </w:rPr>
        <w:fldChar w:fldCharType="begin"/>
      </w:r>
      <w:r>
        <w:rPr>
          <w:rFonts w:hint="eastAsia" w:ascii="宋体" w:hAnsi="宋体" w:cs="宋体"/>
          <w:b/>
          <w:bCs/>
          <w:color w:val="000000" w:themeColor="text1"/>
          <w:sz w:val="24"/>
          <w:szCs w:val="24"/>
          <w:highlight w:val="none"/>
          <w14:textFill>
            <w14:solidFill>
              <w14:schemeClr w14:val="tx1"/>
            </w14:solidFill>
          </w14:textFill>
        </w:rPr>
        <w:instrText xml:space="preserve"> PAGEREF _Toc26169 \h </w:instrText>
      </w:r>
      <w:r>
        <w:rPr>
          <w:rFonts w:hint="eastAsia"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fldChar w:fldCharType="end"/>
      </w:r>
      <w:r>
        <w:rPr>
          <w:rFonts w:hint="eastAsia" w:ascii="宋体" w:hAnsi="宋体" w:cs="宋体"/>
          <w:b/>
          <w:bCs/>
          <w:color w:val="000000" w:themeColor="text1"/>
          <w:sz w:val="24"/>
          <w:szCs w:val="24"/>
          <w:highlight w:val="none"/>
          <w14:textFill>
            <w14:solidFill>
              <w14:schemeClr w14:val="tx1"/>
            </w14:solidFill>
          </w14:textFill>
        </w:rPr>
        <w:fldChar w:fldCharType="end"/>
      </w:r>
      <w:r/>
    </w:p>
    <w:p>
      <w:pPr>
        <w:pStyle w:val="815"/>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"_Toc30328" </w:instrText>
      </w:r>
      <w:r>
        <w:rPr>
          <w:color w:val="000000" w:themeColor="text1"/>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第二章  投标人须知</w:t>
      </w:r>
      <w:r>
        <w:rPr>
          <w:rFonts w:hint="eastAsia" w:ascii="宋体" w:hAnsi="宋体" w:cs="宋体"/>
          <w:b/>
          <w:bCs/>
          <w:color w:val="000000" w:themeColor="text1"/>
          <w:sz w:val="24"/>
          <w:szCs w:val="24"/>
          <w:highlight w:val="none"/>
          <w14:textFill>
            <w14:solidFill>
              <w14:schemeClr w14:val="tx1"/>
            </w14:solidFill>
          </w14:textFill>
        </w:rPr>
        <w:tab/>
      </w:r>
      <w:r>
        <w:rPr>
          <w:rFonts w:hint="eastAsia" w:ascii="宋体" w:hAnsi="宋体" w:cs="宋体"/>
          <w:b/>
          <w:bCs/>
          <w:color w:val="000000" w:themeColor="text1"/>
          <w:sz w:val="24"/>
          <w:szCs w:val="24"/>
          <w:highlight w:val="none"/>
          <w14:textFill>
            <w14:solidFill>
              <w14:schemeClr w14:val="tx1"/>
            </w14:solidFill>
          </w14:textFill>
        </w:rPr>
        <w:fldChar w:fldCharType="begin"/>
      </w:r>
      <w:r>
        <w:rPr>
          <w:rFonts w:hint="eastAsia" w:ascii="宋体" w:hAnsi="宋体" w:cs="宋体"/>
          <w:b/>
          <w:bCs/>
          <w:color w:val="000000" w:themeColor="text1"/>
          <w:sz w:val="24"/>
          <w:szCs w:val="24"/>
          <w:highlight w:val="none"/>
          <w14:textFill>
            <w14:solidFill>
              <w14:schemeClr w14:val="tx1"/>
            </w14:solidFill>
          </w14:textFill>
        </w:rPr>
        <w:instrText xml:space="preserve"> PAGEREF _Toc30328 \h </w:instrText>
      </w:r>
      <w:r>
        <w:rPr>
          <w:rFonts w:hint="eastAsia"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8</w:t>
      </w:r>
      <w:r>
        <w:rPr>
          <w:rFonts w:hint="eastAsia" w:ascii="宋体" w:hAnsi="宋体" w:cs="宋体"/>
          <w:b/>
          <w:bCs/>
          <w:color w:val="000000" w:themeColor="text1"/>
          <w:sz w:val="24"/>
          <w:szCs w:val="24"/>
          <w:highlight w:val="none"/>
          <w14:textFill>
            <w14:solidFill>
              <w14:schemeClr w14:val="tx1"/>
            </w14:solidFill>
          </w14:textFill>
        </w:rPr>
        <w:fldChar w:fldCharType="end"/>
      </w:r>
      <w:r>
        <w:rPr>
          <w:rFonts w:hint="eastAsia" w:ascii="宋体" w:hAnsi="宋体" w:cs="宋体"/>
          <w:b/>
          <w:bCs/>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"_Toc7704"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一、总则</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_Toc7704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"_Toc4303"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二、招标文件</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_Toc4303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"_Toc25551"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三、投标文件的编制</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_Toc25551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"_Toc29076"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四、投标文件的制作、上传、递交</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_Toc29076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11</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"_Toc23403"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五、开标与评标</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_Toc23403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12</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"_Toc11811"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六、定标</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_Toc11811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16</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"_Toc26678"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七、授予合同</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_Toc26678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18</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15"/>
        <w:spacing w:line="276" w:lineRule="auto"/>
        <w:tabs>
          <w:tab w:val="right" w:pos="8618" w:leader="dot"/>
        </w:tabs>
        <w:rPr>
          <w:rFonts w:hint="eastAsia" w:ascii="宋体" w:hAnsi="宋体" w:cs="宋体"/>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"_Toc14969" </w:instrText>
      </w:r>
      <w:r>
        <w:rPr>
          <w:color w:val="000000" w:themeColor="text1"/>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第三章 合同条款及格式</w:t>
      </w:r>
      <w:r>
        <w:rPr>
          <w:rFonts w:hint="eastAsia" w:ascii="宋体" w:hAnsi="宋体" w:cs="宋体"/>
          <w:b/>
          <w:bCs/>
          <w:color w:val="000000" w:themeColor="text1"/>
          <w:sz w:val="24"/>
          <w:szCs w:val="24"/>
          <w:highlight w:val="none"/>
          <w14:textFill>
            <w14:solidFill>
              <w14:schemeClr w14:val="tx1"/>
            </w14:solidFill>
          </w14:textFill>
        </w:rPr>
        <w:tab/>
      </w:r>
      <w:r>
        <w:rPr>
          <w:rFonts w:hint="eastAsia" w:ascii="宋体" w:hAnsi="宋体" w:cs="宋体"/>
          <w:b/>
          <w:bCs/>
          <w:color w:val="000000" w:themeColor="text1"/>
          <w:sz w:val="24"/>
          <w:szCs w:val="24"/>
          <w:highlight w:val="none"/>
          <w14:textFill>
            <w14:solidFill>
              <w14:schemeClr w14:val="tx1"/>
            </w14:solidFill>
          </w14:textFill>
        </w:rPr>
        <w:fldChar w:fldCharType="begin"/>
      </w:r>
      <w:r>
        <w:rPr>
          <w:rFonts w:hint="eastAsia" w:ascii="宋体" w:hAnsi="宋体" w:cs="宋体"/>
          <w:b/>
          <w:bCs/>
          <w:color w:val="000000" w:themeColor="text1"/>
          <w:sz w:val="24"/>
          <w:szCs w:val="24"/>
          <w:highlight w:val="none"/>
          <w14:textFill>
            <w14:solidFill>
              <w14:schemeClr w14:val="tx1"/>
            </w14:solidFill>
          </w14:textFill>
        </w:rPr>
        <w:instrText xml:space="preserve"> PAGEREF _Toc14969 \h </w:instrText>
      </w:r>
      <w:r>
        <w:rPr>
          <w:rFonts w:hint="eastAsia"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20</w:t>
      </w:r>
      <w:r>
        <w:rPr>
          <w:rFonts w:hint="eastAsia" w:ascii="宋体" w:hAnsi="宋体" w:cs="宋体"/>
          <w:b/>
          <w:bCs/>
          <w:color w:val="000000" w:themeColor="text1"/>
          <w:sz w:val="24"/>
          <w:szCs w:val="24"/>
          <w:highlight w:val="none"/>
          <w14:textFill>
            <w14:solidFill>
              <w14:schemeClr w14:val="tx1"/>
            </w14:solidFill>
          </w14:textFill>
        </w:rPr>
        <w:fldChar w:fldCharType="end"/>
      </w:r>
      <w:r>
        <w:rPr>
          <w:rFonts w:hint="eastAsia" w:ascii="宋体" w:hAnsi="宋体" w:cs="宋体"/>
          <w:b/>
          <w:bCs/>
          <w:color w:val="000000" w:themeColor="text1"/>
          <w:sz w:val="24"/>
          <w:szCs w:val="24"/>
          <w:highlight w:val="none"/>
          <w14:textFill>
            <w14:solidFill>
              <w14:schemeClr w14:val="tx1"/>
            </w14:solidFill>
          </w14:textFill>
        </w:rPr>
        <w:fldChar w:fldCharType="end"/>
      </w:r>
      <w:r/>
    </w:p>
    <w:p>
      <w:pPr>
        <w:pStyle w:val="815"/>
        <w:spacing w:line="276" w:lineRule="auto"/>
        <w:tabs>
          <w:tab w:val="right" w:pos="8618" w:leader="dot"/>
        </w:tabs>
        <w:rPr>
          <w:rFonts w:hint="eastAsia" w:ascii="宋体" w:hAnsi="宋体" w:cs="宋体"/>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"_Toc15532" </w:instrText>
      </w:r>
      <w:r>
        <w:rPr>
          <w:color w:val="000000" w:themeColor="text1"/>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第四章 项目需求</w:t>
      </w:r>
      <w:r>
        <w:rPr>
          <w:rFonts w:hint="eastAsia" w:ascii="宋体" w:hAnsi="宋体" w:cs="宋体"/>
          <w:b/>
          <w:bCs/>
          <w:color w:val="000000" w:themeColor="text1"/>
          <w:sz w:val="24"/>
          <w:szCs w:val="24"/>
          <w:highlight w:val="none"/>
          <w14:textFill>
            <w14:solidFill>
              <w14:schemeClr w14:val="tx1"/>
            </w14:solidFill>
          </w14:textFill>
        </w:rPr>
        <w:tab/>
      </w:r>
      <w:r>
        <w:rPr>
          <w:rFonts w:hint="eastAsia" w:ascii="宋体" w:hAnsi="宋体" w:cs="宋体"/>
          <w:b/>
          <w:bCs/>
          <w:color w:val="000000" w:themeColor="text1"/>
          <w:sz w:val="24"/>
          <w:szCs w:val="24"/>
          <w:highlight w:val="none"/>
          <w14:textFill>
            <w14:solidFill>
              <w14:schemeClr w14:val="tx1"/>
            </w14:solidFill>
          </w14:textFill>
        </w:rPr>
        <w:fldChar w:fldCharType="begin"/>
      </w:r>
      <w:r>
        <w:rPr>
          <w:rFonts w:hint="eastAsia" w:ascii="宋体" w:hAnsi="宋体" w:cs="宋体"/>
          <w:b/>
          <w:bCs/>
          <w:color w:val="000000" w:themeColor="text1"/>
          <w:sz w:val="24"/>
          <w:szCs w:val="24"/>
          <w:highlight w:val="none"/>
          <w14:textFill>
            <w14:solidFill>
              <w14:schemeClr w14:val="tx1"/>
            </w14:solidFill>
          </w14:textFill>
        </w:rPr>
        <w:instrText xml:space="preserve"> PAGEREF _Toc15532 \h </w:instrText>
      </w:r>
      <w:r>
        <w:rPr>
          <w:rFonts w:hint="eastAsia"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25</w:t>
      </w:r>
      <w:r>
        <w:rPr>
          <w:rFonts w:hint="eastAsia" w:ascii="宋体" w:hAnsi="宋体" w:cs="宋体"/>
          <w:b/>
          <w:bCs/>
          <w:color w:val="000000" w:themeColor="text1"/>
          <w:sz w:val="24"/>
          <w:szCs w:val="24"/>
          <w:highlight w:val="none"/>
          <w14:textFill>
            <w14:solidFill>
              <w14:schemeClr w14:val="tx1"/>
            </w14:solidFill>
          </w14:textFill>
        </w:rPr>
        <w:fldChar w:fldCharType="end"/>
      </w:r>
      <w:r>
        <w:rPr>
          <w:rFonts w:hint="eastAsia" w:ascii="宋体" w:hAnsi="宋体" w:cs="宋体"/>
          <w:b/>
          <w:bCs/>
          <w:color w:val="000000" w:themeColor="text1"/>
          <w:sz w:val="24"/>
          <w:szCs w:val="24"/>
          <w:highlight w:val="none"/>
          <w14:textFill>
            <w14:solidFill>
              <w14:schemeClr w14:val="tx1"/>
            </w14:solidFill>
          </w14:textFill>
        </w:rPr>
        <w:fldChar w:fldCharType="end"/>
      </w:r>
      <w:r/>
    </w:p>
    <w:p>
      <w:pPr>
        <w:pStyle w:val="815"/>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"_Toc7119" </w:instrText>
      </w:r>
      <w:r>
        <w:rPr>
          <w:color w:val="000000" w:themeColor="text1"/>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第五章 评标方法与评标标准</w:t>
      </w:r>
      <w:r>
        <w:rPr>
          <w:rFonts w:hint="eastAsia" w:ascii="宋体" w:hAnsi="宋体" w:cs="宋体"/>
          <w:b/>
          <w:bCs/>
          <w:color w:val="000000" w:themeColor="text1"/>
          <w:sz w:val="24"/>
          <w:szCs w:val="24"/>
          <w:highlight w:val="none"/>
          <w14:textFill>
            <w14:solidFill>
              <w14:schemeClr w14:val="tx1"/>
            </w14:solidFill>
          </w14:textFill>
        </w:rPr>
        <w:tab/>
      </w:r>
      <w:r>
        <w:rPr>
          <w:rFonts w:hint="eastAsia" w:ascii="宋体" w:hAnsi="宋体" w:cs="宋体"/>
          <w:b/>
          <w:bCs/>
          <w:color w:val="000000" w:themeColor="text1"/>
          <w:sz w:val="24"/>
          <w:szCs w:val="24"/>
          <w:highlight w:val="none"/>
          <w14:textFill>
            <w14:solidFill>
              <w14:schemeClr w14:val="tx1"/>
            </w14:solidFill>
          </w14:textFill>
        </w:rPr>
        <w:fldChar w:fldCharType="begin"/>
      </w:r>
      <w:r>
        <w:rPr>
          <w:rFonts w:hint="eastAsia" w:ascii="宋体" w:hAnsi="宋体" w:cs="宋体"/>
          <w:b/>
          <w:bCs/>
          <w:color w:val="000000" w:themeColor="text1"/>
          <w:sz w:val="24"/>
          <w:szCs w:val="24"/>
          <w:highlight w:val="none"/>
          <w14:textFill>
            <w14:solidFill>
              <w14:schemeClr w14:val="tx1"/>
            </w14:solidFill>
          </w14:textFill>
        </w:rPr>
        <w:instrText xml:space="preserve"> PAGEREF _Toc7119 \h </w:instrText>
      </w:r>
      <w:r>
        <w:rPr>
          <w:rFonts w:hint="eastAsia"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53</w:t>
      </w:r>
      <w:r>
        <w:rPr>
          <w:rFonts w:hint="eastAsia" w:ascii="宋体" w:hAnsi="宋体" w:cs="宋体"/>
          <w:b/>
          <w:bCs/>
          <w:color w:val="000000" w:themeColor="text1"/>
          <w:sz w:val="24"/>
          <w:szCs w:val="24"/>
          <w:highlight w:val="none"/>
          <w14:textFill>
            <w14:solidFill>
              <w14:schemeClr w14:val="tx1"/>
            </w14:solidFill>
          </w14:textFill>
        </w:rPr>
        <w:fldChar w:fldCharType="end"/>
      </w:r>
      <w:r>
        <w:rPr>
          <w:rFonts w:hint="eastAsia" w:ascii="宋体" w:hAnsi="宋体" w:cs="宋体"/>
          <w:b/>
          <w:bCs/>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"_Toc6948"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一、评标方法与定标原则</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_Toc6948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53</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"_Toc7447"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二、评标标准</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_Toc7447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53</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15"/>
        <w:spacing w:line="276" w:lineRule="auto"/>
        <w:tabs>
          <w:tab w:val="right" w:pos="8618" w:leader="dot"/>
        </w:tabs>
        <w:rPr>
          <w:rFonts w:hint="eastAsia" w:ascii="宋体" w:hAnsi="宋体" w:cs="宋体"/>
          <w:b/>
          <w:bCs/>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"_Toc21725" </w:instrText>
      </w:r>
      <w:r>
        <w:rPr>
          <w:color w:val="000000" w:themeColor="text1"/>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第六章 投标文件格式</w:t>
      </w:r>
      <w:r>
        <w:rPr>
          <w:rFonts w:hint="eastAsia" w:ascii="宋体" w:hAnsi="宋体" w:cs="宋体"/>
          <w:b/>
          <w:bCs/>
          <w:color w:val="000000" w:themeColor="text1"/>
          <w:sz w:val="24"/>
          <w:szCs w:val="24"/>
          <w:highlight w:val="none"/>
          <w14:textFill>
            <w14:solidFill>
              <w14:schemeClr w14:val="tx1"/>
            </w14:solidFill>
          </w14:textFill>
        </w:rPr>
        <w:tab/>
      </w:r>
      <w:r>
        <w:rPr>
          <w:rFonts w:hint="eastAsia" w:ascii="宋体" w:hAnsi="宋体" w:cs="宋体"/>
          <w:b/>
          <w:bCs/>
          <w:color w:val="000000" w:themeColor="text1"/>
          <w:sz w:val="24"/>
          <w:szCs w:val="24"/>
          <w:highlight w:val="none"/>
          <w14:textFill>
            <w14:solidFill>
              <w14:schemeClr w14:val="tx1"/>
            </w14:solidFill>
          </w14:textFill>
        </w:rPr>
        <w:fldChar w:fldCharType="begin"/>
      </w:r>
      <w:r>
        <w:rPr>
          <w:rFonts w:hint="eastAsia" w:ascii="宋体" w:hAnsi="宋体" w:cs="宋体"/>
          <w:b/>
          <w:bCs/>
          <w:color w:val="000000" w:themeColor="text1"/>
          <w:sz w:val="24"/>
          <w:szCs w:val="24"/>
          <w:highlight w:val="none"/>
          <w14:textFill>
            <w14:solidFill>
              <w14:schemeClr w14:val="tx1"/>
            </w14:solidFill>
          </w14:textFill>
        </w:rPr>
        <w:instrText xml:space="preserve"> PAGEREF _Toc21725 \h </w:instrText>
      </w:r>
      <w:r>
        <w:rPr>
          <w:rFonts w:hint="eastAsia" w:ascii="宋体" w:hAnsi="宋体" w:cs="宋体"/>
          <w:b/>
          <w:bCs/>
          <w:color w:val="000000" w:themeColor="text1"/>
          <w:sz w:val="24"/>
          <w:szCs w:val="24"/>
          <w:highlight w:val="none"/>
          <w14:textFill>
            <w14:solidFill>
              <w14:schemeClr w14:val="tx1"/>
            </w14:solidFill>
          </w14:textFill>
        </w:rPr>
        <w:fldChar w:fldCharType="separate"/>
      </w:r>
      <w:r>
        <w:rPr>
          <w:rFonts w:hint="eastAsia" w:ascii="宋体" w:hAnsi="宋体" w:cs="宋体"/>
          <w:b/>
          <w:bCs/>
          <w:color w:val="000000" w:themeColor="text1"/>
          <w:sz w:val="24"/>
          <w:szCs w:val="24"/>
          <w:highlight w:val="none"/>
          <w14:textFill>
            <w14:solidFill>
              <w14:schemeClr w14:val="tx1"/>
            </w14:solidFill>
          </w14:textFill>
        </w:rPr>
        <w:t xml:space="preserve">57</w:t>
      </w:r>
      <w:r>
        <w:rPr>
          <w:rFonts w:hint="eastAsia" w:ascii="宋体" w:hAnsi="宋体" w:cs="宋体"/>
          <w:b/>
          <w:bCs/>
          <w:color w:val="000000" w:themeColor="text1"/>
          <w:sz w:val="24"/>
          <w:szCs w:val="24"/>
          <w:highlight w:val="none"/>
          <w14:textFill>
            <w14:solidFill>
              <w14:schemeClr w14:val="tx1"/>
            </w14:solidFill>
          </w14:textFill>
        </w:rPr>
        <w:fldChar w:fldCharType="end"/>
      </w:r>
      <w:r>
        <w:rPr>
          <w:rFonts w:hint="eastAsia" w:ascii="宋体" w:hAnsi="宋体" w:cs="宋体"/>
          <w:b/>
          <w:bCs/>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"_Toc31839"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一、封面</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_Toc31839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58</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"_Toc16968"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二、投标函</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_Toc16968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59</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"_Toc112"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三、开标一览表</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_Toc112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60</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"_Toc1732"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 w:val="24"/>
          <w:szCs w:val="24"/>
          <w:highlight w:val="none"/>
          <w14:textFill>
            <w14:solidFill>
              <w14:schemeClr w14:val="tx1"/>
            </w14:solidFill>
          </w14:textFill>
        </w:rPr>
        <w:t xml:space="preserve">四、经费测算明细表</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_Toc1732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61</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"_Toc17197"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五、资格证明文件</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_Toc17197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65</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"_Toc28913"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六、技术服务要求响应及偏离表</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_Toc28913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77</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"_Toc474"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七、商务条款响应及偏离表</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_Toc474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78</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"_Toc31842"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八、第四章项目需求中实质性要求响应对照表</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_Toc31842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79</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"_Toc2285"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九、技术服务方案</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_Toc2285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80</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"_Toc4218"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十、投标人情况介绍</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_Toc4218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81</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"_Toc14808"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十一、中小企业声明函</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_Toc14808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84</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"_Toc12252"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十二、残疾人福利性单位声明函</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_Toc12252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87</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rFonts w:hint="eastAsia" w:ascii="宋体" w:hAnsi="宋体" w:cs="宋体"/>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"_Toc8429"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十三、监狱企业的证明文件</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_Toc8429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88</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pStyle w:val="821"/>
        <w:spacing w:line="276" w:lineRule="auto"/>
        <w:tabs>
          <w:tab w:val="right" w:pos="8618"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"_Toc18571"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十四、其他材料</w:t>
      </w:r>
      <w:r>
        <w:rPr>
          <w:rFonts w:hint="eastAsia" w:ascii="宋体" w:hAnsi="宋体" w:cs="宋体"/>
          <w:color w:val="000000" w:themeColor="text1"/>
          <w:sz w:val="24"/>
          <w:szCs w:val="24"/>
          <w:highlight w:val="none"/>
          <w14:textFill>
            <w14:solidFill>
              <w14:schemeClr w14:val="tx1"/>
            </w14:solidFill>
          </w14:textFill>
        </w:rPr>
        <w:tab/>
      </w:r>
      <w:r>
        <w:rPr>
          <w:rFonts w:hint="eastAsia" w:ascii="宋体" w:hAnsi="宋体" w:cs="宋体"/>
          <w:color w:val="000000" w:themeColor="text1"/>
          <w:sz w:val="24"/>
          <w:szCs w:val="24"/>
          <w:highlight w:val="none"/>
          <w14:textFill>
            <w14:solidFill>
              <w14:schemeClr w14:val="tx1"/>
            </w14:solidFill>
          </w14:textFill>
        </w:rPr>
        <w:fldChar w:fldCharType="begin"/>
      </w:r>
      <w:r>
        <w:rPr>
          <w:rFonts w:hint="eastAsia" w:ascii="宋体" w:hAnsi="宋体" w:cs="宋体"/>
          <w:color w:val="000000" w:themeColor="text1"/>
          <w:sz w:val="24"/>
          <w:szCs w:val="24"/>
          <w:highlight w:val="none"/>
          <w14:textFill>
            <w14:solidFill>
              <w14:schemeClr w14:val="tx1"/>
            </w14:solidFill>
          </w14:textFill>
        </w:rPr>
        <w:instrText xml:space="preserve"> PAGEREF _Toc18571 \h </w:instrText>
      </w:r>
      <w:r>
        <w:rPr>
          <w:rFonts w:hint="eastAsia" w:ascii="宋体" w:hAnsi="宋体" w:cs="宋体"/>
          <w:color w:val="000000" w:themeColor="text1"/>
          <w:sz w:val="24"/>
          <w:szCs w:val="24"/>
          <w:highlight w:val="none"/>
          <w14:textFill>
            <w14:solidFill>
              <w14:schemeClr w14:val="tx1"/>
            </w14:solidFill>
          </w14:textFill>
        </w:rPr>
        <w:fldChar w:fldCharType="separate"/>
      </w:r>
      <w:r>
        <w:rPr>
          <w:rFonts w:hint="eastAsia" w:ascii="宋体" w:hAnsi="宋体" w:cs="宋体"/>
          <w:color w:val="000000" w:themeColor="text1"/>
          <w:sz w:val="24"/>
          <w:szCs w:val="24"/>
          <w:highlight w:val="none"/>
          <w14:textFill>
            <w14:solidFill>
              <w14:schemeClr w14:val="tx1"/>
            </w14:solidFill>
          </w14:textFill>
        </w:rPr>
        <w:t xml:space="preserve">89</w:t>
      </w:r>
      <w:r>
        <w:rPr>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fldChar w:fldCharType="end"/>
      </w:r>
      <w:r/>
    </w:p>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end"/>
      </w:r>
      <w:r/>
    </w:p>
    <w:p>
      <w:pPr>
        <w:spacing w:line="360" w:lineRule="auto"/>
        <w:tabs>
          <w:tab w:val="left" w:pos="1440" w:leader="none"/>
        </w:tabs>
        <w:rPr>
          <w:rFonts w:ascii="Times New Roman" w:hAnsi="Times New Roman"/>
          <w:b/>
          <w:bCs/>
          <w:color w:val="000000" w:themeColor="text1"/>
          <w:sz w:val="28"/>
          <w:szCs w:val="28"/>
          <w:highlight w:val="none"/>
          <w14:textFill>
            <w14:solidFill>
              <w14:schemeClr w14:val="tx1"/>
            </w14:solidFill>
          </w14:textFill>
        </w:rPr>
        <w:sectPr>
          <w:headerReference w:type="default" r:id="rId9"/>
          <w:footerReference w:type="default" r:id="rId10"/>
          <w:footerReference w:type="even" r:id="rId11"/>
          <w:footnotePr/>
          <w:endnotePr/>
          <w:type w:val="nextPage"/>
          <w:pgSz w:w="11906" w:h="16838" w:orient="portrait"/>
          <w:pgMar w:top="1418" w:right="1644" w:bottom="1418" w:left="1644" w:header="851" w:footer="851" w:gutter="0"/>
          <w:pgNumType w:start="1"/>
          <w:cols w:num="1" w:sep="0" w:space="1701" w:equalWidth="1"/>
          <w:docGrid w:linePitch="360"/>
          <w:titlePg/>
        </w:sectPr>
        <w:outlineLvl w:val="1"/>
      </w:pPr>
      <w:r>
        <w:rPr>
          <w:rFonts w:ascii="Times New Roman" w:hAnsi="Times New Roman"/>
          <w:b/>
          <w:bCs/>
          <w:color w:val="000000" w:themeColor="text1"/>
          <w:sz w:val="28"/>
          <w:szCs w:val="28"/>
          <w:highlight w:val="none"/>
          <w14:textFill>
            <w14:solidFill>
              <w14:schemeClr w14:val="tx1"/>
            </w14:solidFill>
          </w14:textFill>
        </w:rPr>
      </w:r>
      <w:bookmarkEnd w:id="0"/>
      <w:r/>
      <w:r/>
    </w:p>
    <w:p>
      <w:pPr>
        <w:pStyle w:val="980"/>
        <w:rPr>
          <w:rFonts w:hint="eastAsia"/>
          <w:color w:val="000000" w:themeColor="text1"/>
          <w:highlight w:val="none"/>
          <w14:textFill>
            <w14:solidFill>
              <w14:schemeClr w14:val="tx1"/>
            </w14:solidFill>
          </w14:textFill>
        </w:rPr>
      </w:pPr>
      <w:r/>
      <w:bookmarkStart w:id="6" w:name="_Toc7087"/>
      <w:r/>
      <w:bookmarkStart w:id="7" w:name="_Toc160715763"/>
      <w:r/>
      <w:bookmarkStart w:id="8" w:name="_Toc38368118"/>
      <w:r/>
      <w:bookmarkStart w:id="9" w:name="_Toc54615237"/>
      <w:r/>
      <w:bookmarkStart w:id="10" w:name="_Toc35266018"/>
      <w:r/>
      <w:bookmarkStart w:id="11" w:name="_Toc26169"/>
      <w:r/>
      <w:bookmarkStart w:id="12" w:name="_Toc6370"/>
      <w:r>
        <w:rPr>
          <w:color w:val="000000" w:themeColor="text1"/>
          <w:highlight w:val="none"/>
          <w14:textFill>
            <w14:solidFill>
              <w14:schemeClr w14:val="tx1"/>
            </w14:solidFill>
          </w14:textFill>
        </w:rPr>
        <w:t xml:space="preserve">第一章  投标邀请</w:t>
      </w:r>
      <w:bookmarkEnd w:id="6"/>
      <w:r/>
      <w:bookmarkEnd w:id="7"/>
      <w:r/>
      <w:bookmarkEnd w:id="8"/>
      <w:r/>
      <w:bookmarkEnd w:id="9"/>
      <w:r/>
      <w:bookmarkEnd w:id="10"/>
      <w:r/>
      <w:bookmarkEnd w:id="11"/>
      <w:r/>
      <w:bookmarkEnd w:id="12"/>
      <w:r/>
      <w:bookmarkStart w:id="13" w:name="_Toc120614211"/>
      <w:r/>
      <w:r/>
    </w:p>
    <w:p>
      <w:pPr>
        <w:ind w:firstLine="480"/>
        <w:spacing w:line="360" w:lineRule="auto"/>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大新镇镇区一体化保洁及厨余等垃圾清运项目</w:t>
      </w:r>
      <w:r>
        <w:rPr>
          <w:rFonts w:ascii="宋体" w:hAnsi="宋体"/>
          <w:color w:val="000000" w:themeColor="text1"/>
          <w:sz w:val="24"/>
          <w:szCs w:val="24"/>
          <w:highlight w:val="none"/>
          <w14:textFill>
            <w14:solidFill>
              <w14:schemeClr w14:val="tx1"/>
            </w14:solidFill>
          </w14:textFill>
        </w:rPr>
        <w:t xml:space="preserve">的潜在投标人应在</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苏采云</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政府采购一体化平台</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苏采云</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系统）获取招标文件，并于</w:t>
      </w:r>
      <w:bookmarkStart w:id="14" w:name="EB49bf6e8a132943fba15dfdc1bf3bba75"/>
      <w:r>
        <w:rPr>
          <w:rFonts w:ascii="宋体" w:hAnsi="宋体"/>
          <w:color w:val="000000" w:themeColor="text1"/>
          <w:sz w:val="24"/>
          <w:szCs w:val="24"/>
          <w:highlight w:val="none"/>
          <w14:textFill>
            <w14:solidFill>
              <w14:schemeClr w14:val="tx1"/>
            </w14:solidFill>
          </w14:textFill>
        </w:rPr>
        <w:t xml:space="preserve">202</w:t>
      </w:r>
      <w:r>
        <w:rPr>
          <w:rFonts w:hint="eastAsia" w:ascii="宋体" w:hAnsi="宋体"/>
          <w:color w:val="000000" w:themeColor="text1"/>
          <w:sz w:val="24"/>
          <w:szCs w:val="24"/>
          <w:highlight w:val="none"/>
          <w14:textFill>
            <w14:solidFill>
              <w14:schemeClr w14:val="tx1"/>
            </w14:solidFill>
          </w14:textFill>
        </w:rPr>
        <w:t xml:space="preserve">6</w:t>
      </w:r>
      <w:r>
        <w:rPr>
          <w:rFonts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lang w:val="en-US" w:eastAsia="zh-CN"/>
          <w14:textFill>
            <w14:solidFill>
              <w14:schemeClr w14:val="tx1"/>
            </w14:solidFill>
          </w14:textFill>
        </w:rPr>
        <w:t xml:space="preserve">07</w:t>
      </w:r>
      <w:r>
        <w:rPr>
          <w:rFonts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lang w:val="en-US" w:eastAsia="zh-CN"/>
          <w14:textFill>
            <w14:solidFill>
              <w14:schemeClr w14:val="tx1"/>
            </w14:solidFill>
          </w14:textFill>
        </w:rPr>
        <w:t xml:space="preserve">16</w:t>
      </w:r>
      <w:r>
        <w:rPr>
          <w:rFonts w:ascii="宋体" w:hAnsi="宋体"/>
          <w:color w:val="000000" w:themeColor="text1"/>
          <w:sz w:val="24"/>
          <w:szCs w:val="24"/>
          <w:highlight w:val="none"/>
          <w14:textFill>
            <w14:solidFill>
              <w14:schemeClr w14:val="tx1"/>
            </w14:solidFill>
          </w14:textFill>
        </w:rPr>
        <w:t xml:space="preserve">日1</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bookmarkEnd w:id="14"/>
      <w:r>
        <w:rPr>
          <w:rFonts w:hint="eastAsia" w:ascii="宋体" w:hAnsi="宋体"/>
          <w:color w:val="000000" w:themeColor="text1"/>
          <w:sz w:val="24"/>
          <w:szCs w:val="24"/>
          <w:highlight w:val="none"/>
          <w14:textFill>
            <w14:solidFill>
              <w14:schemeClr w14:val="tx1"/>
            </w14:solidFill>
          </w14:textFill>
        </w:rPr>
        <w:t xml:space="preserve">30</w:t>
      </w:r>
      <w:r>
        <w:rPr>
          <w:rFonts w:ascii="宋体" w:hAnsi="宋体"/>
          <w:color w:val="000000" w:themeColor="text1"/>
          <w:sz w:val="24"/>
          <w:szCs w:val="24"/>
          <w:highlight w:val="none"/>
          <w14:textFill>
            <w14:solidFill>
              <w14:schemeClr w14:val="tx1"/>
            </w14:solidFill>
          </w14:textFill>
        </w:rPr>
        <w:t xml:space="preserve">（北京时间）前递交投标文件。</w:t>
      </w:r>
      <w:r/>
    </w:p>
    <w:p>
      <w:pPr>
        <w:spacing w:line="360" w:lineRule="auto"/>
        <w:widowControl/>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一、项目基本情况</w:t>
      </w:r>
      <w:r/>
    </w:p>
    <w:p>
      <w:pPr>
        <w:ind w:firstLine="555"/>
        <w:spacing w:line="360" w:lineRule="auto"/>
        <w:widowControl/>
        <w:rPr>
          <w:rFonts w:hint="eastAsia" w:ascii="宋体" w:hAnsi="宋体" w:eastAsia="宋体"/>
          <w:color w:val="000000" w:themeColor="text1"/>
          <w:sz w:val="24"/>
          <w:highlight w:val="none"/>
          <w:lang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项目编号：</w:t>
      </w:r>
      <w:r>
        <w:rPr>
          <w:rFonts w:hint="eastAsia" w:ascii="宋体" w:hAnsi="宋体"/>
          <w:color w:val="000000" w:themeColor="text1"/>
          <w:sz w:val="24"/>
          <w:highlight w:val="none"/>
          <w:lang w:eastAsia="zh-CN"/>
          <w14:textFill>
            <w14:solidFill>
              <w14:schemeClr w14:val="tx1"/>
            </w14:solidFill>
          </w14:textFill>
        </w:rPr>
        <w:t xml:space="preserve">JSZC-320582-NDZB-G2026-0004</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大新镇镇区一体化保洁及厨余等垃圾清运项目</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预算金额：</w:t>
      </w:r>
      <w:bookmarkStart w:id="15" w:name="EB1a0e1eba70434d918dcf5b8e03079bcd"/>
      <w:r>
        <w:rPr>
          <w:rFonts w:hint="eastAsia" w:ascii="宋体" w:hAnsi="宋体"/>
          <w:color w:val="000000" w:themeColor="text1"/>
          <w:sz w:val="24"/>
          <w:highlight w:val="none"/>
          <w14:textFill>
            <w14:solidFill>
              <w14:schemeClr w14:val="tx1"/>
            </w14:solidFill>
          </w14:textFill>
        </w:rPr>
        <w:t xml:space="preserve">1420万</w:t>
      </w:r>
      <w:r>
        <w:rPr>
          <w:rFonts w:ascii="宋体" w:hAnsi="宋体"/>
          <w:color w:val="000000" w:themeColor="text1"/>
          <w:sz w:val="24"/>
          <w:szCs w:val="24"/>
          <w:highlight w:val="none"/>
          <w14:textFill>
            <w14:solidFill>
              <w14:schemeClr w14:val="tx1"/>
            </w14:solidFill>
          </w14:textFill>
        </w:rPr>
        <w:t xml:space="preserve">元</w:t>
      </w:r>
      <w:bookmarkEnd w:id="15"/>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最高限价：</w:t>
      </w:r>
      <w:bookmarkStart w:id="16" w:name="EB974fe10e1b834f1ab596364ccab62ca9"/>
      <w:r>
        <w:rPr>
          <w:rFonts w:hint="eastAsia" w:ascii="宋体" w:hAnsi="宋体"/>
          <w:color w:val="000000" w:themeColor="text1"/>
          <w:sz w:val="24"/>
          <w:highlight w:val="none"/>
          <w14:textFill>
            <w14:solidFill>
              <w14:schemeClr w14:val="tx1"/>
            </w14:solidFill>
          </w14:textFill>
        </w:rPr>
        <w:t xml:space="preserve">1420万</w:t>
      </w:r>
      <w:r>
        <w:rPr>
          <w:rFonts w:ascii="宋体" w:hAnsi="宋体"/>
          <w:color w:val="000000" w:themeColor="text1"/>
          <w:sz w:val="24"/>
          <w:szCs w:val="24"/>
          <w:highlight w:val="none"/>
          <w14:textFill>
            <w14:solidFill>
              <w14:schemeClr w14:val="tx1"/>
            </w14:solidFill>
          </w14:textFill>
        </w:rPr>
        <w:t xml:space="preserve">元</w:t>
      </w:r>
      <w:bookmarkEnd w:id="16"/>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采购需求：</w:t>
      </w:r>
      <w:r>
        <w:rPr>
          <w:rFonts w:hint="eastAsia" w:ascii="宋体" w:hAnsi="宋体" w:cs="宋体"/>
          <w:color w:val="000000" w:themeColor="text1"/>
          <w:sz w:val="24"/>
          <w:highlight w:val="none"/>
          <w14:textFill>
            <w14:solidFill>
              <w14:schemeClr w14:val="tx1"/>
            </w14:solidFill>
          </w14:textFill>
        </w:rPr>
        <w:t xml:space="preserve">大新镇建成区域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东至港城大道，南至</w:t>
      </w:r>
      <w:r>
        <w:rPr>
          <w:rFonts w:hint="eastAsia" w:ascii="宋体" w:hAnsi="宋体" w:cs="宋体"/>
          <w:color w:val="000000" w:themeColor="text1"/>
          <w:sz w:val="24"/>
          <w:highlight w:val="none"/>
          <w:lang w:eastAsia="zh-CN"/>
          <w14:textFill>
            <w14:solidFill>
              <w14:schemeClr w14:val="tx1"/>
            </w14:solidFill>
          </w14:textFill>
        </w:rPr>
        <w:t xml:space="preserve">兴联路</w:t>
      </w:r>
      <w:r>
        <w:rPr>
          <w:rFonts w:hint="eastAsia" w:ascii="宋体" w:hAnsi="宋体" w:cs="宋体"/>
          <w:color w:val="000000" w:themeColor="text1"/>
          <w:sz w:val="24"/>
          <w:highlight w:val="none"/>
          <w14:textFill>
            <w14:solidFill>
              <w14:schemeClr w14:val="tx1"/>
            </w14:solidFill>
          </w14:textFill>
        </w:rPr>
        <w:t xml:space="preserve">，西至朝东圩港，北至沿江公路</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。作业内容主要包括：镇区环卫道路绿化带一体化保洁、垃圾中转站整体运行维护、生活垃圾转运外运、开放式安置小区清扫、生活垃圾分类督导等。具体详见第四章项目需求。</w:t>
      </w:r>
      <w:r/>
    </w:p>
    <w:p>
      <w:pPr>
        <w:pStyle w:val="1040"/>
        <w:ind w:firstLine="500"/>
        <w:spacing w:line="360" w:lineRule="auto"/>
        <w:rPr>
          <w:rFonts w:hint="eastAsia" w:ascii="宋体" w:hAnsi="宋体" w:eastAsia="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合同履行期限：</w:t>
      </w:r>
      <w:r>
        <w:rPr>
          <w:rFonts w:hint="eastAsia" w:ascii="宋体" w:hAnsi="宋体" w:eastAsia="宋体"/>
          <w:color w:val="000000" w:themeColor="text1"/>
          <w:highlight w:val="none"/>
          <w14:textFill>
            <w14:solidFill>
              <w14:schemeClr w14:val="tx1"/>
            </w14:solidFill>
          </w14:textFill>
        </w:rPr>
        <w:t xml:space="preserve">两年（具体进场时间以采购人通知为准）。</w:t>
      </w:r>
      <w:r/>
    </w:p>
    <w:p>
      <w:pPr>
        <w:ind w:firstLine="480"/>
        <w:spacing w:line="360" w:lineRule="auto"/>
        <w:widowControl/>
        <w:rPr>
          <w:rFonts w:hint="eastAsia" w:ascii="宋体" w:hAnsi="宋体"/>
          <w:iCs/>
          <w:color w:val="000000" w:themeColor="text1"/>
          <w:sz w:val="24"/>
          <w:highlight w:val="none"/>
          <w14:textFill>
            <w14:solidFill>
              <w14:schemeClr w14:val="tx1"/>
            </w14:solidFill>
          </w14:textFill>
        </w:rPr>
      </w:pPr>
      <w:r>
        <w:rPr>
          <w:rFonts w:hint="eastAsia" w:ascii="宋体" w:hAnsi="宋体"/>
          <w:iCs/>
          <w:color w:val="000000" w:themeColor="text1"/>
          <w:sz w:val="24"/>
          <w:highlight w:val="none"/>
          <w14:textFill>
            <w14:solidFill>
              <w14:schemeClr w14:val="tx1"/>
            </w14:solidFill>
          </w14:textFill>
        </w:rPr>
        <w:t xml:space="preserve">联合体及转包、分包：本项目不接受联合体、不接受转包，本项目接受分包。</w:t>
      </w:r>
      <w:r/>
    </w:p>
    <w:p>
      <w:pPr>
        <w:ind w:firstLine="555"/>
        <w:spacing w:line="360" w:lineRule="auto"/>
        <w:widowControl/>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二、申请人的资格要求：</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w:t>
      </w:r>
      <w:bookmarkStart w:id="17" w:name="OLE_LINK2"/>
      <w:r>
        <w:rPr>
          <w:rFonts w:hint="eastAsia" w:ascii="宋体" w:hAnsi="宋体"/>
          <w:color w:val="000000" w:themeColor="text1"/>
          <w:sz w:val="24"/>
          <w:highlight w:val="none"/>
          <w14:textFill>
            <w14:solidFill>
              <w14:schemeClr w14:val="tx1"/>
            </w14:solidFill>
          </w14:textFill>
        </w:rPr>
        <w:t xml:space="preserve">满足《中华人民共和国政府采购法》第二十二条规定</w:t>
      </w:r>
      <w:bookmarkEnd w:id="17"/>
      <w:r>
        <w:rPr>
          <w:rFonts w:hint="eastAsia" w:ascii="宋体" w:hAnsi="宋体"/>
          <w:color w:val="000000" w:themeColor="text1"/>
          <w:sz w:val="24"/>
          <w:highlight w:val="none"/>
          <w14:textFill>
            <w14:solidFill>
              <w14:schemeClr w14:val="tx1"/>
            </w14:solidFill>
          </w14:textFill>
        </w:rPr>
        <w:t xml:space="preserve">：</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财务状况报告（成立不满一年不需提供）；</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依法缴纳税收和社会保障资金的相关材料（如依法享受缓缴、免缴税收、社会保障资金的，应提供相关证明材料）；</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具备履行合同所必需的设备和专业技术能力的书面声明；</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参加政府采购活动前</w:t>
      </w:r>
      <w:r>
        <w:rPr>
          <w:rFonts w:ascii="宋体" w:hAnsi="宋体"/>
          <w:color w:val="000000" w:themeColor="text1"/>
          <w:sz w:val="24"/>
          <w:highlight w:val="none"/>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年内在经营活动中没有重大违法记录的书面声明；</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授权委托书</w:t>
      </w:r>
      <w:r>
        <w:rPr>
          <w:rFonts w:hint="eastAsia" w:ascii="宋体" w:hAnsi="宋体" w:cs="宋体"/>
          <w:color w:val="000000" w:themeColor="text1"/>
          <w:sz w:val="24"/>
          <w:highlight w:val="none"/>
          <w14:textFill>
            <w14:solidFill>
              <w14:schemeClr w14:val="tx1"/>
            </w14:solidFill>
          </w14:textFill>
        </w:rPr>
        <w:t xml:space="preserve">（被授权人非法定代表人的，应提供授权委托书；被授权人是法定代表人的，应提供授权委托书或法定代表人身份证明书）</w:t>
      </w:r>
      <w:r>
        <w:rPr>
          <w:rFonts w:hint="eastAsia" w:ascii="宋体" w:hAnsi="宋体"/>
          <w:color w:val="000000" w:themeColor="text1"/>
          <w:sz w:val="24"/>
          <w:highlight w:val="none"/>
          <w14:textFill>
            <w14:solidFill>
              <w14:schemeClr w14:val="tx1"/>
            </w14:solidFill>
          </w14:textFill>
        </w:rPr>
        <w:t xml:space="preserve">；</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7.</w:t>
      </w:r>
      <w:r>
        <w:rPr>
          <w:rFonts w:hint="eastAsia" w:ascii="宋体" w:hAnsi="宋体"/>
          <w:color w:val="000000" w:themeColor="text1"/>
          <w:sz w:val="24"/>
          <w:highlight w:val="none"/>
          <w14:textFill>
            <w14:solidFill>
              <w14:schemeClr w14:val="tx1"/>
            </w14:solidFill>
          </w14:textFill>
        </w:rPr>
        <w:t xml:space="preserve">资格证明文件的书面承诺。</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（二）落实政府采购政策需满足的资格要求：</w:t>
      </w:r>
      <w:r/>
    </w:p>
    <w:p>
      <w:pPr>
        <w:ind w:firstLine="555"/>
        <w:spacing w:line="360" w:lineRule="auto"/>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本项目属于面向中小企业预留采购份额项目。</w:t>
      </w:r>
      <w:r>
        <w:rPr>
          <w:rFonts w:hint="eastAsia" w:ascii="宋体" w:hAnsi="宋体"/>
          <w:b w:val="0"/>
          <w:bCs w:val="0"/>
          <w:color w:val="000000" w:themeColor="text1"/>
          <w:sz w:val="24"/>
          <w:highlight w:val="none"/>
          <w14:textFill>
            <w14:solidFill>
              <w14:schemeClr w14:val="tx1"/>
            </w14:solidFill>
          </w14:textFill>
        </w:rPr>
        <w:t xml:space="preserve">对于预留份额，提供的服务由符合政策要求的中小企业承接。预留份额通过以下措施进行，投标人可选择以下其中任意一种方式参与：</w:t>
      </w:r>
      <w:r/>
    </w:p>
    <w:p>
      <w:pPr>
        <w:ind w:firstLine="555"/>
        <w:spacing w:line="360" w:lineRule="auto"/>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（1）投标人不属于中小企业的，必须将本项目合同分包给一家或者多家中小企业，中小企业承担的合同份额占合同金额的比例不低于40%（其中预留给小微企业的部分不低于</w:t>
      </w:r>
      <w:r>
        <w:rPr>
          <w:rFonts w:hint="eastAsia" w:ascii="宋体" w:hAnsi="宋体"/>
          <w:b w:val="0"/>
          <w:bCs w:val="0"/>
          <w:color w:val="000000" w:themeColor="text1"/>
          <w:sz w:val="24"/>
          <w:highlight w:val="none"/>
          <w:lang w:val="en-US" w:eastAsia="zh-CN"/>
          <w14:textFill>
            <w14:solidFill>
              <w14:schemeClr w14:val="tx1"/>
            </w14:solidFill>
          </w14:textFill>
        </w:rPr>
        <w:t xml:space="preserve">60</w:t>
      </w:r>
      <w:r>
        <w:rPr>
          <w:rFonts w:hint="eastAsia" w:ascii="宋体" w:hAnsi="宋体"/>
          <w:b w:val="0"/>
          <w:bCs w:val="0"/>
          <w:color w:val="000000" w:themeColor="text1"/>
          <w:sz w:val="24"/>
          <w:highlight w:val="none"/>
          <w14:textFill>
            <w14:solidFill>
              <w14:schemeClr w14:val="tx1"/>
            </w14:solidFill>
          </w14:textFill>
        </w:rPr>
        <w:t xml:space="preserve">%），接受分包合同的中小企业与分包企业之间不得存在直接控股、管理关系。</w:t>
      </w:r>
      <w:r/>
    </w:p>
    <w:p>
      <w:pPr>
        <w:ind w:firstLine="555"/>
        <w:spacing w:line="360" w:lineRule="auto"/>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（2）投标人属于中型企业的，必须将本项目合同分包给一家或者多家小微企业，小微企业承担的合同份额占合同金额的比例不低于</w:t>
      </w:r>
      <w:r>
        <w:rPr>
          <w:rFonts w:hint="eastAsia" w:ascii="宋体" w:hAnsi="宋体"/>
          <w:b w:val="0"/>
          <w:bCs w:val="0"/>
          <w:color w:val="000000" w:themeColor="text1"/>
          <w:sz w:val="24"/>
          <w:highlight w:val="none"/>
          <w:lang w:val="en-US" w:eastAsia="zh-CN"/>
          <w14:textFill>
            <w14:solidFill>
              <w14:schemeClr w14:val="tx1"/>
            </w14:solidFill>
          </w14:textFill>
        </w:rPr>
        <w:t xml:space="preserve">24</w:t>
      </w:r>
      <w:r>
        <w:rPr>
          <w:rFonts w:hint="eastAsia" w:ascii="宋体" w:hAnsi="宋体"/>
          <w:b w:val="0"/>
          <w:bCs w:val="0"/>
          <w:color w:val="000000" w:themeColor="text1"/>
          <w:sz w:val="24"/>
          <w:highlight w:val="none"/>
          <w14:textFill>
            <w14:solidFill>
              <w14:schemeClr w14:val="tx1"/>
            </w14:solidFill>
          </w14:textFill>
        </w:rPr>
        <w:t xml:space="preserve">%，接受分包合同的小微企业与分包企业之间不得存在直接控股、管理关系。</w:t>
      </w:r>
      <w:r/>
    </w:p>
    <w:p>
      <w:pPr>
        <w:ind w:firstLine="555"/>
        <w:spacing w:line="360" w:lineRule="auto"/>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（3）投标人属于小微型企业的，视同符合本条资格要求，则可以根据自身意愿决定是否分包给其他小微企业，分包比例不作要求。</w:t>
      </w:r>
      <w:r/>
    </w:p>
    <w:p>
      <w:pPr>
        <w:ind w:firstLine="555"/>
        <w:spacing w:line="360" w:lineRule="auto"/>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接受合同分包的中小企业不得在同一合同项下再单独参加投标或接受其他投标人的合同分包。</w:t>
      </w:r>
      <w:r/>
    </w:p>
    <w:p>
      <w:pPr>
        <w:ind w:firstLine="555"/>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小微企业不得将合同分包给大中型企业，中型企业不得将合同分包给大型企业。</w:t>
      </w:r>
      <w:r/>
    </w:p>
    <w:p>
      <w:pPr>
        <w:ind w:firstLine="555"/>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本项目</w:t>
      </w:r>
      <w:r>
        <w:rPr>
          <w:rFonts w:hint="eastAsia" w:ascii="宋体" w:hAnsi="宋体"/>
          <w:b/>
          <w:bCs/>
          <w:color w:val="000000" w:themeColor="text1"/>
          <w:sz w:val="24"/>
          <w:highlight w:val="none"/>
          <w:lang w:val="en-US" w:eastAsia="zh-CN"/>
          <w14:textFill>
            <w14:solidFill>
              <w14:schemeClr w14:val="tx1"/>
            </w14:solidFill>
          </w14:textFill>
        </w:rPr>
        <w:t xml:space="preserve">配置的</w:t>
      </w:r>
      <w:r>
        <w:rPr>
          <w:rFonts w:hint="eastAsia" w:ascii="宋体" w:hAnsi="宋体"/>
          <w:b/>
          <w:bCs/>
          <w:color w:val="000000" w:themeColor="text1"/>
          <w:sz w:val="24"/>
          <w:highlight w:val="none"/>
          <w14:textFill>
            <w14:solidFill>
              <w14:schemeClr w14:val="tx1"/>
            </w14:solidFill>
          </w14:textFill>
        </w:rPr>
        <w:t xml:space="preserve">项目经理、</w:t>
      </w:r>
      <w:r>
        <w:rPr>
          <w:rFonts w:hint="eastAsia" w:ascii="宋体" w:hAnsi="宋体"/>
          <w:b/>
          <w:bCs/>
          <w:color w:val="000000" w:themeColor="text1"/>
          <w:sz w:val="24"/>
          <w:highlight w:val="none"/>
          <w:lang w:eastAsia="zh-CN"/>
          <w14:textFill>
            <w14:solidFill>
              <w14:schemeClr w14:val="tx1"/>
            </w14:solidFill>
          </w14:textFill>
        </w:rPr>
        <w:t xml:space="preserve">内勤、</w:t>
      </w:r>
      <w:r>
        <w:rPr>
          <w:rFonts w:hint="eastAsia" w:ascii="宋体" w:hAnsi="宋体"/>
          <w:b/>
          <w:bCs/>
          <w:color w:val="000000" w:themeColor="text1"/>
          <w:sz w:val="24"/>
          <w:highlight w:val="none"/>
          <w:lang w:val="en-US" w:eastAsia="zh-CN"/>
          <w14:textFill>
            <w14:solidFill>
              <w14:schemeClr w14:val="tx1"/>
            </w14:solidFill>
          </w14:textFill>
        </w:rPr>
        <w:t xml:space="preserve">车队长、</w:t>
      </w:r>
      <w:r>
        <w:rPr>
          <w:rFonts w:hint="eastAsia" w:ascii="宋体" w:hAnsi="宋体"/>
          <w:b/>
          <w:bCs/>
          <w:color w:val="000000" w:themeColor="text1"/>
          <w:sz w:val="24"/>
          <w:highlight w:val="none"/>
          <w:lang w:eastAsia="zh-CN"/>
          <w14:textFill>
            <w14:solidFill>
              <w14:schemeClr w14:val="tx1"/>
            </w14:solidFill>
          </w14:textFill>
        </w:rPr>
        <w:t xml:space="preserve">中转站管理员</w:t>
      </w:r>
      <w:r>
        <w:rPr>
          <w:rFonts w:hint="eastAsia" w:ascii="宋体" w:hAnsi="宋体"/>
          <w:b/>
          <w:bCs/>
          <w:color w:val="000000" w:themeColor="text1"/>
          <w:sz w:val="24"/>
          <w:highlight w:val="none"/>
          <w14:textFill>
            <w14:solidFill>
              <w14:schemeClr w14:val="tx1"/>
            </w14:solidFill>
          </w14:textFill>
        </w:rPr>
        <w:t xml:space="preserve">不允许做分包</w:t>
      </w:r>
      <w:r>
        <w:rPr>
          <w:rFonts w:hint="eastAsia" w:ascii="宋体" w:hAnsi="宋体"/>
          <w:b/>
          <w:bCs/>
          <w:color w:val="000000" w:themeColor="text1"/>
          <w:sz w:val="24"/>
          <w:highlight w:val="none"/>
          <w:lang w:eastAsia="zh-CN"/>
          <w14:textFill>
            <w14:solidFill>
              <w14:schemeClr w14:val="tx1"/>
            </w14:solidFill>
          </w14:textFill>
        </w:rPr>
        <w:t xml:space="preserve">，应由中标</w:t>
      </w:r>
      <w:r>
        <w:rPr>
          <w:rFonts w:hint="eastAsia" w:ascii="宋体" w:hAnsi="宋体"/>
          <w:b/>
          <w:bCs/>
          <w:color w:val="000000" w:themeColor="text1"/>
          <w:sz w:val="24"/>
          <w:highlight w:val="none"/>
          <w:lang w:val="en-US" w:eastAsia="zh-CN"/>
          <w14:textFill>
            <w14:solidFill>
              <w14:schemeClr w14:val="tx1"/>
            </w14:solidFill>
          </w14:textFill>
        </w:rPr>
        <w:t xml:space="preserve">人</w:t>
      </w:r>
      <w:r>
        <w:rPr>
          <w:rFonts w:hint="eastAsia" w:ascii="宋体" w:hAnsi="宋体"/>
          <w:b/>
          <w:bCs/>
          <w:color w:val="000000" w:themeColor="text1"/>
          <w:sz w:val="24"/>
          <w:highlight w:val="none"/>
          <w:lang w:eastAsia="zh-CN"/>
          <w14:textFill>
            <w14:solidFill>
              <w14:schemeClr w14:val="tx1"/>
            </w14:solidFill>
          </w14:textFill>
        </w:rPr>
        <w:t xml:space="preserve">按照要求配置</w:t>
      </w:r>
      <w:r>
        <w:rPr>
          <w:rFonts w:hint="eastAsia" w:ascii="宋体" w:hAnsi="宋体"/>
          <w:b/>
          <w:bCs/>
          <w:color w:val="000000" w:themeColor="text1"/>
          <w:sz w:val="24"/>
          <w:highlight w:val="none"/>
          <w14:textFill>
            <w14:solidFill>
              <w14:schemeClr w14:val="tx1"/>
            </w14:solidFill>
          </w14:textFill>
        </w:rPr>
        <w:t xml:space="preserve">。</w:t>
      </w:r>
      <w:r/>
    </w:p>
    <w:p>
      <w:pPr>
        <w:ind w:firstLine="480"/>
        <w:spacing w:line="360" w:lineRule="auto"/>
        <w:widowControl/>
        <w:rPr>
          <w:rFonts w:hint="eastAsia" w:ascii="宋体" w:hAnsi="宋体"/>
          <w:b w:val="0"/>
          <w:bCs w:val="0"/>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注：1.根据《关于促进残疾人就业政府采购政策的通知》（财库〔2017〕141号）的通知规定，在政府采购活动中，残疾人福利性单位视同小型、微型企业。</w:t>
      </w:r>
      <w:r/>
    </w:p>
    <w:p>
      <w:pPr>
        <w:ind w:firstLine="555"/>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val="0"/>
          <w:bCs w:val="0"/>
          <w:color w:val="000000" w:themeColor="text1"/>
          <w:sz w:val="24"/>
          <w:highlight w:val="none"/>
          <w14:textFill>
            <w14:solidFill>
              <w14:schemeClr w14:val="tx1"/>
            </w14:solidFill>
          </w14:textFill>
        </w:rPr>
        <w:t xml:space="preserve">2.根据《关于政府采购支持监狱企业发展有关问题的通知》（财库〔2014〕68号）的通知规定，在政府采购活动中，监狱企业视同小型、微型企业。</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（三）本项目的特定资格要求：</w:t>
      </w:r>
      <w:bookmarkStart w:id="18" w:name="EB2e222552591745cd9af6e9d18c1a40c7"/>
      <w:r/>
      <w:bookmarkEnd w:id="18"/>
      <w:r>
        <w:rPr>
          <w:rFonts w:hint="eastAsia" w:ascii="宋体" w:hAnsi="宋体"/>
          <w:color w:val="000000" w:themeColor="text1"/>
          <w:sz w:val="24"/>
          <w:highlight w:val="none"/>
          <w14:textFill>
            <w14:solidFill>
              <w14:schemeClr w14:val="tx1"/>
            </w14:solidFill>
          </w14:textFill>
        </w:rPr>
        <w:t xml:space="preserve">无</w:t>
      </w:r>
      <w:r/>
    </w:p>
    <w:p>
      <w:pPr>
        <w:ind w:firstLine="555"/>
        <w:spacing w:line="360" w:lineRule="auto"/>
        <w:widowControl/>
        <w:rPr>
          <w:rFonts w:hint="eastAsia" w:ascii="宋体" w:hAnsi="宋体"/>
          <w:b/>
          <w:bCs/>
          <w:color w:val="000000" w:themeColor="text1"/>
          <w:sz w:val="24"/>
          <w:highlight w:val="none"/>
          <w14:textFill>
            <w14:solidFill>
              <w14:schemeClr w14:val="tx1"/>
            </w14:solidFill>
          </w14:textFill>
        </w:rPr>
      </w:pPr>
      <w:r/>
      <w:bookmarkStart w:id="19" w:name="EB9e721723677040b59d517adeba775e14"/>
      <w:r/>
      <w:bookmarkEnd w:id="19"/>
      <w:r>
        <w:rPr>
          <w:rFonts w:hint="eastAsia" w:ascii="宋体" w:hAnsi="宋体"/>
          <w:b/>
          <w:bCs/>
          <w:color w:val="000000" w:themeColor="text1"/>
          <w:sz w:val="24"/>
          <w:highlight w:val="none"/>
          <w14:textFill>
            <w14:solidFill>
              <w14:schemeClr w14:val="tx1"/>
            </w14:solidFill>
          </w14:textFill>
        </w:rPr>
        <w:t xml:space="preserve">三、获取招标文件</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1.时间：公告发布之日起5个工作日</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2.地点：苏采云政府采购一体化平台（网址http://jszfcg.jsczt.cn/）</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3.方式：苏采云政府采购一体化平台（网址http://jszfcg.jsczt.cn/）</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4.售价：无</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四、提交投标文件截止时间、开标时间和地点</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w:t>
      </w:r>
      <w:bookmarkStart w:id="20" w:name="EB47b1af47eddb4c2d87568ed0f320c968"/>
      <w:r>
        <w:rPr>
          <w:rFonts w:hint="eastAsia" w:ascii="宋体" w:hAnsi="宋体"/>
          <w:color w:val="000000" w:themeColor="text1"/>
          <w:sz w:val="24"/>
          <w:highlight w:val="none"/>
          <w14:textFill>
            <w14:solidFill>
              <w14:schemeClr w14:val="tx1"/>
            </w14:solidFill>
          </w14:textFill>
        </w:rPr>
        <w:t xml:space="preserve">2026年</w:t>
      </w:r>
      <w:r>
        <w:rPr>
          <w:rFonts w:hint="eastAsia" w:ascii="宋体" w:hAnsi="宋体"/>
          <w:color w:val="000000" w:themeColor="text1"/>
          <w:sz w:val="24"/>
          <w:highlight w:val="none"/>
          <w:lang w:val="en-US" w:eastAsia="zh-CN"/>
          <w14:textFill>
            <w14:solidFill>
              <w14:schemeClr w14:val="tx1"/>
            </w14:solidFill>
          </w14:textFill>
        </w:rPr>
        <w:t xml:space="preserve">07</w:t>
      </w:r>
      <w:r>
        <w:rPr>
          <w:rFonts w:hint="eastAsia" w:ascii="宋体" w:hAnsi="宋体"/>
          <w:color w:val="000000" w:themeColor="text1"/>
          <w:sz w:val="24"/>
          <w:highlight w:val="none"/>
          <w14:textFill>
            <w14:solidFill>
              <w14:schemeClr w14:val="tx1"/>
            </w14:solidFill>
          </w14:textFill>
        </w:rPr>
        <w:t xml:space="preserve">月</w:t>
      </w:r>
      <w:r>
        <w:rPr>
          <w:rFonts w:hint="eastAsia" w:ascii="宋体" w:hAnsi="宋体"/>
          <w:color w:val="000000" w:themeColor="text1"/>
          <w:sz w:val="24"/>
          <w:highlight w:val="none"/>
          <w:lang w:val="en-US" w:eastAsia="zh-CN"/>
          <w14:textFill>
            <w14:solidFill>
              <w14:schemeClr w14:val="tx1"/>
            </w14:solidFill>
          </w14:textFill>
        </w:rPr>
        <w:t xml:space="preserve">16</w:t>
      </w:r>
      <w:r>
        <w:rPr>
          <w:rFonts w:hint="eastAsia" w:ascii="宋体" w:hAnsi="宋体"/>
          <w:color w:val="000000" w:themeColor="text1"/>
          <w:sz w:val="24"/>
          <w:highlight w:val="none"/>
          <w14:textFill>
            <w14:solidFill>
              <w14:schemeClr w14:val="tx1"/>
            </w14:solidFill>
          </w14:textFill>
        </w:rPr>
        <w:t xml:space="preserve">日13:</w:t>
      </w:r>
      <w:bookmarkEnd w:id="20"/>
      <w:r>
        <w:rPr>
          <w:rFonts w:hint="eastAsia" w:ascii="宋体" w:hAnsi="宋体"/>
          <w:color w:val="000000" w:themeColor="text1"/>
          <w:sz w:val="24"/>
          <w:highlight w:val="none"/>
          <w14:textFill>
            <w14:solidFill>
              <w14:schemeClr w14:val="tx1"/>
            </w14:solidFill>
          </w14:textFill>
        </w:rPr>
        <w:t xml:space="preserve">30（北京时间）</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2.地点：苏采云系统</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3.现场地址：张家港市杨舍镇滨河路1号（国泰金融广场C座8楼、9楼开标室）</w:t>
      </w:r>
      <w:r/>
    </w:p>
    <w:p>
      <w:pPr>
        <w:ind w:firstLine="555"/>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五、公告期限</w:t>
      </w:r>
      <w:r/>
    </w:p>
    <w:p>
      <w:pPr>
        <w:ind w:firstLine="555"/>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自本公告发布之日起5个工作日。</w:t>
      </w:r>
      <w:r/>
    </w:p>
    <w:p>
      <w:pPr>
        <w:ind w:firstLine="555"/>
        <w:spacing w:line="360" w:lineRule="auto"/>
        <w:widowControl/>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六、其他补充事宜</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1.本次采购的有关信息在以下网站上发布：中国政府采购网、江苏政府采购网、苏州市政府采购网。</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2.有关该采购项目的澄清、修正及中标等信息亦在以上网站发布，请随时关注。</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3.本项目获取招标文件截止日期之后仍可以下载招标文件，但截止日期之后下载的招标文件，视为非有效方式且不作为供应商权益受到损害的证明材料和依据。</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4.CA证书办理</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5.参与采购活动</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6.电子投标准备</w:t>
      </w:r>
      <w:r/>
    </w:p>
    <w:p>
      <w:pPr>
        <w:ind w:firstLine="556"/>
        <w:spacing w:line="360" w:lineRule="auto"/>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56"/>
        <w:spacing w:line="360" w:lineRule="auto"/>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在系统操作过程中如有疑问，请按以下方式联系：</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注册咨询：18261002950；</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CA技术咨询电话：400-608-6099；</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签章使用问题：025-83633811、025-83633812、15380932027、15371015030；</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系统使用指导与咨询：18261002950、13914088964；QQ：3048755361、1315179389、895706745。</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7.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8.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p>
    <w:p>
      <w:pPr>
        <w:ind w:firstLine="555"/>
        <w:spacing w:line="360" w:lineRule="auto"/>
        <w:widowControl/>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请供应商确保电脑、系统及其他设备（视频输入输出设备等）无误，且开标直至项目结束始终保持系统在线状态。</w:t>
      </w:r>
      <w:r/>
    </w:p>
    <w:p>
      <w:pPr>
        <w:ind w:firstLine="556"/>
        <w:spacing w:line="360" w:lineRule="auto"/>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9.拒绝下述供应商参加本次采购活动：</w:t>
      </w:r>
      <w:r/>
    </w:p>
    <w:p>
      <w:pPr>
        <w:ind w:firstLine="556"/>
        <w:spacing w:line="360" w:lineRule="auto"/>
        <w:rPr>
          <w:rFonts w:hint="eastAsia" w:ascii="宋体" w:hAnsi="宋体" w:eastAsia="宋体"/>
          <w:i/>
          <w:iCs/>
          <w:color w:val="000000" w:themeColor="text1"/>
          <w:spacing w:val="0"/>
          <w:sz w:val="24"/>
          <w:highlight w:val="none"/>
          <w:u w:val="single"/>
          <w14:textFill>
            <w14:solidFill>
              <w14:schemeClr w14:val="tx1"/>
            </w14:solidFill>
          </w14:textFill>
        </w:rPr>
      </w:pPr>
      <w:r>
        <w:rPr>
          <w:rFonts w:hint="eastAsia" w:ascii="宋体" w:hAnsi="宋体" w:eastAsia="宋体"/>
          <w:i/>
          <w:iCs/>
          <w:color w:val="000000" w:themeColor="text1"/>
          <w:spacing w:val="0"/>
          <w:sz w:val="24"/>
          <w:highlight w:val="none"/>
          <w:u w:val="single"/>
          <w14:textFill>
            <w14:solidFill>
              <w14:schemeClr w14:val="tx1"/>
            </w14:solidFill>
          </w14:textFill>
        </w:rPr>
        <w:t xml:space="preserve">9.1单位负责人为同一人或者存在直接控股、管理关系的不同供应商，不得参加同一合同下的政府采购活动；</w:t>
      </w:r>
      <w:r/>
    </w:p>
    <w:p>
      <w:pPr>
        <w:ind w:firstLine="556"/>
        <w:spacing w:line="360" w:lineRule="auto"/>
        <w:rPr>
          <w:rFonts w:hint="eastAsia" w:ascii="宋体" w:hAnsi="宋体" w:eastAsia="宋体"/>
          <w:color w:val="000000" w:themeColor="text1"/>
          <w:spacing w:val="0"/>
          <w:sz w:val="24"/>
          <w:highlight w:val="none"/>
          <w14:textFill>
            <w14:solidFill>
              <w14:schemeClr w14:val="tx1"/>
            </w14:solidFill>
          </w14:textFill>
        </w:rPr>
      </w:pPr>
      <w:r>
        <w:rPr>
          <w:rFonts w:hint="eastAsia" w:ascii="宋体" w:hAnsi="宋体" w:eastAsia="宋体"/>
          <w:i/>
          <w:iCs/>
          <w:color w:val="000000" w:themeColor="text1"/>
          <w:spacing w:val="0"/>
          <w:sz w:val="24"/>
          <w:highlight w:val="none"/>
          <w:u w:val="single"/>
          <w14:textFill>
            <w14:solidFill>
              <w14:schemeClr w14:val="tx1"/>
            </w14:solidFill>
          </w14:textFill>
        </w:rPr>
        <w:t xml:space="preserve">9.2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失信主体名单、政府采购严重违法失信行为记录名单的供应商，拒绝其参与政府采购活动。</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eastAsia="宋体"/>
          <w:color w:val="000000" w:themeColor="text1"/>
          <w:spacing w:val="0"/>
          <w:sz w:val="24"/>
          <w:highlight w:val="none"/>
          <w14:textFill>
            <w14:solidFill>
              <w14:schemeClr w14:val="tx1"/>
            </w14:solidFill>
          </w14:textFill>
        </w:rPr>
        <w:t xml:space="preserve">10.本次招标不收取投标保证金。</w:t>
      </w:r>
      <w:r/>
    </w:p>
    <w:p>
      <w:pPr>
        <w:ind w:firstLine="480"/>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11.本项目不允许进口产品投标。</w:t>
      </w:r>
      <w:r/>
    </w:p>
    <w:p>
      <w:pPr>
        <w:jc w:val="left"/>
        <w:spacing w:line="360" w:lineRule="auto"/>
        <w:widowControl/>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七、对本次招标提出询问，请按以下方式联系。</w:t>
      </w:r>
      <w:r/>
    </w:p>
    <w:p>
      <w:pPr>
        <w:ind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人信息</w:t>
      </w:r>
      <w:r/>
    </w:p>
    <w:p>
      <w:pPr>
        <w:ind w:left="420"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w:t>
      </w:r>
      <w:r>
        <w:rPr>
          <w:rFonts w:hint="eastAsia" w:ascii="宋体" w:hAnsi="宋体" w:cs="宋体"/>
          <w:color w:val="000000" w:themeColor="text1"/>
          <w:sz w:val="24"/>
          <w:highlight w:val="none"/>
          <w14:textFill>
            <w14:solidFill>
              <w14:schemeClr w14:val="tx1"/>
            </w14:solidFill>
          </w14:textFill>
        </w:rPr>
        <w:t xml:space="preserve">张家港市大新镇人民政府</w:t>
      </w:r>
      <w:r/>
    </w:p>
    <w:p>
      <w:pPr>
        <w:ind w:left="420" w:firstLine="420"/>
        <w:jc w:val="left"/>
        <w:spacing w:line="360" w:lineRule="auto"/>
        <w:widowControl/>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址：</w:t>
      </w:r>
      <w:r>
        <w:rPr>
          <w:rFonts w:hint="eastAsia" w:ascii="宋体" w:hAnsi="宋体" w:cs="宋体"/>
          <w:color w:val="000000" w:themeColor="text1"/>
          <w:sz w:val="24"/>
          <w:highlight w:val="none"/>
          <w14:textFill>
            <w14:solidFill>
              <w14:schemeClr w14:val="tx1"/>
            </w14:solidFill>
          </w14:textFill>
        </w:rPr>
        <w:t xml:space="preserve">张家港市大新镇府前路190号</w:t>
      </w:r>
      <w:r/>
    </w:p>
    <w:p>
      <w:pPr>
        <w:ind w:left="420" w:firstLine="420"/>
        <w:jc w:val="left"/>
        <w:spacing w:line="360" w:lineRule="auto"/>
        <w:widowControl/>
        <w:rPr>
          <w:rFonts w:hint="default" w:ascii="宋体" w:hAnsi="宋体" w:eastAsia="宋体"/>
          <w:color w:val="000000" w:themeColor="text1"/>
          <w:sz w:val="24"/>
          <w:highlight w:val="none"/>
          <w:lang w:val="en-US"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联系人：</w:t>
      </w:r>
      <w:r>
        <w:rPr>
          <w:rFonts w:hint="eastAsia" w:ascii="宋体" w:hAnsi="宋体"/>
          <w:color w:val="000000" w:themeColor="text1"/>
          <w:sz w:val="24"/>
          <w:highlight w:val="none"/>
          <w:lang w:val="en-US" w:eastAsia="zh-CN"/>
          <w14:textFill>
            <w14:solidFill>
              <w14:schemeClr w14:val="tx1"/>
            </w14:solidFill>
          </w14:textFill>
        </w:rPr>
        <w:t xml:space="preserve">曹曦</w:t>
      </w:r>
      <w:r/>
    </w:p>
    <w:p>
      <w:pPr>
        <w:ind w:left="420" w:firstLine="420"/>
        <w:jc w:val="left"/>
        <w:spacing w:line="360" w:lineRule="auto"/>
        <w:widowControl/>
        <w:rPr>
          <w:rFonts w:hint="default" w:ascii="宋体" w:hAnsi="宋体" w:eastAsia="宋体"/>
          <w:color w:val="000000" w:themeColor="text1"/>
          <w:sz w:val="24"/>
          <w:highlight w:val="none"/>
          <w:lang w:val="en-US" w:eastAsia="zh-CN"/>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lang w:val="en-US" w:eastAsia="zh-CN"/>
          <w14:textFill>
            <w14:solidFill>
              <w14:schemeClr w14:val="tx1"/>
            </w14:solidFill>
          </w14:textFill>
        </w:rPr>
        <w:t xml:space="preserve">0512-58768830</w:t>
      </w:r>
      <w:r/>
    </w:p>
    <w:p>
      <w:pPr>
        <w:ind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2.采购代理机构信息</w:t>
      </w:r>
      <w:r/>
    </w:p>
    <w:p>
      <w:pPr>
        <w:ind w:firstLine="840"/>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名 称：诺德招投标咨询服务（苏州）有限公司</w:t>
      </w:r>
      <w:r/>
    </w:p>
    <w:p>
      <w:pPr>
        <w:ind w:firstLine="840"/>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址：</w:t>
      </w:r>
      <w:r>
        <w:rPr>
          <w:rFonts w:hint="eastAsia" w:ascii="宋体" w:hAnsi="宋体"/>
          <w:color w:val="000000" w:themeColor="text1"/>
          <w:sz w:val="24"/>
          <w:highlight w:val="none"/>
          <w14:textFill>
            <w14:solidFill>
              <w14:schemeClr w14:val="tx1"/>
            </w14:solidFill>
          </w14:textFill>
        </w:rPr>
        <w:t xml:space="preserve">张家港市杨舍镇恒河路20号培训楼三楼</w:t>
      </w:r>
      <w:r/>
    </w:p>
    <w:p>
      <w:pPr>
        <w:ind w:firstLine="840"/>
        <w:spacing w:line="360" w:lineRule="auto"/>
        <w:widowControl/>
        <w:rPr>
          <w:rFonts w:hint="eastAsia" w:ascii="宋体" w:hAnsi="宋体" w:cs="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联系方式：</w:t>
      </w:r>
      <w:r>
        <w:rPr>
          <w:rFonts w:hint="eastAsia" w:ascii="宋体" w:hAnsi="宋体"/>
          <w:color w:val="000000" w:themeColor="text1"/>
          <w:sz w:val="24"/>
          <w:highlight w:val="none"/>
          <w14:textFill>
            <w14:solidFill>
              <w14:schemeClr w14:val="tx1"/>
            </w14:solidFill>
          </w14:textFill>
        </w:rPr>
        <w:t xml:space="preserve">0512-82666658</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15722690882</w:t>
      </w:r>
      <w:r/>
    </w:p>
    <w:p>
      <w:pPr>
        <w:ind w:firstLine="360"/>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3.项目联系方式</w:t>
      </w:r>
      <w:r/>
    </w:p>
    <w:p>
      <w:pPr>
        <w:ind w:left="420"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项目联系人：</w:t>
      </w:r>
      <w:r>
        <w:rPr>
          <w:rFonts w:hint="eastAsia" w:ascii="宋体" w:hAnsi="宋体"/>
          <w:color w:val="000000" w:themeColor="text1"/>
          <w:sz w:val="24"/>
          <w:highlight w:val="none"/>
          <w14:textFill>
            <w14:solidFill>
              <w14:schemeClr w14:val="tx1"/>
            </w14:solidFill>
          </w14:textFill>
        </w:rPr>
        <w:t xml:space="preserve">吴张轶、左潇潇</w:t>
      </w:r>
      <w:r/>
    </w:p>
    <w:p>
      <w:pPr>
        <w:ind w:left="420" w:firstLine="42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电</w:t>
      </w:r>
      <w:r>
        <w:rPr>
          <w:rFonts w:hint="eastAsia" w:ascii="宋体" w:hAnsi="宋体"/>
          <w:color w:val="000000" w:themeColor="text1"/>
          <w:sz w:val="24"/>
          <w:highlight w:val="none"/>
          <w14:textFill>
            <w14:solidFill>
              <w14:schemeClr w14:val="tx1"/>
            </w14:solidFill>
          </w14:textFill>
        </w:rPr>
        <w:t xml:space="preserve"> </w:t>
      </w:r>
      <w:r>
        <w:rPr>
          <w:rFonts w:ascii="宋体" w:hAnsi="宋体"/>
          <w:color w:val="000000" w:themeColor="text1"/>
          <w:sz w:val="24"/>
          <w:highlight w:val="none"/>
          <w14:textFill>
            <w14:solidFill>
              <w14:schemeClr w14:val="tx1"/>
            </w14:solidFill>
          </w14:textFill>
        </w:rPr>
        <w:t xml:space="preserve">话：</w:t>
      </w:r>
      <w:r>
        <w:rPr>
          <w:rFonts w:hint="eastAsia" w:ascii="宋体" w:hAnsi="宋体"/>
          <w:color w:val="000000" w:themeColor="text1"/>
          <w:sz w:val="24"/>
          <w:highlight w:val="none"/>
          <w14:textFill>
            <w14:solidFill>
              <w14:schemeClr w14:val="tx1"/>
            </w14:solidFill>
          </w14:textFill>
        </w:rPr>
        <w:t xml:space="preserve">0512-82666658</w:t>
      </w:r>
      <w:r>
        <w:rPr>
          <w:rFonts w:hint="eastAsia" w:ascii="宋体" w:hAnsi="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15722690882</w:t>
      </w:r>
      <w:bookmarkEnd w:id="1"/>
      <w:r/>
      <w:bookmarkEnd w:id="2"/>
      <w:r/>
      <w:bookmarkEnd w:id="3"/>
      <w:r/>
      <w:bookmarkEnd w:id="4"/>
      <w:r/>
      <w:bookmarkEnd w:id="5"/>
      <w:r/>
      <w:bookmarkEnd w:id="13"/>
      <w:r/>
      <w:r/>
    </w:p>
    <w:p>
      <w:pPr>
        <w:spacing w:line="360" w:lineRule="auto"/>
        <w:rPr>
          <w:rFonts w:ascii="Times New Roman" w:hAnsi="Times New Roman"/>
          <w:color w:val="000000" w:themeColor="text1"/>
          <w:highlight w:val="none"/>
          <w14:textFill>
            <w14:solidFill>
              <w14:schemeClr w14:val="tx1"/>
            </w14:solidFill>
          </w14:textFill>
        </w:rPr>
      </w:pPr>
      <w:r/>
      <w:bookmarkStart w:id="21" w:name="_Toc479757207"/>
      <w:r/>
      <w:bookmarkStart w:id="22" w:name="_Toc513029242"/>
      <w:r/>
      <w:bookmarkStart w:id="23" w:name="_Toc16938558"/>
      <w:r/>
      <w:bookmarkStart w:id="24" w:name="_Toc20823314"/>
      <w:r/>
      <w:bookmarkStart w:id="25" w:name="_Toc120614221"/>
      <w:r/>
      <w:bookmarkStart w:id="26" w:name="_Toc54615245"/>
      <w:r/>
      <w:bookmarkStart w:id="27" w:name="_Toc35266027"/>
      <w:r/>
      <w:bookmarkStart w:id="28" w:name="_Toc38368127"/>
      <w:r/>
      <w:r/>
    </w:p>
    <w:p>
      <w:pPr>
        <w:pStyle w:val="1028"/>
        <w:rPr>
          <w:color w:val="000000" w:themeColor="text1"/>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sectPr>
      </w:pPr>
      <w:r>
        <w:rPr>
          <w:color w:val="000000" w:themeColor="text1"/>
          <w:highlight w:val="none"/>
          <w14:textFill>
            <w14:solidFill>
              <w14:schemeClr w14:val="tx1"/>
            </w14:solidFill>
          </w14:textFill>
        </w:rPr>
      </w:r>
      <w:r/>
    </w:p>
    <w:p>
      <w:pPr>
        <w:pStyle w:val="980"/>
        <w:rPr>
          <w:rFonts w:hint="eastAsia"/>
          <w:color w:val="000000" w:themeColor="text1"/>
          <w:highlight w:val="none"/>
          <w14:textFill>
            <w14:solidFill>
              <w14:schemeClr w14:val="tx1"/>
            </w14:solidFill>
          </w14:textFill>
        </w:rPr>
      </w:pPr>
      <w:r/>
      <w:bookmarkStart w:id="29" w:name="_Toc30328"/>
      <w:r/>
      <w:bookmarkStart w:id="30" w:name="_Toc160715764"/>
      <w:r/>
      <w:bookmarkStart w:id="31" w:name="_Toc29567"/>
      <w:r/>
      <w:bookmarkStart w:id="32" w:name="_Toc18031"/>
      <w:r>
        <w:rPr>
          <w:rFonts w:hint="eastAsia"/>
          <w:color w:val="000000" w:themeColor="text1"/>
          <w:highlight w:val="none"/>
          <w14:textFill>
            <w14:solidFill>
              <w14:schemeClr w14:val="tx1"/>
            </w14:solidFill>
          </w14:textFill>
        </w:rPr>
        <w:t xml:space="preserve">第二章  </w:t>
      </w:r>
      <w:bookmarkStart w:id="33" w:name="_Toc120614213"/>
      <w:r/>
      <w:bookmarkStart w:id="34" w:name="_Toc20823274"/>
      <w:r/>
      <w:bookmarkStart w:id="35" w:name="_Toc16938518"/>
      <w:r/>
      <w:bookmarkStart w:id="36" w:name="_Toc513029202"/>
      <w:r>
        <w:rPr>
          <w:rFonts w:hint="eastAsia"/>
          <w:color w:val="000000" w:themeColor="text1"/>
          <w:highlight w:val="none"/>
          <w14:textFill>
            <w14:solidFill>
              <w14:schemeClr w14:val="tx1"/>
            </w14:solidFill>
          </w14:textFill>
        </w:rPr>
        <w:t xml:space="preserve">投标人须知</w:t>
      </w:r>
      <w:bookmarkEnd w:id="29"/>
      <w:r/>
      <w:bookmarkEnd w:id="30"/>
      <w:r/>
      <w:bookmarkEnd w:id="31"/>
      <w:r/>
      <w:bookmarkEnd w:id="32"/>
      <w:r/>
      <w:bookmarkEnd w:id="33"/>
      <w:r/>
      <w:bookmarkEnd w:id="34"/>
      <w:r/>
      <w:bookmarkEnd w:id="35"/>
      <w:r/>
      <w:bookmarkEnd w:id="36"/>
      <w:r/>
      <w:r/>
    </w:p>
    <w:p>
      <w:pPr>
        <w:jc w:val="left"/>
        <w:keepLines/>
        <w:keepNext/>
        <w:spacing w:before="120" w:after="120" w:line="440" w:lineRule="exact"/>
        <w:rPr>
          <w:rFonts w:hint="eastAsia" w:ascii="宋体" w:hAnsi="宋体" w:cs="宋体"/>
          <w:b/>
          <w:bCs/>
          <w:color w:val="000000" w:themeColor="text1"/>
          <w:sz w:val="28"/>
          <w:szCs w:val="44"/>
          <w:highlight w:val="none"/>
          <w14:textFill>
            <w14:solidFill>
              <w14:schemeClr w14:val="tx1"/>
            </w14:solidFill>
          </w14:textFill>
        </w:rPr>
        <w:outlineLvl w:val="1"/>
      </w:pPr>
      <w:r/>
      <w:bookmarkStart w:id="37" w:name="_Toc29461"/>
      <w:r/>
      <w:bookmarkStart w:id="38" w:name="_Toc19336"/>
      <w:r/>
      <w:bookmarkStart w:id="39" w:name="_Toc11672"/>
      <w:r/>
      <w:bookmarkStart w:id="40" w:name="_Toc9592"/>
      <w:r/>
      <w:bookmarkStart w:id="41" w:name="_Toc513029203"/>
      <w:r/>
      <w:bookmarkStart w:id="42" w:name="_Toc16938519"/>
      <w:r/>
      <w:bookmarkStart w:id="43" w:name="_Toc54119646"/>
      <w:r/>
      <w:bookmarkStart w:id="44" w:name="_Toc35244868"/>
      <w:r/>
      <w:bookmarkStart w:id="45" w:name="_Toc160715765"/>
      <w:r/>
      <w:bookmarkStart w:id="46" w:name="_Toc256000002"/>
      <w:r/>
      <w:bookmarkStart w:id="47" w:name="_Toc120614214"/>
      <w:r/>
      <w:bookmarkStart w:id="48" w:name="_Toc7704"/>
      <w:r/>
      <w:bookmarkStart w:id="49" w:name="_Toc20823275"/>
      <w:r>
        <w:rPr>
          <w:rFonts w:hint="eastAsia" w:ascii="宋体" w:hAnsi="宋体" w:cs="宋体"/>
          <w:b/>
          <w:bCs/>
          <w:color w:val="000000" w:themeColor="text1"/>
          <w:sz w:val="28"/>
          <w:szCs w:val="44"/>
          <w:highlight w:val="none"/>
          <w14:textFill>
            <w14:solidFill>
              <w14:schemeClr w14:val="tx1"/>
            </w14:solidFill>
          </w14:textFill>
        </w:rPr>
        <w:t xml:space="preserve">一、总则</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50" w:name="_Hlt16619475"/>
      <w:r/>
      <w:bookmarkEnd w:id="50"/>
      <w:r>
        <w:rPr>
          <w:rFonts w:hint="eastAsia" w:ascii="宋体" w:hAnsi="宋体" w:cs="宋体"/>
          <w:b/>
          <w:bCs/>
          <w:color w:val="000000" w:themeColor="text1"/>
          <w:sz w:val="24"/>
          <w:szCs w:val="24"/>
          <w:highlight w:val="none"/>
          <w14:textFill>
            <w14:solidFill>
              <w14:schemeClr w14:val="tx1"/>
            </w14:solidFill>
          </w14:textFill>
        </w:rPr>
        <w:t xml:space="preserve">1、招标方式</w:t>
      </w:r>
      <w:r/>
    </w:p>
    <w:p>
      <w:pPr>
        <w:ind w:firstLine="508"/>
        <w:jc w:val="lef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1.1本次招标采取公开招标方式，本招标文件仅适用于招标公告中所述项目。</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2、合格的投标人</w:t>
      </w:r>
      <w:r/>
    </w:p>
    <w:p>
      <w:pPr>
        <w:ind w:firstLine="508"/>
        <w:jc w:val="lef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2.1满足招标公告中投标人的资格要求的规定。</w:t>
      </w:r>
      <w:r/>
    </w:p>
    <w:p>
      <w:pPr>
        <w:ind w:firstLine="508"/>
        <w:jc w:val="left"/>
        <w:spacing w:line="440" w:lineRule="exac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2.2满足本文件实质性要求的规定</w:t>
      </w:r>
      <w:r>
        <w:rPr>
          <w:rFonts w:hint="eastAsia" w:ascii="宋体" w:hAnsi="宋体" w:cs="宋体"/>
          <w:b/>
          <w:color w:val="000000" w:themeColor="text1"/>
          <w:sz w:val="24"/>
          <w:szCs w:val="24"/>
          <w:highlight w:val="none"/>
          <w14:textFill>
            <w14:solidFill>
              <w14:schemeClr w14:val="tx1"/>
            </w14:solidFill>
          </w14:textFill>
        </w:rPr>
        <w:t xml:space="preserve">（本招标文件中斜体且有下划线部分为实质性要求）。</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3、适用法律</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3.1本次招标及由此产生的合同受中华人民共和国有关的法律法规制约和保护。</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4、投标费用</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4.1投标人应自行承担所有与参加投标有关的费用，无论投标过程中的做法和结果如何，诺德招投标咨询服务（苏州）有限公司在任何情况下均无义务和责任承担这些费用。</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4.2本次招标采购代理机构收取代理服务费。</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4.2.1本项目采购代理服务费由 中标（成交）供应商 支付；</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4.2.2 代理费用收取方式：转账</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4.2.3 收费金额：为了大新镇镇区一体化保洁及厨余等垃圾清运项目更高效地开展，代理服务费由投标人自行考虑在投标报价内。由中标人按照预算金额的如下比例进行计算：即100万元以下部分为1.5%、100万元（含）～500万元部分为1.1%、500万元（含）～1000万元部分为0.8%、1000万元（含）～5000万元部分为0.5%。差额定率累进法计算并支付代理服务费。即120000.00元。代理服务费由中标人在领取中标通知书时向采购代理机构一次性付清。</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4.2.4 投标人的报价应当考虑本项目的代理服务费，代理服务费包含在投标人的报价当中，不单独列项，投标人需综合考虑。中标结果确认后，由于中标人自身原因被取消中标资格或合同的，代理服务费仍应支付给采购代理机构且金额不变。</w:t>
      </w:r>
      <w:r/>
    </w:p>
    <w:p>
      <w:pPr>
        <w:ind w:firstLine="42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5、招标文件的约束力</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5.1投标人一旦在“苏采云”系统下载本招标文件决定参加投标，即被认为接受了本招标文件的规定和约束，并且视为已经知道或应当知道自身权益是否受到了损害。</w:t>
      </w:r>
      <w:r/>
    </w:p>
    <w:p>
      <w:pPr>
        <w:jc w:val="left"/>
        <w:keepLines/>
        <w:keepNext/>
        <w:spacing w:before="120" w:after="120" w:line="440" w:lineRule="exact"/>
        <w:rPr>
          <w:rFonts w:hint="eastAsia" w:ascii="宋体" w:hAnsi="宋体" w:cs="宋体"/>
          <w:b/>
          <w:bCs/>
          <w:color w:val="000000" w:themeColor="text1"/>
          <w:sz w:val="28"/>
          <w:szCs w:val="44"/>
          <w:highlight w:val="none"/>
          <w14:textFill>
            <w14:solidFill>
              <w14:schemeClr w14:val="tx1"/>
            </w14:solidFill>
          </w14:textFill>
        </w:rPr>
        <w:outlineLvl w:val="1"/>
      </w:pPr>
      <w:r/>
      <w:bookmarkStart w:id="51" w:name="_Toc38368121"/>
      <w:r/>
      <w:bookmarkStart w:id="52" w:name="_Toc20823281"/>
      <w:r/>
      <w:bookmarkStart w:id="53" w:name="_Toc16938525"/>
      <w:r/>
      <w:bookmarkStart w:id="54" w:name="_Toc513029209"/>
      <w:r/>
      <w:bookmarkStart w:id="55" w:name="_Toc4303"/>
      <w:r/>
      <w:bookmarkStart w:id="56" w:name="_Toc120614215"/>
      <w:r/>
      <w:bookmarkStart w:id="57" w:name="_Toc22183"/>
      <w:r/>
      <w:bookmarkStart w:id="58" w:name="_Toc12353"/>
      <w:r/>
      <w:bookmarkStart w:id="59" w:name="_Toc2600"/>
      <w:r/>
      <w:bookmarkStart w:id="60" w:name="_Toc54615240"/>
      <w:r/>
      <w:bookmarkStart w:id="61" w:name="_Toc35266021"/>
      <w:r/>
      <w:bookmarkStart w:id="62" w:name="_Toc13013"/>
      <w:r/>
      <w:bookmarkStart w:id="63" w:name="_Toc160524313"/>
      <w:r>
        <w:rPr>
          <w:rFonts w:hint="eastAsia" w:ascii="宋体" w:hAnsi="宋体" w:cs="宋体"/>
          <w:b/>
          <w:bCs/>
          <w:color w:val="000000" w:themeColor="text1"/>
          <w:sz w:val="28"/>
          <w:szCs w:val="44"/>
          <w:highlight w:val="none"/>
          <w14:textFill>
            <w14:solidFill>
              <w14:schemeClr w14:val="tx1"/>
            </w14:solidFill>
          </w14:textFill>
        </w:rPr>
        <w:t xml:space="preserve">二、招标文件</w:t>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64" w:name="_Toc16938526"/>
      <w:r/>
      <w:bookmarkStart w:id="65" w:name="_Toc513029210"/>
      <w:r/>
      <w:bookmarkStart w:id="66" w:name="_Toc20823282"/>
      <w:r>
        <w:rPr>
          <w:rFonts w:hint="eastAsia" w:ascii="宋体" w:hAnsi="宋体" w:cs="宋体"/>
          <w:b/>
          <w:bCs/>
          <w:color w:val="000000" w:themeColor="text1"/>
          <w:sz w:val="24"/>
          <w:szCs w:val="24"/>
          <w:highlight w:val="none"/>
          <w14:textFill>
            <w14:solidFill>
              <w14:schemeClr w14:val="tx1"/>
            </w14:solidFill>
          </w14:textFill>
        </w:rPr>
        <w:t xml:space="preserve">6、招标文件构成</w:t>
      </w:r>
      <w:bookmarkEnd w:id="64"/>
      <w:r/>
      <w:bookmarkEnd w:id="65"/>
      <w:r/>
      <w:bookmarkEnd w:id="66"/>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6.1 招标文件有以下部分组成：</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（1）投标邀请</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（2）投标人须知</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（3）合同条款及格式</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（4）项目需求</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（5）评标方法与评标标准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（6）投标文件格式</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请仔细检查招标文件是否齐全，如有缺漏请立即与诺德招投标咨询服务（苏州）有限公司联系解决。</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67" w:name="_Toc462564071"/>
      <w:r/>
      <w:bookmarkStart w:id="68" w:name="_Toc513029212"/>
      <w:r/>
      <w:bookmarkStart w:id="69" w:name="_Toc20823284"/>
      <w:r/>
      <w:bookmarkStart w:id="70" w:name="_Toc16938528"/>
      <w:r>
        <w:rPr>
          <w:rFonts w:hint="eastAsia" w:ascii="宋体" w:hAnsi="宋体" w:cs="宋体"/>
          <w:b/>
          <w:bCs/>
          <w:color w:val="000000" w:themeColor="text1"/>
          <w:sz w:val="24"/>
          <w:szCs w:val="24"/>
          <w:highlight w:val="none"/>
          <w14:textFill>
            <w14:solidFill>
              <w14:schemeClr w14:val="tx1"/>
            </w14:solidFill>
          </w14:textFill>
        </w:rPr>
        <w:t xml:space="preserve">7、招标文件的澄清或修改</w:t>
      </w:r>
      <w:bookmarkEnd w:id="67"/>
      <w:r/>
      <w:bookmarkEnd w:id="68"/>
      <w:r/>
      <w:bookmarkEnd w:id="69"/>
      <w:r/>
      <w:bookmarkEnd w:id="70"/>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 在投标截止时间前。诺德招投标咨询服务（苏州）有限公司可以对招标文件进行澄清或修改。</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7.2</w:t>
      </w:r>
      <w:bookmarkStart w:id="71" w:name="EB14f04c7329d342c2b5d53bfcbbeaa167"/>
      <w:r>
        <w:rPr>
          <w:rFonts w:hint="eastAsia" w:ascii="宋体" w:hAnsi="宋体" w:cs="宋体"/>
          <w:color w:val="000000" w:themeColor="text1"/>
          <w:sz w:val="24"/>
          <w:szCs w:val="24"/>
          <w:highlight w:val="none"/>
          <w14:textFill>
            <w14:solidFill>
              <w14:schemeClr w14:val="tx1"/>
            </w14:solidFill>
          </w14:textFill>
        </w:rPr>
        <w:t xml:space="preserve"> 诺德招投标咨询服务（苏州）有限公司</w:t>
      </w:r>
      <w:bookmarkEnd w:id="71"/>
      <w:r>
        <w:rPr>
          <w:rFonts w:hint="eastAsia" w:ascii="宋体" w:hAnsi="宋体" w:cs="宋体"/>
          <w:color w:val="000000" w:themeColor="text1"/>
          <w:sz w:val="24"/>
          <w:szCs w:val="24"/>
          <w:highlight w:val="none"/>
          <w14:textFill>
            <w14:solidFill>
              <w14:schemeClr w14:val="tx1"/>
            </w14:solidFill>
          </w14:textFill>
        </w:rPr>
        <w:t xml:space="preserve">有权按照法定的要求推迟投标截止日期和开标日期。</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7.3 招标文件的实质性变动或修改将在政府采购公告媒体网通知，投标人可自行下载。补充文件将作为招标文件的组成部分，并对投标人具有约束力。</w:t>
      </w:r>
      <w:r/>
    </w:p>
    <w:p>
      <w:pPr>
        <w:jc w:val="left"/>
        <w:keepLines/>
        <w:keepNext/>
        <w:spacing w:before="120" w:after="120" w:line="440" w:lineRule="exact"/>
        <w:rPr>
          <w:rFonts w:hint="eastAsia" w:ascii="宋体" w:hAnsi="宋体" w:cs="宋体"/>
          <w:b/>
          <w:bCs/>
          <w:color w:val="000000" w:themeColor="text1"/>
          <w:sz w:val="28"/>
          <w:szCs w:val="44"/>
          <w:highlight w:val="none"/>
          <w14:textFill>
            <w14:solidFill>
              <w14:schemeClr w14:val="tx1"/>
            </w14:solidFill>
          </w14:textFill>
        </w:rPr>
        <w:outlineLvl w:val="1"/>
      </w:pPr>
      <w:r/>
      <w:bookmarkStart w:id="72" w:name="_Toc3656"/>
      <w:r/>
      <w:bookmarkStart w:id="73" w:name="_Toc16938529"/>
      <w:r/>
      <w:bookmarkStart w:id="74" w:name="_Toc35266022"/>
      <w:r/>
      <w:bookmarkStart w:id="75" w:name="_Toc120614216"/>
      <w:r/>
      <w:bookmarkStart w:id="76" w:name="_Toc25551"/>
      <w:r/>
      <w:bookmarkStart w:id="77" w:name="_Toc11441"/>
      <w:r/>
      <w:bookmarkStart w:id="78" w:name="_Toc19482"/>
      <w:r/>
      <w:bookmarkStart w:id="79" w:name="_Toc462564072"/>
      <w:r/>
      <w:bookmarkStart w:id="80" w:name="_Toc38368122"/>
      <w:r/>
      <w:bookmarkStart w:id="81" w:name="_Toc513029213"/>
      <w:r/>
      <w:bookmarkStart w:id="82" w:name="_Toc20823285"/>
      <w:r/>
      <w:bookmarkStart w:id="83" w:name="_Toc54615241"/>
      <w:r/>
      <w:bookmarkStart w:id="84" w:name="_Toc160524314"/>
      <w:r/>
      <w:bookmarkStart w:id="85" w:name="_Toc24609"/>
      <w:r>
        <w:rPr>
          <w:rFonts w:hint="eastAsia" w:ascii="宋体" w:hAnsi="宋体" w:cs="宋体"/>
          <w:b/>
          <w:bCs/>
          <w:color w:val="000000" w:themeColor="text1"/>
          <w:sz w:val="28"/>
          <w:szCs w:val="44"/>
          <w:highlight w:val="none"/>
          <w14:textFill>
            <w14:solidFill>
              <w14:schemeClr w14:val="tx1"/>
            </w14:solidFill>
          </w14:textFill>
        </w:rPr>
        <w:t xml:space="preserve">三、投标文件的编制</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86" w:name="_Toc513029214"/>
      <w:r/>
      <w:bookmarkStart w:id="87" w:name="_Toc462564073"/>
      <w:r/>
      <w:bookmarkStart w:id="88" w:name="_Toc20823286"/>
      <w:r/>
      <w:bookmarkStart w:id="89" w:name="_Toc16938530"/>
      <w:r>
        <w:rPr>
          <w:rFonts w:hint="eastAsia" w:ascii="宋体" w:hAnsi="宋体" w:cs="宋体"/>
          <w:b/>
          <w:bCs/>
          <w:color w:val="000000" w:themeColor="text1"/>
          <w:sz w:val="24"/>
          <w:szCs w:val="24"/>
          <w:highlight w:val="none"/>
          <w14:textFill>
            <w14:solidFill>
              <w14:schemeClr w14:val="tx1"/>
            </w14:solidFill>
          </w14:textFill>
        </w:rPr>
        <w:t xml:space="preserve">8、投标文件的语言及度量衡单位</w:t>
      </w:r>
      <w:bookmarkEnd w:id="86"/>
      <w:r/>
      <w:bookmarkEnd w:id="87"/>
      <w:r/>
      <w:bookmarkEnd w:id="88"/>
      <w:r/>
      <w:bookmarkEnd w:id="89"/>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8.1 投标人提交的投标文件以及投标人与诺德招投标咨询服务（苏州）有限公司就有关投标的所有来往通知、函件和文件均应使用</w:t>
      </w:r>
      <w:r>
        <w:rPr>
          <w:rFonts w:hint="eastAsia" w:ascii="宋体" w:hAnsi="宋体" w:cs="宋体"/>
          <w:b/>
          <w:bCs/>
          <w:color w:val="000000" w:themeColor="text1"/>
          <w:sz w:val="24"/>
          <w:szCs w:val="24"/>
          <w:highlight w:val="none"/>
          <w14:textFill>
            <w14:solidFill>
              <w14:schemeClr w14:val="tx1"/>
            </w14:solidFill>
          </w14:textFill>
        </w:rPr>
        <w:t xml:space="preserve">简体中文</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8.2 除技术性能另有规定外，投标文件所使用的度量衡单位，均须采用国家法定计量单位。</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90" w:name="_Toc20823287"/>
      <w:r/>
      <w:bookmarkStart w:id="91" w:name="_Toc16938531"/>
      <w:r/>
      <w:bookmarkStart w:id="92" w:name="_Toc513029215"/>
      <w:r/>
      <w:bookmarkStart w:id="93" w:name="_Toc462564074"/>
      <w:r>
        <w:rPr>
          <w:rFonts w:hint="eastAsia" w:ascii="宋体" w:hAnsi="宋体" w:cs="宋体"/>
          <w:b/>
          <w:bCs/>
          <w:color w:val="000000" w:themeColor="text1"/>
          <w:sz w:val="24"/>
          <w:szCs w:val="24"/>
          <w:highlight w:val="none"/>
          <w14:textFill>
            <w14:solidFill>
              <w14:schemeClr w14:val="tx1"/>
            </w14:solidFill>
          </w14:textFill>
        </w:rPr>
        <w:t xml:space="preserve">9、投标文件构成</w:t>
      </w:r>
      <w:bookmarkEnd w:id="90"/>
      <w:r/>
      <w:bookmarkEnd w:id="91"/>
      <w:r/>
      <w:bookmarkEnd w:id="92"/>
      <w:r/>
      <w:bookmarkEnd w:id="93"/>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9.1 投标人编写的投标文件应包括投标函、开标一览表、资格证明文件、技术人员介绍、第四章项目需求中实质性要求响应对照表、技术及服务方案、投标人情况介绍等部分。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9.2 特别提醒：投标人必须在投标文件接收截止时间之前在系统中提交所有与开评标相关的资料。开评标现场不接收任何资料。</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94" w:name="_Hlt26670360"/>
      <w:r/>
      <w:bookmarkEnd w:id="94"/>
      <w:r/>
      <w:bookmarkStart w:id="95" w:name="_Hlt26954838"/>
      <w:r/>
      <w:bookmarkEnd w:id="95"/>
      <w:r/>
      <w:bookmarkStart w:id="96" w:name="_Hlt26668975"/>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rPr>
          <w:rFonts w:hint="eastAsia" w:ascii="宋体" w:hAnsi="宋体" w:cs="宋体"/>
          <w:b/>
          <w:bCs/>
          <w:color w:val="000000" w:themeColor="text1"/>
          <w:sz w:val="24"/>
          <w:szCs w:val="24"/>
          <w:highlight w:val="none"/>
          <w14:textFill>
            <w14:solidFill>
              <w14:schemeClr w14:val="tx1"/>
            </w14:solidFill>
          </w14:textFill>
        </w:rPr>
        <w:t xml:space="preserve">10、投标函和开标一览表</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10.1 投标人应按照招标文件中提供的格式完整、正确填写投标函、开标一览表。</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10.2 开标一览表中的价格应与投标文件中投标配置与分项报价表（或经费测算表）中的价格一致，若出现价格不一致的情况，评标时一律按开标一览表中价格为准。</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11、投标人资格证明文件</w:t>
      </w:r>
      <w:bookmarkEnd w:id="97"/>
      <w:r/>
      <w:bookmarkEnd w:id="98"/>
      <w:r/>
      <w:bookmarkEnd w:id="99"/>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11.1</w:t>
      </w:r>
      <w:bookmarkStart w:id="103" w:name="_Hlt26668999"/>
      <w:r/>
      <w:bookmarkEnd w:id="103"/>
      <w:r>
        <w:rPr>
          <w:rFonts w:hint="eastAsia" w:ascii="宋体" w:hAnsi="宋体" w:cs="宋体"/>
          <w:color w:val="000000" w:themeColor="text1"/>
          <w:sz w:val="24"/>
          <w:szCs w:val="24"/>
          <w:highlight w:val="none"/>
          <w14:textFill>
            <w14:solidFill>
              <w14:schemeClr w14:val="tx1"/>
            </w14:solidFill>
          </w14:textFill>
        </w:rPr>
        <w:t xml:space="preserve"> 投标人应按招标文件的要求提交资格证明文件。</w:t>
      </w:r>
      <w:bookmarkEnd w:id="100"/>
      <w:r/>
      <w:bookmarkEnd w:id="101"/>
      <w:r/>
      <w:bookmarkEnd w:id="102"/>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104" w:name="_Toc49090508"/>
      <w:r/>
      <w:bookmarkStart w:id="105" w:name="_Toc14577355"/>
      <w:r>
        <w:rPr>
          <w:rFonts w:hint="eastAsia" w:ascii="宋体" w:hAnsi="宋体" w:cs="宋体"/>
          <w:b/>
          <w:bCs/>
          <w:color w:val="000000" w:themeColor="text1"/>
          <w:sz w:val="24"/>
          <w:szCs w:val="24"/>
          <w:highlight w:val="none"/>
          <w14:textFill>
            <w14:solidFill>
              <w14:schemeClr w14:val="tx1"/>
            </w14:solidFill>
          </w14:textFill>
        </w:rPr>
        <w:t xml:space="preserve">12、</w:t>
      </w:r>
      <w:bookmarkEnd w:id="104"/>
      <w:r/>
      <w:bookmarkEnd w:id="105"/>
      <w:r>
        <w:rPr>
          <w:rFonts w:hint="eastAsia" w:ascii="宋体" w:hAnsi="宋体" w:cs="宋体"/>
          <w:b/>
          <w:bCs/>
          <w:color w:val="000000" w:themeColor="text1"/>
          <w:sz w:val="24"/>
          <w:szCs w:val="24"/>
          <w:highlight w:val="none"/>
          <w14:textFill>
            <w14:solidFill>
              <w14:schemeClr w14:val="tx1"/>
            </w14:solidFill>
          </w14:textFill>
        </w:rPr>
        <w:t xml:space="preserve">投标配置与分项报价表（或经费测算表）</w:t>
      </w:r>
      <w:r/>
    </w:p>
    <w:p>
      <w:pPr>
        <w:ind w:firstLine="42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12.1 投标人应按照招标文件规定格式填报。每项货物和服务等只允许有一个报价。</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 标的物</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12.2.1 采购人需求的有关服务等。</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12.2.2 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12.3 投标货币</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投标文件中的货物单价和总价无特殊规定的采用人民币报价，以元为单位标注。招标文件中另有规定的按规定执行。</w:t>
      </w:r>
      <w:r/>
    </w:p>
    <w:p>
      <w:pPr>
        <w:ind w:firstLine="420"/>
        <w:spacing w:line="440" w:lineRule="exact"/>
        <w:rPr>
          <w:rFonts w:hint="eastAsia" w:ascii="宋体" w:hAnsi="宋体" w:cs="宋体"/>
          <w:i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12.4 项目总价为综合报价，包含完成本项工作所需的全部费用，包括但不限于人员费用（工资、福利、培训、社会保险</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意外保险</w:t>
      </w:r>
      <w:r>
        <w:rPr>
          <w:rFonts w:hint="eastAsia" w:ascii="宋体" w:hAnsi="宋体" w:cs="宋体"/>
          <w:color w:val="000000" w:themeColor="text1"/>
          <w:sz w:val="24"/>
          <w:szCs w:val="24"/>
          <w:highlight w:val="none"/>
          <w14:textFill>
            <w14:solidFill>
              <w14:schemeClr w14:val="tx1"/>
            </w14:solidFill>
          </w14:textFill>
        </w:rPr>
        <w:t xml:space="preserve">等）、服务所用设备工具购置及维修费用、服务所用配件及材料消耗费用、管理费用、差旅费、利润、税金、</w:t>
      </w:r>
      <w:r>
        <w:rPr>
          <w:rFonts w:hint="eastAsia" w:ascii="宋体" w:hAnsi="宋体" w:cs="宋体"/>
          <w:color w:val="000000" w:themeColor="text1"/>
          <w:sz w:val="24"/>
          <w:highlight w:val="none"/>
          <w14:textFill>
            <w14:solidFill>
              <w14:schemeClr w14:val="tx1"/>
            </w14:solidFill>
          </w14:textFill>
        </w:rPr>
        <w:t xml:space="preserve">采购代理服务费、</w:t>
      </w:r>
      <w:r>
        <w:rPr>
          <w:rFonts w:hint="eastAsia" w:ascii="宋体" w:hAnsi="宋体" w:cs="宋体"/>
          <w:color w:val="000000" w:themeColor="text1"/>
          <w:sz w:val="24"/>
          <w:szCs w:val="24"/>
          <w:highlight w:val="none"/>
          <w14:textFill>
            <w14:solidFill>
              <w14:schemeClr w14:val="tx1"/>
            </w14:solidFill>
          </w14:textFill>
        </w:rPr>
        <w:t xml:space="preserve">政策性文件规定及合同包含的所有风险、责任等各项应有费用。</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12.5 本报价必须充分考虑所有可能影响到报价的价格因素，一旦投标结束最终成交，如发生漏、缺、少项，都将被认为是中标人的报价让利行为。</w:t>
      </w:r>
      <w:bookmarkStart w:id="106" w:name="_Hlt26670482"/>
      <w:r/>
      <w:bookmarkEnd w:id="106"/>
      <w:r/>
      <w:bookmarkStart w:id="107" w:name="_Hlt26954731"/>
      <w:r/>
      <w:bookmarkEnd w:id="107"/>
      <w:r/>
      <w:bookmarkStart w:id="108" w:name="_Hlt26954846"/>
      <w:r/>
      <w:bookmarkEnd w:id="108"/>
      <w:r/>
      <w:bookmarkStart w:id="109" w:name="_Hlt26954848"/>
      <w:r/>
      <w:bookmarkEnd w:id="109"/>
      <w:r/>
      <w:bookmarkStart w:id="110" w:name="_Hlt26670486"/>
      <w:r/>
      <w:bookmarkEnd w:id="110"/>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111" w:name="_Toc49090510"/>
      <w:r/>
      <w:bookmarkStart w:id="112" w:name="_Toc14577359"/>
      <w:r>
        <w:rPr>
          <w:rFonts w:hint="eastAsia" w:ascii="宋体" w:hAnsi="宋体" w:cs="宋体"/>
          <w:b/>
          <w:bCs/>
          <w:color w:val="000000" w:themeColor="text1"/>
          <w:sz w:val="24"/>
          <w:szCs w:val="24"/>
          <w:highlight w:val="none"/>
          <w14:textFill>
            <w14:solidFill>
              <w14:schemeClr w14:val="tx1"/>
            </w14:solidFill>
          </w14:textFill>
        </w:rPr>
        <w:t xml:space="preserve">13、技术及服务方案</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13.1 根据自己对需求的理解撰写需求分析和服务方案。</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13.2 根据自己对项目需求的分析，提出人员配备方案，并详细介绍拟参加本项目服务的人员的资历和持有相关证书情况，特别要详细介绍该项目负责人的学历、资质和所从事过类似案例管理情况。</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14、投标人情况介绍</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14.1 投标人的总体情况应在电子投标文件中作出说明。</w:t>
      </w:r>
      <w:bookmarkEnd w:id="111"/>
      <w:r/>
      <w:bookmarkEnd w:id="112"/>
      <w:r/>
      <w:bookmarkStart w:id="113" w:name="EBf6e5e332cb7245ab8f3a9801503c122b"/>
      <w:r/>
      <w:bookmarkEnd w:id="113"/>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114" w:name="_Hlt26670489"/>
      <w:r/>
      <w:bookmarkEnd w:id="114"/>
      <w:r/>
      <w:bookmarkStart w:id="115" w:name="_Hlt26954734"/>
      <w:r/>
      <w:bookmarkEnd w:id="115"/>
      <w:r/>
      <w:bookmarkStart w:id="116" w:name="_Hlt26954850"/>
      <w:r/>
      <w:bookmarkEnd w:id="116"/>
      <w:r/>
      <w:bookmarkStart w:id="117" w:name="_Toc14577360"/>
      <w:r/>
      <w:bookmarkStart w:id="118" w:name="_Toc49090511"/>
      <w:r>
        <w:rPr>
          <w:rFonts w:hint="eastAsia" w:ascii="宋体" w:hAnsi="宋体" w:cs="宋体"/>
          <w:b/>
          <w:bCs/>
          <w:color w:val="000000" w:themeColor="text1"/>
          <w:sz w:val="24"/>
          <w:szCs w:val="24"/>
          <w:highlight w:val="none"/>
          <w14:textFill>
            <w14:solidFill>
              <w14:schemeClr w14:val="tx1"/>
            </w14:solidFill>
          </w14:textFill>
        </w:rPr>
        <w:t xml:space="preserve">15、投标保证金</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15.1 本次招标不收取投标保证金。</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16、投标有效期</w:t>
      </w:r>
      <w:bookmarkEnd w:id="117"/>
      <w:r/>
      <w:bookmarkEnd w:id="118"/>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16.1 投标有效期为诺德招投标咨询服务（苏州）有限公司规定的</w:t>
      </w:r>
      <w:r>
        <w:rPr>
          <w:rFonts w:ascii="宋体" w:hAnsi="宋体" w:cs="宋体"/>
          <w:color w:val="000000" w:themeColor="text1"/>
          <w:sz w:val="24"/>
          <w:szCs w:val="24"/>
          <w:highlight w:val="none"/>
          <w14:textFill>
            <w14:solidFill>
              <w14:schemeClr w14:val="tx1"/>
            </w14:solidFill>
          </w14:textFill>
        </w:rPr>
        <w:t xml:space="preserve">从提交投标文件截止之日起</w:t>
      </w:r>
      <w:r>
        <w:rPr>
          <w:rFonts w:hint="eastAsia" w:ascii="宋体" w:hAnsi="宋体" w:cs="宋体"/>
          <w:b/>
          <w:bCs/>
          <w:color w:val="000000" w:themeColor="text1"/>
          <w:sz w:val="24"/>
          <w:szCs w:val="24"/>
          <w:highlight w:val="none"/>
          <w14:textFill>
            <w14:solidFill>
              <w14:schemeClr w14:val="tx1"/>
            </w14:solidFill>
          </w14:textFill>
        </w:rPr>
        <w:t xml:space="preserve">九十（90）天</w:t>
      </w:r>
      <w:r>
        <w:rPr>
          <w:rFonts w:hint="eastAsia" w:ascii="宋体" w:hAnsi="宋体" w:cs="宋体"/>
          <w:color w:val="000000" w:themeColor="text1"/>
          <w:sz w:val="24"/>
          <w:szCs w:val="24"/>
          <w:highlight w:val="none"/>
          <w14:textFill>
            <w14:solidFill>
              <w14:schemeClr w14:val="tx1"/>
            </w14:solidFill>
          </w14:textFill>
        </w:rPr>
        <w:t xml:space="preserve">。投标有效期比规定短的将被视为非响应性投标而予以拒绝。</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16.2 在特殊情况下，诺德招投标咨询服务（苏州）有限公司于原投标有效期满之前，可向投标人提出延长投标有效期的要求。这种要求与答复均应采用书面形式。投标人可以拒绝诺德招投标咨询服务（苏州）有限公司的这一要求而放弃投标。同意延长投标有效期的投标人既不能要求也不允许修改其投标文件。</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17、投标文件的签署</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17.1 本招标文件所表述（指定）的公章是指法定名称章，不包括合同专用章、业务专用章等印章。</w:t>
      </w:r>
      <w:bookmarkStart w:id="119" w:name="EBfdb2e00cf1ee477a9cdb47d13b603829"/>
      <w:r/>
      <w:bookmarkEnd w:id="119"/>
      <w:r/>
      <w:bookmarkStart w:id="120" w:name="_Hlt26954739"/>
      <w:r/>
      <w:bookmarkEnd w:id="120"/>
      <w:r/>
      <w:bookmarkStart w:id="121" w:name="_Hlt26954852"/>
      <w:r/>
      <w:bookmarkEnd w:id="121"/>
      <w:r/>
      <w:r/>
    </w:p>
    <w:p>
      <w:pPr>
        <w:jc w:val="left"/>
        <w:keepLines/>
        <w:keepNext/>
        <w:spacing w:before="120" w:after="120" w:line="440" w:lineRule="exact"/>
        <w:rPr>
          <w:rFonts w:hint="eastAsia" w:ascii="宋体" w:hAnsi="宋体" w:cs="宋体"/>
          <w:b/>
          <w:bCs/>
          <w:color w:val="000000" w:themeColor="text1"/>
          <w:sz w:val="28"/>
          <w:szCs w:val="44"/>
          <w:highlight w:val="none"/>
          <w14:textFill>
            <w14:solidFill>
              <w14:schemeClr w14:val="tx1"/>
            </w14:solidFill>
          </w14:textFill>
        </w:rPr>
        <w:outlineLvl w:val="1"/>
      </w:pPr>
      <w:r/>
      <w:bookmarkStart w:id="122" w:name="_Toc54615242"/>
      <w:r/>
      <w:bookmarkStart w:id="123" w:name="_Toc38368123"/>
      <w:r/>
      <w:bookmarkStart w:id="124" w:name="_Toc29076"/>
      <w:r/>
      <w:bookmarkStart w:id="125" w:name="_Toc6564"/>
      <w:r/>
      <w:bookmarkStart w:id="126" w:name="_Toc35266023"/>
      <w:r/>
      <w:bookmarkStart w:id="127" w:name="_Toc160524315"/>
      <w:r/>
      <w:bookmarkStart w:id="128" w:name="_Toc1010"/>
      <w:r/>
      <w:bookmarkStart w:id="129" w:name="_Toc6030"/>
      <w:r/>
      <w:bookmarkStart w:id="130" w:name="_Toc6388848"/>
      <w:r/>
      <w:bookmarkStart w:id="131" w:name="_Toc31935"/>
      <w:r/>
      <w:bookmarkStart w:id="132" w:name="_Toc6389296"/>
      <w:r/>
      <w:bookmarkStart w:id="133" w:name="_Toc16938540"/>
      <w:r/>
      <w:bookmarkStart w:id="134" w:name="_Toc120614217"/>
      <w:r/>
      <w:bookmarkStart w:id="135" w:name="_Toc20823296"/>
      <w:r/>
      <w:bookmarkStart w:id="136" w:name="_Toc513029224"/>
      <w:r>
        <w:rPr>
          <w:rFonts w:hint="eastAsia" w:ascii="宋体" w:hAnsi="宋体" w:cs="宋体"/>
          <w:b/>
          <w:bCs/>
          <w:color w:val="000000" w:themeColor="text1"/>
          <w:sz w:val="28"/>
          <w:szCs w:val="44"/>
          <w:highlight w:val="none"/>
          <w14:textFill>
            <w14:solidFill>
              <w14:schemeClr w14:val="tx1"/>
            </w14:solidFill>
          </w14:textFill>
        </w:rPr>
        <w:t xml:space="preserve">四、投标文件的制作、上传、递交</w:t>
      </w:r>
      <w:bookmarkEnd w:id="122"/>
      <w:r/>
      <w:bookmarkEnd w:id="123"/>
      <w:r/>
      <w:bookmarkEnd w:id="124"/>
      <w:r/>
      <w:bookmarkEnd w:id="125"/>
      <w:r/>
      <w:bookmarkEnd w:id="126"/>
      <w:r/>
      <w:bookmarkEnd w:id="127"/>
      <w:r/>
      <w:bookmarkEnd w:id="128"/>
      <w:r/>
      <w:bookmarkEnd w:id="129"/>
      <w:r/>
      <w:bookmarkEnd w:id="130"/>
      <w:r/>
      <w:bookmarkEnd w:id="131"/>
      <w:r/>
      <w:bookmarkEnd w:id="132"/>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18、投标文件的递交</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18.1 电子投标文件的递交</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投标人应当按照《苏采云系统供应商操作手册》规定，在投标截止时间前制作并上传电子投标文件。</w:t>
      </w:r>
      <w:bookmarkStart w:id="137" w:name="EB5e78b12e89984a20ab881c475623475b"/>
      <w:r/>
      <w:bookmarkEnd w:id="137"/>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138" w:name="_Toc6389298"/>
      <w:r/>
      <w:bookmarkStart w:id="139" w:name="_Toc6388850"/>
      <w:r>
        <w:rPr>
          <w:rFonts w:hint="eastAsia" w:ascii="宋体" w:hAnsi="宋体" w:cs="宋体"/>
          <w:b/>
          <w:bCs/>
          <w:color w:val="000000" w:themeColor="text1"/>
          <w:sz w:val="24"/>
          <w:szCs w:val="24"/>
          <w:highlight w:val="none"/>
          <w14:textFill>
            <w14:solidFill>
              <w14:schemeClr w14:val="tx1"/>
            </w14:solidFill>
          </w14:textFill>
        </w:rPr>
        <w:t xml:space="preserve">19、投标截止日期</w:t>
      </w:r>
      <w:bookmarkEnd w:id="138"/>
      <w:r/>
      <w:bookmarkEnd w:id="139"/>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19.1 投标人上传电子投标文件的时间不得迟于招标公告中规定的投标截止时间。</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投标人应充分考虑到网络环境、网络带宽等风险因素，如因投标人自身原因造成的电子投标文件上传不成功由投标人自行承担全部责任。</w:t>
      </w:r>
      <w:bookmarkStart w:id="140" w:name="EB4c6421107b4c4e38bf2769d0237905a7"/>
      <w:r/>
      <w:bookmarkEnd w:id="140"/>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141" w:name="_Toc6388851"/>
      <w:r/>
      <w:bookmarkStart w:id="142" w:name="_Toc6389299"/>
      <w:r>
        <w:rPr>
          <w:rFonts w:hint="eastAsia" w:ascii="宋体" w:hAnsi="宋体" w:cs="宋体"/>
          <w:b/>
          <w:bCs/>
          <w:color w:val="000000" w:themeColor="text1"/>
          <w:sz w:val="24"/>
          <w:szCs w:val="24"/>
          <w:highlight w:val="none"/>
          <w14:textFill>
            <w14:solidFill>
              <w14:schemeClr w14:val="tx1"/>
            </w14:solidFill>
          </w14:textFill>
        </w:rPr>
        <w:t xml:space="preserve">20、投标文件的递交</w:t>
      </w:r>
      <w:bookmarkEnd w:id="141"/>
      <w:r/>
      <w:bookmarkEnd w:id="142"/>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20.1</w:t>
      </w:r>
      <w:bookmarkStart w:id="143" w:name="EBfffe463a2deb4e7cad93cb8e37ffda5e"/>
      <w:r>
        <w:rPr>
          <w:rFonts w:hint="eastAsia" w:ascii="宋体" w:hAnsi="宋体" w:cs="宋体"/>
          <w:color w:val="000000" w:themeColor="text1"/>
          <w:sz w:val="24"/>
          <w:szCs w:val="24"/>
          <w:highlight w:val="none"/>
          <w14:textFill>
            <w14:solidFill>
              <w14:schemeClr w14:val="tx1"/>
            </w14:solidFill>
          </w14:textFill>
        </w:rPr>
        <w:t xml:space="preserve"> 诺德招投标咨询服务（苏州）有限公司</w:t>
      </w:r>
      <w:bookmarkEnd w:id="143"/>
      <w:r>
        <w:rPr>
          <w:rFonts w:hint="eastAsia" w:ascii="宋体" w:hAnsi="宋体" w:cs="宋体"/>
          <w:color w:val="000000" w:themeColor="text1"/>
          <w:sz w:val="24"/>
          <w:szCs w:val="24"/>
          <w:highlight w:val="none"/>
          <w14:textFill>
            <w14:solidFill>
              <w14:schemeClr w14:val="tx1"/>
            </w14:solidFill>
          </w14:textFill>
        </w:rPr>
        <w:t xml:space="preserve">拒绝接收在其规定的投标截止时间后递交的任何投标文件。</w:t>
      </w:r>
      <w:r/>
    </w:p>
    <w:p>
      <w:pPr>
        <w:ind w:firstLine="480"/>
        <w:jc w:val="lef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144" w:name="_Toc6388852"/>
      <w:r/>
      <w:bookmarkStart w:id="145" w:name="_Toc6389300"/>
      <w:r>
        <w:rPr>
          <w:rFonts w:hint="eastAsia" w:ascii="宋体" w:hAnsi="宋体" w:cs="宋体"/>
          <w:b/>
          <w:bCs/>
          <w:color w:val="000000" w:themeColor="text1"/>
          <w:sz w:val="24"/>
          <w:szCs w:val="24"/>
          <w:highlight w:val="none"/>
          <w14:textFill>
            <w14:solidFill>
              <w14:schemeClr w14:val="tx1"/>
            </w14:solidFill>
          </w14:textFill>
        </w:rPr>
        <w:t xml:space="preserve">21、投标文件的修改和撤回</w:t>
      </w:r>
      <w:bookmarkEnd w:id="144"/>
      <w:r/>
      <w:bookmarkEnd w:id="145"/>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21.1 投标人在递交投标文件后，可以修改或撤回其投标文件，但这种修改和撤回，必须在规定的投标截止时间前，具体操作方法见《苏采云系统供应商操作手册》。</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21.2 投标人撤回电子投标文件，则认为其不再参与本项目投标活动。</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21.3 在投标截止时间之后，投标人不得对其电子投标文件作任何修改。</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21.4 在投标截止时间至招标文件中规定的投标有效期满之间的这段时间内，投标人不得撤销其投标。</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21.5 不论投标人中标与否，投标文件均不退回。</w:t>
      </w:r>
      <w:bookmarkEnd w:id="133"/>
      <w:r/>
      <w:bookmarkEnd w:id="134"/>
      <w:r/>
      <w:bookmarkEnd w:id="135"/>
      <w:r/>
      <w:bookmarkEnd w:id="136"/>
      <w:r/>
      <w:bookmarkStart w:id="146" w:name="EB7c302f080cf342679641097daf23b42b"/>
      <w:r/>
      <w:bookmarkEnd w:id="146"/>
      <w:r/>
      <w:r/>
    </w:p>
    <w:p>
      <w:pPr>
        <w:jc w:val="left"/>
        <w:spacing w:before="120" w:after="120" w:line="440" w:lineRule="exact"/>
        <w:rPr>
          <w:rFonts w:hint="eastAsia" w:ascii="宋体" w:hAnsi="宋体" w:cs="宋体"/>
          <w:b/>
          <w:bCs/>
          <w:color w:val="000000" w:themeColor="text1"/>
          <w:sz w:val="28"/>
          <w:szCs w:val="44"/>
          <w:highlight w:val="none"/>
          <w14:textFill>
            <w14:solidFill>
              <w14:schemeClr w14:val="tx1"/>
            </w14:solidFill>
          </w14:textFill>
        </w:rPr>
        <w:outlineLvl w:val="1"/>
      </w:pPr>
      <w:r/>
      <w:bookmarkStart w:id="147" w:name="_Toc20823301"/>
      <w:r/>
      <w:bookmarkStart w:id="148" w:name="_Toc32663"/>
      <w:r/>
      <w:bookmarkStart w:id="149" w:name="_Toc120614218"/>
      <w:r/>
      <w:bookmarkStart w:id="150" w:name="_Toc35266024"/>
      <w:r/>
      <w:bookmarkStart w:id="151" w:name="_Toc27087"/>
      <w:r/>
      <w:bookmarkStart w:id="152" w:name="_Toc23403"/>
      <w:r/>
      <w:bookmarkStart w:id="153" w:name="_Toc54615243"/>
      <w:r/>
      <w:bookmarkStart w:id="154" w:name="_Toc38368124"/>
      <w:r/>
      <w:bookmarkStart w:id="155" w:name="_Toc160524316"/>
      <w:r/>
      <w:bookmarkStart w:id="156" w:name="_Toc16938545"/>
      <w:r/>
      <w:bookmarkStart w:id="157" w:name="_Toc10563"/>
      <w:r/>
      <w:bookmarkStart w:id="158" w:name="_Toc31193"/>
      <w:r/>
      <w:bookmarkStart w:id="159" w:name="_Toc513029229"/>
      <w:r>
        <w:rPr>
          <w:rFonts w:hint="eastAsia" w:ascii="宋体" w:hAnsi="宋体" w:cs="宋体"/>
          <w:b/>
          <w:bCs/>
          <w:color w:val="000000" w:themeColor="text1"/>
          <w:sz w:val="28"/>
          <w:szCs w:val="44"/>
          <w:highlight w:val="none"/>
          <w14:textFill>
            <w14:solidFill>
              <w14:schemeClr w14:val="tx1"/>
            </w14:solidFill>
          </w14:textFill>
        </w:rPr>
        <w:t xml:space="preserve">五、开标与评标</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
    </w:p>
    <w:p>
      <w:pPr>
        <w:ind w:firstLine="480"/>
        <w:jc w:val="lef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160" w:name="_Toc20823302"/>
      <w:r/>
      <w:bookmarkStart w:id="161" w:name="_Toc16938546"/>
      <w:r/>
      <w:bookmarkStart w:id="162" w:name="_Toc513029230"/>
      <w:r>
        <w:rPr>
          <w:rFonts w:hint="eastAsia" w:ascii="宋体" w:hAnsi="宋体" w:cs="宋体"/>
          <w:b/>
          <w:bCs/>
          <w:color w:val="000000" w:themeColor="text1"/>
          <w:sz w:val="24"/>
          <w:szCs w:val="24"/>
          <w:highlight w:val="none"/>
          <w14:textFill>
            <w14:solidFill>
              <w14:schemeClr w14:val="tx1"/>
            </w14:solidFill>
          </w14:textFill>
        </w:rPr>
        <w:t xml:space="preserve">22、开标</w:t>
      </w:r>
      <w:bookmarkEnd w:id="160"/>
      <w:r/>
      <w:bookmarkEnd w:id="161"/>
      <w:r/>
      <w:bookmarkEnd w:id="162"/>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bookmarkStart w:id="163" w:name="EB45a41a7a147945c0bb92535f2d40058d"/>
      <w:r/>
      <w:bookmarkEnd w:id="163"/>
      <w:r/>
      <w:bookmarkStart w:id="164" w:name="_Toc16938547"/>
      <w:r/>
      <w:bookmarkStart w:id="165" w:name="_Toc20823303"/>
      <w:r/>
      <w:bookmarkStart w:id="166" w:name="_Toc513029231"/>
      <w:r>
        <w:rPr>
          <w:rFonts w:hint="eastAsia" w:ascii="宋体" w:hAnsi="宋体" w:cs="宋体"/>
          <w:color w:val="000000" w:themeColor="text1"/>
          <w:sz w:val="24"/>
          <w:szCs w:val="24"/>
          <w:highlight w:val="none"/>
          <w14:textFill>
            <w14:solidFill>
              <w14:schemeClr w14:val="tx1"/>
            </w14:solidFill>
          </w14:textFill>
        </w:rPr>
        <w:t xml:space="preserve">22.1开标由诺德招投标咨询服务（苏州）有限公司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22.2开标时，由诺德招投标咨询服务（苏州）有限公司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23、评标委员会</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23.1 开标后，诺德招投标咨询服务（苏州）有限公司将立即组织评标委员会（以下简称评委会）进行评标。</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23.2 评委会由评审专家、采购人代表组成，且人员构成符合政府采购有关规定。</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23.3 评委会应以科学、公正的态度参加评审工作并推荐中标候选人。评审专家和采购人代表在评审过程中不受任何干扰，独立、负责地提出评审意见，并对自己的评审意见承担责任。</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23.4 评委会将对投标人的商业、技术秘密予以保密。</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24、评标过程的保密</w:t>
      </w:r>
      <w:bookmarkEnd w:id="164"/>
      <w:r/>
      <w:bookmarkEnd w:id="165"/>
      <w:r/>
      <w:bookmarkEnd w:id="166"/>
      <w:r>
        <w:rPr>
          <w:rFonts w:hint="eastAsia" w:ascii="宋体" w:hAnsi="宋体" w:cs="宋体"/>
          <w:b/>
          <w:bCs/>
          <w:color w:val="000000" w:themeColor="text1"/>
          <w:sz w:val="24"/>
          <w:szCs w:val="24"/>
          <w:highlight w:val="none"/>
          <w14:textFill>
            <w14:solidFill>
              <w14:schemeClr w14:val="tx1"/>
            </w14:solidFill>
          </w14:textFill>
        </w:rPr>
        <w:t xml:space="preserve">与公正</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24.1 公开开标后，直至向中标的投标人授予合同时止，凡是与审查、澄清、评价和比较投标的有关资料以及授标建议等，均不得向投标人或与评标无关的其他人员透露。</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24.2 在评标过程中，如果投标人试图向诺德招投标咨询服务（苏州）有限公司和参与评标的人员施加任何影响，都将会导致其投标被拒绝。</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167" w:name="_Toc20823304"/>
      <w:r/>
      <w:bookmarkStart w:id="168" w:name="_Toc16938548"/>
      <w:r/>
      <w:bookmarkStart w:id="169" w:name="_Toc513029232"/>
      <w:r>
        <w:rPr>
          <w:rFonts w:hint="eastAsia" w:ascii="宋体" w:hAnsi="宋体" w:cs="宋体"/>
          <w:b/>
          <w:bCs/>
          <w:color w:val="000000" w:themeColor="text1"/>
          <w:sz w:val="24"/>
          <w:szCs w:val="24"/>
          <w:highlight w:val="none"/>
          <w14:textFill>
            <w14:solidFill>
              <w14:schemeClr w14:val="tx1"/>
            </w14:solidFill>
          </w14:textFill>
        </w:rPr>
        <w:t xml:space="preserve">25、投标的澄清</w:t>
      </w:r>
      <w:bookmarkEnd w:id="167"/>
      <w:r/>
      <w:bookmarkEnd w:id="168"/>
      <w:r/>
      <w:bookmarkEnd w:id="169"/>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25.1 评标期间，为有助于对投标文件的审查、评价和比较，评委会有权要求投标人对其投标文件进行澄清，但并非对每个投标人都作澄清要求。</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zh-CN"/>
          <w14:textFill>
            <w14:solidFill>
              <w14:schemeClr w14:val="tx1"/>
            </w14:solidFill>
          </w14:textFill>
        </w:rPr>
        <w:t xml:space="preserve">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color w:val="000000" w:themeColor="text1"/>
          <w:sz w:val="24"/>
          <w:szCs w:val="24"/>
          <w:highlight w:val="none"/>
          <w:lang w:val="zh-CN"/>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25.3 接到评委会澄清要求的投标人如未按规定做出澄清，其风险由投标人自行承担。</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170" w:name="_Toc20823305"/>
      <w:r/>
      <w:bookmarkStart w:id="171" w:name="_Toc16938549"/>
      <w:r/>
      <w:bookmarkStart w:id="172" w:name="_Toc513029233"/>
      <w:r>
        <w:rPr>
          <w:rFonts w:hint="eastAsia" w:ascii="宋体" w:hAnsi="宋体" w:cs="宋体"/>
          <w:b/>
          <w:bCs/>
          <w:color w:val="000000" w:themeColor="text1"/>
          <w:sz w:val="24"/>
          <w:szCs w:val="24"/>
          <w:highlight w:val="none"/>
          <w14:textFill>
            <w14:solidFill>
              <w14:schemeClr w14:val="tx1"/>
            </w14:solidFill>
          </w14:textFill>
        </w:rPr>
        <w:t xml:space="preserve">26、</w:t>
      </w:r>
      <w:bookmarkEnd w:id="170"/>
      <w:r/>
      <w:bookmarkEnd w:id="171"/>
      <w:r/>
      <w:bookmarkEnd w:id="172"/>
      <w:r>
        <w:rPr>
          <w:rFonts w:hint="eastAsia" w:ascii="宋体" w:hAnsi="宋体" w:cs="宋体"/>
          <w:b/>
          <w:bCs/>
          <w:color w:val="000000" w:themeColor="text1"/>
          <w:sz w:val="24"/>
          <w:szCs w:val="24"/>
          <w:highlight w:val="none"/>
          <w14:textFill>
            <w14:solidFill>
              <w14:schemeClr w14:val="tx1"/>
            </w14:solidFill>
          </w14:textFill>
        </w:rPr>
        <w:t xml:space="preserve">对投标文件的初审</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 投标文件初审分为资格审查和符合性审查。</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 资格性审查</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采购人或者采购代理机构依法对投标人的资格进行审查。</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26.1.1.1 关于信用查询：</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26.1.1.1.1 根据政府采购法及相关法规，以及苏州市财政局《关于印发苏州市市级政府采购信用记录查询和使用工作试行办法的通知》（苏财购（2017）11号）文件的规定，将对供应商进行信用查询。</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26.1.1.1.2 查询时间：投标文件递交截止时间。</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26.1.1.1.3 查询渠道：通过“信用中国”网站等渠道查询相关主体信用记录，以确定投标人是否具备投标资格，查询结果留存并归档。</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26.1.2 符合性审查：</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依据招标文件的规定，由评委会对投标文件进行审查，以确定是否对招标文件的实质性要求作出响应。</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26.3 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26.4 投标文件报价出现前后不一致的，按下列规定修正：</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（4）总价金额与按单价汇总金额不一致的，以单价金额计算结果为准。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同时出现两种以上不一致的，按照前款规定的顺序修正。修正后的报价按照财政部87号令第五十一条第二款的规定经投标人确认后产生约束力。</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26.5 评委会将允许修正投标文件中不构成重大偏离的、微小的、非正规的、不一致的或不规则的地方，但这些修改不能影响任何投标人相应的名次排列。</w:t>
      </w:r>
      <w:r/>
    </w:p>
    <w:p>
      <w:pPr>
        <w:ind w:firstLine="482"/>
        <w:spacing w:line="44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26.6异常低价投标审查</w:t>
      </w:r>
      <w:r/>
    </w:p>
    <w:p>
      <w:pPr>
        <w:ind w:firstLine="480"/>
        <w:jc w:val="left"/>
        <w:spacing w:line="44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26.6.1评审过程中出现下列情形之一的，评标委员会应当启动异常低价投标审查程序：</w:t>
      </w:r>
      <w:r/>
    </w:p>
    <w:p>
      <w:pPr>
        <w:ind w:firstLine="480"/>
        <w:jc w:val="left"/>
        <w:spacing w:line="44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1.投标（响应）报价低于全部通过符合性审查供应商投标（响应）报价平均50%的，即投标（响应）报价＜全部通过符合性审查供应商投标（响应）报价平均值×50%；</w:t>
      </w:r>
      <w:r/>
    </w:p>
    <w:p>
      <w:pPr>
        <w:ind w:firstLine="480"/>
        <w:jc w:val="left"/>
        <w:spacing w:line="44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480"/>
        <w:jc w:val="left"/>
        <w:spacing w:line="44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firstLine="480"/>
        <w:jc w:val="left"/>
        <w:spacing w:line="44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4.评标委员会基于专业判断，认为供应商报价过低，有可能影响产品质量或者不能诚信履约的其他情形。</w:t>
      </w:r>
      <w:r/>
    </w:p>
    <w:p>
      <w:pPr>
        <w:ind w:firstLine="480"/>
        <w:jc w:val="left"/>
        <w:spacing w:line="440" w:lineRule="exact"/>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26.6.2.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26.6.3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26.7 投标人在开、评标全过程中应保持通讯畅通，并安排专人与诺德招投标咨询服务（苏州）有限公司及评标委员会联系。</w:t>
      </w:r>
      <w:bookmarkStart w:id="173" w:name="EB8e3ec86c09a94dac9cc9034e6027ee19"/>
      <w:r/>
      <w:bookmarkEnd w:id="173"/>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bookmarkStart w:id="174" w:name="_Toc513029234"/>
      <w:r/>
      <w:bookmarkStart w:id="175" w:name="_Toc20823306"/>
      <w:r/>
      <w:bookmarkStart w:id="176" w:name="_Toc16938550"/>
      <w:r/>
      <w:bookmarkStart w:id="177" w:name="_Toc200451960"/>
      <w:r>
        <w:rPr>
          <w:rFonts w:hint="eastAsia" w:ascii="宋体" w:hAnsi="宋体" w:cs="宋体"/>
          <w:b/>
          <w:bCs/>
          <w:color w:val="000000" w:themeColor="text1"/>
          <w:sz w:val="24"/>
          <w:szCs w:val="24"/>
          <w:highlight w:val="none"/>
          <w14:textFill>
            <w14:solidFill>
              <w14:schemeClr w14:val="tx1"/>
            </w14:solidFill>
          </w14:textFill>
        </w:rPr>
        <w:t xml:space="preserve">27、</w:t>
      </w:r>
      <w:bookmarkEnd w:id="174"/>
      <w:r/>
      <w:bookmarkEnd w:id="175"/>
      <w:r/>
      <w:bookmarkEnd w:id="176"/>
      <w:r>
        <w:rPr>
          <w:rFonts w:hint="eastAsia" w:ascii="宋体" w:hAnsi="宋体" w:cs="宋体"/>
          <w:b/>
          <w:bCs/>
          <w:color w:val="000000" w:themeColor="text1"/>
          <w:sz w:val="24"/>
          <w:szCs w:val="24"/>
          <w:highlight w:val="none"/>
          <w14:textFill>
            <w14:solidFill>
              <w14:schemeClr w14:val="tx1"/>
            </w14:solidFill>
          </w14:textFill>
        </w:rPr>
        <w:t xml:space="preserve">无效投标条款和废标条款</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 无效投标条款</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 投标人未按照招标文件要求上传电子投标文件的；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27.1.2 投标人在规定时间内不解密投标文件或未成功解密投标文件的（因系统原因导致的除外)；</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27.1.3 投标文件中没有《开标一览表》或《开标一览表》未加盖投标人公章的；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27.1.4 投标文件中任何有选择的报价；</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27.1.5 投标文件报价出现前后不一致的，按招标文件规定修正后投标人不确认的；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27.1.6 不同投标人的投标文件由同一单位或者个人编制；</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27.1.7 不同投标人委托同一单位或者个人办理投标事宜；</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27.1.8 不同投标人的投标文件制作机器码一致的；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27.1.9 不同投标人的投标文件载明的项目管理成员或者联系人员为同一人；</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27.1.10 不同投标人的投标文件异常一致或者投标报价呈规律性差异；</w:t>
      </w:r>
      <w:r/>
    </w:p>
    <w:p>
      <w:pPr>
        <w:ind w:firstLine="420"/>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27.1.11 </w:t>
      </w:r>
      <w:r>
        <w:rPr>
          <w:rFonts w:hint="eastAsia" w:ascii="宋体" w:hAnsi="宋体" w:cs="宋体"/>
          <w:b/>
          <w:bCs/>
          <w:color w:val="000000" w:themeColor="text1"/>
          <w:sz w:val="24"/>
          <w:szCs w:val="24"/>
          <w:highlight w:val="none"/>
          <w14:textFill>
            <w14:solidFill>
              <w14:schemeClr w14:val="tx1"/>
            </w14:solidFill>
          </w14:textFill>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27.1.13 供应商被列入失信被执行人名单、重大税收违法失信主体名单、政府采购严重违法失信行为记录名单以及其他不符合《中华人民共和国政府采购法》第二十二条规定条件的信用记录的；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27.1.14 不同供应商的单位负责人为同一人或者存在直接控股、管理关系的；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27.1.15 为采购项目提供整体设计、规范编制或者项目管理、监理、检测等服务的；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27.1.16 资格证明文件中要求加盖公章而未加盖公章的；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27.1.17 投标文件未按招标文件要求签署、盖章的；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27.1.18 不具备招标文件中规定的资格要求或未按招标文件规定的要求提供资格证明文件的；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27.1.19 报价超过招标文件中规定的预算金额或者最高限价的；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27.1.20 投标文件含有采购人不能接受的附加条件的；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27.1.21 不响应招标文件中规定的实质性要求的（本招标文件中斜体且有下划线部分为实质性要求）</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27.1.22 法律、法规和采购文件规定的其他无效情形；</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27.2 废标条款：</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(2)出现影响采购公正的违法、违规行为的；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(4)因重大变故，采购任务取消的；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(5)因苏采云系统系统故障原因造成开标不成功的。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 投标截止时间结束后参加投标的供应商不足三家的处理：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27.3.1 如出现投标截止时间结束后参加投标的供应商或者在评标期间对招标文件做出实质响应的供应商不足三家情况，按财政部第87号令第四十三条的规定执行。</w:t>
      </w:r>
      <w:bookmarkStart w:id="178" w:name="EB369a3ca3706348fd9a6451dab4968a5b"/>
      <w:r/>
      <w:bookmarkEnd w:id="178"/>
      <w:r/>
      <w:r/>
    </w:p>
    <w:p>
      <w:pPr>
        <w:jc w:val="left"/>
        <w:keepLines/>
        <w:keepNext/>
        <w:spacing w:before="120" w:after="120" w:line="440" w:lineRule="exact"/>
        <w:rPr>
          <w:rFonts w:hint="eastAsia" w:ascii="宋体" w:hAnsi="宋体" w:cs="宋体"/>
          <w:b/>
          <w:bCs/>
          <w:color w:val="000000" w:themeColor="text1"/>
          <w:sz w:val="28"/>
          <w:szCs w:val="44"/>
          <w:highlight w:val="none"/>
          <w14:textFill>
            <w14:solidFill>
              <w14:schemeClr w14:val="tx1"/>
            </w14:solidFill>
          </w14:textFill>
        </w:rPr>
        <w:outlineLvl w:val="1"/>
      </w:pPr>
      <w:r/>
      <w:bookmarkStart w:id="179" w:name="_Toc513029235"/>
      <w:r/>
      <w:bookmarkStart w:id="180" w:name="_Toc16938551"/>
      <w:r/>
      <w:bookmarkStart w:id="181" w:name="_Toc20823307"/>
      <w:r/>
      <w:bookmarkStart w:id="182" w:name="_Toc21043"/>
      <w:r/>
      <w:bookmarkStart w:id="183" w:name="_Toc120614219"/>
      <w:r/>
      <w:bookmarkStart w:id="184" w:name="_Toc54615244"/>
      <w:r/>
      <w:bookmarkStart w:id="185" w:name="_Toc24597"/>
      <w:r/>
      <w:bookmarkStart w:id="186" w:name="_Toc21531"/>
      <w:r/>
      <w:bookmarkStart w:id="187" w:name="_Toc35266025"/>
      <w:r/>
      <w:bookmarkStart w:id="188" w:name="_Toc38368125"/>
      <w:r/>
      <w:bookmarkStart w:id="189" w:name="_Toc11811"/>
      <w:r/>
      <w:bookmarkStart w:id="190" w:name="_Toc160524317"/>
      <w:r/>
      <w:bookmarkStart w:id="191" w:name="_Toc15548"/>
      <w:r>
        <w:rPr>
          <w:rFonts w:hint="eastAsia" w:ascii="宋体" w:hAnsi="宋体" w:cs="宋体"/>
          <w:b/>
          <w:bCs/>
          <w:color w:val="000000" w:themeColor="text1"/>
          <w:sz w:val="28"/>
          <w:szCs w:val="44"/>
          <w:highlight w:val="none"/>
          <w14:textFill>
            <w14:solidFill>
              <w14:schemeClr w14:val="tx1"/>
            </w14:solidFill>
          </w14:textFill>
        </w:rPr>
        <w:t xml:space="preserve">六、</w:t>
      </w:r>
      <w:bookmarkEnd w:id="179"/>
      <w:r/>
      <w:bookmarkEnd w:id="180"/>
      <w:r/>
      <w:bookmarkEnd w:id="181"/>
      <w:r>
        <w:rPr>
          <w:rFonts w:hint="eastAsia" w:ascii="宋体" w:hAnsi="宋体" w:cs="宋体"/>
          <w:b/>
          <w:bCs/>
          <w:color w:val="000000" w:themeColor="text1"/>
          <w:sz w:val="28"/>
          <w:szCs w:val="44"/>
          <w:highlight w:val="none"/>
          <w14:textFill>
            <w14:solidFill>
              <w14:schemeClr w14:val="tx1"/>
            </w14:solidFill>
          </w14:textFill>
        </w:rPr>
        <w:t xml:space="preserve">定标</w:t>
      </w:r>
      <w:bookmarkEnd w:id="182"/>
      <w:r/>
      <w:bookmarkEnd w:id="183"/>
      <w:r/>
      <w:bookmarkEnd w:id="184"/>
      <w:r/>
      <w:bookmarkEnd w:id="185"/>
      <w:r/>
      <w:bookmarkEnd w:id="186"/>
      <w:r/>
      <w:bookmarkEnd w:id="187"/>
      <w:r/>
      <w:bookmarkEnd w:id="188"/>
      <w:r/>
      <w:bookmarkEnd w:id="189"/>
      <w:r/>
      <w:bookmarkEnd w:id="190"/>
      <w:r/>
      <w:bookmarkEnd w:id="191"/>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bookmarkStart w:id="192" w:name="_Toc513029238"/>
      <w:r/>
      <w:bookmarkStart w:id="193" w:name="_Toc16938554"/>
      <w:r/>
      <w:bookmarkStart w:id="194" w:name="_Toc20823310"/>
      <w:r>
        <w:rPr>
          <w:rFonts w:hint="eastAsia" w:ascii="宋体" w:hAnsi="宋体" w:cs="宋体"/>
          <w:b/>
          <w:bCs/>
          <w:color w:val="000000" w:themeColor="text1"/>
          <w:sz w:val="24"/>
          <w:szCs w:val="24"/>
          <w:highlight w:val="none"/>
          <w14:textFill>
            <w14:solidFill>
              <w14:schemeClr w14:val="tx1"/>
            </w14:solidFill>
          </w14:textFill>
        </w:rPr>
        <w:t xml:space="preserve">28、</w:t>
      </w:r>
      <w:bookmarkEnd w:id="192"/>
      <w:r>
        <w:rPr>
          <w:rFonts w:hint="eastAsia" w:ascii="宋体" w:hAnsi="宋体" w:cs="宋体"/>
          <w:b/>
          <w:bCs/>
          <w:color w:val="000000" w:themeColor="text1"/>
          <w:sz w:val="24"/>
          <w:szCs w:val="24"/>
          <w:highlight w:val="none"/>
          <w14:textFill>
            <w14:solidFill>
              <w14:schemeClr w14:val="tx1"/>
            </w14:solidFill>
          </w14:textFill>
        </w:rPr>
        <w:t xml:space="preserve">确定</w:t>
      </w:r>
      <w:bookmarkEnd w:id="193"/>
      <w:r/>
      <w:bookmarkEnd w:id="194"/>
      <w:r>
        <w:rPr>
          <w:rFonts w:hint="eastAsia" w:ascii="宋体" w:hAnsi="宋体" w:cs="宋体"/>
          <w:b/>
          <w:bCs/>
          <w:color w:val="000000" w:themeColor="text1"/>
          <w:sz w:val="24"/>
          <w:szCs w:val="24"/>
          <w:highlight w:val="none"/>
          <w14:textFill>
            <w14:solidFill>
              <w14:schemeClr w14:val="tx1"/>
            </w14:solidFill>
          </w14:textFill>
        </w:rPr>
        <w:t xml:space="preserve">中标单位</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28.1 评委会根据本招标文件规定评标办法与评标标准向采购人推荐出3名中标候选人。</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28.2 中标候选人依据得分由高到低进行排名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采购人应根据评委会推荐的中标候选人确定中标人。依据财政部94号令第十六条第（二）项规定，如果中标人的中标资格因故被取消的，新的中标人按相关规定确定。</w:t>
      </w:r>
      <w:bookmarkEnd w:id="177"/>
      <w:r/>
      <w:bookmarkStart w:id="195" w:name="EBfa38c9fe4db84c47a946c1558a3ddb8f"/>
      <w:r/>
      <w:bookmarkEnd w:id="195"/>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28.3 自中标人确定之日起2个工作日内，中标结果将在省级以上财政部门指定的媒体上进行公告，公告期限为1个工作日。</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28.4 若有充分证据证明，中标人出现下列情况之一的，一经查实，中标无效：</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（1）提供虚假材料谋取中标的；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（2）采取不正当手段诋毁、排挤其他供应商的；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（3）与采购人、其他供应商或者采购代理机构恶意串通的；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（5）在招标采购过程中与采购人进行协商谈判的；</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（6）向评标委员会行贿或者提供其他不正当利益。</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29、询问和质疑</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 询问形式</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29.1.1 供应商对政府采购活动事项有疑问的，可以联系采购人或诺德招投标咨询服务（苏州）有限公司。</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29.1.2 采购人或诺德招投标咨询服务（苏州）有限公司将在3个工作日内作出答复，答复的内容不涉及商业秘密。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 质疑形式</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29.2.1供应商认为采购文件、采购过程和中标结果使自己的合法权益受到损害的，可以在知道或者应当知道其权益受到损害之日起七个工作日内，以书面形式提出质疑（涉及采购方式、采购需求、供应商资格条件、评标方法和评标标准、合同文本，向采购单位提出；涉及采购程序问题的，向诺德招投标咨询服务（苏州）有限公司提出）。非书面形式、七个工作日之外提交的质疑将不予受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29.2.2质疑必须按《政府采购法》、《政府采购法实施条例》及财政部94号令的相关规定提交，未按上述要求提交的质疑函诺德招投标咨询服务（苏州）有限公司有权不予受理。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29.2.3质疑函应当包括下列内容：</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（1）供应商的姓名或者名称、地址、邮编、联系人及联系电话；</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（2）质疑项目的名称、编号；</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（3）具体、明确的质疑事项和与质疑事项相关的请求；</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（4）事实依据；</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（5）必要的法律依据；</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（6）提出质疑的日期。</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29.2.4质疑函应当由法定代表人、主要负责人，或者其授权代表签字或者盖章，并加盖公章。匿名提交的质疑将不予受理。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29.2.5质疑的送达方式</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29.2.5.1质疑函应采用邮寄送达或直接送达的方式递交，采用其他方式送达（含传真、电子邮件等）的，代理公司有权不予受理。</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29.3 特别提示</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29.3.1 根据财政部94号令第十一条规定，提出质疑的供应商应当是参与所质疑项目采购活动的供应商。</w:t>
      </w:r>
      <w:r>
        <w:rPr>
          <w:rFonts w:hint="eastAsia" w:ascii="宋体" w:hAnsi="宋体" w:cs="宋体"/>
          <w:b/>
          <w:bCs/>
          <w:color w:val="000000" w:themeColor="text1"/>
          <w:sz w:val="24"/>
          <w:szCs w:val="24"/>
          <w:highlight w:val="none"/>
          <w:lang w:val="zh-CN"/>
          <w14:textFill>
            <w14:solidFill>
              <w14:schemeClr w14:val="tx1"/>
            </w14:solidFill>
          </w14:textFill>
        </w:rPr>
        <w:t xml:space="preserve">因此凡是对招标文件提出质疑的供应商，必须是依法获取招标文件，请将合法获取招标文件的证明材料（即《投标供应商确认函》）与质疑函一起递交，否则不予受理。</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29.3.2 供应商在法定质疑期内应一次性提出针对同一采购程序环节的质疑。</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29.3.3 供应商提出质疑必须有理、有据，不得恶意质疑或提交虚假质疑。否则，一经查实，采购人或诺德招投标咨询服务（苏州）有限公司有权依据政府采购的有关规定，报请政府采购监管部门对该投标人进行相应的行政处罚。</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29.4 其他</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29.4.1 采购人或诺德招投标咨询服务（苏州）有限公司将在收到供应商的质疑后七个工作日内作出答复，答复的内容不涉及商业秘密。</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30、中标通知书</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30.1 在中标结果确定后2个工作日内，诺德招投标咨询服务（苏州）有限公司向中标供应商发出中标通知书。</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30.2 中标通知书将是合同的一个组成部分。对采购人和中标供应商均具有法律效力。中标通知书发出后，采购人改变中标结果的，或者中标供应商放弃中标项目的，应当依法承担法律责任。</w:t>
      </w:r>
      <w:r/>
    </w:p>
    <w:p>
      <w:pPr>
        <w:jc w:val="left"/>
        <w:keepLines/>
        <w:keepNext/>
        <w:spacing w:before="120" w:after="120" w:line="440" w:lineRule="exact"/>
        <w:rPr>
          <w:rFonts w:hint="eastAsia" w:ascii="宋体" w:hAnsi="宋体" w:cs="宋体"/>
          <w:b/>
          <w:bCs/>
          <w:color w:val="000000" w:themeColor="text1"/>
          <w:sz w:val="28"/>
          <w:szCs w:val="44"/>
          <w:highlight w:val="none"/>
          <w14:textFill>
            <w14:solidFill>
              <w14:schemeClr w14:val="tx1"/>
            </w14:solidFill>
          </w14:textFill>
        </w:rPr>
        <w:outlineLvl w:val="1"/>
      </w:pPr>
      <w:r/>
      <w:bookmarkStart w:id="196" w:name="_Toc28442"/>
      <w:r/>
      <w:bookmarkStart w:id="197" w:name="_Toc12213"/>
      <w:r/>
      <w:bookmarkStart w:id="198" w:name="_Toc28756"/>
      <w:r/>
      <w:bookmarkStart w:id="199" w:name="_Toc22832"/>
      <w:r/>
      <w:bookmarkStart w:id="200" w:name="_Toc26678"/>
      <w:r>
        <w:rPr>
          <w:rFonts w:hint="eastAsia" w:ascii="宋体" w:hAnsi="宋体" w:cs="宋体"/>
          <w:b/>
          <w:bCs/>
          <w:color w:val="000000" w:themeColor="text1"/>
          <w:sz w:val="28"/>
          <w:szCs w:val="44"/>
          <w:highlight w:val="none"/>
          <w14:textFill>
            <w14:solidFill>
              <w14:schemeClr w14:val="tx1"/>
            </w14:solidFill>
          </w14:textFill>
        </w:rPr>
        <w:t xml:space="preserve">七、授予合同</w:t>
      </w:r>
      <w:bookmarkEnd w:id="196"/>
      <w:r/>
      <w:bookmarkEnd w:id="197"/>
      <w:r/>
      <w:bookmarkEnd w:id="198"/>
      <w:r/>
      <w:bookmarkEnd w:id="199"/>
      <w:r/>
      <w:bookmarkEnd w:id="200"/>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31. 签订合同</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31.l 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31.2 招标文件、中标人的投标文件及招标过程中有关澄清、承诺文件均应作为合同附件。</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31.3 依据《政府采购促进中小企业发展管理办法》（财库〔2020〕46号）规定，依据本办法规定享受扶持政策获得政府采购合同的，小微企业不得将合同分包给大中型企业，中型企业不得将合同分包给大型企业。</w:t>
      </w:r>
      <w:r/>
    </w:p>
    <w:p>
      <w:pPr>
        <w:ind w:firstLine="480"/>
        <w:jc w:val="left"/>
        <w:keepLines/>
        <w:keepNext/>
        <w:spacing w:line="440" w:lineRule="exact"/>
        <w:rPr>
          <w:rFonts w:hint="eastAsia"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32、履约保证金</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32.1 </w:t>
      </w:r>
      <w:r>
        <w:rPr>
          <w:rFonts w:hint="eastAsia" w:ascii="宋体" w:hAnsi="宋体" w:cs="宋体"/>
          <w:color w:val="000000" w:themeColor="text1"/>
          <w:sz w:val="24"/>
          <w:highlight w:val="none"/>
          <w14:textFill>
            <w14:solidFill>
              <w14:schemeClr w14:val="tx1"/>
            </w14:solidFill>
          </w14:textFill>
        </w:rPr>
        <w:t xml:space="preserve">合同签订前，中标人向采购人交付的履约保证金为合同总价款2%。</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32.2 履约保证金必须是人民币。履约保证金应当以支票、汇票、本票或者金融机构、担保机构出具的履约保函（保险）等非现金形式提交。</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32.3 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33、货物和服务的追加、减少和添购</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33.1 政府采购合同履行中，采购人需追加与合同标的相同的货物和服务的，在不改变合同其他条款的前提下，可以与中标人协商签订补充合同，但所有补充合同的采购金额不超过原合同金额10%。</w:t>
      </w:r>
      <w:r/>
    </w:p>
    <w:p>
      <w:pPr>
        <w:ind w:firstLine="42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33.2 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jc w:val="left"/>
        <w:keepLines/>
        <w:keepNext/>
        <w:spacing w:line="440" w:lineRule="exact"/>
        <w:rPr>
          <w:rFonts w:hint="eastAsia"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14:textFill>
            <w14:solidFill>
              <w14:schemeClr w14:val="tx1"/>
            </w14:solidFill>
          </w14:textFill>
        </w:rPr>
        <w:t xml:space="preserve">34、监督</w:t>
      </w:r>
      <w:r/>
    </w:p>
    <w:p>
      <w:pPr>
        <w:ind w:firstLine="480"/>
        <w:jc w:val="left"/>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34.1 政府有关监督部门将对投标全过程进行监督。</w:t>
      </w:r>
      <w:r/>
    </w:p>
    <w:p>
      <w:pPr>
        <w:pStyle w:val="83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jc w:val="left"/>
        <w:spacing w:line="440" w:lineRule="exact"/>
        <w:rPr>
          <w:rFonts w:hint="eastAsia" w:ascii="宋体" w:hAnsi="宋体" w:cs="宋体"/>
          <w:color w:val="000000" w:themeColor="text1"/>
          <w:sz w:val="24"/>
          <w:szCs w:val="24"/>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sectPr>
      </w:pPr>
      <w:r/>
      <w:bookmarkStart w:id="201" w:name="_Toc160715772"/>
      <w:r/>
      <w:bookmarkStart w:id="202" w:name="_Toc31946"/>
      <w:r/>
      <w:bookmarkStart w:id="203" w:name="_Toc25402"/>
      <w:r/>
      <w:r/>
    </w:p>
    <w:p>
      <w:pPr>
        <w:pStyle w:val="980"/>
        <w:rPr>
          <w:rFonts w:hint="eastAsia"/>
          <w:color w:val="000000" w:themeColor="text1"/>
          <w:highlight w:val="none"/>
          <w14:textFill>
            <w14:solidFill>
              <w14:schemeClr w14:val="tx1"/>
            </w14:solidFill>
          </w14:textFill>
        </w:rPr>
      </w:pPr>
      <w:r/>
      <w:bookmarkStart w:id="204" w:name="_Toc14969"/>
      <w:r>
        <w:rPr>
          <w:color w:val="000000" w:themeColor="text1"/>
          <w:highlight w:val="none"/>
          <w14:textFill>
            <w14:solidFill>
              <w14:schemeClr w14:val="tx1"/>
            </w14:solidFill>
          </w14:textFill>
        </w:rPr>
        <w:t xml:space="preserve">第三章 合同条款及</w:t>
      </w:r>
      <w:bookmarkEnd w:id="21"/>
      <w:r/>
      <w:bookmarkEnd w:id="22"/>
      <w:r/>
      <w:bookmarkEnd w:id="23"/>
      <w:r/>
      <w:bookmarkEnd w:id="24"/>
      <w:r/>
      <w:bookmarkEnd w:id="25"/>
      <w:r>
        <w:rPr>
          <w:color w:val="000000" w:themeColor="text1"/>
          <w:highlight w:val="none"/>
          <w14:textFill>
            <w14:solidFill>
              <w14:schemeClr w14:val="tx1"/>
            </w14:solidFill>
          </w14:textFill>
        </w:rPr>
        <w:t xml:space="preserve">格式</w:t>
      </w:r>
      <w:bookmarkEnd w:id="26"/>
      <w:r/>
      <w:bookmarkEnd w:id="27"/>
      <w:r/>
      <w:bookmarkEnd w:id="28"/>
      <w:r/>
      <w:bookmarkEnd w:id="201"/>
      <w:r/>
      <w:bookmarkEnd w:id="202"/>
      <w:r/>
      <w:bookmarkEnd w:id="203"/>
      <w:r/>
      <w:bookmarkEnd w:id="204"/>
      <w:r/>
      <w:r/>
    </w:p>
    <w:p>
      <w:pPr>
        <w:ind w:firstLine="480"/>
        <w:rPr>
          <w:bCs/>
          <w:color w:val="000000" w:themeColor="text1"/>
          <w:sz w:val="24"/>
          <w:highlight w:val="none"/>
          <w14:textFill>
            <w14:solidFill>
              <w14:schemeClr w14:val="tx1"/>
            </w14:solidFill>
          </w14:textFill>
        </w:rPr>
      </w:pPr>
      <w:r/>
      <w:bookmarkStart w:id="205" w:name="EB445c3bd035294764b52dfc379b7b9568"/>
      <w:r>
        <w:rPr>
          <w:bCs/>
          <w:color w:val="000000" w:themeColor="text1"/>
          <w:sz w:val="24"/>
          <w:highlight w:val="none"/>
          <w14:textFill>
            <w14:solidFill>
              <w14:schemeClr w14:val="tx1"/>
            </w14:solidFill>
          </w14:textFill>
        </w:rPr>
        <w:t xml:space="preserve">以下为中标</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成交</w:t>
      </w:r>
      <w:r>
        <w:rPr>
          <w:rFonts w:hint="eastAsia"/>
          <w:bCs/>
          <w:color w:val="000000" w:themeColor="text1"/>
          <w:sz w:val="24"/>
          <w:highlight w:val="none"/>
          <w14:textFill>
            <w14:solidFill>
              <w14:schemeClr w14:val="tx1"/>
            </w14:solidFill>
          </w14:textFill>
        </w:rPr>
        <w:t xml:space="preserve">）</w:t>
      </w:r>
      <w:r>
        <w:rPr>
          <w:bCs/>
          <w:color w:val="000000" w:themeColor="text1"/>
          <w:sz w:val="24"/>
          <w:highlight w:val="none"/>
          <w14:textFill>
            <w14:solidFill>
              <w14:schemeClr w14:val="tx1"/>
            </w14:solidFill>
          </w14:textFill>
        </w:rPr>
        <w:t xml:space="preserve">后签定本项目合同的通用条款，中标(成交)供应商不得提出实质性的修改。</w:t>
      </w:r>
      <w:bookmarkEnd w:id="205"/>
      <w:r/>
      <w:r/>
    </w:p>
    <w:p>
      <w:pPr>
        <w:jc w:val="center"/>
        <w:rPr>
          <w:rFonts w:ascii="Times New Roman" w:hAnsi="Times New Roman"/>
          <w:b/>
          <w:bCs/>
          <w:color w:val="000000" w:themeColor="text1"/>
          <w:sz w:val="32"/>
          <w:szCs w:val="32"/>
          <w:highlight w:val="none"/>
          <w14:textFill>
            <w14:solidFill>
              <w14:schemeClr w14:val="tx1"/>
            </w14:solidFill>
          </w14:textFill>
        </w:rPr>
      </w:pPr>
      <w:r/>
      <w:bookmarkStart w:id="206" w:name="_Hlt16619350"/>
      <w:r/>
      <w:bookmarkStart w:id="207" w:name="_Toc16938590"/>
      <w:r/>
      <w:bookmarkStart w:id="208" w:name="_Toc38368128"/>
      <w:r/>
      <w:bookmarkStart w:id="209" w:name="_Toc54615246"/>
      <w:r/>
      <w:bookmarkStart w:id="210" w:name="_Toc20823346"/>
      <w:r/>
      <w:bookmarkStart w:id="211" w:name="_Toc35266028"/>
      <w:r/>
      <w:bookmarkStart w:id="212" w:name="_Toc120614244"/>
      <w:r>
        <w:rPr>
          <w:rFonts w:hint="eastAsia" w:ascii="Times New Roman" w:hAnsi="Times New Roman"/>
          <w:b/>
          <w:bCs/>
          <w:color w:val="000000" w:themeColor="text1"/>
          <w:sz w:val="32"/>
          <w:szCs w:val="32"/>
          <w:highlight w:val="none"/>
          <w14:textFill>
            <w14:solidFill>
              <w14:schemeClr w14:val="tx1"/>
            </w14:solidFill>
          </w14:textFill>
        </w:rPr>
        <w:t xml:space="preserve">张家港市政府采购合同</w:t>
      </w:r>
      <w:bookmarkStart w:id="213" w:name="_Hlk65328514"/>
      <w:r/>
      <w:r/>
    </w:p>
    <w:p>
      <w:pPr>
        <w:ind w:left="118" w:firstLine="360"/>
        <w:jc w:val="left"/>
        <w:spacing w:before="125" w:line="360" w:lineRule="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项目名称：</w:t>
      </w:r>
      <w:r>
        <w:rPr>
          <w:rFonts w:hint="eastAsia" w:ascii="宋体" w:hAnsi="宋体"/>
          <w:color w:val="000000" w:themeColor="text1"/>
          <w:sz w:val="24"/>
          <w:szCs w:val="24"/>
          <w:highlight w:val="none"/>
          <w:u w:val="single"/>
          <w14:textFill>
            <w14:solidFill>
              <w14:schemeClr w14:val="tx1"/>
            </w14:solidFill>
          </w14:textFill>
        </w:rPr>
        <w:t xml:space="preserve">                      </w:t>
      </w:r>
      <w:r/>
    </w:p>
    <w:p>
      <w:pPr>
        <w:ind w:left="118" w:firstLine="360"/>
        <w:jc w:val="left"/>
        <w:spacing w:before="125" w:line="360" w:lineRule="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u w:val="single"/>
          <w14:textFill>
            <w14:solidFill>
              <w14:schemeClr w14:val="tx1"/>
            </w14:solidFill>
          </w14:textFill>
        </w:rPr>
        <w:t xml:space="preserve">                      </w:t>
      </w:r>
      <w:r/>
    </w:p>
    <w:p>
      <w:pPr>
        <w:ind w:left="118" w:firstLine="360"/>
        <w:jc w:val="left"/>
        <w:spacing w:before="125"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甲方：（买方）</w:t>
      </w:r>
      <w:r>
        <w:rPr>
          <w:rFonts w:ascii="宋体" w:hAnsi="宋体"/>
          <w:color w:val="000000" w:themeColor="text1"/>
          <w:sz w:val="22"/>
          <w:highlight w:val="none"/>
          <w:u w:val="single"/>
          <w14:textFill>
            <w14:solidFill>
              <w14:schemeClr w14:val="tx1"/>
            </w14:solidFill>
          </w14:textFill>
        </w:rPr>
        <w:t xml:space="preserve">     </w:t>
      </w:r>
      <w:r>
        <w:rPr>
          <w:rFonts w:hint="eastAsia" w:ascii="宋体" w:hAnsi="宋体"/>
          <w:color w:val="000000" w:themeColor="text1"/>
          <w:sz w:val="22"/>
          <w:highlight w:val="none"/>
          <w:u w:val="single"/>
          <w14:textFill>
            <w14:solidFill>
              <w14:schemeClr w14:val="tx1"/>
            </w14:solidFill>
          </w14:textFill>
        </w:rPr>
        <w:t xml:space="preserve">   </w:t>
      </w:r>
      <w:r>
        <w:rPr>
          <w:rFonts w:ascii="宋体" w:hAnsi="宋体"/>
          <w:color w:val="000000" w:themeColor="text1"/>
          <w:sz w:val="22"/>
          <w:highlight w:val="none"/>
          <w:u w:val="single"/>
          <w14:textFill>
            <w14:solidFill>
              <w14:schemeClr w14:val="tx1"/>
            </w14:solidFill>
          </w14:textFill>
        </w:rPr>
        <w:t xml:space="preserve"> </w:t>
      </w:r>
      <w:r>
        <w:rPr>
          <w:rFonts w:hint="eastAsia" w:ascii="宋体" w:hAnsi="宋体"/>
          <w:color w:val="000000" w:themeColor="text1"/>
          <w:sz w:val="22"/>
          <w:highlight w:val="none"/>
          <w:u w:val="single"/>
          <w14:textFill>
            <w14:solidFill>
              <w14:schemeClr w14:val="tx1"/>
            </w14:solidFill>
          </w14:textFill>
        </w:rPr>
        <w:t xml:space="preserve">         </w:t>
      </w:r>
      <w:r>
        <w:rPr>
          <w:rFonts w:ascii="宋体" w:hAnsi="宋体"/>
          <w:color w:val="000000" w:themeColor="text1"/>
          <w:sz w:val="22"/>
          <w:highlight w:val="none"/>
          <w:u w:val="single"/>
          <w14:textFill>
            <w14:solidFill>
              <w14:schemeClr w14:val="tx1"/>
            </w14:solidFill>
          </w14:textFill>
        </w:rPr>
        <w:t xml:space="preserve"> </w:t>
      </w:r>
      <w:r>
        <w:rPr>
          <w:rFonts w:hint="eastAsia" w:ascii="宋体" w:hAnsi="宋体"/>
          <w:color w:val="000000" w:themeColor="text1"/>
          <w:sz w:val="22"/>
          <w:highlight w:val="none"/>
          <w:u w:val="single"/>
          <w14:textFill>
            <w14:solidFill>
              <w14:schemeClr w14:val="tx1"/>
            </w14:solidFill>
          </w14:textFill>
        </w:rPr>
        <w:t xml:space="preserve"> </w:t>
      </w:r>
      <w:r/>
    </w:p>
    <w:p>
      <w:pPr>
        <w:ind w:left="118" w:firstLine="360"/>
        <w:jc w:val="left"/>
        <w:spacing w:before="125" w:line="360" w:lineRule="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乙方：（卖方）</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p>
    <w:p>
      <w:pPr>
        <w:ind w:left="118" w:firstLine="360"/>
        <w:jc w:val="left"/>
        <w:spacing w:before="125" w:line="360" w:lineRule="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甲、乙双方根据</w:t>
      </w:r>
      <w:r>
        <w:rPr>
          <w:rFonts w:hint="eastAsia" w:ascii="宋体" w:hAnsi="宋体"/>
          <w:color w:val="000000" w:themeColor="text1"/>
          <w:sz w:val="24"/>
          <w:szCs w:val="24"/>
          <w:highlight w:val="none"/>
          <w14:textFill>
            <w14:solidFill>
              <w14:schemeClr w14:val="tx1"/>
            </w14:solidFill>
          </w14:textFill>
        </w:rPr>
        <w:t xml:space="preserve">诺德招投标咨询服务（苏州）有限公司</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项目公开招</w:t>
      </w:r>
      <w:r>
        <w:rPr>
          <w:rFonts w:ascii="宋体" w:hAnsi="宋体" w:cs="宋体"/>
          <w:color w:val="000000" w:themeColor="text1"/>
          <w:sz w:val="24"/>
          <w:szCs w:val="24"/>
          <w:highlight w:val="none"/>
          <w14:textFill>
            <w14:solidFill>
              <w14:schemeClr w14:val="tx1"/>
            </w14:solidFill>
          </w14:textFill>
        </w:rPr>
        <w:t xml:space="preserve">标的结果，签署本合同。</w:t>
      </w:r>
      <w:bookmarkEnd w:id="213"/>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一、服务内容</w:t>
      </w:r>
      <w:r/>
    </w:p>
    <w:tbl>
      <w:tblPr>
        <w:tblStyle w:val="802"/>
        <w:tblW w:w="0" w:type="auto"/>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06"/>
        <w:gridCol w:w="3191"/>
        <w:gridCol w:w="2901"/>
      </w:tblGrid>
      <w:tr>
        <w:trPr>
          <w:cantSplit/>
          <w:trHeight w:val="567"/>
        </w:trPr>
        <w:tc>
          <w:tcPr>
            <w:tcW w:w="3006" w:type="dxa"/>
            <w:vAlign w:val="center"/>
            <w:textDirection w:val="lrTb"/>
            <w:noWrap w:val="false"/>
          </w:tcPr>
          <w:p>
            <w:pPr>
              <w:jc w:val="center"/>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项目名称</w:t>
            </w:r>
            <w:r/>
          </w:p>
        </w:tc>
        <w:tc>
          <w:tcPr>
            <w:tcW w:w="3191" w:type="dxa"/>
            <w:vAlign w:val="center"/>
            <w:textDirection w:val="lrTb"/>
            <w:noWrap w:val="false"/>
          </w:tcPr>
          <w:p>
            <w:pPr>
              <w:ind w:firstLine="480"/>
              <w:jc w:val="center"/>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总价（元）</w:t>
            </w:r>
            <w:r/>
          </w:p>
        </w:tc>
        <w:tc>
          <w:tcPr>
            <w:tcW w:w="2901" w:type="dxa"/>
            <w:vAlign w:val="center"/>
            <w:textDirection w:val="lrTb"/>
            <w:noWrap w:val="false"/>
          </w:tcPr>
          <w:p>
            <w:pPr>
              <w:ind w:firstLine="240"/>
              <w:jc w:val="center"/>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服务内容</w:t>
            </w:r>
            <w:r/>
          </w:p>
        </w:tc>
      </w:tr>
      <w:tr>
        <w:trPr>
          <w:cantSplit/>
          <w:trHeight w:val="1058"/>
        </w:trPr>
        <w:tc>
          <w:tcPr>
            <w:tcW w:w="3006" w:type="dxa"/>
            <w:vAlign w:val="center"/>
            <w:textDirection w:val="lrTb"/>
            <w:noWrap w:val="false"/>
          </w:tcPr>
          <w:p>
            <w:pPr>
              <w:jc w:val="center"/>
              <w:spacing w:line="440" w:lineRule="exact"/>
              <w:rPr>
                <w:rFonts w:hint="eastAsia" w:ascii="宋体" w:hAnsi="宋体" w:cs="宋体"/>
                <w:color w:val="000000" w:themeColor="text1"/>
                <w:sz w:val="24"/>
                <w:szCs w:val="24"/>
                <w:highlight w:val="none"/>
                <w14:textFill>
                  <w14:solidFill>
                    <w14:schemeClr w14:val="tx1"/>
                  </w14:solidFill>
                </w14:textFill>
              </w:rPr>
            </w:pPr>
            <w:r/>
            <w:bookmarkStart w:id="214" w:name="biaoduanname_3"/>
            <w:r/>
            <w:bookmarkEnd w:id="214"/>
            <w:r>
              <w:rPr>
                <w:rFonts w:hint="eastAsia" w:ascii="宋体" w:hAnsi="宋体" w:cs="宋体"/>
                <w:color w:val="000000" w:themeColor="text1"/>
                <w:sz w:val="24"/>
                <w:szCs w:val="24"/>
                <w:highlight w:val="none"/>
                <w14:textFill>
                  <w14:solidFill>
                    <w14:schemeClr w14:val="tx1"/>
                  </w14:solidFill>
                </w14:textFill>
              </w:rPr>
              <w:t xml:space="preserve">大新镇镇区一体化保洁及厨余等垃圾清运项目</w:t>
            </w:r>
            <w:r/>
          </w:p>
        </w:tc>
        <w:tc>
          <w:tcPr>
            <w:tcW w:w="3191" w:type="dxa"/>
            <w:vAlign w:val="center"/>
            <w:textDirection w:val="lrTb"/>
            <w:noWrap w:val="false"/>
          </w:tcPr>
          <w:p>
            <w:pPr>
              <w:jc w:val="center"/>
              <w:spacing w:line="440" w:lineRule="exact"/>
              <w:rPr>
                <w:rFonts w:hint="eastAsia" w:ascii="宋体" w:hAnsi="宋体" w:cs="宋体"/>
                <w:color w:val="000000" w:themeColor="text1"/>
                <w:sz w:val="24"/>
                <w:szCs w:val="24"/>
                <w:highlight w:val="none"/>
                <w14:textFill>
                  <w14:solidFill>
                    <w14:schemeClr w14:val="tx1"/>
                  </w14:solidFill>
                </w14:textFill>
              </w:rPr>
            </w:pPr>
            <w:r/>
            <w:bookmarkStart w:id="215" w:name="zhongbiaopricelow_1"/>
            <w:r/>
            <w:bookmarkEnd w:id="215"/>
            <w:r/>
            <w:r/>
          </w:p>
        </w:tc>
        <w:tc>
          <w:tcPr>
            <w:tcW w:w="2901" w:type="dxa"/>
            <w:vAlign w:val="center"/>
            <w:textDirection w:val="lrTb"/>
            <w:noWrap w:val="false"/>
          </w:tcPr>
          <w:p>
            <w:pPr>
              <w:jc w:val="center"/>
              <w:spacing w:line="440" w:lineRule="exact"/>
              <w:rPr>
                <w:rFonts w:hint="eastAsia" w:ascii="宋体" w:hAnsi="宋体" w:cs="宋体"/>
                <w:color w:val="000000" w:themeColor="text1"/>
                <w:sz w:val="24"/>
                <w:szCs w:val="24"/>
                <w:highlight w:val="none"/>
                <w14:textFill>
                  <w14:solidFill>
                    <w14:schemeClr w14:val="tx1"/>
                  </w14:solidFill>
                </w14:textFill>
              </w:rPr>
            </w:pPr>
            <w:r/>
            <w:bookmarkStart w:id="216" w:name="fuwuneirong"/>
            <w:r/>
            <w:bookmarkEnd w:id="216"/>
            <w:r/>
            <w:r/>
          </w:p>
        </w:tc>
      </w:tr>
    </w:tbl>
    <w:p>
      <w:pPr>
        <w:spacing w:before="157"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二、合同金额</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 本合同金额为（大写）：</w:t>
      </w:r>
      <w:r>
        <w:rPr>
          <w:rFonts w:hint="eastAsia" w:ascii="宋体" w:hAnsi="宋体" w:cs="宋体"/>
          <w:color w:val="000000" w:themeColor="text1"/>
          <w:sz w:val="24"/>
          <w:highlight w:val="none"/>
          <w:u w:val="single"/>
          <w14:textFill>
            <w14:solidFill>
              <w14:schemeClr w14:val="tx1"/>
            </w14:solidFill>
          </w14:textFill>
        </w:rPr>
        <w:t xml:space="preserve"> </w:t>
      </w:r>
      <w:bookmarkStart w:id="217" w:name="zhongbiaopriceup"/>
      <w:r>
        <w:rPr>
          <w:rFonts w:hint="eastAsia" w:ascii="宋体" w:hAnsi="宋体" w:cs="宋体"/>
          <w:color w:val="000000" w:themeColor="text1"/>
          <w:sz w:val="24"/>
          <w:highlight w:val="none"/>
          <w:u w:val="single"/>
          <w14:textFill>
            <w14:solidFill>
              <w14:schemeClr w14:val="tx1"/>
            </w14:solidFill>
          </w14:textFill>
        </w:rPr>
        <w:t xml:space="preserve">                   </w:t>
      </w:r>
      <w:bookmarkEnd w:id="217"/>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u w:val="single"/>
          <w14:textFill>
            <w14:solidFill>
              <w14:schemeClr w14:val="tx1"/>
            </w14:solidFill>
          </w14:textFill>
        </w:rPr>
        <w:t xml:space="preserve"> </w:t>
      </w:r>
      <w:bookmarkStart w:id="218" w:name="zhongbiaopricelow_2"/>
      <w:r>
        <w:rPr>
          <w:rFonts w:hint="eastAsia" w:ascii="宋体" w:hAnsi="宋体" w:cs="宋体"/>
          <w:color w:val="000000" w:themeColor="text1"/>
          <w:sz w:val="24"/>
          <w:highlight w:val="none"/>
          <w:u w:val="single"/>
          <w14:textFill>
            <w14:solidFill>
              <w14:schemeClr w14:val="tx1"/>
            </w14:solidFill>
          </w14:textFill>
        </w:rPr>
        <w:t xml:space="preserve">         </w:t>
      </w:r>
      <w:bookmarkEnd w:id="218"/>
      <w:r>
        <w:rPr>
          <w:rFonts w:hint="eastAsia" w:ascii="宋体" w:hAnsi="宋体" w:cs="宋体"/>
          <w:color w:val="000000" w:themeColor="text1"/>
          <w:sz w:val="24"/>
          <w:highlight w:val="none"/>
          <w14:textFill>
            <w14:solidFill>
              <w14:schemeClr w14:val="tx1"/>
            </w14:solidFill>
          </w14:textFill>
        </w:rPr>
        <w:t xml:space="preserve">元）人民币。</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总价为综合报价，</w:t>
      </w:r>
      <w:r>
        <w:rPr>
          <w:rFonts w:hint="eastAsia" w:ascii="Times New Roman" w:hAnsi="Times New Roman"/>
          <w:color w:val="000000" w:themeColor="text1"/>
          <w:sz w:val="24"/>
          <w:szCs w:val="24"/>
          <w:highlight w:val="none"/>
          <w14:textFill>
            <w14:solidFill>
              <w14:schemeClr w14:val="tx1"/>
            </w14:solidFill>
          </w14:textFill>
        </w:rPr>
        <w:t xml:space="preserve">包含完成本项工作所需的全部费用，</w:t>
      </w:r>
      <w:r>
        <w:rPr>
          <w:rFonts w:hint="eastAsia" w:ascii="宋体" w:hAnsi="宋体" w:cs="宋体"/>
          <w:color w:val="000000" w:themeColor="text1"/>
          <w:sz w:val="24"/>
          <w:highlight w:val="none"/>
          <w14:textFill>
            <w14:solidFill>
              <w14:schemeClr w14:val="tx1"/>
            </w14:solidFill>
          </w14:textFill>
        </w:rPr>
        <w:t xml:space="preserve">包括但不限于人员费用（工资、福利、培训、社会保险</w:t>
      </w:r>
      <w:r>
        <w:rPr>
          <w:rFonts w:hint="eastAsia" w:ascii="宋体" w:hAnsi="宋体" w:cs="宋体"/>
          <w:color w:val="000000" w:themeColor="text1"/>
          <w:sz w:val="24"/>
          <w:szCs w:val="24"/>
          <w:highlight w:val="none"/>
          <w:lang w:val="en-US" w:eastAsia="zh-CN"/>
          <w14:textFill>
            <w14:solidFill>
              <w14:schemeClr w14:val="tx1"/>
            </w14:solidFill>
          </w14:textFill>
        </w:rPr>
        <w:t xml:space="preserve">、意外保险</w:t>
      </w:r>
      <w:r>
        <w:rPr>
          <w:rFonts w:hint="eastAsia" w:ascii="宋体" w:hAnsi="宋体" w:cs="宋体"/>
          <w:color w:val="000000" w:themeColor="text1"/>
          <w:sz w:val="24"/>
          <w:highlight w:val="none"/>
          <w14:textFill>
            <w14:solidFill>
              <w14:schemeClr w14:val="tx1"/>
            </w14:solidFill>
          </w14:textFill>
        </w:rPr>
        <w:t xml:space="preserve">等）、服务所用设备工具购置及维修费用、服务所用配件及材料消耗费用、管理费用、</w:t>
      </w:r>
      <w:r>
        <w:rPr>
          <w:rFonts w:ascii="Times New Roman" w:hAnsi="Times New Roman"/>
          <w:color w:val="000000" w:themeColor="text1"/>
          <w:sz w:val="24"/>
          <w:szCs w:val="24"/>
          <w:highlight w:val="none"/>
          <w14:textFill>
            <w14:solidFill>
              <w14:schemeClr w14:val="tx1"/>
            </w14:solidFill>
          </w14:textFill>
        </w:rPr>
        <w:t xml:space="preserve">差旅费、</w:t>
      </w:r>
      <w:r>
        <w:rPr>
          <w:rFonts w:hint="eastAsia" w:ascii="宋体" w:hAnsi="宋体" w:cs="宋体"/>
          <w:color w:val="000000" w:themeColor="text1"/>
          <w:sz w:val="24"/>
          <w:highlight w:val="none"/>
          <w14:textFill>
            <w14:solidFill>
              <w14:schemeClr w14:val="tx1"/>
            </w14:solidFill>
          </w14:textFill>
        </w:rPr>
        <w:t xml:space="preserve">利润、税金、采购代理服务费、政策性文件规定及合同包含的所有风险、责任等各项应有费用。</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三、履约保证金</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 合同签订前，乙方向甲方交纳人民币</w:t>
      </w:r>
      <w:r>
        <w:rPr>
          <w:rFonts w:hint="eastAsia" w:ascii="宋体" w:hAnsi="宋体" w:cs="宋体"/>
          <w:color w:val="000000" w:themeColor="text1"/>
          <w:sz w:val="24"/>
          <w:szCs w:val="24"/>
          <w:highlight w:val="none"/>
          <w:u w:val="single"/>
          <w14:textFill>
            <w14:solidFill>
              <w14:schemeClr w14:val="tx1"/>
            </w14:solidFill>
          </w14:textFill>
        </w:rPr>
        <w:t xml:space="preserve"> </w:t>
      </w:r>
      <w:bookmarkStart w:id="219" w:name="lvbzj"/>
      <w:r>
        <w:rPr>
          <w:rFonts w:hint="eastAsia" w:ascii="宋体" w:hAnsi="宋体" w:cs="宋体"/>
          <w:color w:val="000000" w:themeColor="text1"/>
          <w:sz w:val="24"/>
          <w:szCs w:val="24"/>
          <w:highlight w:val="none"/>
          <w:u w:val="single"/>
          <w14:textFill>
            <w14:solidFill>
              <w14:schemeClr w14:val="tx1"/>
            </w14:solidFill>
          </w14:textFill>
        </w:rPr>
        <w:t xml:space="preserve">  </w:t>
      </w:r>
      <w:bookmarkEnd w:id="219"/>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元作为本合同的履约保证金。履约保证金必须是人民币。履约保证金应当以支票、汇票、本票或者金融机构、担保机构出具的履约保函（保险）等非现金形式提交。</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甲方付清全部合同金额的同时返还履约保证金。逾期退还的，应当支付逾期利息，且逾期利息的利率不得低于合同订立时 1 年期贷款市场报价利率。</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乙方不履行与甲方订立的合同的，履约保证金不予退还。</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 按照《江苏省财政厅国家金融监管总局江苏监管局江苏省地方金融监督管理局关于在全省政府采购领域推行电子履约保函（保险）的通知》和相关法律法规规定，甲方如向乙方收取履约保证金的，乙方可以以履约保函（保险）的形式代替提供履约保证金。</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四、转包或分包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本合同范围的服务，应由乙方直接提供，不得转让他人提供；</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允许中标人将部分服务分包给中小（微）企业完成。</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五、服务期限及服务地点</w:t>
      </w:r>
      <w:r/>
    </w:p>
    <w:p>
      <w:pPr>
        <w:ind w:firstLine="470"/>
        <w:spacing w:line="360" w:lineRule="auto"/>
        <w:rPr>
          <w:rFonts w:hint="eastAsia"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 服务期限：</w:t>
      </w:r>
      <w:r>
        <w:rPr>
          <w:rFonts w:hint="eastAsia" w:ascii="宋体" w:hAnsi="宋体" w:cs="宋体"/>
          <w:color w:val="000000" w:themeColor="text1"/>
          <w:sz w:val="24"/>
          <w:highlight w:val="none"/>
          <w:u w:val="single"/>
          <w14:textFill>
            <w14:solidFill>
              <w14:schemeClr w14:val="tx1"/>
            </w14:solidFill>
          </w14:textFill>
        </w:rPr>
        <w:t xml:space="preserve">两年（自     年    月    日至   年   月    日）。</w:t>
      </w:r>
      <w:r/>
    </w:p>
    <w:p>
      <w:pPr>
        <w:ind w:firstLine="47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5.2服务地点：</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六、货款支付</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6.1 </w:t>
      </w:r>
      <w:r>
        <w:rPr>
          <w:rFonts w:hint="eastAsia" w:ascii="宋体" w:hAnsi="宋体" w:cs="宋体"/>
          <w:color w:val="000000" w:themeColor="text1"/>
          <w:sz w:val="24"/>
          <w:szCs w:val="24"/>
          <w:highlight w:val="none"/>
          <w14:textFill>
            <w14:solidFill>
              <w14:schemeClr w14:val="tx1"/>
            </w14:solidFill>
          </w14:textFill>
        </w:rPr>
        <w:t xml:space="preserve">结付</w:t>
      </w:r>
      <w:r>
        <w:rPr>
          <w:rStyle w:val="1026"/>
          <w:rFonts w:hint="eastAsia" w:ascii="宋体" w:hAnsi="宋体" w:cs="宋体"/>
          <w:color w:val="000000" w:themeColor="text1"/>
          <w:sz w:val="24"/>
          <w:highlight w:val="none"/>
          <w14:textFill>
            <w14:solidFill>
              <w14:schemeClr w14:val="tx1"/>
            </w14:solidFill>
          </w14:textFill>
        </w:rPr>
        <w:t xml:space="preserve">程</w:t>
      </w:r>
      <w:r>
        <w:rPr>
          <w:rFonts w:hint="eastAsia" w:ascii="宋体" w:hAnsi="宋体" w:cs="宋体"/>
          <w:color w:val="000000" w:themeColor="text1"/>
          <w:sz w:val="24"/>
          <w:szCs w:val="24"/>
          <w:highlight w:val="none"/>
          <w14:textFill>
            <w14:solidFill>
              <w14:schemeClr w14:val="tx1"/>
            </w14:solidFill>
          </w14:textFill>
        </w:rPr>
        <w:t xml:space="preserve">序：</w:t>
      </w:r>
      <w:r>
        <w:rPr>
          <w:rFonts w:hint="eastAsia" w:ascii="宋体" w:hAnsi="宋体" w:cs="宋体"/>
          <w:bCs/>
          <w:color w:val="000000" w:themeColor="text1"/>
          <w:sz w:val="24"/>
          <w:szCs w:val="24"/>
          <w:highlight w:val="none"/>
          <w:u w:val="single"/>
          <w14:textFill>
            <w14:solidFill>
              <w14:schemeClr w14:val="tx1"/>
            </w14:solidFill>
          </w14:textFill>
        </w:rPr>
        <w:t xml:space="preserve"> </w:t>
      </w:r>
      <w:bookmarkStart w:id="220" w:name="jiefuchengxu"/>
      <w:r>
        <w:rPr>
          <w:rFonts w:hint="eastAsia" w:ascii="宋体" w:hAnsi="宋体" w:cs="宋体"/>
          <w:bCs/>
          <w:color w:val="000000" w:themeColor="text1"/>
          <w:sz w:val="24"/>
          <w:szCs w:val="24"/>
          <w:highlight w:val="none"/>
          <w:u w:val="single"/>
          <w14:textFill>
            <w14:solidFill>
              <w14:schemeClr w14:val="tx1"/>
            </w14:solidFill>
          </w14:textFill>
        </w:rPr>
        <w:t xml:space="preserve">                </w:t>
      </w:r>
      <w:bookmarkEnd w:id="220"/>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6.2 结付</w:t>
      </w:r>
      <w:r>
        <w:rPr>
          <w:rStyle w:val="1026"/>
          <w:rFonts w:hint="eastAsia" w:ascii="宋体" w:hAnsi="宋体" w:cs="宋体"/>
          <w:color w:val="000000" w:themeColor="text1"/>
          <w:sz w:val="24"/>
          <w:highlight w:val="none"/>
          <w14:textFill>
            <w14:solidFill>
              <w14:schemeClr w14:val="tx1"/>
            </w14:solidFill>
          </w14:textFill>
        </w:rPr>
        <w:t xml:space="preserve">期</w:t>
      </w:r>
      <w:r>
        <w:rPr>
          <w:rFonts w:hint="eastAsia" w:ascii="宋体" w:hAnsi="宋体" w:cs="宋体"/>
          <w:color w:val="000000" w:themeColor="text1"/>
          <w:sz w:val="24"/>
          <w:szCs w:val="24"/>
          <w:highlight w:val="none"/>
          <w14:textFill>
            <w14:solidFill>
              <w14:schemeClr w14:val="tx1"/>
            </w14:solidFill>
          </w14:textFill>
        </w:rPr>
        <w:t xml:space="preserve">限：</w:t>
      </w:r>
      <w:r>
        <w:rPr>
          <w:rFonts w:hint="eastAsia" w:ascii="宋体" w:hAnsi="宋体" w:cs="宋体"/>
          <w:bCs/>
          <w:color w:val="000000" w:themeColor="text1"/>
          <w:sz w:val="24"/>
          <w:szCs w:val="24"/>
          <w:highlight w:val="none"/>
          <w:u w:val="single"/>
          <w14:textFill>
            <w14:solidFill>
              <w14:schemeClr w14:val="tx1"/>
            </w14:solidFill>
          </w14:textFill>
        </w:rPr>
        <w:t xml:space="preserve"> </w:t>
      </w:r>
      <w:bookmarkStart w:id="221" w:name="jiefuqixian"/>
      <w:r>
        <w:rPr>
          <w:rFonts w:hint="eastAsia" w:ascii="宋体" w:hAnsi="宋体" w:cs="宋体"/>
          <w:bCs/>
          <w:color w:val="000000" w:themeColor="text1"/>
          <w:sz w:val="24"/>
          <w:szCs w:val="24"/>
          <w:highlight w:val="none"/>
          <w:u w:val="single"/>
          <w14:textFill>
            <w14:solidFill>
              <w14:schemeClr w14:val="tx1"/>
            </w14:solidFill>
          </w14:textFill>
        </w:rPr>
        <w:t xml:space="preserve">                 </w:t>
      </w:r>
      <w:bookmarkEnd w:id="221"/>
      <w:r>
        <w:rPr>
          <w:rFonts w:hint="eastAsia" w:ascii="宋体" w:hAnsi="宋体" w:cs="宋体"/>
          <w:bCs/>
          <w:color w:val="000000" w:themeColor="text1"/>
          <w:sz w:val="24"/>
          <w:szCs w:val="24"/>
          <w:highlight w:val="none"/>
          <w:u w:val="singl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6.3 乙方收</w:t>
      </w:r>
      <w:r>
        <w:rPr>
          <w:rStyle w:val="1026"/>
          <w:rFonts w:hint="eastAsia" w:ascii="宋体" w:hAnsi="宋体" w:cs="宋体"/>
          <w:color w:val="000000" w:themeColor="text1"/>
          <w:sz w:val="24"/>
          <w:highlight w:val="none"/>
          <w14:textFill>
            <w14:solidFill>
              <w14:schemeClr w14:val="tx1"/>
            </w14:solidFill>
          </w14:textFill>
        </w:rPr>
        <w:t xml:space="preserve">款账</w:t>
      </w:r>
      <w:r>
        <w:rPr>
          <w:rFonts w:hint="eastAsia" w:ascii="宋体" w:hAnsi="宋体" w:cs="宋体"/>
          <w:color w:val="000000" w:themeColor="text1"/>
          <w:sz w:val="24"/>
          <w:szCs w:val="24"/>
          <w:highlight w:val="none"/>
          <w14:textFill>
            <w14:solidFill>
              <w14:schemeClr w14:val="tx1"/>
            </w14:solidFill>
          </w14:textFill>
        </w:rPr>
        <w:t xml:space="preserve">户：</w:t>
      </w:r>
      <w:r>
        <w:rPr>
          <w:rFonts w:hint="eastAsia" w:ascii="宋体" w:hAnsi="宋体" w:cs="宋体"/>
          <w:color w:val="000000" w:themeColor="text1"/>
          <w:sz w:val="24"/>
          <w:szCs w:val="24"/>
          <w:highlight w:val="none"/>
          <w:u w:val="single"/>
          <w14:textFill>
            <w14:solidFill>
              <w14:schemeClr w14:val="tx1"/>
            </w14:solidFill>
          </w14:textFill>
        </w:rPr>
        <w:t xml:space="preserve"> </w:t>
      </w:r>
      <w:bookmarkStart w:id="222" w:name="yifangzhanghao"/>
      <w:r>
        <w:rPr>
          <w:rFonts w:hint="eastAsia" w:ascii="宋体" w:hAnsi="宋体" w:cs="宋体"/>
          <w:color w:val="000000" w:themeColor="text1"/>
          <w:sz w:val="24"/>
          <w:szCs w:val="24"/>
          <w:highlight w:val="none"/>
          <w:u w:val="single"/>
          <w14:textFill>
            <w14:solidFill>
              <w14:schemeClr w14:val="tx1"/>
            </w14:solidFill>
          </w14:textFill>
        </w:rPr>
        <w:t xml:space="preserve">               </w:t>
      </w:r>
      <w:bookmarkEnd w:id="222"/>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6.4 甲方合同款支付方式：</w:t>
      </w:r>
      <w:r>
        <w:rPr>
          <w:rFonts w:hint="eastAsia" w:ascii="宋体" w:hAnsi="宋体" w:cs="宋体"/>
          <w:color w:val="000000" w:themeColor="text1"/>
          <w:sz w:val="24"/>
          <w:szCs w:val="24"/>
          <w:highlight w:val="none"/>
          <w:u w:val="single"/>
          <w14:textFill>
            <w14:solidFill>
              <w14:schemeClr w14:val="tx1"/>
            </w14:solidFill>
          </w14:textFill>
        </w:rPr>
        <w:t xml:space="preserve"> </w:t>
      </w:r>
      <w:bookmarkStart w:id="223" w:name="hetongzhifutype"/>
      <w:r>
        <w:rPr>
          <w:rFonts w:hint="eastAsia" w:ascii="宋体" w:hAnsi="宋体" w:cs="宋体"/>
          <w:color w:val="000000" w:themeColor="text1"/>
          <w:sz w:val="24"/>
          <w:szCs w:val="24"/>
          <w:highlight w:val="none"/>
          <w:u w:val="single"/>
          <w14:textFill>
            <w14:solidFill>
              <w14:schemeClr w14:val="tx1"/>
            </w14:solidFill>
          </w14:textFill>
        </w:rPr>
        <w:t xml:space="preserve">                               </w:t>
      </w:r>
      <w:bookmarkEnd w:id="223"/>
      <w:r>
        <w:rPr>
          <w:rFonts w:hint="eastAsia" w:ascii="宋体" w:hAnsi="宋体" w:cs="宋体"/>
          <w:color w:val="000000" w:themeColor="text1"/>
          <w:sz w:val="24"/>
          <w:szCs w:val="24"/>
          <w:highlight w:val="none"/>
          <w14:textFill>
            <w14:solidFill>
              <w14:schemeClr w14:val="tx1"/>
            </w14:solidFill>
          </w14:textFill>
        </w:rPr>
        <w:t xml:space="preserve">（若乙方为中小企业，不得强制其接受非现金支付方式）</w:t>
      </w:r>
      <w:r>
        <w:rPr>
          <w:rFonts w:hint="eastAsia"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七、税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 本合同执行中相关的一切税费均由乙方负担。</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八、管理事项</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 按招标内容要求以及响应单位的承诺项目阐述。</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九、双方权利义务</w:t>
      </w:r>
      <w:r/>
    </w:p>
    <w:p>
      <w:pPr>
        <w:pStyle w:val="1042"/>
        <w:ind w:firstLine="48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9.1甲方权利及义务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（1）甲方制定的委托乙方承担的项目管理内容（详见项目需求）。</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（2）检查监督乙方管理工作的实施及制度的执行情况，并进行考核。</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（3）审定乙方提出的项目管理计划。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（4）协调处理本合同生效前发生的管理遗留问题。</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（5）协助乙方做好项目管理工作的宣传教育。</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（6）乙方有违约行为的，甲方有权解除合同并没收履约保证金及向乙方支付实际合同期内扣除考核扣款后的全部余款。</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（7）甲方有权对中标后再转包的乙方终止服务合同。</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（8）甲方有权在服务期内对乙方进行考核，并根据实际情况对考核办法进行调整，按最新的考核内容对乙方进行考核，乙方必须接受。</w:t>
      </w:r>
      <w:r/>
    </w:p>
    <w:p>
      <w:pPr>
        <w:pStyle w:val="1033"/>
        <w:ind w:firstLine="48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9.2乙方权利及义务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（1）根据有关法律、法规及本合同的约定，制订项目管理制度。</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（2）按合同约定，履行项目管理职责。</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（3）负责编制项目管理年度管理计划。</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（4）工作人员统一着装，并作好相关劳动安全防护工作，严格遵守各项管理规定，并独立承担作业人员及作业车辆作业中的安全责任、用人责任，如发各类事故责任由乙方自行承担与甲方无关。</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（5）如遇张家港市的各项重要活动、参观接待时，乙方应及时组织人员到位，完成各项突击任务。</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（6）乙方必须规范用工，签订用工合同。本合同终止时，乙方须向甲方移交项目管理全部档案资料。</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为保证工作正常有效开展，乙方须根据《劳动法》用工要求组建固定的专业队伍，依法规范用工，符合条件的签订劳动合同，符合条件的须参加基本社会养老保险，负责乙方员工的生病、事故、伤残、死亡和劳务纠纷等，甲方不承担任何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（8）乙方的工作人员在岗履行职责期间（包括上下班途中），造成甲方或第三方人身、财产损失的，由乙方负责处理并承担经济和道义上的责任，甲方不承担任何责任。</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（9）乙方提供本项目服务所需的设备工具及物耗。</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（10）乙方应按规定每月支付工作人员工资，并设立工资专管账户。</w:t>
      </w:r>
      <w:r/>
    </w:p>
    <w:p>
      <w:pPr>
        <w:pStyle w:val="1042"/>
        <w:spacing w:line="300" w:lineRule="auto"/>
        <w:rPr>
          <w:rFonts w:eastAsia="宋体"/>
          <w:b/>
          <w:color w:val="000000" w:themeColor="text1"/>
          <w:highlight w:val="none"/>
          <w14:textFill>
            <w14:solidFill>
              <w14:schemeClr w14:val="tx1"/>
            </w14:solidFill>
          </w14:textFill>
        </w:rPr>
      </w:pPr>
      <w:r>
        <w:rPr>
          <w:rFonts w:eastAsia="宋体"/>
          <w:b/>
          <w:color w:val="000000" w:themeColor="text1"/>
          <w:highlight w:val="none"/>
          <w14:textFill>
            <w14:solidFill>
              <w14:schemeClr w14:val="tx1"/>
            </w14:solidFill>
          </w14:textFill>
        </w:rPr>
        <w:t xml:space="preserve">十、服务质量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10.1乙方提供的管理服务应达到投标文件所约定的目标。对达标的理解有异议的，由双方共同认可的第三方予以评定。</w:t>
      </w:r>
      <w:r/>
    </w:p>
    <w:p>
      <w:pPr>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十一、考核及履约验收</w:t>
      </w:r>
      <w:r/>
    </w:p>
    <w:p>
      <w:pPr>
        <w:ind w:firstLine="480"/>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11.1甲方依法组织履约验收工作。</w:t>
      </w:r>
      <w:r/>
    </w:p>
    <w:p>
      <w:pPr>
        <w:ind w:firstLine="480"/>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11.2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line="360" w:lineRule="auto"/>
        <w:rPr>
          <w:rFonts w:hint="eastAsia" w:ascii="宋体" w:hAnsi="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11.3 对于实际使用人和甲方分离的项目，甲方邀请实际使用人参与验收。</w:t>
      </w:r>
      <w:r/>
    </w:p>
    <w:p>
      <w:pPr>
        <w:ind w:firstLine="480"/>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14:textFill>
            <w14:solidFill>
              <w14:schemeClr w14:val="tx1"/>
            </w14:solidFill>
          </w14:textFill>
        </w:rPr>
        <w:t xml:space="preserve">11.4 如有必要，甲方邀请参加本项目的其他供应商或第三方专业机构及专家参与验收，相关意见将作为验收书的参考资料。</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二</w:t>
      </w:r>
      <w:r>
        <w:rPr>
          <w:rFonts w:hint="eastAsia" w:ascii="宋体" w:hAnsi="宋体" w:cs="宋体"/>
          <w:b/>
          <w:color w:val="000000" w:themeColor="text1"/>
          <w:sz w:val="24"/>
          <w:szCs w:val="24"/>
          <w:highlight w:val="none"/>
          <w14:textFill>
            <w14:solidFill>
              <w14:schemeClr w14:val="tx1"/>
            </w14:solidFill>
          </w14:textFill>
        </w:rPr>
        <w:t xml:space="preserve">、违约责任</w:t>
      </w:r>
      <w:r/>
    </w:p>
    <w:p>
      <w:pPr>
        <w:pStyle w:val="1032"/>
        <w:widowControl w:val="off"/>
        <w:rPr>
          <w:rFonts w:hint="eastAsia" w:eastAsia="宋体" w:cs="宋体"/>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 xml:space="preserve">1</w:t>
      </w:r>
      <w:r>
        <w:rPr>
          <w:rFonts w:hint="eastAsia" w:eastAsia="宋体" w:cs="宋体"/>
          <w:color w:val="000000" w:themeColor="text1"/>
          <w:highlight w:val="none"/>
          <w:lang w:val="en-US" w:eastAsia="zh-CN"/>
          <w14:textFill>
            <w14:solidFill>
              <w14:schemeClr w14:val="tx1"/>
            </w14:solidFill>
          </w14:textFill>
        </w:rPr>
        <w:t xml:space="preserve">2</w:t>
      </w:r>
      <w:r>
        <w:rPr>
          <w:rFonts w:hint="eastAsia" w:eastAsia="宋体" w:cs="宋体"/>
          <w:color w:val="000000" w:themeColor="text1"/>
          <w:highlight w:val="none"/>
          <w14:textFill>
            <w14:solidFill>
              <w14:schemeClr w14:val="tx1"/>
            </w14:solidFill>
          </w14:textFill>
        </w:rPr>
        <w:t xml:space="preserve">.1 甲方对乙方进行考核，按考核结果给付费用。</w:t>
      </w:r>
      <w:r/>
    </w:p>
    <w:p>
      <w:pPr>
        <w:pStyle w:val="1032"/>
        <w:widowControl w:val="off"/>
        <w:rPr>
          <w:rFonts w:hint="eastAsia" w:eastAsia="宋体" w:cs="宋体"/>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 xml:space="preserve">1</w:t>
      </w:r>
      <w:r>
        <w:rPr>
          <w:rFonts w:hint="eastAsia" w:eastAsia="宋体" w:cs="宋体"/>
          <w:color w:val="000000" w:themeColor="text1"/>
          <w:highlight w:val="none"/>
          <w:lang w:val="en-US" w:eastAsia="zh-CN"/>
          <w14:textFill>
            <w14:solidFill>
              <w14:schemeClr w14:val="tx1"/>
            </w14:solidFill>
          </w14:textFill>
        </w:rPr>
        <w:t xml:space="preserve">2</w:t>
      </w:r>
      <w:r>
        <w:rPr>
          <w:rFonts w:hint="eastAsia" w:eastAsia="宋体" w:cs="宋体"/>
          <w:color w:val="000000" w:themeColor="text1"/>
          <w:highlight w:val="none"/>
          <w14:textFill>
            <w14:solidFill>
              <w14:schemeClr w14:val="tx1"/>
            </w14:solidFill>
          </w14:textFill>
        </w:rPr>
        <w:t xml:space="preserve">.2 乙方违反合同的约定，未能达到约定的管理目标，甲方有权要求乙方限期整改，逾期未整改的，甲方有权终止合同，造成甲方经济损失的，乙方给予甲方赔偿。</w:t>
      </w:r>
      <w:r/>
    </w:p>
    <w:p>
      <w:pPr>
        <w:pStyle w:val="1032"/>
        <w:widowControl w:val="off"/>
        <w:rPr>
          <w:rFonts w:hint="eastAsia" w:eastAsia="宋体" w:cs="宋体"/>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 xml:space="preserve">1</w:t>
      </w:r>
      <w:r>
        <w:rPr>
          <w:rFonts w:hint="eastAsia" w:eastAsia="宋体" w:cs="宋体"/>
          <w:color w:val="000000" w:themeColor="text1"/>
          <w:highlight w:val="none"/>
          <w:lang w:val="en-US" w:eastAsia="zh-CN"/>
          <w14:textFill>
            <w14:solidFill>
              <w14:schemeClr w14:val="tx1"/>
            </w14:solidFill>
          </w14:textFill>
        </w:rPr>
        <w:t xml:space="preserve">2</w:t>
      </w:r>
      <w:r>
        <w:rPr>
          <w:rFonts w:hint="eastAsia" w:eastAsia="宋体" w:cs="宋体"/>
          <w:color w:val="000000" w:themeColor="text1"/>
          <w:highlight w:val="none"/>
          <w14:textFill>
            <w14:solidFill>
              <w14:schemeClr w14:val="tx1"/>
            </w14:solidFill>
          </w14:textFill>
        </w:rPr>
        <w:t xml:space="preserve">.3 本合同生效后，甲乙双方任何一方无正当理由要求终止合同的，除双方签订补充协议外，责任方须按本合同及其补充协议的有关条款之规定承担违约责任，并应向对方支付合同金额 10% 的违约金。</w:t>
      </w:r>
      <w:r/>
    </w:p>
    <w:p>
      <w:pPr>
        <w:pStyle w:val="1032"/>
        <w:widowControl w:val="off"/>
        <w:rPr>
          <w:rFonts w:hint="eastAsia" w:eastAsia="宋体" w:cs="宋体"/>
          <w:color w:val="000000" w:themeColor="text1"/>
          <w:highlight w:val="none"/>
          <w14:textFill>
            <w14:solidFill>
              <w14:schemeClr w14:val="tx1"/>
            </w14:solidFill>
          </w14:textFill>
        </w:rPr>
      </w:pPr>
      <w:r>
        <w:rPr>
          <w:rFonts w:hint="eastAsia" w:eastAsia="宋体" w:cs="宋体"/>
          <w:color w:val="000000" w:themeColor="text1"/>
          <w:highlight w:val="none"/>
          <w14:textFill>
            <w14:solidFill>
              <w14:schemeClr w14:val="tx1"/>
            </w14:solidFill>
          </w14:textFill>
        </w:rPr>
        <w:t xml:space="preserve">1</w:t>
      </w:r>
      <w:r>
        <w:rPr>
          <w:rFonts w:hint="eastAsia" w:eastAsia="宋体" w:cs="宋体"/>
          <w:color w:val="000000" w:themeColor="text1"/>
          <w:highlight w:val="none"/>
          <w:lang w:val="en-US" w:eastAsia="zh-CN"/>
          <w14:textFill>
            <w14:solidFill>
              <w14:schemeClr w14:val="tx1"/>
            </w14:solidFill>
          </w14:textFill>
        </w:rPr>
        <w:t xml:space="preserve">2</w:t>
      </w:r>
      <w:r>
        <w:rPr>
          <w:rFonts w:hint="eastAsia" w:eastAsia="宋体" w:cs="宋体"/>
          <w:color w:val="000000" w:themeColor="text1"/>
          <w:highlight w:val="none"/>
          <w14:textFill>
            <w14:solidFill>
              <w14:schemeClr w14:val="tx1"/>
            </w14:solidFill>
          </w14:textFill>
        </w:rPr>
        <w:t xml:space="preserve">.4 乙方未能按照招标投标文件内容或者本合同所列其他文件或标准的要求履行义务的，甲方有权要求乙方限期整改，乙方未能按照前述文件或标准的要求在期限内整改到位的，甲方有权解除合同，并要求乙方赔偿损失。</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三</w:t>
      </w:r>
      <w:r>
        <w:rPr>
          <w:rFonts w:hint="eastAsia" w:ascii="宋体" w:hAnsi="宋体" w:cs="宋体"/>
          <w:b/>
          <w:color w:val="000000" w:themeColor="text1"/>
          <w:sz w:val="24"/>
          <w:szCs w:val="24"/>
          <w:highlight w:val="none"/>
          <w14:textFill>
            <w14:solidFill>
              <w14:schemeClr w14:val="tx1"/>
            </w14:solidFill>
          </w14:textFill>
        </w:rPr>
        <w:t xml:space="preserve">、不可抗力事件处理</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.1 在合同有效期内，任何一方因不可抗力事件导致不能履行合同，则合同履行期可延长，其延长期与不可抗力影响期相同。</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.2 不可抗力事件发生后，应立即通知对方，并寄送有关权威机构出具的证明。</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.3 不可抗力事件延续120天以上，双方应通过友好协商，确定是否继续履行合同。</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color w:val="000000" w:themeColor="text1"/>
          <w:sz w:val="24"/>
          <w:szCs w:val="24"/>
          <w:highlight w:val="none"/>
          <w14:textFill>
            <w14:solidFill>
              <w14:schemeClr w14:val="tx1"/>
            </w14:solidFill>
          </w14:textFill>
        </w:rPr>
        <w:t xml:space="preserve">、诉讼</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.1 双方在执行合同中所发生的一切争议，应通过协商解决。如协商不成，可向合同签订地法院起诉，合同签订地在此约定为张家港市。</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
          <w:color w:val="000000" w:themeColor="text1"/>
          <w:sz w:val="24"/>
          <w:szCs w:val="24"/>
          <w:highlight w:val="none"/>
          <w14:textFill>
            <w14:solidFill>
              <w14:schemeClr w14:val="tx1"/>
            </w14:solidFill>
          </w14:textFill>
        </w:rPr>
        <w:t xml:space="preserve">、合同其他文件</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.1 下列文件为本合同不可分割部份，与本合同具有同等效力。</w:t>
      </w:r>
      <w:r/>
    </w:p>
    <w:p>
      <w:pPr>
        <w:pStyle w:val="1051"/>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（1）《中华人民共和国政府采购法》；</w:t>
      </w:r>
      <w:r/>
    </w:p>
    <w:p>
      <w:pPr>
        <w:pStyle w:val="1051"/>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（2）中标通知书；</w:t>
      </w:r>
      <w:r/>
    </w:p>
    <w:p>
      <w:pPr>
        <w:pStyle w:val="1051"/>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（3）供方中标的投标书；</w:t>
      </w:r>
      <w:r/>
    </w:p>
    <w:p>
      <w:pPr>
        <w:pStyle w:val="1051"/>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（4）招标文件；</w:t>
      </w:r>
      <w:r/>
    </w:p>
    <w:p>
      <w:pPr>
        <w:pStyle w:val="1051"/>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（5）供方在招投标过程中所作的其他承诺、声明、书面澄清等。</w:t>
      </w:r>
      <w:r/>
    </w:p>
    <w:p>
      <w:pPr>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十</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六</w:t>
      </w:r>
      <w:r>
        <w:rPr>
          <w:rFonts w:hint="eastAsia" w:ascii="宋体" w:hAnsi="宋体" w:cs="宋体"/>
          <w:b/>
          <w:color w:val="000000" w:themeColor="text1"/>
          <w:sz w:val="24"/>
          <w:szCs w:val="24"/>
          <w:highlight w:val="none"/>
          <w14:textFill>
            <w14:solidFill>
              <w14:schemeClr w14:val="tx1"/>
            </w14:solidFill>
          </w14:textFill>
        </w:rPr>
        <w:t xml:space="preserve">、合同生效及其它</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.1 合同经双方法定代表人</w:t>
      </w:r>
      <w:r>
        <w:rPr>
          <w:rFonts w:hint="eastAsia" w:ascii="宋体" w:hAnsi="宋体" w:cs="宋体"/>
          <w:bCs/>
          <w:color w:val="000000" w:themeColor="text1"/>
          <w:sz w:val="24"/>
          <w:highlight w:val="none"/>
          <w14:textFill>
            <w14:solidFill>
              <w14:schemeClr w14:val="tx1"/>
            </w14:solidFill>
          </w14:textFill>
        </w:rPr>
        <w:t xml:space="preserve">（或负责人）</w:t>
      </w:r>
      <w:r>
        <w:rPr>
          <w:rFonts w:hint="eastAsia" w:ascii="宋体" w:hAnsi="宋体" w:cs="宋体"/>
          <w:color w:val="000000" w:themeColor="text1"/>
          <w:sz w:val="24"/>
          <w:highlight w:val="none"/>
          <w14:textFill>
            <w14:solidFill>
              <w14:schemeClr w14:val="tx1"/>
            </w14:solidFill>
          </w14:textFill>
        </w:rPr>
        <w:t xml:space="preserve">或授权委托代表人签字并加盖单位公章后生效，生效后至张家港市政府采购管理中心备案。</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.2 本合同未尽事宜，遵照《民法典》合同编，经甲乙双方协商一致可签订补充协议。</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.3 本合同正本一式六份，具有同等法律效力，甲方三份，乙方、张家港市政府采购管理中心、招标代理机构各执一份。</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甲方：张家港市大新镇人民政府</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14:textFill>
            <w14:solidFill>
              <w14:schemeClr w14:val="tx1"/>
            </w14:solidFill>
          </w14:textFill>
        </w:rPr>
        <w:t xml:space="preserve">张家港市</w:t>
      </w:r>
      <w:r>
        <w:rPr>
          <w:rFonts w:hint="eastAsia" w:ascii="宋体" w:hAnsi="宋体" w:cs="宋体"/>
          <w:color w:val="000000" w:themeColor="text1"/>
          <w:sz w:val="24"/>
          <w:szCs w:val="24"/>
          <w:highlight w:val="none"/>
          <w14:textFill>
            <w14:solidFill>
              <w14:schemeClr w14:val="tx1"/>
            </w14:solidFill>
          </w14:textFill>
        </w:rPr>
        <w:t xml:space="preserve">大新</w:t>
      </w:r>
      <w:r>
        <w:rPr>
          <w:rFonts w:hint="eastAsia" w:ascii="宋体" w:hAnsi="宋体" w:cs="宋体"/>
          <w:color w:val="000000" w:themeColor="text1"/>
          <w:sz w:val="24"/>
          <w:szCs w:val="24"/>
          <w:highlight w:val="none"/>
          <w14:textFill>
            <w14:solidFill>
              <w14:schemeClr w14:val="tx1"/>
            </w14:solidFill>
          </w14:textFill>
        </w:rPr>
        <w:t xml:space="preserve">镇</w:t>
      </w:r>
      <w:r>
        <w:rPr>
          <w:rFonts w:hint="eastAsia" w:ascii="宋体" w:hAnsi="宋体" w:cs="宋体"/>
          <w:color w:val="000000" w:themeColor="text1"/>
          <w:sz w:val="24"/>
          <w:szCs w:val="24"/>
          <w:highlight w:val="none"/>
          <w14:textFill>
            <w14:solidFill>
              <w14:schemeClr w14:val="tx1"/>
            </w14:solidFill>
          </w14:textFill>
        </w:rPr>
        <w:t xml:space="preserve">府前</w:t>
      </w:r>
      <w:r>
        <w:rPr>
          <w:rFonts w:hint="eastAsia" w:ascii="宋体" w:hAnsi="宋体" w:cs="宋体"/>
          <w:color w:val="000000" w:themeColor="text1"/>
          <w:sz w:val="24"/>
          <w:szCs w:val="24"/>
          <w:highlight w:val="none"/>
          <w14:textFill>
            <w14:solidFill>
              <w14:schemeClr w14:val="tx1"/>
            </w14:solidFill>
          </w14:textFill>
        </w:rPr>
        <w:t xml:space="preserve">路190</w:t>
      </w:r>
      <w:r>
        <w:rPr>
          <w:rFonts w:hint="eastAsia" w:ascii="宋体" w:hAnsi="宋体" w:cs="宋体"/>
          <w:color w:val="000000" w:themeColor="text1"/>
          <w:sz w:val="24"/>
          <w:szCs w:val="24"/>
          <w:highlight w:val="none"/>
          <w14:textFill>
            <w14:solidFill>
              <w14:schemeClr w14:val="tx1"/>
            </w14:solidFill>
          </w14:textFill>
        </w:rPr>
        <w:t xml:space="preserve">号</w:t>
      </w:r>
      <w: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法定代表人（或负责人）或授权代表：</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签订日期：</w:t>
      </w:r>
      <w:bookmarkStart w:id="224" w:name="jiafangqiandingdate"/>
      <w:r>
        <w:rPr>
          <w:rFonts w:hint="eastAsia" w:ascii="宋体" w:hAnsi="宋体" w:cs="宋体"/>
          <w:color w:val="000000" w:themeColor="text1"/>
          <w:sz w:val="24"/>
          <w:szCs w:val="24"/>
          <w:highlight w:val="none"/>
          <w14:textFill>
            <w14:solidFill>
              <w14:schemeClr w14:val="tx1"/>
            </w14:solidFill>
          </w14:textFill>
        </w:rPr>
        <w:t xml:space="preserve">      年    月    日</w:t>
      </w:r>
      <w:bookmarkEnd w:id="224"/>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乙方：</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w:t>
      </w:r>
      <w:r>
        <w:rPr>
          <w:rFonts w:hint="eastAsia" w:ascii="宋体" w:hAnsi="宋体" w:cs="宋体"/>
          <w:bCs/>
          <w:color w:val="000000" w:themeColor="text1"/>
          <w:sz w:val="24"/>
          <w:szCs w:val="24"/>
          <w:highlight w:val="none"/>
          <w14:textFill>
            <w14:solidFill>
              <w14:schemeClr w14:val="tx1"/>
            </w14:solidFill>
          </w14:textFill>
        </w:rPr>
        <w:t xml:space="preserve">（或负责人）</w:t>
      </w:r>
      <w:r>
        <w:rPr>
          <w:rFonts w:hint="eastAsia" w:ascii="宋体" w:hAnsi="宋体" w:cs="宋体"/>
          <w:color w:val="000000" w:themeColor="text1"/>
          <w:sz w:val="24"/>
          <w:szCs w:val="24"/>
          <w:highlight w:val="none"/>
          <w14:textFill>
            <w14:solidFill>
              <w14:schemeClr w14:val="tx1"/>
            </w14:solidFill>
          </w14:textFill>
        </w:rPr>
        <w:t xml:space="preserve">或授权代表：</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联系电话：</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签订日期： </w:t>
      </w:r>
      <w:bookmarkStart w:id="225" w:name="yifangqiandingdate"/>
      <w:r>
        <w:rPr>
          <w:rFonts w:hint="eastAsia" w:ascii="宋体" w:hAnsi="宋体" w:cs="宋体"/>
          <w:color w:val="000000" w:themeColor="text1"/>
          <w:sz w:val="24"/>
          <w:szCs w:val="24"/>
          <w:highlight w:val="none"/>
          <w14:textFill>
            <w14:solidFill>
              <w14:schemeClr w14:val="tx1"/>
            </w14:solidFill>
          </w14:textFill>
        </w:rPr>
        <w:t xml:space="preserve">     年    月    日</w:t>
      </w:r>
      <w:bookmarkEnd w:id="225"/>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招标代理机构：诺德招投标咨询服务（苏州）有限公司</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地址：张家港市杨舍镇恒河路20号培训楼三楼</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备案方：张家港市政府采购管理中心</w:t>
      </w:r>
      <w:r>
        <w:rPr>
          <w:rFonts w:ascii="宋体" w:hAnsi="宋体" w:cs="Courier New"/>
          <w:color w:val="000000" w:themeColor="text1"/>
          <w:sz w:val="24"/>
          <w:szCs w:val="24"/>
          <w:highlight w:val="none"/>
          <w14:textFill>
            <w14:solidFill>
              <w14:schemeClr w14:val="tx1"/>
            </w14:solidFill>
          </w14:textFill>
        </w:rPr>
        <w:br w:type="page" w:clear="all"/>
      </w:r>
      <w:r/>
    </w:p>
    <w:p>
      <w:pPr>
        <w:pStyle w:val="980"/>
        <w:rPr>
          <w:rFonts w:hint="eastAsia"/>
          <w:color w:val="000000" w:themeColor="text1"/>
          <w:highlight w:val="none"/>
          <w14:textFill>
            <w14:solidFill>
              <w14:schemeClr w14:val="tx1"/>
            </w14:solidFill>
          </w14:textFill>
        </w:rPr>
      </w:pPr>
      <w:r/>
      <w:bookmarkStart w:id="226" w:name="_Toc21965"/>
      <w:r/>
      <w:bookmarkStart w:id="227" w:name="_Toc160715773"/>
      <w:r/>
      <w:bookmarkStart w:id="228" w:name="_Toc22749"/>
      <w:r/>
      <w:bookmarkStart w:id="229" w:name="_Toc15532"/>
      <w:r>
        <w:rPr>
          <w:color w:val="000000" w:themeColor="text1"/>
          <w:highlight w:val="none"/>
          <w14:textFill>
            <w14:solidFill>
              <w14:schemeClr w14:val="tx1"/>
            </w14:solidFill>
          </w14:textFill>
        </w:rPr>
        <w:t xml:space="preserve">第</w:t>
      </w:r>
      <w:bookmarkEnd w:id="206"/>
      <w:r>
        <w:rPr>
          <w:color w:val="000000" w:themeColor="text1"/>
          <w:highlight w:val="none"/>
          <w14:textFill>
            <w14:solidFill>
              <w14:schemeClr w14:val="tx1"/>
            </w14:solidFill>
          </w14:textFill>
        </w:rPr>
        <w:t xml:space="preserve">四章 项目需求</w:t>
      </w:r>
      <w:bookmarkEnd w:id="207"/>
      <w:r/>
      <w:bookmarkEnd w:id="208"/>
      <w:r/>
      <w:bookmarkEnd w:id="209"/>
      <w:r/>
      <w:bookmarkEnd w:id="210"/>
      <w:r/>
      <w:bookmarkEnd w:id="211"/>
      <w:r/>
      <w:bookmarkEnd w:id="212"/>
      <w:r/>
      <w:bookmarkEnd w:id="226"/>
      <w:r/>
      <w:bookmarkEnd w:id="227"/>
      <w:r/>
      <w:bookmarkEnd w:id="228"/>
      <w:r/>
      <w:bookmarkEnd w:id="229"/>
      <w:r/>
      <w:bookmarkStart w:id="230" w:name="_Toc274321794"/>
      <w:r/>
      <w:bookmarkStart w:id="231" w:name="_Toc319429198"/>
      <w:r/>
      <w:bookmarkStart w:id="232" w:name="_Toc350255489"/>
      <w:r/>
      <w:bookmarkStart w:id="233" w:name="_Toc483515625"/>
      <w:r/>
      <w:bookmarkStart w:id="234" w:name="_Toc26554093"/>
      <w:r/>
      <w:bookmarkStart w:id="235" w:name="_Toc49090575"/>
      <w:r/>
      <w:bookmarkEnd w:id="230"/>
      <w:r/>
      <w:bookmarkEnd w:id="231"/>
      <w:r/>
      <w:r/>
    </w:p>
    <w:p>
      <w:pPr>
        <w:spacing w:line="360" w:lineRule="auto"/>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一、清单</w:t>
      </w:r>
      <w:r/>
    </w:p>
    <w:p>
      <w:pPr>
        <w:ind w:firstLine="500"/>
        <w:spacing w:line="440" w:lineRule="exact"/>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1</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清单</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471"/>
        <w:gridCol w:w="1779"/>
        <w:gridCol w:w="612"/>
        <w:gridCol w:w="638"/>
        <w:gridCol w:w="637"/>
        <w:gridCol w:w="3643"/>
        <w:gridCol w:w="723"/>
        <w:gridCol w:w="783"/>
      </w:tblGrid>
      <w:tr>
        <w:trPr>
          <w:jc w:val="center"/>
          <w:trHeight w:val="567"/>
        </w:trPr>
        <w:tc>
          <w:tcPr>
            <w:tcMar>
              <w:top w:w="100" w:type="dxa"/>
              <w:bottom w:w="100" w:type="dxa"/>
            </w:tcMar>
            <w:tcW w:w="47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Mar>
              <w:top w:w="100" w:type="dxa"/>
              <w:bottom w:w="100" w:type="dxa"/>
            </w:tcMar>
            <w:tcW w:w="177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w:t>
            </w:r>
            <w:r/>
          </w:p>
        </w:tc>
        <w:tc>
          <w:tcPr>
            <w:tcMar>
              <w:top w:w="100" w:type="dxa"/>
              <w:bottom w:w="100" w:type="dxa"/>
            </w:tcMar>
            <w:tcW w:w="61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数量</w:t>
            </w:r>
            <w:r/>
          </w:p>
        </w:tc>
        <w:tc>
          <w:tcPr>
            <w:tcMar>
              <w:top w:w="100" w:type="dxa"/>
              <w:bottom w:w="100" w:type="dxa"/>
            </w:tcMar>
            <w:tcW w:w="6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w:t>
            </w:r>
            <w:r/>
          </w:p>
        </w:tc>
        <w:tc>
          <w:tcPr>
            <w:tcMar>
              <w:top w:w="100" w:type="dxa"/>
              <w:bottom w:w="100" w:type="dxa"/>
            </w:tcMar>
            <w:tcW w:w="63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图片</w:t>
            </w:r>
            <w:r/>
          </w:p>
        </w:tc>
        <w:tc>
          <w:tcPr>
            <w:tcMar>
              <w:top w:w="100" w:type="dxa"/>
              <w:bottom w:w="100" w:type="dxa"/>
            </w:tcMar>
            <w:tcW w:w="364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所属行业</w:t>
            </w:r>
            <w:r/>
          </w:p>
        </w:tc>
        <w:tc>
          <w:tcPr>
            <w:tcMar>
              <w:top w:w="100" w:type="dxa"/>
              <w:bottom w:w="100" w:type="dxa"/>
            </w:tcMar>
            <w:tcW w:w="7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标的类型</w:t>
            </w:r>
            <w:r/>
          </w:p>
        </w:tc>
        <w:tc>
          <w:tcPr>
            <w:tcMar>
              <w:top w:w="100" w:type="dxa"/>
              <w:bottom w:w="100" w:type="dxa"/>
            </w:tcMar>
            <w:tcW w:w="78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标的属性</w:t>
            </w:r>
            <w:r/>
          </w:p>
        </w:tc>
      </w:tr>
      <w:tr>
        <w:trPr>
          <w:jc w:val="center"/>
          <w:trHeight w:val="567"/>
        </w:trPr>
        <w:tc>
          <w:tcPr>
            <w:tcMar>
              <w:top w:w="100" w:type="dxa"/>
              <w:bottom w:w="100" w:type="dxa"/>
            </w:tcMar>
            <w:tcW w:w="47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Mar>
              <w:top w:w="100" w:type="dxa"/>
              <w:bottom w:w="100" w:type="dxa"/>
            </w:tcMar>
            <w:tcW w:w="177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大新镇镇区一体化保洁及厨余等垃圾清运项目</w:t>
            </w:r>
            <w:r/>
          </w:p>
        </w:tc>
        <w:tc>
          <w:tcPr>
            <w:tcMar>
              <w:top w:w="100" w:type="dxa"/>
              <w:bottom w:w="100" w:type="dxa"/>
            </w:tcMar>
            <w:tcW w:w="61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Mar>
              <w:top w:w="100" w:type="dxa"/>
              <w:bottom w:w="100" w:type="dxa"/>
            </w:tcMar>
            <w:tcW w:w="63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w:t>
            </w:r>
            <w:r/>
          </w:p>
        </w:tc>
        <w:tc>
          <w:tcPr>
            <w:tcMar>
              <w:top w:w="100" w:type="dxa"/>
              <w:bottom w:w="100" w:type="dxa"/>
            </w:tcMar>
            <w:tcW w:w="637"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tc>
        <w:tc>
          <w:tcPr>
            <w:tcMar>
              <w:top w:w="100" w:type="dxa"/>
              <w:bottom w:w="100" w:type="dxa"/>
            </w:tcMar>
            <w:tcW w:w="364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2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主要采购标的</w:t>
            </w:r>
            <w:r/>
          </w:p>
        </w:tc>
        <w:tc>
          <w:tcPr>
            <w:tcMar>
              <w:top w:w="100" w:type="dxa"/>
              <w:bottom w:w="100" w:type="dxa"/>
            </w:tcMar>
            <w:tcW w:w="78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服务类</w:t>
            </w:r>
            <w:r/>
          </w:p>
        </w:tc>
      </w:tr>
    </w:tbl>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500"/>
        <w:spacing w:line="360" w:lineRule="auto"/>
        <w:rPr>
          <w:rFonts w:hint="eastAsia" w:ascii="宋体" w:hAnsi="宋体" w:cs="宋体"/>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注：根据《关于印发中小企业划型标准规定的通知》（工信部联企业</w:t>
      </w:r>
      <w:r>
        <w:rPr>
          <w:rFonts w:hint="eastAsia" w:ascii="宋体" w:hAnsi="宋体" w:cs="宋体"/>
          <w:color w:val="000000" w:themeColor="text1"/>
          <w:sz w:val="24"/>
          <w:highlight w:val="none"/>
          <w14:textFill>
            <w14:solidFill>
              <w14:schemeClr w14:val="tx1"/>
            </w14:solidFill>
          </w14:textFill>
        </w:rPr>
        <w:t xml:space="preserve">〔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500"/>
        <w:spacing w:line="360" w:lineRule="auto"/>
        <w:rPr>
          <w:rFonts w:hint="eastAsia" w:ascii="宋体" w:hAnsi="宋体"/>
          <w:b/>
          <w:bCs/>
          <w:color w:val="000000" w:themeColor="text1"/>
          <w:sz w:val="24"/>
          <w:highlight w:val="none"/>
          <w14:textFill>
            <w14:solidFill>
              <w14:schemeClr w14:val="tx1"/>
            </w14:solidFill>
          </w14:textFill>
        </w:rPr>
      </w:pPr>
      <w:r>
        <w:rPr>
          <w:rFonts w:ascii="宋体" w:hAnsi="宋体"/>
          <w:b/>
          <w:bCs/>
          <w:color w:val="000000" w:themeColor="text1"/>
          <w:sz w:val="24"/>
          <w:highlight w:val="none"/>
          <w14:textFill>
            <w14:solidFill>
              <w14:schemeClr w14:val="tx1"/>
            </w14:solidFill>
          </w14:textFill>
        </w:rPr>
        <w:t xml:space="preserve">2</w:t>
      </w:r>
      <w:r>
        <w:rPr>
          <w:rFonts w:hint="eastAsia" w:ascii="宋体" w:hAnsi="宋体"/>
          <w:b/>
          <w:bCs/>
          <w:color w:val="000000" w:themeColor="text1"/>
          <w:sz w:val="24"/>
          <w:highlight w:val="none"/>
          <w14:textFill>
            <w14:solidFill>
              <w14:schemeClr w14:val="tx1"/>
            </w14:solidFill>
          </w14:textFill>
        </w:rPr>
        <w:t xml:space="preserve">．</w:t>
      </w:r>
      <w:r>
        <w:rPr>
          <w:rFonts w:ascii="宋体" w:hAnsi="宋体"/>
          <w:b/>
          <w:bCs/>
          <w:color w:val="000000" w:themeColor="text1"/>
          <w:sz w:val="24"/>
          <w:highlight w:val="none"/>
          <w14:textFill>
            <w14:solidFill>
              <w14:schemeClr w14:val="tx1"/>
            </w14:solidFill>
          </w14:textFill>
        </w:rPr>
        <w:t xml:space="preserve">核心产品清单</w:t>
      </w:r>
      <w:r/>
    </w:p>
    <w:p>
      <w:pPr>
        <w:ind w:firstLine="482"/>
        <w:spacing w:line="360" w:lineRule="auto"/>
        <w:rPr>
          <w:rFonts w:hint="eastAsia" w:ascii="宋体" w:hAnsi="宋体" w:cs="宋体"/>
          <w:color w:val="000000" w:themeColor="text1"/>
          <w:sz w:val="24"/>
          <w:szCs w:val="24"/>
          <w:highlight w:val="none"/>
          <w14:textFill>
            <w14:solidFill>
              <w14:schemeClr w14:val="tx1"/>
            </w14:solidFill>
          </w14:textFill>
        </w:rPr>
      </w:pPr>
      <w:r/>
      <w:bookmarkStart w:id="236" w:name="EB408f2104b2e44804a6615a1921eee37c"/>
      <w:r/>
      <w:bookmarkEnd w:id="236"/>
      <w:r>
        <w:rPr>
          <w:rFonts w:hint="eastAsia" w:ascii="宋体" w:hAnsi="宋体" w:cs="宋体"/>
          <w:b/>
          <w:bCs/>
          <w:color w:val="000000" w:themeColor="text1"/>
          <w:sz w:val="24"/>
          <w:szCs w:val="24"/>
          <w:highlight w:val="none"/>
          <w14:textFill>
            <w14:solidFill>
              <w14:schemeClr w14:val="tx1"/>
            </w14:solidFill>
          </w14:textFill>
        </w:rPr>
        <w:t xml:space="preserve">无</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482"/>
        <w:spacing w:line="360" w:lineRule="auto"/>
        <w:rPr>
          <w:rFonts w:asci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14:textFill>
            <w14:solidFill>
              <w14:schemeClr w14:val="tx1"/>
            </w14:solidFill>
          </w14:textFill>
        </w:rPr>
        <w:t xml:space="preserve">．节能、环境标志产品清单</w:t>
      </w:r>
      <w:r>
        <w:rPr>
          <w:rFonts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请提供国家确定的认证机构出具的、处于有效期之内的节能产品、环境标志产品认证证书（若证书有附件（附录）的，附件（附录）须随证书一起提供））</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节能产品政府采购品目清单：</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注：以★标注的为政府强制采购产品</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凡“节能产品政府采购品目清单”中以★标注的为政府强制采购产品</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环境标志产品政府采购品目清单：</w:t>
      </w:r>
      <w:r/>
    </w:p>
    <w:p>
      <w:pPr>
        <w:ind w:firstLine="480"/>
        <w:spacing w:line="360" w:lineRule="auto"/>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ind w:firstLine="48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4．绿色采购其他政策</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ascii="Times New Roman" w:hAnsi="Times New Roman"/>
          <w:b/>
          <w:color w:val="000000" w:themeColor="text1"/>
          <w:sz w:val="28"/>
          <w:szCs w:val="28"/>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spacing w:before="120" w:after="120" w:line="440" w:lineRule="exact"/>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二、技术</w:t>
      </w:r>
      <w:r>
        <w:rPr>
          <w:rFonts w:hint="eastAsia" w:ascii="Times New Roman" w:hAnsi="Times New Roman"/>
          <w:b/>
          <w:color w:val="000000" w:themeColor="text1"/>
          <w:sz w:val="28"/>
          <w:szCs w:val="28"/>
          <w:highlight w:val="none"/>
          <w14:textFill>
            <w14:solidFill>
              <w14:schemeClr w14:val="tx1"/>
            </w14:solidFill>
          </w14:textFill>
        </w:rPr>
        <w:t xml:space="preserve">服务</w:t>
      </w:r>
      <w:r>
        <w:rPr>
          <w:rFonts w:ascii="Times New Roman" w:hAnsi="Times New Roman"/>
          <w:b/>
          <w:color w:val="000000" w:themeColor="text1"/>
          <w:sz w:val="28"/>
          <w:szCs w:val="28"/>
          <w:highlight w:val="none"/>
          <w14:textFill>
            <w14:solidFill>
              <w14:schemeClr w14:val="tx1"/>
            </w14:solidFill>
          </w14:textFill>
        </w:rPr>
        <w:t xml:space="preserve">要求</w:t>
      </w:r>
      <w:r/>
    </w:p>
    <w:p>
      <w:pPr>
        <w:ind w:firstLine="482"/>
        <w:spacing w:before="120" w:after="120" w:line="440" w:lineRule="exact"/>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14:textFill>
            <w14:solidFill>
              <w14:schemeClr w14:val="tx1"/>
            </w14:solidFill>
          </w14:textFill>
        </w:rPr>
        <w:t xml:space="preserve">（一）服务基本要求</w:t>
      </w:r>
      <w:r/>
    </w:p>
    <w:tbl>
      <w:tblPr>
        <w:tblStyle w:val="1065"/>
        <w:tblW w:w="90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8"/>
        <w:gridCol w:w="859"/>
        <w:gridCol w:w="7595"/>
      </w:tblGrid>
      <w:tr>
        <w:trPr>
          <w:jc w:val="center"/>
          <w:trHeight w:val="759"/>
        </w:trPr>
        <w:tc>
          <w:tcPr>
            <w:tcW w:w="628" w:type="dxa"/>
            <w:vAlign w:val="center"/>
            <w:textDirection w:val="lrTb"/>
            <w:noWrap w:val="false"/>
          </w:tcPr>
          <w:p>
            <w:pPr>
              <w:jc w:val="center"/>
              <w:rPr>
                <w:rFonts w:hint="eastAsia" w:ascii="宋体" w:hAnsi="宋体" w:cs="宋体"/>
                <w:b/>
                <w:bCs/>
                <w:color w:val="000000" w:themeColor="text1"/>
                <w:sz w:val="24"/>
                <w:szCs w:val="24"/>
                <w:highlight w:val="none"/>
                <w:lang w:eastAsia="en-US"/>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序号</w:t>
            </w:r>
            <w:r/>
          </w:p>
        </w:tc>
        <w:tc>
          <w:tcPr>
            <w:tcW w:w="859" w:type="dxa"/>
            <w:vAlign w:val="center"/>
            <w:textDirection w:val="lrTb"/>
            <w:noWrap w:val="false"/>
          </w:tcPr>
          <w:p>
            <w:pPr>
              <w:jc w:val="center"/>
              <w:rPr>
                <w:rFonts w:hint="eastAsia" w:ascii="宋体" w:hAnsi="宋体" w:cs="宋体"/>
                <w:b/>
                <w:bCs/>
                <w:color w:val="000000" w:themeColor="text1"/>
                <w:sz w:val="24"/>
                <w:szCs w:val="24"/>
                <w:highlight w:val="none"/>
                <w:lang w:eastAsia="en-US"/>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名称</w:t>
            </w:r>
            <w:r/>
          </w:p>
        </w:tc>
        <w:tc>
          <w:tcPr>
            <w:tcW w:w="7595" w:type="dxa"/>
            <w:vAlign w:val="center"/>
            <w:textDirection w:val="lrTb"/>
            <w:noWrap w:val="false"/>
          </w:tcPr>
          <w:p>
            <w:pPr>
              <w:jc w:val="center"/>
              <w:rPr>
                <w:rFonts w:hint="eastAsia" w:ascii="宋体" w:hAnsi="宋体" w:cs="宋体"/>
                <w:b/>
                <w:bCs/>
                <w:color w:val="000000" w:themeColor="text1"/>
                <w:sz w:val="24"/>
                <w:szCs w:val="24"/>
                <w:highlight w:val="none"/>
                <w:lang w:eastAsia="en-US"/>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内容</w:t>
            </w:r>
            <w:r/>
          </w:p>
        </w:tc>
      </w:tr>
      <w:tr>
        <w:trPr>
          <w:jc w:val="center"/>
          <w:trHeight w:val="325"/>
        </w:trPr>
        <w:tc>
          <w:tcPr>
            <w:tcW w:w="628" w:type="dxa"/>
            <w:vAlign w:val="center"/>
            <w:textDirection w:val="lrTb"/>
            <w:noWrap w:val="false"/>
          </w:tcPr>
          <w:p>
            <w:pPr>
              <w:jc w:val="center"/>
              <w:spacing w:line="360"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w:t>
            </w:r>
            <w:r/>
          </w:p>
        </w:tc>
        <w:tc>
          <w:tcPr>
            <w:tcW w:w="859" w:type="dxa"/>
            <w:vAlign w:val="center"/>
            <w:textDirection w:val="lrTb"/>
            <w:noWrap w:val="false"/>
          </w:tcPr>
          <w:p>
            <w:pPr>
              <w:ind w:firstLine="2"/>
              <w:jc w:val="center"/>
              <w:spacing w:line="360"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项目基本情况</w:t>
            </w:r>
            <w:r/>
          </w:p>
        </w:tc>
        <w:tc>
          <w:tcPr>
            <w:tcW w:w="7595" w:type="dxa"/>
            <w:vAlign w:val="center"/>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1、项目名称：大新镇镇区一体化保洁及厨余等垃圾清运项目</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2、项目承包服务方式：采用包工、包装备的作业方式</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3、项目服务范围：</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3.1大新镇建成区域（东至港城大道，南至</w:t>
            </w:r>
            <w:r>
              <w:rPr>
                <w:rFonts w:hint="eastAsia" w:ascii="宋体" w:hAnsi="宋体" w:cs="宋体"/>
                <w:color w:val="000000" w:themeColor="text1"/>
                <w:sz w:val="24"/>
                <w:szCs w:val="24"/>
                <w:highlight w:val="none"/>
                <w:lang w:eastAsia="zh-CN"/>
                <w14:textFill>
                  <w14:solidFill>
                    <w14:schemeClr w14:val="tx1"/>
                  </w14:solidFill>
                </w14:textFill>
              </w:rPr>
              <w:t xml:space="preserve">兴联路</w:t>
            </w:r>
            <w:r>
              <w:rPr>
                <w:rFonts w:hint="eastAsia" w:ascii="宋体" w:hAnsi="宋体" w:cs="宋体"/>
                <w:color w:val="000000" w:themeColor="text1"/>
                <w:sz w:val="24"/>
                <w:szCs w:val="24"/>
                <w:highlight w:val="none"/>
                <w14:textFill>
                  <w14:solidFill>
                    <w14:schemeClr w14:val="tx1"/>
                  </w14:solidFill>
                </w14:textFill>
              </w:rPr>
              <w:t xml:space="preserve">，西至朝东圩港，北至沿江公路）范围内的主次干道（包括但不限于：杨新公路大新段、国泰北路、平北路、永凝路、平凝路、府前路、育才弄、海坝路、新乐路、新东路、新湖南路、新湖中路、新湖北路、新湖东路、新湖西路、新幼路等路段）以及重要区域（新湖公园、滨江菜场南北广场、周边及东侧道路、商业街、漫心公园、新南菜场周边、大新中小学周边、老政务中心周边、停车场、小公园及规划建设中新增路段包括在内），上述区域内道路、街道、弄堂、绿化带、停车场、广场、开放式小区及其他公共区域等地段的清扫保洁、路面冲洗、洒水除尘。</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3.2上述区域内所有乱涂乱贴、积存垃圾、卫生死角整治清除。</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3.3上述区域内12座公厕日常保洁、水电设施维修及运行管理。</w:t>
            </w:r>
            <w:r/>
          </w:p>
          <w:p>
            <w:pPr>
              <w:ind w:firstLine="3"/>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3.4上述区域内所有果壳箱、垃圾桶、垃圾收集房、灭蚊灯及公交站台等设施清洗保洁及管理。</w:t>
            </w:r>
            <w:r/>
          </w:p>
          <w:p>
            <w:pPr>
              <w:ind w:firstLine="4"/>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3.5上述区域内开放式小区内（包括大新社区府前新村、滨江公园、园艺新村、新茂花园、锦江新村等）及所有门店（不含富华佳园、望江水岸、龙湖湾、乐橙广场、新悦名邸、新湖花园、泰富花园小区门店）产生的餐厨、可回收、其他、有毒有害、无主大件垃圾及建筑垃圾等垃圾的分类、收集清运服务。</w:t>
            </w:r>
            <w:r/>
          </w:p>
          <w:p>
            <w:pPr>
              <w:ind w:firstLine="3"/>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3.6上述区域内新老商品房、安置房封闭小区（包括合同期内在建待交付使用的）、及镇区企事业单位（包括在建新项目企业）等区域内垃圾分类亭的生活垃圾分类收运；上午6:00—8:00，下午18:00—20:00），上级另有要求的，遵循上级规定要求执行。</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3.7大新商贸街院内停车场及6个楼道、2个停车场保洁。</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3.8负责大新镇镇区1个垃圾压缩站设备运行维护、维修及管理，完成大新镇区所有垃圾压缩及外运，日产日清。</w:t>
            </w:r>
            <w:r/>
          </w:p>
          <w:p>
            <w:pPr>
              <w:ind w:firstLine="1"/>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3.9大新镇垃圾压缩站厨余垃圾处理设备、污水处理设备运行及管理。</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3.10大新镇敞开式小区（新茂花园、园艺新村、滨江花园、锦江新村、府前新村</w:t>
            </w:r>
            <w:r>
              <w:rPr>
                <w:rFonts w:hint="eastAsia" w:ascii="宋体" w:hAnsi="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）共</w:t>
            </w:r>
            <w:r>
              <w:rPr>
                <w:rFonts w:hint="eastAsia" w:ascii="宋体" w:hAnsi="宋体" w:cs="宋体"/>
                <w:color w:val="000000" w:themeColor="text1"/>
                <w:sz w:val="24"/>
                <w:szCs w:val="24"/>
                <w:highlight w:val="none"/>
                <w:lang w:eastAsia="zh-CN"/>
                <w14:textFill>
                  <w14:solidFill>
                    <w14:schemeClr w14:val="tx1"/>
                  </w14:solidFill>
                </w14:textFill>
              </w:rPr>
              <w:t xml:space="preserve">13个点位</w:t>
            </w:r>
            <w:r>
              <w:rPr>
                <w:rFonts w:hint="eastAsia" w:ascii="宋体" w:hAnsi="宋体" w:cs="宋体"/>
                <w:color w:val="000000" w:themeColor="text1"/>
                <w:sz w:val="24"/>
                <w:szCs w:val="24"/>
                <w:highlight w:val="none"/>
                <w14:textFill>
                  <w14:solidFill>
                    <w14:schemeClr w14:val="tx1"/>
                  </w14:solidFill>
                </w14:textFill>
              </w:rPr>
              <w:t xml:space="preserve">的垃圾分类管理（上午6:00—8:00，下午18:00—20:00），上级另有要求的，遵循上级规定要求执行。</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3.11负责项目区域内机关、学校、医疗机构、企事业单位、农贸市场、景区等由政府统一管理的化粪池定期吸粪清渣等工作。</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3.12大新镇新湖公园陆地、绿化带及湖区、公共设施设备等日常保洁及管理。</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3.13配合做好项目区域内政府组织实施的各类环境整治行动，无条件做好参观考察线路环境卫生保障工作。</w:t>
            </w:r>
            <w:r/>
          </w:p>
          <w:p>
            <w:pPr>
              <w:ind w:firstLine="3"/>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3.14区域内垃圾清运有偿服务收费项目仍为市容科负责，收费额全部上交大新镇财政。</w:t>
            </w:r>
            <w:r/>
          </w:p>
        </w:tc>
      </w:tr>
      <w:tr>
        <w:trPr>
          <w:jc w:val="center"/>
          <w:trHeight w:val="567"/>
        </w:trPr>
        <w:tc>
          <w:tcPr>
            <w:tcW w:w="628" w:type="dxa"/>
            <w:vAlign w:val="center"/>
            <w:vMerge w:val="restart"/>
            <w:textDirection w:val="lrTb"/>
            <w:noWrap w:val="false"/>
          </w:tcPr>
          <w:p>
            <w:pPr>
              <w:jc w:val="left"/>
              <w:spacing w:line="360"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c>
          <w:tcPr>
            <w:tcW w:w="859" w:type="dxa"/>
            <w:vAlign w:val="center"/>
            <w:vMerge w:val="restart"/>
            <w:textDirection w:val="lrTb"/>
            <w:noWrap w:val="false"/>
          </w:tcPr>
          <w:p>
            <w:pPr>
              <w:jc w:val="left"/>
              <w:spacing w:line="360"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服务条款</w:t>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（一）道路作业标准</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1、路面废弃物控制指标（</w:t>
            </w:r>
            <w:r>
              <w:rPr>
                <w:rFonts w:hint="eastAsia" w:ascii="宋体" w:hAnsi="宋体" w:cs="宋体"/>
                <w:b/>
                <w:bCs/>
                <w:color w:val="000000" w:themeColor="text1"/>
                <w:sz w:val="24"/>
                <w:szCs w:val="24"/>
                <w:highlight w:val="none"/>
                <w14:textFill>
                  <w14:solidFill>
                    <w14:schemeClr w14:val="tx1"/>
                  </w14:solidFill>
                </w14:textFill>
              </w:rPr>
              <w:t xml:space="preserve">详见四、其他部分、附件1.1）</w:t>
            </w:r>
            <w:r>
              <w:rPr>
                <w:rFonts w:hint="eastAsia" w:ascii="宋体" w:hAnsi="宋体" w:cs="宋体"/>
                <w:color w:val="000000" w:themeColor="text1"/>
                <w:sz w:val="24"/>
                <w:szCs w:val="24"/>
                <w:highlight w:val="none"/>
                <w14:textFill>
                  <w14:solidFill>
                    <w14:schemeClr w14:val="tx1"/>
                  </w14:solidFill>
                </w14:textFill>
              </w:rPr>
              <w:t xml:space="preserve">：</w:t>
            </w:r>
            <w:r/>
          </w:p>
          <w:tbl>
            <w:tblPr>
              <w:tblStyle w:val="1065"/>
              <w:tblW w:w="7398"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870"/>
              <w:gridCol w:w="982"/>
              <w:gridCol w:w="1254"/>
              <w:gridCol w:w="1118"/>
              <w:gridCol w:w="982"/>
              <w:gridCol w:w="1268"/>
              <w:gridCol w:w="924"/>
            </w:tblGrid>
            <w:tr>
              <w:trPr>
                <w:jc w:val="center"/>
                <w:trHeight w:val="624"/>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保洁</w:t>
                  </w:r>
                  <w:r/>
                </w:p>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等级</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果皮（片/千平方米）</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纸屑、塑膜</w:t>
                  </w:r>
                  <w:r/>
                </w:p>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（片/千平方米）</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烟蒂（个/</w:t>
                  </w:r>
                  <w:r/>
                </w:p>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千平方米）</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痰迹（处/千平方米）</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污水（平方</w:t>
                  </w:r>
                  <w:r/>
                </w:p>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米/千平方米）</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其它（处/千平方米）</w:t>
                  </w:r>
                  <w:r/>
                </w:p>
              </w:tc>
            </w:tr>
            <w:tr>
              <w:trPr>
                <w:jc w:val="center"/>
                <w:trHeight w:val="624"/>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一级</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tc>
            </w:tr>
            <w:tr>
              <w:trPr>
                <w:jc w:val="center"/>
                <w:trHeight w:val="624"/>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二级</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≤0.5</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r>
            <w:tr>
              <w:trPr>
                <w:jc w:val="center"/>
                <w:trHeight w:val="624"/>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三级</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r>
            <w:tr>
              <w:trPr>
                <w:jc w:val="center"/>
                <w:trHeight w:val="624"/>
              </w:trPr>
              <w:tc>
                <w:tcPr>
                  <w:tcBorders>
                    <w:top w:val="single" w:color="auto" w:sz="4" w:space="0"/>
                    <w:left w:val="single" w:color="auto" w:sz="4" w:space="0"/>
                    <w:bottom w:val="single" w:color="auto" w:sz="4" w:space="0"/>
                    <w:right w:val="single" w:color="auto" w:sz="4" w:space="0"/>
                  </w:tcBorders>
                  <w:tcW w:w="870"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四级</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268"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924" w:type="dxa"/>
                  <w:vAlign w:val="center"/>
                  <w:textDirection w:val="lrTb"/>
                  <w:noWrap w:val="false"/>
                </w:tcPr>
                <w:p>
                  <w:pPr>
                    <w:jc w:val="center"/>
                    <w:spacing w:line="324"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r>
          </w:tbl>
          <w:p>
            <w:pPr>
              <w:ind w:hanging="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常规保洁时间：7:00--10:30  14:00--17:00；</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休息时段：10:30--12:30 安排人员进行快速保洁、巡回保洁。</w:t>
            </w:r>
            <w:r/>
          </w:p>
          <w:p>
            <w:pPr>
              <w:ind w:hanging="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晚间时段：17:00--22:00 安排人员对中心镇区主要街道进行夜间快速保洁。</w:t>
            </w:r>
            <w:r/>
          </w:p>
          <w:p>
            <w:pPr>
              <w:ind w:firstLine="8"/>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高温季节，服务单位可按照劳动法有关规定进行作业时间调整，但需报采购人备案。</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遇重大事件、重要活动时，作业时间应无条件服从镇相关部门安排。</w:t>
            </w:r>
            <w:r/>
          </w:p>
          <w:p>
            <w:pPr>
              <w:ind w:hanging="1"/>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2、降雪天气，应及时组织铲雪作业。道路融雪后，路面灰沙及其它废弃物应及时清扫干净。</w:t>
            </w:r>
            <w:r/>
          </w:p>
          <w:p>
            <w:pPr>
              <w:ind w:firstLine="3"/>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3、路面冲洗（包括新镇区）、洒水作业时应鸣报警示信号；路面作业一般应在7:00前、14:00-16:00之间进行，冲洗后路面应干净，无油渍，下水口不应堵塞。结冰期不宜冲洗。其他可根据具体情况决定。</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每日的路面大清扫作业，应避开上下班交通高峰，道路第一遍大清扫作业应于每日7:00前结束，第二遍大清扫作业在每日14:00前结束，夜间保洁至22:00（重点路段专人巡回保洁），人行道、路面、边沟、下水口、树穴等应整洁。</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5、道路清扫工在作业时应统一着具有反光标志的全套工作装。</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6、道路保洁质量要求：</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（1）道路实施机械化清扫，每日至少二次，上、下午各一次，重要活动根据镇环卫所要求执行。</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（2）主要路段应巡回保洁，发生交通事故，车辆物品洒落等意外产生路面垃圾、路面污损的，半小时内到达现场清扫或清洗。</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（3）路面常冲洗、基本见本色，特殊情况根据镇环卫所通知确定。</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（4）气温25℃以上时，每天洒水应不少于2次，气温低于25℃时、特殊情况按镇环卫所通知执行。</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（5）清扫无死角（实施人工清扫的街道、弄堂、小区等地段每日7:00前完成大清扫），路面基本无杂物，垃圾无漏收，雨后基本无积水，雨水窨井盖无阻塞；街巷交界处扫通（交界处搭接10米以上）。</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（6）桥面的保洁质量应与所连接的道路保洁质量标准相同。桥栏杆保持整洁。</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（7）人行地道的地面保洁质量，应与所连接的道路保洁质量标准相同。</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（8）一级道路快速保洁频率小于15分钟，其他道路快速保洁频率小于30 分钟。</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（9）行道树开花、结籽、落叶期间有清理落叶、落花、落籽的阶段性清扫保洁方案，确保路面洁净。</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7、乱张贴、乱涂写清理</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沿线保洁范围内墙面、路侧石、市政设施（路灯杆、隔离栏、路面栏杆、绿化带杂物树枝等）无乱张贴、乱涂写、违规横幅等。</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8、作业人员无拾荒，作业期间不得选择性捡拾有价垃圾。</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9、清扫保洁垃圾倾倒到指定地方。</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10、保洁车整洁，工具摆放整齐。</w:t>
            </w:r>
            <w:r/>
          </w:p>
          <w:p>
            <w:pPr>
              <w:ind w:hanging="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11、严格遵守交通法规，安全行车，作业时不得影响车辆通行与市民出行。</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12、收到政府网站、市长信箱、新闻媒体及来信、来访等关于环卫保洁的投诉，按照规定时限及时妥善处理，迅速整改到位。</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（二）垃圾清运及管理作业标准</w:t>
            </w:r>
            <w:r/>
          </w:p>
          <w:p>
            <w:pPr>
              <w:ind w:firstLine="1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镇区垃圾清运每天不少于四次，垃圾收运时间为6:00--16:00，并安排重点路段垃圾夜收运（18:00—22:00），主干道沿线、重点区域每日上午9:00前结束，下午14:30前结束。作业完毕及时清理垃圾房、桶及外场地，确保垃圾房、桶、果壳箱周边无乱堆废品，无散落垃圾，无污水积存，环境整洁卫生，清运完毕后应将垃圾桶放归原位，垃圾做到日产日清。</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2、做好日常巡查，发现暴露垃圾及时清理。</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3、清运过程中保洁车辆箱盖必须密闭，车厢锁扣随时扣紧确保无扬、撒、拖挂和污水滴漏，车身底部不得积压、堆放各种垃圾。</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4、垃圾倾倒到指定地方。</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（三）新湖公园保洁标准</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1、负责大新镇新湖公园陆地、绿化带、公共设施设备等的日常保洁工作。</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2、新湖公园湖区保洁作业标准</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（1）水面保持清洁，无水花生、水葫芦、青萍等水生植物，无垃圾、死禽死畜等漂浮物。禁止使用各类除草剂等化学农药，后果自负。</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（2）湖面无影响河道环境面貌的水草高杆植物，无地笼、网簖、围网、摇网等捕捞（养殖）设施，无影响引水、行洪的建筑物、障碍物，无围垦水面、填塞河道现象。</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（3）湖岸平顺干净整洁，无生活、生产、建筑垃圾，无影响河道面貌的杂树、杂草，无复垦种、埋葬、取土等现象。</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（4）河道管理公告牌干净、完好，无张贴告示、广告等。</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（5）新湖公园“城市客厅”创建区域，需按照上级相关要求实施。</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（四）其他设施的保洁</w:t>
            </w:r>
            <w:r/>
          </w:p>
          <w:p>
            <w:pPr>
              <w:ind w:firstLine="1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1、废物箱、果壳箱、垃圾桶、灭蚊灯箱等周围地面应无抛撒、内部无存留垃圾；箱体摆正，果壳箱、灭蚊灯应每日擦拭一次，垃圾桶、垃圾亭每周清洗一次；发现严重污损随时清洗，设施损坏及时上报。</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2、路旁绿地、绿化隔离带、行道树穴内应无积存垃圾；保洁区域内无暴露建筑垃圾；无乱涂写、乱装贴及小广告、无农作物（杂）垃圾乱堆放。</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3、道路隔离设施底部无散落垃圾、无明显尘土。</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4、木栈道地面、铺装道路地面无杂草、无杂物垃圾。</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（五）公厕管理</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1、公厕日常管护时间：6:00--18:00。</w:t>
            </w:r>
            <w:r/>
          </w:p>
          <w:p>
            <w:pPr>
              <w:ind w:firstLine="3"/>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2、公厕有专人管理、有保洁制度，管理房（工具间）物品摆放有序，整洁无杂物，无闲杂人员，不得挪作他用；</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3、每座公厕每天保洁次数应不少于4次；重点区域公厕全天候保洁；</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4、公厕内采光、照明和通风应良好，无明显臭味；</w:t>
            </w:r>
            <w:r/>
          </w:p>
          <w:p>
            <w:pPr>
              <w:ind w:firstLine="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5、公厕内墙面、天花板、门窗和隔离板应无积灰、污迹、蛛网，无乱涂乱画，墙面应光洁；公厕外墙面应整洁；</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6、公厕内地面应光洁，无积水；</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7、座便器、蹲位应整洁，大便槽两侧应无粪便污物，槽内无积粪；</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8、小便槽（斗）应无水锈、尿垢、垃圾，基本无臭味；沟眼、管道保持畅通；</w:t>
            </w:r>
            <w:r/>
          </w:p>
          <w:p>
            <w:pPr>
              <w:ind w:hanging="1"/>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9、公厕内照明灯具、洗手器具、镜子、挂衣钩、烘手器、冲水设备等应完好无积灰、污物；</w:t>
            </w:r>
            <w:r/>
          </w:p>
          <w:p>
            <w:pPr>
              <w:ind w:firstLine="1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10、公厕外环境应整洁，无乱堆杂物，保洁工具应放置整齐。公厕周边无垃圾、粪便、污水等污物；</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11、公厕应设有醒目的标志、标识及导厕牌，方便群众入厕；</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12、公厕化粪池与出粪口应有盖板，无破损凸陷；</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13、蝇蚊孳生季节，应定时喷洒灭蚊蝇药物，有效控制蝇蛆孳生。</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14、公厕内卫生保洁质量控制指标应符合规定。</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15、公厕卫生保洁质量控制指标如下</w:t>
            </w:r>
            <w:r>
              <w:rPr>
                <w:rFonts w:hint="eastAsia" w:ascii="宋体" w:hAnsi="宋体" w:cs="宋体"/>
                <w:b/>
                <w:bCs/>
                <w:color w:val="000000" w:themeColor="text1"/>
                <w:sz w:val="24"/>
                <w:szCs w:val="24"/>
                <w:highlight w:val="none"/>
                <w14:textFill>
                  <w14:solidFill>
                    <w14:schemeClr w14:val="tx1"/>
                  </w14:solidFill>
                </w14:textFill>
              </w:rPr>
              <w:t xml:space="preserve">（详见四、其他部分 附件 1.2）</w:t>
            </w:r>
            <w:r>
              <w:rPr>
                <w:rFonts w:hint="eastAsia" w:ascii="宋体" w:hAnsi="宋体" w:cs="宋体"/>
                <w:color w:val="000000" w:themeColor="text1"/>
                <w:sz w:val="24"/>
                <w:szCs w:val="24"/>
                <w:highlight w:val="none"/>
                <w14:textFill>
                  <w14:solidFill>
                    <w14:schemeClr w14:val="tx1"/>
                  </w14:solidFill>
                </w14:textFill>
              </w:rPr>
              <w:t xml:space="preserve">：</w:t>
            </w:r>
            <w:r/>
          </w:p>
          <w:tbl>
            <w:tblPr>
              <w:tblStyle w:val="1065"/>
              <w:tblW w:w="7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811"/>
              <w:gridCol w:w="1309"/>
              <w:gridCol w:w="1378"/>
              <w:gridCol w:w="2814"/>
            </w:tblGrid>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项目</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一类公厕</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二类公厕</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三类公厕</w:t>
                  </w:r>
                  <w:r/>
                </w:p>
              </w:tc>
            </w:tr>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纸片（块）</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r>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烟蒂（个）</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r>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粪迹（处）</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r>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痰迹（处）</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r>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窗格积灰</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微</w:t>
                  </w:r>
                  <w:r/>
                </w:p>
              </w:tc>
            </w:tr>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臭味（级）</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≤0</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水厕≤1</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水厕≤2、非水厕≤3</w:t>
                  </w:r>
                  <w:r/>
                </w:p>
              </w:tc>
            </w:tr>
            <w:tr>
              <w:trPr>
                <w:jc w:val="center"/>
                <w:trHeight w:val="482"/>
              </w:trPr>
              <w:tc>
                <w:tcPr>
                  <w:tcW w:w="1811"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苍蝇（只）</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814"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水厕＜3、非水厕≤5</w:t>
                  </w:r>
                  <w:r/>
                </w:p>
              </w:tc>
            </w:tr>
            <w:tr>
              <w:trPr>
                <w:jc w:val="center"/>
                <w:trHeight w:val="482"/>
              </w:trPr>
              <w:tc>
                <w:tcPr>
                  <w:tcW w:w="1811" w:type="dxa"/>
                  <w:vAlign w:val="center"/>
                  <w:textDirection w:val="lrTb"/>
                  <w:noWrap w:val="false"/>
                </w:tcPr>
                <w:p>
                  <w:pPr>
                    <w:pStyle w:val="1066"/>
                    <w:jc w:val="center"/>
                    <w:spacing w:line="324"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蛛网</w:t>
                  </w:r>
                  <w:r/>
                </w:p>
              </w:tc>
              <w:tc>
                <w:tcPr>
                  <w:tcW w:w="1309"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1378" w:type="dxa"/>
                  <w:vAlign w:val="center"/>
                  <w:textDirection w:val="lrTb"/>
                  <w:noWrap w:val="false"/>
                </w:tcPr>
                <w:p>
                  <w:pPr>
                    <w:jc w:val="center"/>
                    <w:spacing w:line="324"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814" w:type="dxa"/>
                  <w:vAlign w:val="center"/>
                  <w:textDirection w:val="lrTb"/>
                  <w:noWrap w:val="false"/>
                </w:tcPr>
                <w:p>
                  <w:pPr>
                    <w:pStyle w:val="1066"/>
                    <w:jc w:val="center"/>
                    <w:spacing w:line="324"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w:t>
                  </w:r>
                  <w:r/>
                </w:p>
              </w:tc>
            </w:tr>
          </w:tbl>
          <w:p>
            <w:pPr>
              <w:ind w:hanging="2"/>
              <w:jc w:val="left"/>
              <w:spacing w:line="360"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（六）垃圾压缩转运、污水处理、厨余垃圾处理和抽粪作业要求</w:t>
            </w:r>
            <w:r/>
          </w:p>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1、垃圾中转站及外运</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（1）垃圾压缩站现有1座，工作时间为6:00--15:30（随季节变化调整工作时间），对大新片区内各村居装运进站的各类垃圾及时压缩打包转运处理，垃圾日产日清。</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（2）上、下班前压机须空载运行一遍，严格检查齿轮箱液压油、污水坑道（井）、各油管接口、滚轮传动部件、油缸密封等部位是否运行正常。下班时必须切断压机总电源并时刻保持油缸表面及电子阀整洁。</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（3）指挥垃圾清运车辆进场有序倾倒转运，提前做好相关准备工作。</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（4）全天做好压机房内外（场地周边）和压机表面卫生保洁工作，确保整洁干净。压机房内禁止堆放任何与操作无关的物品。</w:t>
            </w:r>
            <w:r/>
          </w:p>
          <w:p>
            <w:pPr>
              <w:ind w:firstLine="4"/>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（5）垃圾压缩站共有2台生活垃圾压缩机设备、1套厨余垃圾处理设备和 1套污水处理设备，由采购人免费提供给中标人使用。工作人员要密切注意压机运作情况，发现异常及时维修，不准带事故隐患操作，做好垃圾压缩机的日常维护保养工作</w:t>
            </w:r>
            <w:r>
              <w:rPr>
                <w:rFonts w:hint="eastAsia" w:ascii="宋体" w:hAnsi="宋体" w:cs="宋体"/>
                <w:b/>
                <w:bCs/>
                <w:color w:val="000000" w:themeColor="text1"/>
                <w:sz w:val="24"/>
                <w:szCs w:val="24"/>
                <w:highlight w:val="none"/>
                <w14:textFill>
                  <w14:solidFill>
                    <w14:schemeClr w14:val="tx1"/>
                  </w14:solidFill>
                </w14:textFill>
              </w:rPr>
              <w:t xml:space="preserve">（应制定有设备维修预案、压缩站设备所有维修、维保费由中标人承担）</w:t>
            </w:r>
            <w:r>
              <w:rPr>
                <w:rFonts w:hint="eastAsia" w:ascii="宋体" w:hAnsi="宋体" w:cs="宋体"/>
                <w:color w:val="000000" w:themeColor="text1"/>
                <w:sz w:val="24"/>
                <w:szCs w:val="24"/>
                <w:highlight w:val="none"/>
                <w14:textFill>
                  <w14:solidFill>
                    <w14:schemeClr w14:val="tx1"/>
                  </w14:solidFill>
                </w14:textFill>
              </w:rPr>
              <w:t xml:space="preserve">；易腐垃圾处理设施运行必须建立健全台账且做好日常保养工作。</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（6）离开前必须关窗，锁好压机房的门，维护好基础设施及时维修或更换冲洗设备。</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（7）妥善保管好压机维护保养工具，及其他配套财物。</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（8）压站工作人员有高度的工作责任心和吃苦耐劳的精神，统一着装，按操作要求进行操作垃圾压缩机，按要求佩戴相应劳动保护用品。压机操作由专职人员负责，禁止其他人员操作。</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（9）压缩转运站不得随意接受其他人或单位倾倒垃圾。</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（10）压缩站区域环境卫生必须保持干净整洁、无渍水、无散落垃圾、地面无污迹、无恶臭，场内不允许饲养动物，不允许拾荒行为。</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（11）准确做好外运垃圾车辆承运数的台账登记工，每月底上报至环卫所。</w:t>
            </w:r>
            <w:r/>
          </w:p>
          <w:p>
            <w:pPr>
              <w:ind w:firstLine="3"/>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（12）外运车按市容管理处要求确定外运任务，统一运送至市焚烧厂和东沙填埋场。</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（13）外运车辆按环卫所要求做好定期保养维护并记录，每天保持车辆整洁，严禁开“病”车，并安装GPS监控系统连接至大新镇政府平台。</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ind w:firstLine="7"/>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2、大新镇垃圾压缩站污水处理设备运行及管理</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（1）设备技术人员及操作工接受污水处理设备生产厂家的专业培训，完全掌握设备日常运行技术、具体操作流程和规范。</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（2）中标人承担污水处理设备运行产生的日常维护费（机油、机封等磨损易耗品的保养和更换、日常设备的维修和常见故障的维修等）及药剂（氢氧化钠、柠檬酸、PAM、PAC、化验药剂等）费用。</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（3）每日对污水处理设备运行情况进行检查并记录，发现运行故障及时报修。</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（4）建立完善的设备管理档案，包括设备的说明书、图纸资料、验收记录及设备的保养记录等。</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（5）定期给污水</w:t>
            </w:r>
            <w:r>
              <w:rPr>
                <w:rFonts w:hint="eastAsia" w:ascii="宋体" w:hAnsi="宋体" w:cs="宋体"/>
                <w:strike w:val="0"/>
                <w:color w:val="000000" w:themeColor="text1"/>
                <w:sz w:val="24"/>
                <w:szCs w:val="24"/>
                <w:highlight w:val="none"/>
                <w14:textFill>
                  <w14:solidFill>
                    <w14:schemeClr w14:val="tx1"/>
                  </w14:solidFill>
                </w14:textFill>
              </w:rPr>
              <w:t xml:space="preserve">处</w:t>
            </w:r>
            <w:r>
              <w:rPr>
                <w:rFonts w:hint="eastAsia" w:ascii="宋体" w:hAnsi="宋体" w:cs="宋体"/>
                <w:color w:val="000000" w:themeColor="text1"/>
                <w:sz w:val="24"/>
                <w:szCs w:val="24"/>
                <w:highlight w:val="none"/>
                <w14:textFill>
                  <w14:solidFill>
                    <w14:schemeClr w14:val="tx1"/>
                  </w14:solidFill>
                </w14:textFill>
              </w:rPr>
              <w:t xml:space="preserve">处理设备进行日常检修、维护，并根据室外气温变化，定期给污水处理设备各运行部位添加合适的润滑油，保持设备长期、稳定、正常的运行。</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（6）设备发生故障，维修人员应分析故障原因，制定维修方案，切不可盲目拆卸，做好维修记录。</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（7）每月底抄好污水处理设备水电使用读数。</w:t>
            </w:r>
            <w:r/>
          </w:p>
        </w:tc>
      </w:tr>
      <w:tr>
        <w:trPr>
          <w:jc w:val="center"/>
          <w:trHeight w:val="624"/>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3、大新镇垃圾压缩站厨余垃圾处理设备的运行及管理</w:t>
            </w:r>
            <w:r/>
          </w:p>
          <w:p>
            <w:pPr>
              <w:ind w:firstLine="3"/>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（1）操作工接受厨余垃圾处理设备生产厂家的专业培训，完全掌握设备日常运行技术、具体操作流程和规范。</w:t>
            </w:r>
            <w:r/>
          </w:p>
          <w:p>
            <w:pPr>
              <w:ind w:firstLine="4"/>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（2）每天将送来的厨余垃圾进行二次分拣，将符合条件的有机垃圾按照规定的操作流程送入设备进行处置，其他垃圾无法处理的送至旁边垃圾中转站处置。</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（3）每天收集处理设备产生的废料通过运输车辆规范运输，对初级肥料进行直接利用或深加工处理后利用。</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对运行中的相关数据（每天进料、出料量、木屑、发酵菌等辅料使用量）及相关经费（水电费，辅料、零部件耗材费等）进行全面、详实登记，形成管理台账资料。厨余垃圾处置产生的污泥每月不少于一次及时外运处置，费用由中标人承担。</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（5）做好运行现场及周边的环境卫生保洁和除臭等工作。</w:t>
            </w:r>
            <w:r/>
          </w:p>
          <w:p>
            <w:pPr>
              <w:ind w:hanging="8"/>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（6）将厨余垃圾处理的工作流程、工作纪律等内容制作成展板并再适当位置上墙张贴。</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（7）做好领导视察、参观访问、媒体采访等保障和接待工作。</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ind w:firstLine="7"/>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4、抽粪车作业要求</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（1）抽粪车需接镇环卫所的安排及时进行抽粪作业，具体作业时间为上午8:00--11:00和下午13:00--16:00。</w:t>
            </w:r>
            <w:r/>
          </w:p>
          <w:p>
            <w:pPr>
              <w:ind w:firstLine="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（2）抽粪工作根据日常规律计算各常规点位清理周期（公厕化粪池一个月一次），做好台账记录，接到抽粪任务，原则当天完成。</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（3）抽粪车辆按环卫所要求定期保养维护并记录，每天保持车况良好、车辆整洁。</w:t>
            </w:r>
            <w:r/>
          </w:p>
        </w:tc>
      </w:tr>
      <w:tr>
        <w:trPr>
          <w:jc w:val="center"/>
          <w:trHeight w:val="2095"/>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（七）病媒生物防制项目要求</w:t>
            </w:r>
            <w:r/>
          </w:p>
          <w:p>
            <w:pPr>
              <w:ind w:firstLine="1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1、每周2—3次，每次早晚对垃圾箱(桶）、公厕进行消杀。（病媒生物防制月：4月--11月）。</w:t>
            </w:r>
            <w:r/>
          </w:p>
          <w:p>
            <w:pPr>
              <w:ind w:firstLine="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2、每月做好病媒生物防制工作台帐，月底上交爱卫条线。（病媒生物防制月：4月--11月）。</w:t>
            </w:r>
            <w:r/>
          </w:p>
          <w:p>
            <w:pPr>
              <w:ind w:firstLine="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每年春冬两季节灭鼠行动，按大新镇镇爱卫条线专职人指导设置毒饵站、房等灭鼠设施，设施由大新镇爱卫条线提供，损坏及时上报大新镇爱卫条线后更换，定期投放和更换药物（由中标人提供），并按要求做好台帐。</w:t>
            </w:r>
            <w:r/>
          </w:p>
          <w:p>
            <w:pPr>
              <w:ind w:hanging="4"/>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4、所有病媒生物防制药物由大新镇爱卫条线提供，工具自备，药物不得买卖和外流等现象，用药数量与台帐记录一致。</w:t>
            </w:r>
            <w:r/>
          </w:p>
          <w:p>
            <w:pPr>
              <w:ind w:hanging="24"/>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5、按照大新镇爱卫条线要求做好灭蟑和台帐记录，灭鼠灭蟑药物等由大新镇爱卫条线提供，用药等数量与台帐记录一致。</w:t>
            </w:r>
            <w:r/>
          </w:p>
        </w:tc>
      </w:tr>
      <w:tr>
        <w:trPr>
          <w:jc w:val="center"/>
          <w:trHeight w:val="2095"/>
        </w:trPr>
        <w:tc>
          <w:tcPr>
            <w:tcW w:w="628" w:type="dxa"/>
            <w:vAlign w:val="center"/>
            <w:vMerge w:val="continue"/>
            <w:textDirection w:val="lrTb"/>
            <w:noWrap w:val="false"/>
          </w:tcPr>
          <w:p>
            <w:pPr>
              <w:ind w:hanging="2"/>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59" w:type="dxa"/>
            <w:vAlign w:val="center"/>
            <w:vMerge w:val="continue"/>
            <w:textDirection w:val="lrTb"/>
            <w:noWrap w:val="false"/>
          </w:tcPr>
          <w:p>
            <w:pPr>
              <w:ind w:hanging="2"/>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（八）清扫保洁车辆及其他要求</w:t>
            </w:r>
            <w:r/>
          </w:p>
          <w:p>
            <w:pPr>
              <w:ind w:firstLine="18"/>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1、清运过程中保洁车辆箱盖必须密闭，车厢锁扣随时扣紧确保无扬、撒、拖挂和污水滴漏，车身底部不得积压、堆放各种垃圾；</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2、收集车辆不得随意停放路口影响交通；</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3、垃圾倾倒到指定地方；</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4、果壳箱内垃圾及时清理，不得出现满溢现象。</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5、保洁车整洁，工具摆放整齐。</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6、作业人员工作时应无翻捡、拾荒及焚烧垃圾等行为。</w:t>
            </w:r>
            <w:r/>
          </w:p>
          <w:p>
            <w:pPr>
              <w:ind w:hanging="17"/>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7、严格遵守交通法规，安全行车，作业时不得影响车辆通行与市民出行。</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8、政府网站、市长信箱、新闻媒体及来信、来访等投诉按照规定时限及时妥善处理，迅速整改到位。</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（九）大新镇敞开式小区（</w:t>
            </w:r>
            <w:r>
              <w:rPr>
                <w:rFonts w:hint="eastAsia" w:ascii="宋体" w:hAnsi="宋体" w:cs="宋体"/>
                <w:b/>
                <w:bCs/>
                <w:color w:val="000000" w:themeColor="text1"/>
                <w:sz w:val="24"/>
                <w:szCs w:val="24"/>
                <w:highlight w:val="none"/>
                <w:lang w:eastAsia="zh-CN"/>
                <w14:textFill>
                  <w14:solidFill>
                    <w14:schemeClr w14:val="tx1"/>
                  </w14:solidFill>
                </w14:textFill>
              </w:rPr>
              <w:t xml:space="preserve">13个点位</w:t>
            </w:r>
            <w:r>
              <w:rPr>
                <w:rFonts w:hint="eastAsia" w:ascii="宋体" w:hAnsi="宋体" w:cs="宋体"/>
                <w:b/>
                <w:bCs/>
                <w:color w:val="000000" w:themeColor="text1"/>
                <w:sz w:val="24"/>
                <w:szCs w:val="24"/>
                <w:highlight w:val="none"/>
                <w14:textFill>
                  <w14:solidFill>
                    <w14:schemeClr w14:val="tx1"/>
                  </w14:solidFill>
                </w14:textFill>
              </w:rPr>
              <w:t xml:space="preserve">）垃圾分类管理要求</w:t>
            </w:r>
            <w:r/>
          </w:p>
          <w:p>
            <w:pPr>
              <w:ind w:firstLine="16"/>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1、辖区内垃圾分类亭定点、定时、定人开展垃圾分类宣传、指导、监督服务工作，并按相关要求做好记录。</w:t>
            </w:r>
            <w:r/>
          </w:p>
          <w:p>
            <w:pPr>
              <w:ind w:firstLine="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2、垃圾分类督导员应遵守管理制度，坚持文明引导，使用文明用语、规范用语。</w:t>
            </w:r>
            <w:r/>
          </w:p>
          <w:p>
            <w:pPr>
              <w:ind w:hanging="1"/>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3、辖区垃圾分类亭、桶及周边卫生每天清洁到位，垃圾桶必须达到“一桶一清洁一消杀”的作业标准，夏、秋两季做好垃圾桶周边的除四害工作，定期做好蚊蝇消杀及垃圾亭、桶消毒工作。</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4、根据委托方需要负责垃圾分类二次分拣工作（分出有害垃圾、可回收物、其他垃圾及厨余垃圾）。</w:t>
            </w:r>
            <w:r/>
          </w:p>
          <w:p>
            <w:pPr>
              <w:ind w:firstLine="5"/>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5、在垃圾分类管理工作中，如发现违禁物品，不得进行回收，应及时向相关行政部门报告并配合查处。</w:t>
            </w:r>
            <w:r/>
          </w:p>
          <w:p>
            <w:pPr>
              <w:ind w:hanging="1"/>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6、垃圾分类督导员配合、参与社区垃圾宣传小组组织的各项宣传活动。</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7、每月月初须向委托方汇报上月垃圾分类管理情况。</w:t>
            </w:r>
            <w:r/>
          </w:p>
        </w:tc>
      </w:tr>
      <w:tr>
        <w:trPr>
          <w:jc w:val="center"/>
          <w:trHeight w:val="567"/>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7595" w:type="dxa"/>
            <w:vAlign w:val="center"/>
            <w:textDirection w:val="lrTb"/>
            <w:noWrap w:val="false"/>
          </w:tcPr>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（十）进退场要求</w:t>
            </w:r>
            <w:r/>
          </w:p>
          <w:p>
            <w:pPr>
              <w:ind w:firstLine="1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1、确认责任人：进场和退场交接时，应明确责任人并进行确认，以确保交接工作的顺利进行。</w:t>
            </w:r>
            <w:r/>
          </w:p>
          <w:p>
            <w:pPr>
              <w:ind w:firstLine="1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2、交接内容：明确交接内容，包括物资、设备、人员等方面的情况，以及存在的问题和需要注意的事项。</w:t>
            </w:r>
            <w:r/>
          </w:p>
          <w:p>
            <w:pPr>
              <w:ind w:firstLine="1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3、交接时间：明确交接的时间，确保前一责任人的工作已经完成，并且后一责任人已经准备就绪。</w:t>
            </w:r>
            <w:r/>
          </w:p>
          <w:p>
            <w:pPr>
              <w:ind w:firstLine="1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4、交接方式：交接方式可以是书面交接、现场检查等。具体方式需要根据实际情况而定。</w:t>
            </w:r>
            <w:r/>
          </w:p>
          <w:p>
            <w:pPr>
              <w:ind w:firstLine="1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5、交接记录：在交接过程中，需要有交接记录的填写和签字确认，以便日后核查和追溯。</w:t>
            </w:r>
            <w:r/>
          </w:p>
          <w:p>
            <w:pPr>
              <w:ind w:firstLine="1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6、交接人员：交接人员要求认真负责，做好进场和退场的记录和交接工作，并在交接完成后做好相关记录。</w:t>
            </w:r>
            <w:r/>
          </w:p>
          <w:p>
            <w:pPr>
              <w:ind w:firstLine="1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7、监督检查：对交接后的工作情况进行监督检查，及时发现和解决问题，确保工作的顺利进行。</w:t>
            </w:r>
            <w:r/>
          </w:p>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（十一）应急服务要求</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1、负责特殊情况下的应急保障服务，包括突发应急事件或一般自然灾害保障等。</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中标人应建立应急保障机制，成立应急保障领导小组，储备充分的应急物资，制定专项保障和应急预案，明确责任人员、规范处置程序，确保突发事件得到及时妥善处理。按照充分准备、周密部署、快速反应、协调联动、果断处置的原则，开展各项应急及特勤作业的处置工作。主要包括突发性公共污染事件（道路遗撒等）应急处置极端天气（“极端天气”包括台风、雾霾、大风污染、暴雨暴雪、扬尘污染和道路积水清除等）环境卫生保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strike w:val="0"/>
                <w:color w:val="000000" w:themeColor="text1"/>
                <w:sz w:val="24"/>
                <w:szCs w:val="24"/>
                <w:highlight w:val="none"/>
                <w14:textFill>
                  <w14:solidFill>
                    <w14:schemeClr w14:val="tx1"/>
                  </w14:solidFill>
                </w14:textFill>
              </w:rPr>
              <w:t xml:space="preserve">临时</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任务</w:t>
            </w:r>
            <w:r>
              <w:rPr>
                <w:rFonts w:hint="eastAsia" w:ascii="宋体" w:hAnsi="宋体" w:cs="宋体"/>
                <w:strike w:val="0"/>
                <w:color w:val="000000" w:themeColor="text1"/>
                <w:sz w:val="24"/>
                <w:szCs w:val="24"/>
                <w:highlight w:val="none"/>
                <w14:textFill>
                  <w14:solidFill>
                    <w14:schemeClr w14:val="tx1"/>
                  </w14:solidFill>
                </w14:textFill>
              </w:rPr>
              <w:t xml:space="preserve">保障</w:t>
            </w:r>
            <w:r>
              <w:rPr>
                <w:rFonts w:hint="eastAsia" w:ascii="宋体" w:hAnsi="宋体" w:cs="宋体"/>
                <w:color w:val="000000" w:themeColor="text1"/>
                <w:sz w:val="24"/>
                <w:szCs w:val="24"/>
                <w:highlight w:val="none"/>
                <w14:textFill>
                  <w14:solidFill>
                    <w14:schemeClr w14:val="tx1"/>
                  </w14:solidFill>
                </w14:textFill>
              </w:rPr>
              <w:t xml:space="preserve">等。</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3、在台风或持续大雨过后，路面废弃物普遍性激增或出现大面积污染时，中标人在风雨过后，应及时组织</w:t>
            </w:r>
            <w:r>
              <w:rPr>
                <w:rFonts w:hint="eastAsia" w:ascii="宋体" w:hAnsi="宋体" w:cs="宋体"/>
                <w:strike w:val="0"/>
                <w:color w:val="000000" w:themeColor="text1"/>
                <w:sz w:val="24"/>
                <w:szCs w:val="24"/>
                <w:highlight w:val="none"/>
                <w14:textFill>
                  <w14:solidFill>
                    <w14:schemeClr w14:val="tx1"/>
                  </w14:solidFill>
                </w14:textFill>
              </w:rPr>
              <w:t xml:space="preserve">突击</w:t>
            </w:r>
            <w:r>
              <w:rPr>
                <w:rFonts w:hint="eastAsia" w:ascii="宋体" w:hAnsi="宋体" w:cs="宋体"/>
                <w:color w:val="000000" w:themeColor="text1"/>
                <w:sz w:val="24"/>
                <w:szCs w:val="24"/>
                <w:highlight w:val="none"/>
                <w14:textFill>
                  <w14:solidFill>
                    <w14:schemeClr w14:val="tx1"/>
                  </w14:solidFill>
                </w14:textFill>
              </w:rPr>
              <w:t xml:space="preserve">清理，及时将路面泥沙及垃圾冲洗清扫干净，及时将断树枝清理干净，确保迅速恢复交通畅通，并及时清洗交通护栏、路沿石。</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、中标人在处理应急工作时，应做到：</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（1）遇有重大活动响应及时，能够有力保证作业人员、设备按需到位。</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（2）环卫作业质量达到活动发生地所对应的各服务项目的相应质量标准。</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（3）遇有特殊情况需要适当提高环卫服务质量标准的，能够按需完成。</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5、建立应急设施，包括警示标志、应急设备、应急通讯设备等，以应对突发事件。</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定期进行应急演练，加强应急处置能力，提高组织协调能力；加强应急知识的培训，提高服务人员的应急意识和应急处置能力。实时监控可能出现的危险情况，及时采取应对措施，保障服务人员和财产的安全。</w:t>
            </w:r>
            <w:r/>
          </w:p>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（十二）重大活动保障要求</w:t>
            </w:r>
            <w:r/>
          </w:p>
          <w:p>
            <w:pPr>
              <w:ind w:firstLine="2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1、安全保障：制定安全保障措施，包括场地安全、交通安全、人员安全等，加强安全宣传和监管，确保活动的安全进行。</w:t>
            </w:r>
            <w:r/>
          </w:p>
          <w:p>
            <w:pPr>
              <w:ind w:firstLine="2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2、环境保护：制定环境保护措施，包括垃圾清理、污水处理、能源利用等，确保活动的环保达标，减少对环境的污染。</w:t>
            </w:r>
            <w:r/>
          </w:p>
          <w:p>
            <w:pPr>
              <w:ind w:firstLine="2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3、应急预案：制定应急预案，包括突发事件应急处理、人员疏散、危险品处理等，保障活动的应急处置和安全。</w:t>
            </w:r>
            <w:r/>
          </w:p>
          <w:p>
            <w:pPr>
              <w:ind w:firstLine="2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组织保障：制定组织保障措施，包括人员配置、工作分工、协调配合等，保障活动的组织和协调顺利进行。在项目实施过程中，配合采购人完成各类重大接待、参观以及文明、卫生城市测评等迎检活动的秩序维护、保洁等工作，如岗位原配置的人数不能满足需要，中标人应临时从本公司内抽调具备相应服务能力和素质的人员加强力量，以保障重大活动的顺利开展。</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5、卫生文明创建：加强卫生宣传教育，普及个人卫生和环境卫生知识，提高公众卫生素质。</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、举办大型活动时，中标人应对相关区域的环卫工作全力配合。保持充足的环卫作业力量。根据活动规模组织环卫保洁队伍，协调解决环卫作业车辆，积极主动地开展环卫专业作业。</w:t>
            </w:r>
            <w:r/>
          </w:p>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（十三）突击整治方案要求</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制定突击整治方案，配合做好项目区域内政府组织实施的各类环境整治行动，整治过程中遇到突发事件，应及时分析紧急状态和确定相</w:t>
            </w:r>
            <w:r>
              <w:rPr>
                <w:rFonts w:hint="eastAsia" w:ascii="宋体" w:hAnsi="宋体" w:cs="宋体"/>
                <w:color w:val="000000" w:themeColor="text1"/>
                <w:sz w:val="24"/>
                <w:szCs w:val="24"/>
                <w:highlight w:val="none"/>
                <w14:textFill>
                  <w14:solidFill>
                    <w14:schemeClr w14:val="tx1"/>
                  </w14:solidFill>
                </w14:textFill>
              </w:rPr>
              <w:t xml:space="preserve">应报警级别，根据相关危险类型、潜在后果、现有资源和控制紧急情况的行动类型；指挥、协调应急反应行动；最大限度地保证现场人员和外援人员及相应的安全。</w:t>
            </w:r>
            <w:r/>
          </w:p>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（十四）安全文明管理要求</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安全教育：加强服务人员安全意识的培养，加强安全知识的普及和宣传，提高服务人员安全素质；加强环境保护意识，遵守环保法律法规，采取环保措施，保护环境。</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安全检查：建立安全检查机制，制定安全检查计划，定期进行安全检查，及时发现和排除隐患。</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安全标准：制定安全标准，建立安全责任制，落实各项安全措施，确保安全服务。</w:t>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文明管理：加强文明宣传教育，建立文明管理制度，提高作业人员的文明素质和服务水平。</w:t>
            </w:r>
            <w:r/>
          </w:p>
          <w:p>
            <w:pPr>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（十五）履约能力</w:t>
            </w:r>
            <w:r/>
          </w:p>
          <w:p>
            <w:pPr>
              <w:ind w:hanging="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投标人应具有承担类似项目的经验及能力，可在投标文件中提供2023年以来的类似项目业绩、获得的相关证书等。</w:t>
            </w:r>
            <w:r/>
          </w:p>
        </w:tc>
      </w:tr>
      <w:tr>
        <w:trPr>
          <w:jc w:val="center"/>
          <w:trHeight w:val="567"/>
        </w:trPr>
        <w:tc>
          <w:tcPr>
            <w:tcW w:w="628" w:type="dxa"/>
            <w:vAlign w:val="center"/>
            <w:vMerge w:val="restart"/>
            <w:textDirection w:val="lrTb"/>
            <w:noWrap w:val="false"/>
          </w:tcPr>
          <w:p>
            <w:pPr>
              <w:jc w:val="cente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859" w:type="dxa"/>
            <w:vAlign w:val="center"/>
            <w:vMerge w:val="restart"/>
            <w:textDirection w:val="lrTb"/>
            <w:noWrap w:val="false"/>
          </w:tcPr>
          <w:p>
            <w:pPr>
              <w:pStyle w:val="1066"/>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其他</w:t>
            </w:r>
            <w:r/>
          </w:p>
        </w:tc>
        <w:tc>
          <w:tcPr>
            <w:tcW w:w="7595" w:type="dxa"/>
            <w:vAlign w:val="center"/>
            <w:textDirection w:val="lrTb"/>
            <w:noWrap w:val="false"/>
          </w:tcPr>
          <w:p>
            <w:pPr>
              <w:pStyle w:val="1066"/>
              <w:ind w:firstLine="16"/>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所有保洁产生的垃圾要求由中标人负责处理，本次招标包含垃圾处理费、突击费用（临时加班加点产生的费用）、公厕及压机站设备维保、维修费用、卫生消杀费用（含购买消杀药品费用、器具等）、压机及公厕设施、厨余垃圾处理设备、污水处理设备、所有车辆使用及办公产生的水电费等，不含绿化养护费；污水处理用的药剂、物资损耗、采购代理服务费等各项费用。</w:t>
            </w:r>
            <w:r/>
          </w:p>
          <w:p>
            <w:pPr>
              <w:pStyle w:val="1066"/>
              <w:ind w:firstLine="1"/>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2、接管后整治费（包含刚进场后对区域范围内的垃圾摸排整治大扫除费用，平时区域范围内被乱倾倒的无主垃圾（包含无主的生活垃圾、建筑垃圾、装潢垃圾和工业垃圾等）费用）包含在投标报价中；</w:t>
            </w:r>
            <w:r/>
          </w:p>
          <w:p>
            <w:pPr>
              <w:pStyle w:val="1066"/>
              <w:ind w:firstLine="3"/>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3、区域内的垃圾桶配备，由上一轮中标人按原有数量配备到位，招标期内更换（根据采购人要求），相关费用由中标人承担并负责放置到位。</w:t>
            </w:r>
            <w:r/>
          </w:p>
          <w:p>
            <w:pPr>
              <w:pStyle w:val="1066"/>
              <w:ind w:hanging="1"/>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4、合同期内的公共厕所设施维护费有中标人承担，包含在投标价中（如更换洁具、水箱、阀门等）。</w:t>
            </w:r>
            <w:r/>
          </w:p>
          <w:p>
            <w:pPr>
              <w:pStyle w:val="1066"/>
              <w:ind w:firstLine="5"/>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5、服务期内如中标人提出对免费使用的垃圾压缩机报废，须经政府相关部门认可。经认可压缩机损坏报废无法使用，由大新镇政府负责更换。一般日常产生的维修费用由中标人承担（如更换油缸、电磁阀、液压管、电器元件、加固压缩箱体及支架等），包含在投标价中。</w:t>
            </w:r>
            <w:r/>
          </w:p>
          <w:p>
            <w:pPr>
              <w:pStyle w:val="1066"/>
              <w:ind w:firstLine="5"/>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6、投标价格标准中包含本项目区域内垃圾收集和清理服务的装运车辆、人工、机械等各项费用，采购人不再额外结算涉及此项工作的其他任何费用，若因采购人要求，另外新增服务内容，则另行商定。</w:t>
            </w:r>
            <w:r/>
          </w:p>
        </w:tc>
      </w:tr>
      <w:tr>
        <w:trPr>
          <w:jc w:val="center"/>
          <w:trHeight w:val="5140"/>
        </w:trPr>
        <w:tc>
          <w:tcPr>
            <w:tcW w:w="628" w:type="dxa"/>
            <w:vAlign w:val="center"/>
            <w:vMerge w:val="continue"/>
            <w:textDirection w:val="lrTb"/>
            <w:noWrap w:val="false"/>
          </w:tcPr>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859" w:type="dxa"/>
            <w:vAlign w:val="center"/>
            <w:vMerge w:val="continue"/>
            <w:textDirection w:val="lrTb"/>
            <w:noWrap w:val="false"/>
          </w:tcPr>
          <w:p>
            <w:pPr>
              <w:pStyle w:val="1066"/>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tc>
        <w:tc>
          <w:tcPr>
            <w:tcW w:w="7595" w:type="dxa"/>
            <w:vAlign w:val="center"/>
            <w:textDirection w:val="lrTb"/>
            <w:noWrap w:val="false"/>
          </w:tcPr>
          <w:p>
            <w:pPr>
              <w:pStyle w:val="1066"/>
              <w:ind w:hanging="12"/>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7、中标人必须有固定的办公场所（或在采购人免费提供的房屋中安排固定办公人员）；合同期结束，中标人必须保证采购人免费提供使用的房屋、压机等设施设备完好。</w:t>
            </w:r>
            <w:r/>
          </w:p>
          <w:p>
            <w:pPr>
              <w:pStyle w:val="1066"/>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8、道路保洁作业应满足现行《公路养护技术标准》（JTG 5110—2023）的相关要求，由于保洁不到位造成的一切纠纷及损失由中标人负责。</w:t>
            </w:r>
            <w:r/>
          </w:p>
          <w:p>
            <w:pPr>
              <w:pStyle w:val="1066"/>
              <w:ind w:firstLine="5"/>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9、中标人应保持各岗位人员相对稳定，服务人数不得少于采购人要求的到岗人数，报价必须满足各岗位人员职数、人员素质和条件。</w:t>
            </w:r>
            <w:r/>
          </w:p>
          <w:p>
            <w:pPr>
              <w:pStyle w:val="1066"/>
              <w:ind w:firstLine="16"/>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10、中标人的所有服务人员相关证件（包括身份证复印件）需交采购人备案。</w:t>
            </w:r>
            <w:r/>
          </w:p>
          <w:p>
            <w:pPr>
              <w:pStyle w:val="1066"/>
              <w:ind w:firstLine="13"/>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11、按采购人要求在每月 25 日前按统一格式向采购人提供相关运行资料，包括但不限于从业人员信息、工资和加班费发放、车辆信息和自查考核情况等，并确保资料信息的真实性和规范性。</w:t>
            </w:r>
            <w:r/>
          </w:p>
          <w:p>
            <w:pPr>
              <w:pStyle w:val="1066"/>
              <w:ind w:firstLine="18"/>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12、作业服务期内，采购人根据工作需要召开会议，中标人的法定代表人或管理人员必须准时参加。</w:t>
            </w:r>
            <w:r/>
          </w:p>
          <w:p>
            <w:pPr>
              <w:pStyle w:val="1066"/>
              <w:ind w:firstLine="16"/>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13、中标人应加强对员工的培训、管理，以达到符合采购人管理要求。</w:t>
            </w:r>
            <w:r/>
          </w:p>
          <w:p>
            <w:pPr>
              <w:pStyle w:val="1066"/>
              <w:ind w:firstLine="16"/>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14、中标人应严格督导员工的行为规范，并要求员工严格执行采购人的相关管理规定，维护采购人整体形象。</w:t>
            </w:r>
            <w:r/>
          </w:p>
          <w:p>
            <w:pPr>
              <w:pStyle w:val="1066"/>
              <w:ind w:firstLine="17"/>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15、中标人工作中应注意安全防范。发生的安全事故，由中标人负责。</w:t>
            </w:r>
            <w:r/>
          </w:p>
          <w:p>
            <w:pPr>
              <w:pStyle w:val="1066"/>
              <w:ind w:firstLine="15"/>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16、中标人按照采购人的要求，及时更换不能胜任工作的工作人员；负责处理合同服务期内所有劳资纠纷和调解管理纠纷；落实张家港市大新镇人民政府根据规章制度和工作需要提出的其他管理要求，并向采购人提供相关证明材料备案。</w:t>
            </w:r>
            <w:r/>
          </w:p>
          <w:p>
            <w:pPr>
              <w:pStyle w:val="1066"/>
              <w:ind w:firstLine="16"/>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17、中标人应建立人员职业道德规范与行为准则、人员岗位责任制度、人员聘用、培训、管理、考核与奖惩制度、技术服务规范与工作制度、服务质量管理制度等相关制度。落实文明管理、保洁服务的措施，提供文明优质的服务。因中标人原因或工作人员工作失职或故意行为或违法犯罪行为造成张家港市大新镇人民政府声誉影响或经济损失的，中标人应根据公安机关的立案调查结果或法院判决，承担相应的赔偿责任；因中标人自身原因所引发的一切纠纷，由</w:t>
            </w:r>
            <w:bookmarkStart w:id="377" w:name="_GoBack"/>
            <w:r/>
            <w:bookmarkEnd w:id="377"/>
            <w:r>
              <w:rPr>
                <w:rFonts w:hint="eastAsia"/>
                <w:color w:val="000000" w:themeColor="text1"/>
                <w:highlight w:val="none"/>
                <w:lang w:eastAsia="zh-CN"/>
                <w14:textFill>
                  <w14:solidFill>
                    <w14:schemeClr w14:val="tx1"/>
                  </w14:solidFill>
                </w14:textFill>
              </w:rPr>
              <w:t xml:space="preserve">中标人负完全责任；工作人员在非工作时间内发生的人身意外或其他纠纷，由中标人负责处理。如中标人挪用工作人员工资和其他薪酬、社会保险和商业保险投保费用，除承担由此引发的一切法律责任外，采购人有权终止服务合同。</w:t>
            </w:r>
            <w:r/>
          </w:p>
          <w:p>
            <w:pPr>
              <w:pStyle w:val="1066"/>
              <w:ind w:left="5"/>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18、中标人须负责该项目作业人员的人事、劳资、保险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pStyle w:val="1066"/>
              <w:ind w:firstLine="5"/>
              <w:spacing w:line="360" w:lineRule="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bidi="ar"/>
                <w14:textFill>
                  <w14:solidFill>
                    <w14:schemeClr w14:val="tx1"/>
                  </w14:solidFill>
                </w14:textFill>
              </w:rPr>
              <w:t xml:space="preserve">19、投标人可以自行现场踏勘，投标人中标后，不得以不完全了解现场情况为理由而向采购人提出任何索赔的要求，对此采购人不承担任何责任并将不作任何答复与考虑。</w:t>
            </w:r>
            <w:r>
              <w:rPr>
                <w:rStyle w:val="1024"/>
                <w:rFonts w:hint="eastAsia"/>
                <w:color w:val="000000" w:themeColor="text1"/>
                <w:highlight w:val="none"/>
                <w:lang w:eastAsia="zh-CN"/>
                <w14:textFill>
                  <w14:solidFill>
                    <w14:schemeClr w14:val="tx1"/>
                  </w14:solidFill>
                </w14:textFill>
              </w:rPr>
              <w:t xml:space="preserve">在现场踏勘过程中，投标人如发生人身伤亡、财务或其他意外损失，不论何种原因均有投标人自行承担。</w:t>
            </w:r>
            <w:r/>
          </w:p>
        </w:tc>
      </w:tr>
    </w:tbl>
    <w:p>
      <w:pPr>
        <w:ind w:firstLine="482"/>
        <w:spacing w:before="120" w:after="120" w:line="440" w:lineRule="exact"/>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14:textFill>
            <w14:solidFill>
              <w14:schemeClr w14:val="tx1"/>
            </w14:solidFill>
          </w14:textFill>
        </w:rPr>
        <w:t xml:space="preserve">（二）人员配备要求</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813"/>
        <w:gridCol w:w="7562"/>
      </w:tblGrid>
      <w:tr>
        <w:trPr>
          <w:jc w:val="center"/>
          <w:trHeight w:val="816"/>
        </w:trPr>
        <w:tc>
          <w:tcPr>
            <w:tcW w:w="688" w:type="dxa"/>
            <w:vAlign w:val="center"/>
            <w:textDirection w:val="lrTb"/>
            <w:noWrap w:val="false"/>
          </w:tcPr>
          <w:p>
            <w:pPr>
              <w:jc w:val="center"/>
              <w:rPr>
                <w:rStyle w:val="1026"/>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序号</w:t>
            </w:r>
            <w:r/>
          </w:p>
        </w:tc>
        <w:tc>
          <w:tcPr>
            <w:tcW w:w="81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名称</w:t>
            </w:r>
            <w:r/>
          </w:p>
        </w:tc>
        <w:tc>
          <w:tcPr>
            <w:tcW w:w="7642" w:type="dxa"/>
            <w:vAlign w:val="center"/>
            <w:textDirection w:val="lrTb"/>
            <w:noWrap w:val="false"/>
          </w:tcPr>
          <w:p>
            <w:pPr>
              <w:jc w:val="center"/>
              <w:rPr>
                <w:rStyle w:val="1024"/>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内容</w:t>
            </w:r>
            <w:r/>
          </w:p>
        </w:tc>
      </w:tr>
      <w:tr>
        <w:trPr>
          <w:jc w:val="center"/>
          <w:trHeight w:val="351"/>
        </w:trPr>
        <w:tc>
          <w:tcPr>
            <w:tcW w:w="688" w:type="dxa"/>
            <w:vAlign w:val="center"/>
            <w:vMerge w:val="restart"/>
            <w:textDirection w:val="lrTb"/>
            <w:noWrap w:val="false"/>
          </w:tcPr>
          <w:p>
            <w:pPr>
              <w:jc w:val="center"/>
              <w:spacing w:line="324" w:lineRule="auto"/>
              <w:rPr>
                <w:rStyle w:val="1026"/>
                <w:rFonts w:hint="eastAsia" w:ascii="宋体" w:hAnsi="宋体" w:cs="宋体"/>
                <w:color w:val="000000" w:themeColor="text1"/>
                <w:sz w:val="24"/>
                <w:szCs w:val="24"/>
                <w:highlight w:val="none"/>
                <w14:textFill>
                  <w14:solidFill>
                    <w14:schemeClr w14:val="tx1"/>
                  </w14:solidFill>
                </w14:textFill>
              </w:rPr>
            </w:pPr>
            <w:r>
              <w:rPr>
                <w:rStyle w:val="1026"/>
                <w:rFonts w:hint="eastAsia" w:ascii="宋体" w:hAnsi="宋体" w:cs="宋体"/>
                <w:color w:val="000000" w:themeColor="text1"/>
                <w:sz w:val="24"/>
                <w:szCs w:val="24"/>
                <w:highlight w:val="none"/>
                <w14:textFill>
                  <w14:solidFill>
                    <w14:schemeClr w14:val="tx1"/>
                  </w14:solidFill>
                </w14:textFill>
              </w:rPr>
              <w:t xml:space="preserve">1</w:t>
            </w:r>
            <w:r/>
          </w:p>
        </w:tc>
        <w:tc>
          <w:tcPr>
            <w:tcW w:w="818" w:type="dxa"/>
            <w:vAlign w:val="center"/>
            <w:vMerge w:val="restart"/>
            <w:textDirection w:val="lrTb"/>
            <w:noWrap w:val="false"/>
          </w:tcPr>
          <w:p>
            <w:pPr>
              <w:jc w:val="center"/>
              <w:spacing w:line="324" w:lineRule="auto"/>
              <w:rPr>
                <w:rStyle w:val="1026"/>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人员配备要求</w:t>
            </w:r>
            <w:r/>
          </w:p>
        </w:tc>
        <w:tc>
          <w:tcPr>
            <w:tcW w:w="7642" w:type="dxa"/>
            <w:textDirection w:val="lrTb"/>
            <w:noWrap w:val="false"/>
          </w:tcPr>
          <w:p>
            <w:pPr>
              <w:pStyle w:val="1066"/>
              <w:ind w:firstLine="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i/>
                <w:iCs/>
                <w:color w:val="000000" w:themeColor="text1"/>
                <w:highlight w:val="none"/>
                <w:u w:val="single"/>
                <w:lang w:eastAsia="zh-CN"/>
                <w14:textFill>
                  <w14:solidFill>
                    <w14:schemeClr w14:val="tx1"/>
                  </w14:solidFill>
                </w14:textFill>
              </w:rPr>
              <w:t xml:space="preserve">本项目要求配置总工作人员不少于142人，其中：项目管理员3人（项目经理1人，内勤1人，车队长1人）；一线保洁员68人（老镇区56人，新镇区12人）；新湖公园道路绿化河道保洁6人；公厕保洁5人；开放式小区垃圾分类督导管理人员13人；大新镇垃圾中转站8人（中转站管理员1人，门卫1人，设备操作工6人）；垃圾清运员3人；辅工11人；杂工3人；机动车驾驶员15人；电动清运车驾驶员7人。</w:t>
            </w:r>
            <w:r/>
          </w:p>
        </w:tc>
      </w:tr>
      <w:tr>
        <w:trPr>
          <w:jc w:val="center"/>
          <w:trHeight w:val="886"/>
        </w:trPr>
        <w:tc>
          <w:tcPr>
            <w:tcW w:w="688" w:type="dxa"/>
            <w:vAlign w:val="center"/>
            <w:vMerge w:val="continue"/>
            <w:textDirection w:val="lrTb"/>
            <w:noWrap w:val="false"/>
          </w:tcPr>
          <w:p>
            <w:pPr>
              <w:jc w:val="left"/>
              <w:spacing w:line="324"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818" w:type="dxa"/>
            <w:vAlign w:val="center"/>
            <w:vMerge w:val="continue"/>
            <w:textDirection w:val="lrTb"/>
            <w:noWrap w:val="false"/>
          </w:tcPr>
          <w:p>
            <w:pPr>
              <w:jc w:val="left"/>
              <w:spacing w:line="324"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7642" w:type="dxa"/>
            <w:textDirection w:val="lrTb"/>
            <w:noWrap w:val="false"/>
          </w:tcPr>
          <w:p>
            <w:pPr>
              <w:pStyle w:val="1066"/>
              <w:ind w:firstLine="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i/>
                <w:iCs/>
                <w:color w:val="000000" w:themeColor="text1"/>
                <w:highlight w:val="none"/>
                <w:u w:val="single"/>
                <w:lang w:eastAsia="zh-CN"/>
                <w14:textFill>
                  <w14:solidFill>
                    <w14:schemeClr w14:val="tx1"/>
                  </w14:solidFill>
                </w14:textFill>
              </w:rPr>
              <w:t xml:space="preserve">1、上述人员配置为最低配置且未含轮休（即工作时间为365天）。</w:t>
            </w:r>
            <w:r/>
          </w:p>
          <w:p>
            <w:pPr>
              <w:pStyle w:val="1066"/>
              <w:ind w:firstLine="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i/>
                <w:iCs/>
                <w:color w:val="000000" w:themeColor="text1"/>
                <w:highlight w:val="none"/>
                <w:u w:val="single"/>
                <w:lang w:eastAsia="zh-CN"/>
                <w14:textFill>
                  <w14:solidFill>
                    <w14:schemeClr w14:val="tx1"/>
                  </w14:solidFill>
                </w14:textFill>
              </w:rPr>
              <w:t xml:space="preserve">2、管理单位按管理要求严格落实人员数量配备齐全，做到专岗专人。</w:t>
            </w:r>
            <w:r/>
          </w:p>
          <w:p>
            <w:pPr>
              <w:pStyle w:val="1066"/>
              <w:ind w:firstLine="5"/>
              <w:keepLines w:val="0"/>
              <w:keepNext w:val="0"/>
              <w:pageBreakBefore w:val="0"/>
              <w:spacing w:line="360" w:lineRule="auto"/>
              <w:widowControl w:val="off"/>
              <w:rPr>
                <w:rFonts w:hint="eastAsia"/>
                <w:i/>
                <w:iCs/>
                <w:color w:val="000000" w:themeColor="text1"/>
                <w:highlight w:val="none"/>
                <w:u w:val="single"/>
                <w:lang w:eastAsia="zh-CN"/>
                <w14:textFill>
                  <w14:solidFill>
                    <w14:schemeClr w14:val="tx1"/>
                  </w14:solidFill>
                </w14:textFill>
              </w:rPr>
            </w:pPr>
            <w:r>
              <w:rPr>
                <w:rFonts w:hint="eastAsia"/>
                <w:i/>
                <w:iCs/>
                <w:color w:val="000000" w:themeColor="text1"/>
                <w:highlight w:val="none"/>
                <w:u w:val="single"/>
                <w:lang w:eastAsia="zh-CN"/>
                <w14:textFill>
                  <w14:solidFill>
                    <w14:schemeClr w14:val="tx1"/>
                  </w14:solidFill>
                </w14:textFill>
              </w:rPr>
              <w:t xml:space="preserve">3、人员年龄要求：</w:t>
            </w:r>
            <w:r/>
          </w:p>
          <w:p>
            <w:pPr>
              <w:pStyle w:val="1066"/>
              <w:ind w:firstLine="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i/>
                <w:iCs/>
                <w:color w:val="000000" w:themeColor="text1"/>
                <w:highlight w:val="none"/>
                <w:u w:val="single"/>
                <w:lang w:eastAsia="zh-CN"/>
                <w14:textFill>
                  <w14:solidFill>
                    <w14:schemeClr w14:val="tx1"/>
                  </w14:solidFill>
                </w14:textFill>
              </w:rPr>
              <w:t xml:space="preserve">（</w:t>
            </w:r>
            <w:r>
              <w:rPr>
                <w:rStyle w:val="1024"/>
                <w:rFonts w:hint="eastAsia"/>
                <w:i/>
                <w:iCs/>
                <w:color w:val="000000" w:themeColor="text1"/>
                <w:highlight w:val="none"/>
                <w:u w:val="single"/>
                <w:lang w:val="en-US" w:eastAsia="zh-CN"/>
                <w14:textFill>
                  <w14:solidFill>
                    <w14:schemeClr w14:val="tx1"/>
                  </w14:solidFill>
                </w14:textFill>
              </w:rPr>
              <w:t xml:space="preserve">1</w:t>
            </w:r>
            <w:r>
              <w:rPr>
                <w:rStyle w:val="1024"/>
                <w:rFonts w:hint="eastAsia"/>
                <w:i/>
                <w:iCs/>
                <w:color w:val="000000" w:themeColor="text1"/>
                <w:highlight w:val="none"/>
                <w:u w:val="single"/>
                <w:lang w:eastAsia="zh-CN"/>
                <w14:textFill>
                  <w14:solidFill>
                    <w14:schemeClr w14:val="tx1"/>
                  </w14:solidFill>
                </w14:textFill>
              </w:rPr>
              <w:t xml:space="preserve">）项目管理人员（包含中转站管理员，总计4人）必须专职，不得跨区域管理，年龄≤50周岁，持相关证件上岗，具有一定环卫管理经验。</w:t>
            </w:r>
            <w:r/>
          </w:p>
          <w:p>
            <w:pPr>
              <w:pStyle w:val="1066"/>
              <w:ind w:firstLine="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i/>
                <w:iCs/>
                <w:color w:val="000000" w:themeColor="text1"/>
                <w:highlight w:val="none"/>
                <w:u w:val="single"/>
                <w:lang w:eastAsia="zh-CN"/>
                <w14:textFill>
                  <w14:solidFill>
                    <w14:schemeClr w14:val="tx1"/>
                  </w14:solidFill>
                </w14:textFill>
              </w:rPr>
              <w:t xml:space="preserve">（</w:t>
            </w:r>
            <w:r>
              <w:rPr>
                <w:rStyle w:val="1024"/>
                <w:rFonts w:hint="eastAsia"/>
                <w:i/>
                <w:iCs/>
                <w:color w:val="000000" w:themeColor="text1"/>
                <w:highlight w:val="none"/>
                <w:u w:val="single"/>
                <w:lang w:val="en-US" w:eastAsia="zh-CN"/>
                <w14:textFill>
                  <w14:solidFill>
                    <w14:schemeClr w14:val="tx1"/>
                  </w14:solidFill>
                </w14:textFill>
              </w:rPr>
              <w:t xml:space="preserve">2</w:t>
            </w:r>
            <w:r>
              <w:rPr>
                <w:rStyle w:val="1024"/>
                <w:rFonts w:hint="eastAsia"/>
                <w:i/>
                <w:iCs/>
                <w:color w:val="000000" w:themeColor="text1"/>
                <w:highlight w:val="none"/>
                <w:u w:val="single"/>
                <w:lang w:eastAsia="zh-CN"/>
                <w14:textFill>
                  <w14:solidFill>
                    <w14:schemeClr w14:val="tx1"/>
                  </w14:solidFill>
                </w14:textFill>
              </w:rPr>
              <w:t xml:space="preserve">）机动车驾驶员、电动清运车驾驶员、</w:t>
            </w:r>
            <w:r>
              <w:rPr>
                <w:rFonts w:hint="eastAsia" w:ascii="宋体" w:hAnsi="宋体" w:cs="宋体"/>
                <w:i/>
                <w:iCs/>
                <w:color w:val="000000" w:themeColor="text1"/>
                <w:spacing w:val="0"/>
                <w:sz w:val="24"/>
                <w:szCs w:val="24"/>
                <w:highlight w:val="none"/>
                <w:u w:val="single"/>
                <w:lang w:val="en-US" w:eastAsia="zh-CN"/>
                <w14:textFill>
                  <w14:solidFill>
                    <w14:schemeClr w14:val="tx1"/>
                  </w14:solidFill>
                </w14:textFill>
              </w:rPr>
              <w:t xml:space="preserve">中转站门卫、</w:t>
            </w:r>
            <w:r>
              <w:rPr>
                <w:rFonts w:hint="eastAsia" w:ascii="宋体" w:hAnsi="宋体" w:eastAsia="宋体" w:cs="宋体"/>
                <w:i/>
                <w:iCs/>
                <w:color w:val="000000" w:themeColor="text1"/>
                <w:spacing w:val="0"/>
                <w:sz w:val="24"/>
                <w:szCs w:val="24"/>
                <w:highlight w:val="none"/>
                <w:u w:val="single"/>
                <w14:textFill>
                  <w14:solidFill>
                    <w14:schemeClr w14:val="tx1"/>
                  </w14:solidFill>
                </w14:textFill>
              </w:rPr>
              <w:t xml:space="preserve">中转站设备操作工</w:t>
            </w:r>
            <w:r>
              <w:rPr>
                <w:rFonts w:hint="eastAsia" w:ascii="宋体" w:hAnsi="宋体" w:eastAsia="宋体" w:cs="宋体"/>
                <w:i/>
                <w:iCs/>
                <w:color w:val="000000" w:themeColor="text1"/>
                <w:spacing w:val="0"/>
                <w:sz w:val="24"/>
                <w:szCs w:val="24"/>
                <w:highlight w:val="none"/>
                <w:u w:val="single"/>
                <w:lang w:eastAsia="zh-CN"/>
                <w14:textFill>
                  <w14:solidFill>
                    <w14:schemeClr w14:val="tx1"/>
                  </w14:solidFill>
                </w14:textFill>
              </w:rPr>
              <w:t xml:space="preserve">，</w:t>
            </w:r>
            <w:r>
              <w:rPr>
                <w:rStyle w:val="1024"/>
                <w:rFonts w:hint="eastAsia"/>
                <w:i/>
                <w:iCs/>
                <w:color w:val="000000" w:themeColor="text1"/>
                <w:highlight w:val="none"/>
                <w:u w:val="single"/>
                <w:lang w:eastAsia="zh-CN"/>
                <w14:textFill>
                  <w14:solidFill>
                    <w14:schemeClr w14:val="tx1"/>
                  </w14:solidFill>
                </w14:textFill>
              </w:rPr>
              <w:t xml:space="preserve">合计29人，</w:t>
            </w:r>
            <w:r>
              <w:rPr>
                <w:rStyle w:val="1024"/>
                <w:rFonts w:hint="eastAsia"/>
                <w:i/>
                <w:iCs/>
                <w:color w:val="000000" w:themeColor="text1"/>
                <w:highlight w:val="none"/>
                <w:u w:val="single"/>
                <w:lang w:val="en-US" w:eastAsia="zh-CN"/>
                <w14:textFill>
                  <w14:solidFill>
                    <w14:schemeClr w14:val="tx1"/>
                  </w14:solidFill>
                </w14:textFill>
              </w:rPr>
              <w:t xml:space="preserve">必须为未退休人员</w:t>
            </w:r>
            <w:r>
              <w:rPr>
                <w:rStyle w:val="1024"/>
                <w:rFonts w:hint="eastAsia"/>
                <w:i/>
                <w:iCs/>
                <w:color w:val="000000" w:themeColor="text1"/>
                <w:highlight w:val="none"/>
                <w:u w:val="single"/>
                <w:lang w:eastAsia="zh-CN"/>
                <w14:textFill>
                  <w14:solidFill>
                    <w14:schemeClr w14:val="tx1"/>
                  </w14:solidFill>
                </w14:textFill>
              </w:rPr>
              <w:t xml:space="preserve">。</w:t>
            </w:r>
            <w:r/>
          </w:p>
          <w:p>
            <w:pPr>
              <w:pStyle w:val="1066"/>
              <w:ind w:firstLine="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i/>
                <w:iCs/>
                <w:strike w:val="0"/>
                <w:color w:val="000000" w:themeColor="text1"/>
                <w:highlight w:val="none"/>
                <w:u w:val="single"/>
                <w:lang w:eastAsia="zh-CN"/>
                <w14:textFill>
                  <w14:solidFill>
                    <w14:schemeClr w14:val="tx1"/>
                  </w14:solidFill>
                </w14:textFill>
              </w:rPr>
              <w:t xml:space="preserve">（</w:t>
            </w:r>
            <w:r>
              <w:rPr>
                <w:rStyle w:val="1024"/>
                <w:rFonts w:hint="eastAsia"/>
                <w:i/>
                <w:iCs/>
                <w:strike w:val="0"/>
                <w:color w:val="000000" w:themeColor="text1"/>
                <w:highlight w:val="none"/>
                <w:u w:val="single"/>
                <w:lang w:val="en-US" w:eastAsia="zh-CN"/>
                <w14:textFill>
                  <w14:solidFill>
                    <w14:schemeClr w14:val="tx1"/>
                  </w14:solidFill>
                </w14:textFill>
              </w:rPr>
              <w:t xml:space="preserve">3</w:t>
            </w:r>
            <w:r>
              <w:rPr>
                <w:rStyle w:val="1024"/>
                <w:rFonts w:hint="eastAsia"/>
                <w:i/>
                <w:iCs/>
                <w:strike w:val="0"/>
                <w:color w:val="000000" w:themeColor="text1"/>
                <w:highlight w:val="none"/>
                <w:u w:val="single"/>
                <w:lang w:eastAsia="zh-CN"/>
                <w14:textFill>
                  <w14:solidFill>
                    <w14:schemeClr w14:val="tx1"/>
                  </w14:solidFill>
                </w14:textFill>
              </w:rPr>
              <w:t xml:space="preserve">）</w:t>
            </w:r>
            <w:r>
              <w:rPr>
                <w:rStyle w:val="1024"/>
                <w:rFonts w:hint="eastAsia"/>
                <w:i/>
                <w:iCs/>
                <w:color w:val="000000" w:themeColor="text1"/>
                <w:highlight w:val="none"/>
                <w:u w:val="single"/>
                <w:lang w:eastAsia="zh-CN"/>
                <w14:textFill>
                  <w14:solidFill>
                    <w14:schemeClr w14:val="tx1"/>
                  </w14:solidFill>
                </w14:textFill>
              </w:rPr>
              <w:t xml:space="preserve">一线保洁员（老镇区、新镇区）、新湖公园道路绿化河道保洁员、公厕保洁员、开放式小区垃圾分类督导管理人员、垃圾清运员、辅工、杂工，合计109人，</w:t>
            </w:r>
            <w:r>
              <w:rPr>
                <w:rStyle w:val="1024"/>
                <w:rFonts w:hint="eastAsia"/>
                <w:i/>
                <w:iCs/>
                <w:color w:val="000000" w:themeColor="text1"/>
                <w:highlight w:val="none"/>
                <w:u w:val="single"/>
                <w:lang w:val="en-US" w:eastAsia="zh-CN"/>
                <w14:textFill>
                  <w14:solidFill>
                    <w14:schemeClr w14:val="tx1"/>
                  </w14:solidFill>
                </w14:textFill>
              </w:rPr>
              <w:t xml:space="preserve">男性年龄</w:t>
            </w:r>
            <w:r>
              <w:rPr>
                <w:rStyle w:val="1024"/>
                <w:rFonts w:hint="eastAsia"/>
                <w:i/>
                <w:iCs/>
                <w:color w:val="000000" w:themeColor="text1"/>
                <w:highlight w:val="none"/>
                <w:u w:val="single"/>
                <w:lang w:eastAsia="zh-CN"/>
                <w14:textFill>
                  <w14:solidFill>
                    <w14:schemeClr w14:val="tx1"/>
                  </w14:solidFill>
                </w14:textFill>
              </w:rPr>
              <w:t xml:space="preserve">≤68周岁、女性年龄≤65周岁。</w:t>
            </w:r>
            <w:r/>
          </w:p>
          <w:p>
            <w:pPr>
              <w:pStyle w:val="1066"/>
              <w:ind w:firstLine="5"/>
              <w:keepLines w:val="0"/>
              <w:keepNext w:val="0"/>
              <w:pageBreakBefore w:val="0"/>
              <w:spacing w:line="360" w:lineRule="auto"/>
              <w:widowControl w:val="off"/>
              <w:rPr>
                <w:rStyle w:val="1024"/>
                <w:rFonts w:hint="default"/>
                <w:i/>
                <w:iCs/>
                <w:color w:val="000000" w:themeColor="text1"/>
                <w:highlight w:val="none"/>
                <w:u w:val="single"/>
                <w:lang w:val="en-US" w:eastAsia="zh-CN"/>
                <w14:textFill>
                  <w14:solidFill>
                    <w14:schemeClr w14:val="tx1"/>
                  </w14:solidFill>
                </w14:textFill>
              </w:rPr>
            </w:pPr>
            <w:r>
              <w:rPr>
                <w:rStyle w:val="1024"/>
                <w:rFonts w:hint="eastAsia"/>
                <w:i/>
                <w:iCs/>
                <w:color w:val="000000" w:themeColor="text1"/>
                <w:highlight w:val="none"/>
                <w:u w:val="single"/>
                <w:lang w:eastAsia="zh-CN"/>
                <w14:textFill>
                  <w14:solidFill>
                    <w14:schemeClr w14:val="tx1"/>
                  </w14:solidFill>
                </w14:textFill>
              </w:rPr>
              <w:t xml:space="preserve">（</w:t>
            </w:r>
            <w:r>
              <w:rPr>
                <w:rStyle w:val="1024"/>
                <w:rFonts w:hint="eastAsia"/>
                <w:i/>
                <w:iCs/>
                <w:color w:val="000000" w:themeColor="text1"/>
                <w:highlight w:val="none"/>
                <w:u w:val="single"/>
                <w:lang w:val="en-US" w:eastAsia="zh-CN"/>
                <w14:textFill>
                  <w14:solidFill>
                    <w14:schemeClr w14:val="tx1"/>
                  </w14:solidFill>
                </w14:textFill>
              </w:rPr>
              <w:t xml:space="preserve">4</w:t>
            </w:r>
            <w:r>
              <w:rPr>
                <w:rStyle w:val="1024"/>
                <w:rFonts w:hint="eastAsia"/>
                <w:i/>
                <w:iCs/>
                <w:color w:val="000000" w:themeColor="text1"/>
                <w:highlight w:val="none"/>
                <w:u w:val="single"/>
                <w:lang w:eastAsia="zh-CN"/>
                <w14:textFill>
                  <w14:solidFill>
                    <w14:schemeClr w14:val="tx1"/>
                  </w14:solidFill>
                </w14:textFill>
              </w:rPr>
              <w:t xml:space="preserve">）</w:t>
            </w:r>
            <w:r>
              <w:rPr>
                <w:rStyle w:val="1024"/>
                <w:rFonts w:hint="eastAsia"/>
                <w:i/>
                <w:iCs/>
                <w:color w:val="000000" w:themeColor="text1"/>
                <w:highlight w:val="none"/>
                <w:u w:val="single"/>
                <w:lang w:val="en-US" w:eastAsia="zh-CN"/>
                <w14:textFill>
                  <w14:solidFill>
                    <w14:schemeClr w14:val="tx1"/>
                  </w14:solidFill>
                </w14:textFill>
              </w:rPr>
              <w:t xml:space="preserve">中标后，项目管理人员未按投标承诺到位或中标人未经采购人批准私自更换的，一经发现，给予相应处罚5万元/人·次，同时中标人仍应按照投标承诺将人员配备到位。</w:t>
            </w:r>
            <w:r/>
          </w:p>
          <w:p>
            <w:pPr>
              <w:pStyle w:val="1066"/>
              <w:numPr>
                <w:ilvl w:val="0"/>
                <w:numId w:val="0"/>
              </w:numPr>
              <w:ind w:firstLine="5"/>
              <w:keepLines w:val="0"/>
              <w:keepNext w:val="0"/>
              <w:pageBreakBefore w:val="0"/>
              <w:spacing w:line="360" w:lineRule="auto"/>
              <w:widowControl w:val="off"/>
              <w:rPr>
                <w:rStyle w:val="1024"/>
                <w:rFonts w:hint="eastAsia"/>
                <w:b/>
                <w:bCs/>
                <w:i/>
                <w:iCs/>
                <w:color w:val="000000" w:themeColor="text1"/>
                <w:highlight w:val="none"/>
                <w:u w:val="single"/>
                <w:lang w:eastAsia="zh-CN"/>
                <w14:textFill>
                  <w14:solidFill>
                    <w14:schemeClr w14:val="tx1"/>
                  </w14:solidFill>
                </w14:textFill>
              </w:rPr>
            </w:pPr>
            <w:r>
              <w:rPr>
                <w:rFonts w:hint="eastAsia" w:ascii="宋体" w:hAnsi="宋体" w:eastAsia="宋体" w:cs="宋体"/>
                <w:b w:val="0"/>
                <w:bCs w:val="0"/>
                <w:i/>
                <w:iCs/>
                <w:color w:val="000000" w:themeColor="text1"/>
                <w:sz w:val="24"/>
                <w:szCs w:val="24"/>
                <w:highlight w:val="none"/>
                <w:u w:val="single"/>
                <w:lang w:val="en-US" w:eastAsia="zh-CN" w:bidi="ar-SA"/>
                <w14:textFill>
                  <w14:solidFill>
                    <w14:schemeClr w14:val="tx1"/>
                  </w14:solidFill>
                </w14:textFill>
              </w:rPr>
              <w:t xml:space="preserve">4、</w:t>
            </w:r>
            <w:r>
              <w:rPr>
                <w:rStyle w:val="1024"/>
                <w:rFonts w:hint="eastAsia"/>
                <w:b w:val="0"/>
                <w:bCs w:val="0"/>
                <w:i/>
                <w:iCs/>
                <w:color w:val="000000" w:themeColor="text1"/>
                <w:highlight w:val="none"/>
                <w:u w:val="single"/>
                <w:lang w:eastAsia="zh-CN"/>
                <w14:textFill>
                  <w14:solidFill>
                    <w14:schemeClr w14:val="tx1"/>
                  </w14:solidFill>
                </w14:textFill>
              </w:rPr>
              <w:t xml:space="preserve">根</w:t>
            </w:r>
            <w:r>
              <w:rPr>
                <w:rStyle w:val="1024"/>
                <w:rFonts w:hint="eastAsia"/>
                <w:i/>
                <w:iCs/>
                <w:color w:val="000000" w:themeColor="text1"/>
                <w:highlight w:val="none"/>
                <w:u w:val="single"/>
                <w:lang w:eastAsia="zh-CN"/>
                <w14:textFill>
                  <w14:solidFill>
                    <w14:schemeClr w14:val="tx1"/>
                  </w14:solidFill>
                </w14:textFill>
              </w:rPr>
              <w:t xml:space="preserve">据《中华人民共和国劳动合同法》、《中华人民共和国社会保险法》、《住房公积金管理条例》，中标人必须依法规范用工，符合规定条件的人员须签订劳动合同，依法参加社会保险、缴存住房公积金，未退休人员工资应不低于最新公布的投标人所在地最低工资标准</w:t>
            </w:r>
            <w:r>
              <w:rPr>
                <w:rStyle w:val="1024"/>
                <w:rFonts w:hint="eastAsia"/>
                <w:b/>
                <w:bCs/>
                <w:i/>
                <w:iCs/>
                <w:color w:val="000000" w:themeColor="text1"/>
                <w:highlight w:val="none"/>
                <w:u w:val="single"/>
                <w:lang w:eastAsia="zh-CN"/>
                <w14:textFill>
                  <w14:solidFill>
                    <w14:schemeClr w14:val="tx1"/>
                  </w14:solidFill>
                </w14:textFill>
              </w:rPr>
              <w:t xml:space="preserve">（经费测算明细表中应载明社会保险、住房公积金缴存金额及员工工资）。</w:t>
            </w:r>
            <w:r/>
          </w:p>
          <w:p>
            <w:pPr>
              <w:pStyle w:val="1066"/>
              <w:ind w:left="5"/>
              <w:keepLines w:val="0"/>
              <w:keepNext w:val="0"/>
              <w:pageBreakBefore w:val="0"/>
              <w:spacing w:line="360" w:lineRule="auto"/>
              <w:widowControl w:val="off"/>
              <w:rPr>
                <w:rStyle w:val="1024"/>
                <w:rFonts w:hint="eastAsia"/>
                <w:i/>
                <w:iCs/>
                <w:color w:val="000000" w:themeColor="text1"/>
                <w:highlight w:val="none"/>
                <w:u w:val="single"/>
                <w:lang w:val="en-US" w:eastAsia="zh-CN"/>
                <w14:textFill>
                  <w14:solidFill>
                    <w14:schemeClr w14:val="tx1"/>
                  </w14:solidFill>
                </w14:textFill>
              </w:rPr>
            </w:pPr>
            <w:r>
              <w:rPr>
                <w:rStyle w:val="1024"/>
                <w:rFonts w:hint="eastAsia"/>
                <w:i/>
                <w:iCs/>
                <w:color w:val="000000" w:themeColor="text1"/>
                <w:highlight w:val="none"/>
                <w:u w:val="single"/>
                <w:lang w:val="en-US" w:eastAsia="zh-CN"/>
                <w14:textFill>
                  <w14:solidFill>
                    <w14:schemeClr w14:val="tx1"/>
                  </w14:solidFill>
                </w14:textFill>
              </w:rPr>
              <w:t xml:space="preserve">5、中标人应为服务人员投保人身意外保险（保额不低于50万）；所有人员须按岗位统一着装，服装样式由采购人指定，服装费用由中标人承担。</w:t>
            </w:r>
            <w:r/>
          </w:p>
          <w:p>
            <w:pPr>
              <w:pStyle w:val="1066"/>
              <w:ind w:left="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i/>
                <w:iCs/>
                <w:color w:val="000000" w:themeColor="text1"/>
                <w:highlight w:val="none"/>
                <w:u w:val="single"/>
                <w:lang w:val="en-US" w:eastAsia="zh-CN"/>
                <w14:textFill>
                  <w14:solidFill>
                    <w14:schemeClr w14:val="tx1"/>
                  </w14:solidFill>
                </w14:textFill>
              </w:rPr>
              <w:t xml:space="preserve">6</w:t>
            </w:r>
            <w:r>
              <w:rPr>
                <w:rStyle w:val="1024"/>
                <w:rFonts w:hint="eastAsia"/>
                <w:i/>
                <w:iCs/>
                <w:color w:val="000000" w:themeColor="text1"/>
                <w:highlight w:val="none"/>
                <w:u w:val="single"/>
                <w:lang w:eastAsia="zh-CN"/>
                <w14:textFill>
                  <w14:solidFill>
                    <w14:schemeClr w14:val="tx1"/>
                  </w14:solidFill>
                </w14:textFill>
              </w:rPr>
              <w:t xml:space="preserve">、中标人在收到中标通知书</w:t>
            </w:r>
            <w:r>
              <w:rPr>
                <w:rStyle w:val="1024"/>
                <w:rFonts w:hint="eastAsia"/>
                <w:i/>
                <w:iCs/>
                <w:color w:val="000000" w:themeColor="text1"/>
                <w:highlight w:val="none"/>
                <w:u w:val="single"/>
                <w:lang w:val="en-US" w:eastAsia="zh-CN"/>
                <w14:textFill>
                  <w14:solidFill>
                    <w14:schemeClr w14:val="tx1"/>
                  </w14:solidFill>
                </w14:textFill>
              </w:rPr>
              <w:t xml:space="preserve">10日内</w:t>
            </w:r>
            <w:r>
              <w:rPr>
                <w:rStyle w:val="1024"/>
                <w:rFonts w:hint="eastAsia"/>
                <w:i/>
                <w:iCs/>
                <w:color w:val="000000" w:themeColor="text1"/>
                <w:highlight w:val="none"/>
                <w:u w:val="single"/>
                <w:lang w:eastAsia="zh-CN"/>
                <w14:textFill>
                  <w14:solidFill>
                    <w14:schemeClr w14:val="tx1"/>
                  </w14:solidFill>
                </w14:textFill>
              </w:rPr>
              <w:t xml:space="preserve">，须将</w:t>
            </w:r>
            <w:r>
              <w:rPr>
                <w:rStyle w:val="1024"/>
                <w:rFonts w:hint="eastAsia"/>
                <w:i/>
                <w:iCs/>
                <w:color w:val="000000" w:themeColor="text1"/>
                <w:highlight w:val="none"/>
                <w:u w:val="single"/>
                <w:lang w:val="en-US" w:eastAsia="zh-CN"/>
                <w14:textFill>
                  <w14:solidFill>
                    <w14:schemeClr w14:val="tx1"/>
                  </w14:solidFill>
                </w14:textFill>
              </w:rPr>
              <w:t xml:space="preserve">投入本项目的作业服务</w:t>
            </w:r>
            <w:r>
              <w:rPr>
                <w:rStyle w:val="1024"/>
                <w:rFonts w:hint="eastAsia"/>
                <w:i/>
                <w:iCs/>
                <w:color w:val="000000" w:themeColor="text1"/>
                <w:highlight w:val="none"/>
                <w:u w:val="single"/>
                <w:lang w:eastAsia="zh-CN"/>
                <w14:textFill>
                  <w14:solidFill>
                    <w14:schemeClr w14:val="tx1"/>
                  </w14:solidFill>
                </w14:textFill>
              </w:rPr>
              <w:t xml:space="preserve">人员身份证复印件、驾驶员驾驶证复印件和劳动合同复印件以及社保证明材料送至采购人处备案。</w:t>
            </w:r>
            <w:r>
              <w:rPr>
                <w:rStyle w:val="1024"/>
                <w:rFonts w:hint="eastAsia"/>
                <w:i/>
                <w:iCs/>
                <w:color w:val="000000" w:themeColor="text1"/>
                <w:highlight w:val="none"/>
                <w:u w:val="single"/>
                <w:lang w:val="en-US" w:eastAsia="zh-CN"/>
                <w14:textFill>
                  <w14:solidFill>
                    <w14:schemeClr w14:val="tx1"/>
                  </w14:solidFill>
                </w14:textFill>
              </w:rPr>
              <w:t xml:space="preserve">若收到中标通知书10日内人员未到位或投入本项目的专用人员不能满足招标文件要求的，则采购人有权取消其中标资格（已签订合同的终止合同）。</w:t>
            </w:r>
            <w:r>
              <w:rPr>
                <w:rStyle w:val="1024"/>
                <w:rFonts w:hint="eastAsia"/>
                <w:i/>
                <w:iCs/>
                <w:color w:val="000000" w:themeColor="text1"/>
                <w:highlight w:val="none"/>
                <w:u w:val="single"/>
                <w:lang w:eastAsia="zh-CN"/>
                <w14:textFill>
                  <w14:solidFill>
                    <w14:schemeClr w14:val="tx1"/>
                  </w14:solidFill>
                </w14:textFill>
              </w:rPr>
              <w:t xml:space="preserve">备案后不可随意更换人员，如有特殊情况，必须在7个工作日内书面报告采购人，经采购人同意后，方可更换。中标人承担所有服务人员的安全责任及费用。</w:t>
            </w:r>
            <w:r/>
          </w:p>
          <w:p>
            <w:pPr>
              <w:pStyle w:val="1066"/>
              <w:ind w:left="5"/>
              <w:keepLines w:val="0"/>
              <w:keepNext w:val="0"/>
              <w:pageBreakBefore w:val="0"/>
              <w:spacing w:line="360" w:lineRule="auto"/>
              <w:widowControl w:val="off"/>
              <w:rPr>
                <w:rStyle w:val="1024"/>
                <w:rFonts w:hint="default"/>
                <w:i/>
                <w:iCs/>
                <w:color w:val="000000" w:themeColor="text1"/>
                <w:highlight w:val="none"/>
                <w:u w:val="single"/>
                <w:lang w:val="en-US" w:eastAsia="zh-CN"/>
                <w14:textFill>
                  <w14:solidFill>
                    <w14:schemeClr w14:val="tx1"/>
                  </w14:solidFill>
                </w14:textFill>
              </w:rPr>
            </w:pPr>
            <w:r>
              <w:rPr>
                <w:rStyle w:val="1024"/>
                <w:rFonts w:hint="eastAsia"/>
                <w:i/>
                <w:iCs/>
                <w:color w:val="000000" w:themeColor="text1"/>
                <w:highlight w:val="none"/>
                <w:u w:val="single"/>
                <w:lang w:val="en-US" w:eastAsia="zh-CN"/>
                <w14:textFill>
                  <w14:solidFill>
                    <w14:schemeClr w14:val="tx1"/>
                  </w14:solidFill>
                </w14:textFill>
              </w:rPr>
              <w:t xml:space="preserve">7、投入本项目的作业服务</w:t>
            </w:r>
            <w:r>
              <w:rPr>
                <w:rStyle w:val="1024"/>
                <w:rFonts w:hint="eastAsia"/>
                <w:i/>
                <w:iCs/>
                <w:color w:val="000000" w:themeColor="text1"/>
                <w:highlight w:val="none"/>
                <w:u w:val="single"/>
                <w:lang w:eastAsia="zh-CN"/>
                <w14:textFill>
                  <w14:solidFill>
                    <w14:schemeClr w14:val="tx1"/>
                  </w14:solidFill>
                </w14:textFill>
              </w:rPr>
              <w:t xml:space="preserve">人员</w:t>
            </w:r>
            <w:r>
              <w:rPr>
                <w:rStyle w:val="1024"/>
                <w:rFonts w:hint="eastAsia"/>
                <w:i/>
                <w:iCs/>
                <w:color w:val="000000" w:themeColor="text1"/>
                <w:highlight w:val="none"/>
                <w:u w:val="single"/>
                <w:lang w:val="en-US" w:eastAsia="zh-CN"/>
                <w14:textFill>
                  <w14:solidFill>
                    <w14:schemeClr w14:val="tx1"/>
                  </w14:solidFill>
                </w14:textFill>
              </w:rPr>
              <w:t xml:space="preserve">必须专门服务于本项目，不得服务其他项目。</w:t>
            </w:r>
            <w:r/>
          </w:p>
          <w:p>
            <w:pPr>
              <w:pStyle w:val="1066"/>
              <w:ind w:firstLine="5"/>
              <w:keepLines w:val="0"/>
              <w:keepNext w:val="0"/>
              <w:pageBreakBefore w:val="0"/>
              <w:spacing w:line="360" w:lineRule="auto"/>
              <w:widowControl w:val="off"/>
              <w:rPr>
                <w:rStyle w:val="1024"/>
                <w:rFonts w:hint="eastAsia"/>
                <w:i/>
                <w:iCs/>
                <w:color w:val="000000" w:themeColor="text1"/>
                <w:highlight w:val="none"/>
                <w:u w:val="single"/>
                <w:lang w:eastAsia="zh-CN"/>
                <w14:textFill>
                  <w14:solidFill>
                    <w14:schemeClr w14:val="tx1"/>
                  </w14:solidFill>
                </w14:textFill>
              </w:rPr>
            </w:pPr>
            <w:r>
              <w:rPr>
                <w:rStyle w:val="1024"/>
                <w:rFonts w:hint="eastAsia"/>
                <w:color w:val="000000" w:themeColor="text1"/>
                <w:highlight w:val="none"/>
                <w:lang w:val="en-US" w:eastAsia="zh-CN"/>
                <w14:textFill>
                  <w14:solidFill>
                    <w14:schemeClr w14:val="tx1"/>
                  </w14:solidFill>
                </w14:textFill>
              </w:rPr>
              <w:t xml:space="preserve">8</w:t>
            </w:r>
            <w:r>
              <w:rPr>
                <w:rStyle w:val="1024"/>
                <w:rFonts w:hint="eastAsia"/>
                <w:color w:val="000000" w:themeColor="text1"/>
                <w:highlight w:val="none"/>
                <w:lang w:eastAsia="zh-CN"/>
                <w14:textFill>
                  <w14:solidFill>
                    <w14:schemeClr w14:val="tx1"/>
                  </w14:solidFill>
                </w14:textFill>
              </w:rPr>
              <w:t xml:space="preserve">、保洁人员配置要求</w:t>
            </w:r>
            <w:r>
              <w:rPr>
                <w:rStyle w:val="1024"/>
                <w:rFonts w:hint="eastAsia"/>
                <w:b/>
                <w:bCs/>
                <w:color w:val="000000" w:themeColor="text1"/>
                <w:highlight w:val="none"/>
                <w:lang w:eastAsia="zh-CN"/>
                <w14:textFill>
                  <w14:solidFill>
                    <w14:schemeClr w14:val="tx1"/>
                  </w14:solidFill>
                </w14:textFill>
              </w:rPr>
              <w:t xml:space="preserve">（详见四、其他部分 附件 1.3）。</w:t>
            </w:r>
            <w:r/>
          </w:p>
        </w:tc>
      </w:tr>
    </w:tbl>
    <w:p>
      <w:pPr>
        <w:ind w:firstLine="482"/>
        <w:spacing w:before="120" w:after="120" w:line="440" w:lineRule="exact"/>
        <w:rPr>
          <w:rFonts w:ascii="Times New Roman" w:hAnsi="Times New Roman"/>
          <w:b/>
          <w:color w:val="000000" w:themeColor="text1"/>
          <w:sz w:val="24"/>
          <w:szCs w:val="24"/>
          <w:highlight w:val="none"/>
          <w14:textFill>
            <w14:solidFill>
              <w14:schemeClr w14:val="tx1"/>
            </w14:solidFill>
          </w14:textFill>
        </w:rPr>
      </w:pPr>
      <w:r>
        <w:rPr>
          <w:rFonts w:hint="eastAsia" w:ascii="Times New Roman" w:hAnsi="Times New Roman"/>
          <w:b/>
          <w:color w:val="000000" w:themeColor="text1"/>
          <w:sz w:val="24"/>
          <w:szCs w:val="24"/>
          <w:highlight w:val="none"/>
          <w14:textFill>
            <w14:solidFill>
              <w14:schemeClr w14:val="tx1"/>
            </w14:solidFill>
          </w14:textFill>
        </w:rPr>
        <w:t xml:space="preserve">（三）车辆配备要求</w:t>
      </w:r>
      <w:r/>
    </w:p>
    <w:tbl>
      <w:tblPr>
        <w:tblStyle w:val="8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790"/>
        <w:gridCol w:w="7559"/>
      </w:tblGrid>
      <w:tr>
        <w:trPr>
          <w:jc w:val="center"/>
          <w:trHeight w:val="575"/>
        </w:trPr>
        <w:tc>
          <w:tcPr>
            <w:tcW w:w="715" w:type="dxa"/>
            <w:vAlign w:val="center"/>
            <w:textDirection w:val="lrTb"/>
            <w:noWrap w:val="false"/>
          </w:tcPr>
          <w:p>
            <w:pPr>
              <w:jc w:val="center"/>
              <w:rPr>
                <w:rStyle w:val="1026"/>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序号</w:t>
            </w:r>
            <w:r/>
          </w:p>
        </w:tc>
        <w:tc>
          <w:tcPr>
            <w:tcW w:w="79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名称</w:t>
            </w:r>
            <w:r/>
          </w:p>
        </w:tc>
        <w:tc>
          <w:tcPr>
            <w:tcW w:w="7642" w:type="dxa"/>
            <w:vAlign w:val="center"/>
            <w:textDirection w:val="lrTb"/>
            <w:noWrap w:val="false"/>
          </w:tcPr>
          <w:p>
            <w:pPr>
              <w:jc w:val="center"/>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b/>
                <w:bCs/>
                <w:color w:val="000000" w:themeColor="text1"/>
                <w:sz w:val="24"/>
                <w:szCs w:val="24"/>
                <w:highlight w:val="none"/>
                <w:lang w:eastAsia="en-US"/>
                <w14:textFill>
                  <w14:solidFill>
                    <w14:schemeClr w14:val="tx1"/>
                  </w14:solidFill>
                </w14:textFill>
              </w:rPr>
              <w:t xml:space="preserve">内容</w:t>
            </w:r>
            <w:r/>
          </w:p>
        </w:tc>
      </w:tr>
      <w:tr>
        <w:trPr>
          <w:jc w:val="center"/>
          <w:trHeight w:val="590"/>
        </w:trPr>
        <w:tc>
          <w:tcPr>
            <w:tcW w:w="715" w:type="dxa"/>
            <w:vAlign w:val="center"/>
            <w:textDirection w:val="lrTb"/>
            <w:noWrap w:val="false"/>
          </w:tcPr>
          <w:p>
            <w:pPr>
              <w:jc w:val="center"/>
              <w:spacing w:line="324" w:lineRule="auto"/>
              <w:rPr>
                <w:rStyle w:val="1026"/>
                <w:rFonts w:hint="eastAsia" w:ascii="宋体" w:hAnsi="宋体" w:cs="宋体"/>
                <w:color w:val="000000" w:themeColor="text1"/>
                <w:sz w:val="24"/>
                <w:szCs w:val="24"/>
                <w:highlight w:val="none"/>
                <w14:textFill>
                  <w14:solidFill>
                    <w14:schemeClr w14:val="tx1"/>
                  </w14:solidFill>
                </w14:textFill>
              </w:rPr>
            </w:pPr>
            <w:r>
              <w:rPr>
                <w:rStyle w:val="1026"/>
                <w:rFonts w:hint="eastAsia" w:ascii="宋体" w:hAnsi="宋体" w:cs="宋体"/>
                <w:color w:val="000000" w:themeColor="text1"/>
                <w:sz w:val="24"/>
                <w:szCs w:val="24"/>
                <w:highlight w:val="none"/>
                <w14:textFill>
                  <w14:solidFill>
                    <w14:schemeClr w14:val="tx1"/>
                  </w14:solidFill>
                </w14:textFill>
              </w:rPr>
              <w:t xml:space="preserve">1</w:t>
            </w:r>
            <w:r/>
          </w:p>
        </w:tc>
        <w:tc>
          <w:tcPr>
            <w:tcW w:w="791" w:type="dxa"/>
            <w:vAlign w:val="center"/>
            <w:textDirection w:val="lrTb"/>
            <w:noWrap w:val="false"/>
          </w:tcPr>
          <w:p>
            <w:pPr>
              <w:jc w:val="center"/>
              <w:spacing w:line="324" w:lineRule="auto"/>
              <w:rPr>
                <w:rStyle w:val="1026"/>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车辆设备配置情况（自有或租赁）</w:t>
            </w:r>
            <w:r/>
          </w:p>
        </w:tc>
        <w:tc>
          <w:tcPr>
            <w:tcW w:w="7642" w:type="dxa"/>
            <w:vAlign w:val="center"/>
            <w:textDirection w:val="lrTb"/>
            <w:noWrap w:val="false"/>
          </w:tcPr>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（一）环卫车辆：</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1、垃圾收集车11辆（其中生活垃圾吊桶车 10 辆，核定载质量≥2500KG；厨余垃圾专用车1辆，车辆吨位：核定载质量≥2000KG），其中上牌新能源车辆不少于3辆，核定载质量≥1吨，GPS定位；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2、配置中型扫地车1辆（车辆吨位：核定载质量≥1500KG），要求双发动机，带喷淋防尘装置，GPS定位；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3、配置小型无人自动清扫车1辆；</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4、高压洒水车（压力可调节）1辆（车辆吨位：核定载质量≥7000KG），GPS定位；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5、生活垃圾压块转运车2辆（车辆吨位：核定载质量≥7000KG，须与环卫所现有压缩装置配套），GPS定位；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6、抽粪车1辆（车辆吨位：核定载质量≥3500KG），GPS定位；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7、厢式电动三轮保洁车50辆。（其中夜间保洁车辆6辆必须安装警示装置，含新镇区9辆及新湖公园2辆）；</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8、生活垃圾电瓶三轮清运车3辆（加高、加厚），GPS定位；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9、巡查车1辆（核定载质量≥400KG）；</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10、餐饮垃圾收集车6辆（四轮八桶5辆，三轮四桶1辆），GPS</w:t>
            </w:r>
            <w:r>
              <w:rPr>
                <w:i/>
                <w:iCs/>
                <w:color w:val="000000" w:themeColor="text1"/>
                <w:sz w:val="24"/>
                <w:szCs w:val="24"/>
                <w:highlight w:val="none"/>
                <w:u w:val="single"/>
                <w14:textFill>
                  <w14:solidFill>
                    <w14:schemeClr w14:val="tx1"/>
                  </w14:solidFill>
                </w14:textFill>
              </w:rPr>
              <w:t xml:space="preserve">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11、二轮电动巡查车3辆；</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12、后翻式四轮电动垃圾清运车1辆，GPS定位；</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13、高压电动清洗车1辆；</w:t>
            </w:r>
            <w:r/>
          </w:p>
          <w:p>
            <w:pPr>
              <w:ind w:firstLine="16"/>
              <w:jc w:val="left"/>
              <w:spacing w:line="360" w:lineRule="auto"/>
              <w:rPr>
                <w:rStyle w:val="1026"/>
                <w:rFonts w:hint="eastAsia" w:ascii="宋体" w:hAnsi="宋体" w:cs="宋体"/>
                <w:i/>
                <w:iCs/>
                <w:color w:val="000000" w:themeColor="text1"/>
                <w:sz w:val="24"/>
                <w:szCs w:val="24"/>
                <w:highlight w:val="none"/>
                <w:u w:val="single"/>
                <w14:textFill>
                  <w14:solidFill>
                    <w14:schemeClr w14:val="tx1"/>
                  </w14:solidFill>
                </w14:textFill>
              </w:rPr>
            </w:pPr>
            <w:r>
              <w:rPr>
                <w:rStyle w:val="1026"/>
                <w:rFonts w:hint="eastAsia" w:ascii="宋体" w:hAnsi="宋体" w:cs="宋体"/>
                <w:i/>
                <w:iCs/>
                <w:color w:val="000000" w:themeColor="text1"/>
                <w:sz w:val="24"/>
                <w:szCs w:val="24"/>
                <w:highlight w:val="none"/>
                <w:u w:val="single"/>
                <w14:textFill>
                  <w14:solidFill>
                    <w14:schemeClr w14:val="tx1"/>
                  </w14:solidFill>
                </w14:textFill>
              </w:rPr>
              <w:t xml:space="preserve">14、其他环卫装备：背负式风管机2台、弥雾机2台（消杀药品喷洒设备）、铲雪装置一套、汽油锯1台。</w:t>
            </w:r>
            <w:r/>
          </w:p>
          <w:p>
            <w:pPr>
              <w:ind w:firstLine="16"/>
              <w:jc w:val="left"/>
              <w:spacing w:line="360" w:lineRule="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（二）供应商应按照</w:t>
            </w:r>
            <w:r>
              <w:rPr>
                <w:rFonts w:hint="eastAsia" w:ascii="宋体" w:hAnsi="宋体" w:cs="宋体"/>
                <w:b/>
                <w:bCs/>
                <w:i/>
                <w:iCs/>
                <w:color w:val="000000" w:themeColor="text1"/>
                <w:sz w:val="24"/>
                <w:szCs w:val="24"/>
                <w:highlight w:val="none"/>
                <w:u w:val="single"/>
                <w14:textFill>
                  <w14:solidFill>
                    <w14:schemeClr w14:val="tx1"/>
                  </w14:solidFill>
                </w14:textFill>
              </w:rPr>
              <w:t xml:space="preserve">（四、其他部分 附件 1.4）</w:t>
            </w:r>
            <w:r>
              <w:rPr>
                <w:rFonts w:hint="eastAsia" w:ascii="宋体" w:hAnsi="宋体" w:cs="宋体"/>
                <w:i/>
                <w:iCs/>
                <w:color w:val="000000" w:themeColor="text1"/>
                <w:sz w:val="24"/>
                <w:szCs w:val="24"/>
                <w:highlight w:val="none"/>
                <w:u w:val="single"/>
                <w14:textFill>
                  <w14:solidFill>
                    <w14:schemeClr w14:val="tx1"/>
                  </w14:solidFill>
                </w14:textFill>
              </w:rPr>
              <w:t xml:space="preserve">承诺书的格式提供承诺。收到中标通知书</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i/>
                <w:iCs/>
                <w:color w:val="000000" w:themeColor="text1"/>
                <w:sz w:val="24"/>
                <w:szCs w:val="24"/>
                <w:highlight w:val="none"/>
                <w:u w:val="single"/>
                <w14:textFill>
                  <w14:solidFill>
                    <w14:schemeClr w14:val="tx1"/>
                  </w14:solidFill>
                </w14:textFill>
              </w:rPr>
              <w:t xml:space="preserve">日内，中标</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人</w:t>
            </w:r>
            <w:r>
              <w:rPr>
                <w:rFonts w:hint="eastAsia" w:ascii="宋体" w:hAnsi="宋体" w:cs="宋体"/>
                <w:i/>
                <w:iCs/>
                <w:color w:val="000000" w:themeColor="text1"/>
                <w:sz w:val="24"/>
                <w:szCs w:val="24"/>
                <w:highlight w:val="none"/>
                <w:u w:val="single"/>
                <w14:textFill>
                  <w14:solidFill>
                    <w14:schemeClr w14:val="tx1"/>
                  </w14:solidFill>
                </w14:textFill>
              </w:rPr>
              <w:t xml:space="preserve">需按照承诺书要求承诺到位。</w:t>
            </w:r>
            <w:r/>
          </w:p>
          <w:p>
            <w:pPr>
              <w:ind w:firstLine="16"/>
              <w:jc w:val="left"/>
              <w:spacing w:line="360" w:lineRule="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（三）中标人在</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收</w:t>
            </w:r>
            <w:r>
              <w:rPr>
                <w:rFonts w:hint="eastAsia" w:ascii="宋体" w:hAnsi="宋体" w:cs="宋体"/>
                <w:i/>
                <w:iCs/>
                <w:color w:val="000000" w:themeColor="text1"/>
                <w:sz w:val="24"/>
                <w:szCs w:val="24"/>
                <w:highlight w:val="none"/>
                <w:u w:val="single"/>
                <w14:textFill>
                  <w14:solidFill>
                    <w14:schemeClr w14:val="tx1"/>
                  </w14:solidFill>
                </w14:textFill>
              </w:rPr>
              <w:t xml:space="preserve">到中标通知书</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i/>
                <w:iCs/>
                <w:color w:val="000000" w:themeColor="text1"/>
                <w:sz w:val="24"/>
                <w:szCs w:val="24"/>
                <w:highlight w:val="none"/>
                <w:u w:val="single"/>
                <w14:textFill>
                  <w14:solidFill>
                    <w14:schemeClr w14:val="tx1"/>
                  </w14:solidFill>
                </w14:textFill>
              </w:rPr>
              <w:t xml:space="preserve">日内</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14:textFill>
                  <w14:solidFill>
                    <w14:schemeClr w14:val="tx1"/>
                  </w14:solidFill>
                </w14:textFill>
              </w:rPr>
              <w:t xml:space="preserve">必须提供自有或租赁上述车辆设备，并提供车辆行驶证或购车发票或产权证或租赁合同原件至大新镇爱卫条线备案，所报的作业车辆必须单独服务于中标区域，同时电瓶三轮车根据大新镇爱卫条线要求编号，禁止跨区域作业。若</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收</w:t>
            </w:r>
            <w:r>
              <w:rPr>
                <w:rFonts w:hint="eastAsia" w:ascii="宋体" w:hAnsi="宋体" w:cs="宋体"/>
                <w:i/>
                <w:iCs/>
                <w:color w:val="000000" w:themeColor="text1"/>
                <w:sz w:val="24"/>
                <w:szCs w:val="24"/>
                <w:highlight w:val="none"/>
                <w:u w:val="single"/>
                <w14:textFill>
                  <w14:solidFill>
                    <w14:schemeClr w14:val="tx1"/>
                  </w14:solidFill>
                </w14:textFill>
              </w:rPr>
              <w:t xml:space="preserve">到中标通知书</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10</w:t>
            </w:r>
            <w:r>
              <w:rPr>
                <w:rFonts w:hint="eastAsia" w:ascii="宋体" w:hAnsi="宋体" w:cs="宋体"/>
                <w:i/>
                <w:iCs/>
                <w:color w:val="000000" w:themeColor="text1"/>
                <w:sz w:val="24"/>
                <w:szCs w:val="24"/>
                <w:highlight w:val="none"/>
                <w:u w:val="single"/>
                <w14:textFill>
                  <w14:solidFill>
                    <w14:schemeClr w14:val="tx1"/>
                  </w14:solidFill>
                </w14:textFill>
              </w:rPr>
              <w:t xml:space="preserve">日内车辆未到位或投入本项目的专用车辆不能满足招标文件要求的，则</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采购人</w:t>
            </w:r>
            <w:r>
              <w:rPr>
                <w:rFonts w:hint="eastAsia" w:ascii="宋体" w:hAnsi="宋体" w:cs="宋体"/>
                <w:i/>
                <w:iCs/>
                <w:color w:val="000000" w:themeColor="text1"/>
                <w:sz w:val="24"/>
                <w:szCs w:val="24"/>
                <w:highlight w:val="none"/>
                <w:u w:val="single"/>
                <w14:textFill>
                  <w14:solidFill>
                    <w14:schemeClr w14:val="tx1"/>
                  </w14:solidFill>
                </w14:textFill>
              </w:rPr>
              <w:t xml:space="preserve">有权取消其中标资格（已签订合同的终止合同）。</w:t>
            </w:r>
            <w:r/>
          </w:p>
          <w:p>
            <w:pPr>
              <w:ind w:firstLine="16"/>
              <w:jc w:val="left"/>
              <w:spacing w:line="360" w:lineRule="auto"/>
              <w:rPr>
                <w:rFonts w:hint="eastAsia" w:ascii="宋体" w:hAnsi="宋体" w:cs="宋体"/>
                <w:i/>
                <w:iCs/>
                <w:color w:val="000000" w:themeColor="text1"/>
                <w:sz w:val="24"/>
                <w:szCs w:val="24"/>
                <w:highlight w:val="none"/>
                <w:u w:val="single"/>
                <w14:textFill>
                  <w14:solidFill>
                    <w14:schemeClr w14:val="tx1"/>
                  </w14:solidFill>
                </w14:textFill>
              </w:rPr>
            </w:pPr>
            <w:r>
              <w:rPr>
                <w:rFonts w:hint="eastAsia" w:ascii="宋体" w:hAnsi="宋体" w:cs="宋体"/>
                <w:i/>
                <w:iCs/>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四</w:t>
            </w:r>
            <w:r>
              <w:rPr>
                <w:rFonts w:hint="eastAsia" w:ascii="宋体" w:hAnsi="宋体" w:cs="宋体"/>
                <w:i/>
                <w:iCs/>
                <w:color w:val="000000" w:themeColor="text1"/>
                <w:sz w:val="24"/>
                <w:szCs w:val="24"/>
                <w:highlight w:val="none"/>
                <w:u w:val="single"/>
                <w14:textFill>
                  <w14:solidFill>
                    <w14:schemeClr w14:val="tx1"/>
                  </w14:solidFill>
                </w14:textFill>
              </w:rPr>
              <w:t xml:space="preserve">）所有作业车辆停放场所中标人自行解决。</w:t>
            </w:r>
            <w:r/>
          </w:p>
          <w:p>
            <w:pPr>
              <w:ind w:firstLine="16"/>
              <w:jc w:val="left"/>
              <w:spacing w:line="360" w:lineRule="auto"/>
              <w:rPr>
                <w:rFonts w:hint="default" w:ascii="宋体" w:hAnsi="宋体" w:eastAsia="宋体" w:cs="宋体"/>
                <w:i/>
                <w:iCs/>
                <w:color w:val="000000" w:themeColor="text1"/>
                <w:sz w:val="24"/>
                <w:szCs w:val="24"/>
                <w:highlight w:val="none"/>
                <w:u w:val="single"/>
                <w:lang w:val="en-US" w:eastAsia="zh-CN"/>
                <w14:textFill>
                  <w14:solidFill>
                    <w14:schemeClr w14:val="tx1"/>
                  </w14:solidFill>
                </w14:textFill>
              </w:rPr>
            </w:pP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五</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）中标人应足额缴纳车辆保险，配备的所有车辆在使用过程中所产生的费用（如维修、保养、保险、燃油费、</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充电费</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等）都由中标人承担。</w:t>
            </w:r>
            <w:r/>
          </w:p>
        </w:tc>
      </w:tr>
    </w:tbl>
    <w:p>
      <w:pPr>
        <w:spacing w:before="120" w:after="120" w:line="440" w:lineRule="exact"/>
        <w:rPr>
          <w:rFonts w:ascii="Times New Roman" w:hAnsi="Times New Roman"/>
          <w:b/>
          <w:color w:val="000000" w:themeColor="text1"/>
          <w:sz w:val="28"/>
          <w:szCs w:val="28"/>
          <w:highlight w:val="none"/>
          <w14:textFill>
            <w14:solidFill>
              <w14:schemeClr w14:val="tx1"/>
            </w14:solidFill>
          </w14:textFill>
        </w:rPr>
      </w:pPr>
      <w:r>
        <w:rPr>
          <w:rFonts w:ascii="Times New Roman" w:hAnsi="Times New Roman"/>
          <w:b/>
          <w:color w:val="000000" w:themeColor="text1"/>
          <w:sz w:val="28"/>
          <w:szCs w:val="28"/>
          <w:highlight w:val="none"/>
          <w14:textFill>
            <w14:solidFill>
              <w14:schemeClr w14:val="tx1"/>
            </w14:solidFill>
          </w14:textFill>
        </w:rPr>
        <w:t xml:space="preserve">三、商务条款</w:t>
      </w:r>
      <w:bookmarkEnd w:id="232"/>
      <w:r/>
      <w:bookmarkEnd w:id="233"/>
      <w:r/>
      <w:r/>
    </w:p>
    <w:p>
      <w:pPr>
        <w:ind w:firstLine="500"/>
        <w:jc w:val="left"/>
        <w:spacing w:line="360" w:lineRule="auto"/>
        <w:rPr>
          <w:rFonts w:hint="eastAsia" w:ascii="宋体" w:hAnsi="宋体" w:cs="宋体"/>
          <w:b/>
          <w:color w:val="000000" w:themeColor="text1"/>
          <w:sz w:val="24"/>
          <w:szCs w:val="24"/>
          <w:highlight w:val="none"/>
          <w14:textFill>
            <w14:solidFill>
              <w14:schemeClr w14:val="tx1"/>
            </w14:solidFill>
          </w14:textFill>
        </w:rPr>
      </w:pPr>
      <w:r/>
      <w:bookmarkStart w:id="237" w:name="_Toc54615247"/>
      <w:r/>
      <w:bookmarkStart w:id="238" w:name="_Toc35266029"/>
      <w:r/>
      <w:bookmarkStart w:id="239" w:name="_Toc38368129"/>
      <w:r/>
      <w:bookmarkStart w:id="240" w:name="_Toc160715774"/>
      <w:r/>
      <w:bookmarkStart w:id="241" w:name="_Toc120614281"/>
      <w:r>
        <w:rPr>
          <w:rFonts w:ascii="宋体" w:hAnsi="宋体" w:cs="宋体"/>
          <w:b/>
          <w:color w:val="000000" w:themeColor="text1"/>
          <w:sz w:val="24"/>
          <w:szCs w:val="24"/>
          <w:highlight w:val="none"/>
          <w14:textFill>
            <w14:solidFill>
              <w14:schemeClr w14:val="tx1"/>
            </w14:solidFill>
          </w14:textFill>
        </w:rPr>
        <w:t xml:space="preserve">1 </w:t>
      </w:r>
      <w:r>
        <w:rPr>
          <w:rFonts w:hint="eastAsia" w:ascii="宋体" w:hAnsi="宋体" w:cs="宋体"/>
          <w:b/>
          <w:color w:val="000000" w:themeColor="text1"/>
          <w:sz w:val="24"/>
          <w:szCs w:val="24"/>
          <w:highlight w:val="none"/>
          <w14:textFill>
            <w14:solidFill>
              <w14:schemeClr w14:val="tx1"/>
            </w14:solidFill>
          </w14:textFill>
        </w:rPr>
        <w:t xml:space="preserve">服务期限及服务地点</w:t>
      </w:r>
      <w:r/>
    </w:p>
    <w:p>
      <w:pPr>
        <w:pStyle w:val="1040"/>
        <w:ind w:firstLine="480"/>
        <w:spacing w:line="360" w:lineRule="auto"/>
        <w:widowControl w:val="off"/>
        <w:rPr>
          <w:rFonts w:hint="eastAsia" w:ascii="宋体" w:hAnsi="宋体" w:eastAsia="宋体" w:cs="宋体"/>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1.1、服务期限：两年（具体进场时间以采购人通知为准）。</w:t>
      </w:r>
      <w:r/>
    </w:p>
    <w:p>
      <w:pPr>
        <w:pStyle w:val="1040"/>
        <w:ind w:firstLine="480"/>
        <w:spacing w:line="360" w:lineRule="auto"/>
        <w:widowControl w:val="off"/>
        <w:rPr>
          <w:rFonts w:hint="eastAsia" w:ascii="宋体" w:hAnsi="宋体" w:eastAsia="宋体" w:cs="宋体"/>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1.2、服务地点：采购人指定地点。</w:t>
      </w:r>
      <w:r/>
    </w:p>
    <w:p>
      <w:pPr>
        <w:ind w:firstLine="500"/>
        <w:jc w:val="left"/>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2</w:t>
      </w:r>
      <w:r>
        <w:rPr>
          <w:rFonts w:ascii="宋体" w:hAnsi="宋体" w:cs="宋体"/>
          <w:b/>
          <w:color w:val="000000" w:themeColor="text1"/>
          <w:sz w:val="24"/>
          <w:szCs w:val="24"/>
          <w:highlight w:val="none"/>
          <w14:textFill>
            <w14:solidFill>
              <w14:schemeClr w14:val="tx1"/>
            </w14:solidFill>
          </w14:textFill>
        </w:rPr>
        <w:t xml:space="preserve"> 货款支付</w:t>
      </w:r>
      <w:r/>
    </w:p>
    <w:p>
      <w:pPr>
        <w:ind w:firstLine="500"/>
        <w:jc w:val="left"/>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2</w:t>
      </w:r>
      <w:r>
        <w:rPr>
          <w:rFonts w:ascii="宋体" w:hAnsi="宋体" w:cs="宋体"/>
          <w:i/>
          <w:color w:val="000000" w:themeColor="text1"/>
          <w:sz w:val="24"/>
          <w:szCs w:val="24"/>
          <w:highlight w:val="none"/>
          <w:u w:val="single"/>
          <w14:textFill>
            <w14:solidFill>
              <w14:schemeClr w14:val="tx1"/>
            </w14:solidFill>
          </w14:textFill>
        </w:rPr>
        <w:t xml:space="preserve">.1、结付程序</w:t>
      </w:r>
      <w:r/>
    </w:p>
    <w:p>
      <w:pPr>
        <w:ind w:firstLine="480"/>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中标人按本合同内容履行供货义务后，由采购人按相关规定办理结算手续。</w:t>
      </w:r>
      <w:r/>
    </w:p>
    <w:p>
      <w:pPr>
        <w:ind w:firstLine="500"/>
        <w:jc w:val="left"/>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2</w:t>
      </w:r>
      <w:r>
        <w:rPr>
          <w:rFonts w:ascii="宋体" w:hAnsi="宋体" w:cs="宋体"/>
          <w:i/>
          <w:color w:val="000000" w:themeColor="text1"/>
          <w:sz w:val="24"/>
          <w:szCs w:val="24"/>
          <w:highlight w:val="none"/>
          <w:u w:val="single"/>
          <w14:textFill>
            <w14:solidFill>
              <w14:schemeClr w14:val="tx1"/>
            </w14:solidFill>
          </w14:textFill>
        </w:rPr>
        <w:t xml:space="preserve">.2、结付期限</w:t>
      </w:r>
      <w:r/>
    </w:p>
    <w:p>
      <w:pPr>
        <w:pStyle w:val="1002"/>
        <w:ind w:firstLine="480"/>
        <w:spacing w:line="360" w:lineRule="auto"/>
        <w:tabs>
          <w:tab w:val="right" w:pos="2520" w:leader="none"/>
          <w:tab w:val="left" w:pos="2880" w:leader="none"/>
        </w:tabs>
        <w:rPr>
          <w:rFonts w:hint="eastAsia" w:ascii="Times New Roman" w:hAnsi="Times New Roman"/>
          <w:i/>
          <w:iCs/>
          <w:color w:val="000000" w:themeColor="text1"/>
          <w:sz w:val="24"/>
          <w:szCs w:val="24"/>
          <w:highlight w:val="none"/>
          <w:u w:val="single"/>
          <w14:textFill>
            <w14:solidFill>
              <w14:schemeClr w14:val="tx1"/>
            </w14:solidFill>
          </w14:textFill>
        </w:rPr>
      </w:pPr>
      <w:r>
        <w:rPr>
          <w:rFonts w:hint="eastAsia" w:ascii="Times New Roman" w:hAnsi="Times New Roman"/>
          <w:i/>
          <w:iCs/>
          <w:color w:val="000000" w:themeColor="text1"/>
          <w:sz w:val="24"/>
          <w:szCs w:val="24"/>
          <w:highlight w:val="none"/>
          <w:u w:val="single"/>
          <w14:textFill>
            <w14:solidFill>
              <w14:schemeClr w14:val="tx1"/>
            </w14:solidFill>
          </w14:textFill>
        </w:rPr>
        <w:t xml:space="preserve">合同基准价格按此次中标价格执行，该报价应包括承包期内保洁服务需要的人工费（包括人员工资、福利费等）、生产设备及工具费、税费及政策性文件规定和合同包含的所有风险、责任等各项应有费用。</w:t>
      </w:r>
      <w:r/>
    </w:p>
    <w:p>
      <w:pPr>
        <w:pStyle w:val="1002"/>
        <w:ind w:firstLine="480"/>
        <w:spacing w:line="360" w:lineRule="auto"/>
        <w:tabs>
          <w:tab w:val="right" w:pos="2520" w:leader="none"/>
          <w:tab w:val="left" w:pos="2880" w:leader="none"/>
        </w:tabs>
        <w:rPr>
          <w:rFonts w:ascii="Times New Roman" w:hAnsi="Times New Roman"/>
          <w:i/>
          <w:iCs/>
          <w:color w:val="000000" w:themeColor="text1"/>
          <w:sz w:val="24"/>
          <w:szCs w:val="24"/>
          <w:highlight w:val="none"/>
          <w:u w:val="single"/>
          <w14:textFill>
            <w14:solidFill>
              <w14:schemeClr w14:val="tx1"/>
            </w14:solidFill>
          </w14:textFill>
        </w:rPr>
      </w:pPr>
      <w:r>
        <w:rPr>
          <w:rFonts w:hint="eastAsia" w:ascii="Times New Roman" w:hAnsi="Times New Roman"/>
          <w:i/>
          <w:iCs/>
          <w:color w:val="000000" w:themeColor="text1"/>
          <w:sz w:val="24"/>
          <w:szCs w:val="24"/>
          <w:highlight w:val="none"/>
          <w:u w:val="single"/>
          <w14:textFill>
            <w14:solidFill>
              <w14:schemeClr w14:val="tx1"/>
            </w14:solidFill>
          </w14:textFill>
        </w:rPr>
        <w:t xml:space="preserve">采购双方签订合同生效后，预付款金额为合同价的10%。</w:t>
      </w:r>
      <w:r>
        <w:rPr>
          <w:rFonts w:hint="eastAsia" w:ascii="Times New Roman" w:hAnsi="Times New Roman"/>
          <w:i/>
          <w:iCs/>
          <w:color w:val="000000" w:themeColor="text1"/>
          <w:sz w:val="24"/>
          <w:szCs w:val="24"/>
          <w:highlight w:val="none"/>
          <w:u w:val="single"/>
          <w:lang w:val="en-US" w:eastAsia="zh-CN"/>
          <w14:textFill>
            <w14:solidFill>
              <w14:schemeClr w14:val="tx1"/>
            </w14:solidFill>
          </w14:textFill>
        </w:rPr>
        <w:t xml:space="preserve">（注：在签订合同时，中标人明确表示无需预付款或者主动要求降低预付款比例的，采购人可不适用前述规定）。</w:t>
      </w:r>
      <w:r>
        <w:rPr>
          <w:rFonts w:hint="eastAsia" w:ascii="Times New Roman" w:hAnsi="Times New Roman"/>
          <w:i/>
          <w:iCs/>
          <w:color w:val="000000" w:themeColor="text1"/>
          <w:sz w:val="24"/>
          <w:szCs w:val="24"/>
          <w:highlight w:val="none"/>
          <w:u w:val="single"/>
          <w14:textFill>
            <w14:solidFill>
              <w14:schemeClr w14:val="tx1"/>
            </w14:solidFill>
          </w14:textFill>
        </w:rPr>
        <w:t xml:space="preserve">待整个服务项目所需设备、人员全部到位，经采购人认可后开始进场进行管理。合同价的 90%分解至每季支付。根据采购人提供的每季考核检查结果，于下季度首月30日前向中标人支付上季度费用（因考核检查有失分，实际支付金额与基准价格存在差异）。合同履行结束，经验收合格不计利息退回履约保证金（合同总价款2％）。</w:t>
      </w:r>
      <w:r/>
    </w:p>
    <w:p>
      <w:pPr>
        <w:ind w:firstLine="500"/>
        <w:jc w:val="left"/>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2.3、</w:t>
      </w:r>
      <w:r>
        <w:rPr>
          <w:rFonts w:ascii="宋体" w:hAnsi="宋体" w:cs="宋体"/>
          <w:i/>
          <w:color w:val="000000" w:themeColor="text1"/>
          <w:sz w:val="24"/>
          <w:szCs w:val="24"/>
          <w:highlight w:val="none"/>
          <w:u w:val="single"/>
          <w14:textFill>
            <w14:solidFill>
              <w14:schemeClr w14:val="tx1"/>
            </w14:solidFill>
          </w14:textFill>
        </w:rPr>
        <w:t xml:space="preserve">结付标准</w:t>
      </w:r>
      <w:r/>
    </w:p>
    <w:p>
      <w:pPr>
        <w:pStyle w:val="1002"/>
        <w:ind w:firstLine="480"/>
        <w:spacing w:line="360" w:lineRule="auto"/>
        <w:tabs>
          <w:tab w:val="right" w:pos="2520" w:leader="none"/>
          <w:tab w:val="left" w:pos="2880" w:leader="none"/>
        </w:tabs>
        <w:rPr>
          <w:rFonts w:hint="eastAsia" w:ascii="Times New Roman" w:hAnsi="Times New Roman"/>
          <w:i/>
          <w:iCs/>
          <w:color w:val="000000" w:themeColor="text1"/>
          <w:sz w:val="24"/>
          <w:szCs w:val="24"/>
          <w:highlight w:val="none"/>
          <w:u w:val="single"/>
          <w14:textFill>
            <w14:solidFill>
              <w14:schemeClr w14:val="tx1"/>
            </w14:solidFill>
          </w14:textFill>
        </w:rPr>
      </w:pPr>
      <w:r>
        <w:rPr>
          <w:rFonts w:hint="eastAsia" w:ascii="Times New Roman" w:hAnsi="Times New Roman"/>
          <w:i/>
          <w:iCs/>
          <w:color w:val="000000" w:themeColor="text1"/>
          <w:sz w:val="24"/>
          <w:szCs w:val="24"/>
          <w:highlight w:val="none"/>
          <w:u w:val="single"/>
          <w14:textFill>
            <w14:solidFill>
              <w14:schemeClr w14:val="tx1"/>
            </w14:solidFill>
          </w14:textFill>
        </w:rPr>
        <w:t xml:space="preserve">按照《大新镇第三方服务项目管理办法》，采购人对辖区内中标人的考核分作为当月对中标人</w:t>
      </w:r>
      <w:r>
        <w:rPr>
          <w:rFonts w:hint="eastAsia" w:ascii="Times New Roman" w:hAnsi="Times New Roman"/>
          <w:i/>
          <w:iCs/>
          <w:color w:val="000000" w:themeColor="text1"/>
          <w:sz w:val="24"/>
          <w:szCs w:val="24"/>
          <w:highlight w:val="none"/>
          <w:u w:val="single"/>
          <w14:textFill>
            <w14:solidFill>
              <w14:schemeClr w14:val="tx1"/>
            </w14:solidFill>
          </w14:textFill>
        </w:rPr>
        <w:t xml:space="preserve">的扣款依据，每月考核一次，考核结果应与服务款项支付等挂钩。90-100分，以整数分为档，每低一档扣减本期款项的1%；80-90（不含）分，以整数分为档，每低一档扣减本期款项的1.2%；70-80（不含）分，以整数分为档，每低一档扣减本期款项的1.5%；低于70分，则本期款项只支付应付金额的50%，同时相关管理部门应对第三方提出服务质量警告，连续2次考核结果低于70分或合同有效期内有5次低于70分的，相关部门可取消与第三方的服务合同，重新组织采购或由服务优秀的第三方续接。根据月度最终考评得分，支付季度服务费。</w:t>
      </w:r>
      <w:r/>
    </w:p>
    <w:p>
      <w:pPr>
        <w:pStyle w:val="1002"/>
        <w:ind w:firstLine="480"/>
        <w:spacing w:line="360" w:lineRule="auto"/>
        <w:tabs>
          <w:tab w:val="right" w:pos="2520" w:leader="none"/>
          <w:tab w:val="left" w:pos="2880" w:leader="none"/>
        </w:tabs>
        <w:rPr>
          <w:rFonts w:hint="eastAsia" w:ascii="Times New Roman" w:hAnsi="Times New Roman"/>
          <w:i/>
          <w:iCs/>
          <w:color w:val="000000" w:themeColor="text1"/>
          <w:sz w:val="24"/>
          <w:szCs w:val="24"/>
          <w:highlight w:val="none"/>
          <w:u w:val="single"/>
          <w:lang w:val="en-US" w:eastAsia="zh-CN"/>
          <w14:textFill>
            <w14:solidFill>
              <w14:schemeClr w14:val="tx1"/>
            </w14:solidFill>
          </w14:textFill>
        </w:rPr>
      </w:pPr>
      <w:r>
        <w:rPr>
          <w:rFonts w:hint="eastAsia" w:ascii="Times New Roman" w:hAnsi="Times New Roman"/>
          <w:i/>
          <w:iCs/>
          <w:color w:val="000000" w:themeColor="text1"/>
          <w:sz w:val="24"/>
          <w:szCs w:val="24"/>
          <w:highlight w:val="none"/>
          <w:u w:val="single"/>
          <w:lang w:val="en-US" w:eastAsia="zh-CN"/>
          <w14:textFill>
            <w14:solidFill>
              <w14:schemeClr w14:val="tx1"/>
            </w14:solidFill>
          </w14:textFill>
        </w:rPr>
        <w:t xml:space="preserve">中标人无正当理由拒不配合、迟延配合或未按采购人要求履行义务的，经采购人书面催告后仍未在指定期限内整改到位的，采购人有权另行委托具备相应资质及服务能力的第三方单位代为完成对应工作内容。第三方实施服务所产生的全部合理费用采购人直接从应付中标人的服务费中予以抵扣，不足抵扣部分，采购人有权就差额向中标人另行追偿。</w:t>
      </w:r>
      <w:r/>
    </w:p>
    <w:p>
      <w:pPr>
        <w:ind w:firstLine="500"/>
        <w:jc w:val="left"/>
        <w:spacing w:line="360" w:lineRule="auto"/>
        <w:tabs>
          <w:tab w:val="left" w:pos="3609"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3</w:t>
      </w:r>
      <w:r>
        <w:rPr>
          <w:rFonts w:ascii="宋体" w:hAnsi="宋体" w:cs="宋体"/>
          <w:b/>
          <w:color w:val="000000" w:themeColor="text1"/>
          <w:sz w:val="24"/>
          <w:szCs w:val="24"/>
          <w:highlight w:val="none"/>
          <w14:textFill>
            <w14:solidFill>
              <w14:schemeClr w14:val="tx1"/>
            </w14:solidFill>
          </w14:textFill>
        </w:rPr>
        <w:t xml:space="preserve"> 投标货币</w:t>
      </w:r>
      <w:r/>
    </w:p>
    <w:p>
      <w:pPr>
        <w:ind w:firstLine="500"/>
        <w:jc w:val="left"/>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3</w:t>
      </w:r>
      <w:r>
        <w:rPr>
          <w:rFonts w:ascii="宋体" w:hAnsi="宋体" w:cs="宋体"/>
          <w:i/>
          <w:color w:val="000000" w:themeColor="text1"/>
          <w:sz w:val="24"/>
          <w:szCs w:val="24"/>
          <w:highlight w:val="none"/>
          <w:u w:val="single"/>
          <w14:textFill>
            <w14:solidFill>
              <w14:schemeClr w14:val="tx1"/>
            </w14:solidFill>
          </w14:textFill>
        </w:rPr>
        <w:t xml:space="preserve">.1、投标货币</w:t>
      </w:r>
      <w:r/>
    </w:p>
    <w:p>
      <w:pPr>
        <w:ind w:firstLine="500"/>
        <w:jc w:val="left"/>
        <w:spacing w:line="360" w:lineRule="auto"/>
        <w:rPr>
          <w:rFonts w:hint="eastAsia" w:ascii="宋体" w:hAnsi="宋体" w:cs="宋体"/>
          <w:i/>
          <w:color w:val="000000" w:themeColor="text1"/>
          <w:sz w:val="24"/>
          <w:szCs w:val="24"/>
          <w:highlight w:val="none"/>
          <w:u w:val="single"/>
          <w14:textFill>
            <w14:solidFill>
              <w14:schemeClr w14:val="tx1"/>
            </w14:solidFill>
          </w14:textFill>
        </w:rPr>
      </w:pPr>
      <w:r>
        <w:rPr>
          <w:rFonts w:ascii="宋体" w:hAnsi="宋体" w:cs="宋体"/>
          <w:i/>
          <w:color w:val="000000" w:themeColor="text1"/>
          <w:sz w:val="24"/>
          <w:szCs w:val="24"/>
          <w:highlight w:val="none"/>
          <w:u w:val="single"/>
          <w14:textFill>
            <w14:solidFill>
              <w14:schemeClr w14:val="tx1"/>
            </w14:solidFill>
          </w14:textFill>
        </w:rPr>
        <w:t xml:space="preserve">人民币</w:t>
      </w:r>
      <w:r/>
    </w:p>
    <w:p>
      <w:pPr>
        <w:pStyle w:val="1040"/>
        <w:ind w:firstLine="500"/>
        <w:spacing w:line="36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4</w:t>
      </w:r>
      <w:r>
        <w:rPr>
          <w:rFonts w:ascii="宋体" w:hAnsi="宋体" w:eastAsia="宋体" w:cs="宋体"/>
          <w:b/>
          <w:color w:val="000000" w:themeColor="text1"/>
          <w:highlight w:val="none"/>
          <w14:textFill>
            <w14:solidFill>
              <w14:schemeClr w14:val="tx1"/>
            </w14:solidFill>
          </w14:textFill>
        </w:rPr>
        <w:t xml:space="preserve"> 备品备件及耗材等要求</w:t>
      </w:r>
      <w:r/>
    </w:p>
    <w:p>
      <w:pPr>
        <w:pStyle w:val="1064"/>
        <w:ind w:firstLine="420"/>
        <w:spacing w:after="0" w:line="360" w:lineRule="auto"/>
        <w:tabs>
          <w:tab w:val="right" w:pos="2520" w:leader="none"/>
          <w:tab w:val="left" w:pos="2880" w:leader="none"/>
        </w:tabs>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无</w:t>
      </w:r>
      <w:r/>
    </w:p>
    <w:p>
      <w:pPr>
        <w:jc w:val="left"/>
        <w:widowControl/>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br w:type="page" w:clear="all"/>
      </w:r>
      <w:r/>
    </w:p>
    <w:p>
      <w:pPr>
        <w:numPr>
          <w:ilvl w:val="0"/>
          <w:numId w:val="2"/>
        </w:numPr>
        <w:spacing w:line="360" w:lineRule="auto"/>
        <w:rPr>
          <w:rFonts w:hint="eastAsia" w:ascii="宋体" w:hAns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 xml:space="preserve">其他部分</w:t>
      </w:r>
      <w:r/>
    </w:p>
    <w:p>
      <w:pPr>
        <w:ind w:left="80"/>
        <w:jc w:val="left"/>
        <w:spacing w:before="31"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附件</w:t>
      </w: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1.1</w:t>
      </w: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路面废弃物控制指标</w:t>
      </w:r>
      <w:r/>
    </w:p>
    <w:tbl>
      <w:tblPr>
        <w:tblStyle w:val="1065"/>
        <w:tblW w:w="9141"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803"/>
        <w:gridCol w:w="1363"/>
        <w:gridCol w:w="1632"/>
        <w:gridCol w:w="1477"/>
        <w:gridCol w:w="1269"/>
        <w:gridCol w:w="1622"/>
        <w:gridCol w:w="975"/>
      </w:tblGrid>
      <w:tr>
        <w:trPr>
          <w:jc w:val="center"/>
          <w:trHeight w:val="510"/>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保洁</w:t>
            </w:r>
            <w:r/>
          </w:p>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等级</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果皮（片/千</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eastAsia="en-US"/>
                <w14:textFill>
                  <w14:solidFill>
                    <w14:schemeClr w14:val="tx1"/>
                  </w14:solidFill>
                </w14:textFill>
              </w:rPr>
              <w:t xml:space="preserve">平方米）</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纸屑、塑膜</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（片 /千平方米）</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烟蒂（个/</w:t>
            </w:r>
            <w:r/>
          </w:p>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千 平 方米）</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痰迹（处/千平方米）</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污水（平方</w:t>
            </w:r>
            <w:r/>
          </w:p>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米/千平方米）</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其它（处/千平方米）</w:t>
            </w:r>
            <w:r/>
          </w:p>
        </w:tc>
      </w:tr>
      <w:tr>
        <w:trPr>
          <w:jc w:val="center"/>
          <w:trHeight w:val="510"/>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一级</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r>
      <w:tr>
        <w:trPr>
          <w:jc w:val="center"/>
          <w:trHeight w:val="510"/>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二级</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≤0.5</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r>
      <w:tr>
        <w:trPr>
          <w:jc w:val="center"/>
          <w:trHeight w:val="510"/>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三级</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≤8</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≤6</w:t>
            </w:r>
            <w:r/>
          </w:p>
        </w:tc>
      </w:tr>
      <w:tr>
        <w:trPr>
          <w:jc w:val="center"/>
          <w:trHeight w:val="510"/>
        </w:trPr>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四级</w:t>
            </w:r>
            <w:r/>
          </w:p>
        </w:tc>
        <w:tc>
          <w:tcPr>
            <w:tcBorders>
              <w:top w:val="single" w:color="auto" w:sz="4" w:space="0"/>
              <w:left w:val="single" w:color="auto" w:sz="4" w:space="0"/>
              <w:bottom w:val="single" w:color="auto" w:sz="4" w:space="0"/>
              <w:right w:val="single" w:color="auto" w:sz="4" w:space="0"/>
            </w:tcBorders>
            <w:tcW w:w="1363"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≤10</w:t>
            </w:r>
            <w:r/>
          </w:p>
        </w:tc>
        <w:tc>
          <w:tcPr>
            <w:tcBorders>
              <w:top w:val="single" w:color="auto" w:sz="4" w:space="0"/>
              <w:left w:val="single" w:color="auto" w:sz="4" w:space="0"/>
              <w:bottom w:val="single" w:color="auto" w:sz="4" w:space="0"/>
              <w:right w:val="single" w:color="auto" w:sz="4" w:space="0"/>
            </w:tcBorders>
            <w:tcW w:w="163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≤12</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269"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≤15</w:t>
            </w:r>
            <w:r/>
          </w:p>
        </w:tc>
        <w:tc>
          <w:tcPr>
            <w:tcBorders>
              <w:top w:val="single" w:color="auto" w:sz="4" w:space="0"/>
              <w:left w:val="single" w:color="auto" w:sz="4" w:space="0"/>
              <w:bottom w:val="single" w:color="auto" w:sz="4" w:space="0"/>
              <w:right w:val="single" w:color="auto" w:sz="4" w:space="0"/>
            </w:tcBorders>
            <w:tcW w:w="162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≤2.0</w:t>
            </w:r>
            <w:r/>
          </w:p>
        </w:tc>
        <w:tc>
          <w:tcPr>
            <w:tcBorders>
              <w:top w:val="single" w:color="auto" w:sz="4" w:space="0"/>
              <w:left w:val="single" w:color="auto" w:sz="4" w:space="0"/>
              <w:bottom w:val="single" w:color="auto" w:sz="4" w:space="0"/>
              <w:right w:val="single" w:color="auto" w:sz="4" w:space="0"/>
            </w:tcBorders>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≤8</w:t>
            </w:r>
            <w:r/>
          </w:p>
        </w:tc>
      </w:tr>
    </w:tbl>
    <w:p>
      <w:pPr>
        <w:ind w:left="80"/>
        <w:jc w:val="left"/>
        <w:spacing w:before="78"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附件</w:t>
      </w: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1.2</w:t>
      </w: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公厕卫生保洁质量控制指标</w:t>
      </w:r>
      <w:r/>
    </w:p>
    <w:tbl>
      <w:tblPr>
        <w:tblStyle w:val="1065"/>
        <w:tblW w:w="9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2367"/>
        <w:gridCol w:w="2240"/>
        <w:gridCol w:w="2012"/>
        <w:gridCol w:w="2454"/>
      </w:tblGrid>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项目</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一类公厕</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二类公厕</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三类公厕</w:t>
            </w:r>
            <w:r/>
          </w:p>
        </w:tc>
      </w:tr>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纸片（块）</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r>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烟蒂（个）</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r>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粪迹（处）</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r>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痰迹（处）</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≤1</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r>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窗格积灰</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微</w:t>
            </w:r>
            <w:r/>
          </w:p>
        </w:tc>
      </w:tr>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臭味（级）</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≤0</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水厕≤1</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水厕≤2、非水厕≤3</w:t>
            </w:r>
            <w:r/>
          </w:p>
        </w:tc>
      </w:tr>
      <w:tr>
        <w:trPr>
          <w:jc w:val="center"/>
          <w:trHeight w:val="510"/>
        </w:trPr>
        <w:tc>
          <w:tcPr>
            <w:tcW w:w="2367"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苍蝇（只）</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454"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水厕＜3、非水厕≤5</w:t>
            </w:r>
            <w:r/>
          </w:p>
        </w:tc>
      </w:tr>
      <w:tr>
        <w:trPr>
          <w:jc w:val="center"/>
          <w:trHeight w:val="510"/>
        </w:trPr>
        <w:tc>
          <w:tcPr>
            <w:tcW w:w="2367" w:type="dxa"/>
            <w:vAlign w:val="center"/>
            <w:textDirection w:val="lrTb"/>
            <w:noWrap w:val="false"/>
          </w:tcPr>
          <w:p>
            <w:pPr>
              <w:pStyle w:val="1066"/>
              <w:ind w:left="114"/>
              <w:jc w:val="center"/>
              <w:spacing w:before="129"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蛛网</w:t>
            </w:r>
            <w:r/>
          </w:p>
        </w:tc>
        <w:tc>
          <w:tcPr>
            <w:tcW w:w="2240"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012"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无</w:t>
            </w:r>
            <w:r/>
          </w:p>
        </w:tc>
        <w:tc>
          <w:tcPr>
            <w:tcW w:w="2454" w:type="dxa"/>
            <w:vAlign w:val="center"/>
            <w:textDirection w:val="lrTb"/>
            <w:noWrap w:val="false"/>
          </w:tcPr>
          <w:p>
            <w:pPr>
              <w:pStyle w:val="1066"/>
              <w:ind w:left="1321"/>
              <w:spacing w:before="129"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无</w:t>
            </w:r>
            <w:r/>
          </w:p>
        </w:tc>
      </w:tr>
    </w:tbl>
    <w:p>
      <w:pPr>
        <w:jc w:val="lef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jc w:val="left"/>
        <w:spacing w:before="120" w:line="360" w:lineRule="auto"/>
        <w:widowControl/>
        <w:rPr>
          <w:rFonts w:hint="eastAsia" w:ascii="宋体" w:hAnsi="宋体" w:cs="宋体"/>
          <w:color w:val="000000" w:themeColor="text1"/>
          <w:sz w:val="24"/>
          <w:szCs w:val="24"/>
          <w:highlight w:val="none"/>
          <w:lang w:bidi="ar"/>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附件</w:t>
      </w:r>
      <w:r>
        <w:rPr>
          <w:rFonts w:hint="eastAsia" w:ascii="宋体" w:hAnsi="宋体" w:cs="宋体"/>
          <w:b/>
          <w:bCs/>
          <w:color w:val="000000" w:themeColor="text1"/>
          <w:sz w:val="24"/>
          <w:szCs w:val="24"/>
          <w:highlight w:val="none"/>
          <w14:textFill>
            <w14:solidFill>
              <w14:schemeClr w14:val="tx1"/>
            </w14:solidFill>
          </w14:textFill>
        </w:rPr>
        <w:t xml:space="preserve">1.3</w:t>
      </w:r>
      <w:r>
        <w:rPr>
          <w:rFonts w:ascii="宋体" w:hAnsi="宋体" w:cs="宋体"/>
          <w:b/>
          <w:bCs/>
          <w:color w:val="000000" w:themeColor="text1"/>
          <w:sz w:val="24"/>
          <w:szCs w:val="24"/>
          <w:highlight w:val="none"/>
          <w14:textFill>
            <w14:solidFill>
              <w14:schemeClr w14:val="tx1"/>
            </w14:solidFill>
          </w14:textFill>
        </w:rPr>
        <w:t xml:space="preserve">人员配置要求</w:t>
      </w:r>
      <w:r/>
    </w:p>
    <w:tbl>
      <w:tblPr>
        <w:tblStyle w:val="1065"/>
        <w:tblW w:w="9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78"/>
        <w:gridCol w:w="5128"/>
        <w:gridCol w:w="1336"/>
        <w:gridCol w:w="1535"/>
      </w:tblGrid>
      <w:tr>
        <w:trPr>
          <w:jc w:val="center"/>
          <w:trHeight w:val="510"/>
        </w:trPr>
        <w:tc>
          <w:tcPr>
            <w:gridSpan w:val="4"/>
            <w:tcW w:w="9077" w:type="dxa"/>
            <w:vAlign w:val="center"/>
            <w:textDirection w:val="lrTb"/>
            <w:noWrap w:val="false"/>
          </w:tcPr>
          <w:p>
            <w:pPr>
              <w:ind w:left="1461"/>
              <w:jc w:val="left"/>
              <w:spacing w:before="90"/>
              <w:rPr>
                <w:rFonts w:hint="eastAsia"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大新镇区、新镇区及新湖公园保洁人员配置明细表</w:t>
            </w:r>
            <w:r/>
          </w:p>
        </w:tc>
      </w:tr>
      <w:tr>
        <w:trPr>
          <w:jc w:val="center"/>
          <w:trHeight w:val="510"/>
        </w:trPr>
        <w:tc>
          <w:tcPr>
            <w:tcW w:w="1078" w:type="dxa"/>
            <w:vAlign w:val="center"/>
            <w:textDirection w:val="lrTb"/>
            <w:noWrap w:val="false"/>
          </w:tcPr>
          <w:p>
            <w:pPr>
              <w:jc w:val="center"/>
              <w:widowControl/>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序号</w:t>
            </w:r>
            <w:r/>
          </w:p>
        </w:tc>
        <w:tc>
          <w:tcPr>
            <w:tcW w:w="5128" w:type="dxa"/>
            <w:vAlign w:val="center"/>
            <w:textDirection w:val="lrTb"/>
            <w:noWrap w:val="false"/>
          </w:tcPr>
          <w:p>
            <w:pPr>
              <w:jc w:val="center"/>
              <w:widowControl/>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路段</w:t>
            </w:r>
            <w:r/>
          </w:p>
        </w:tc>
        <w:tc>
          <w:tcPr>
            <w:tcW w:w="1336" w:type="dxa"/>
            <w:vAlign w:val="center"/>
            <w:textDirection w:val="lrTb"/>
            <w:noWrap w:val="false"/>
          </w:tcPr>
          <w:p>
            <w:pPr>
              <w:ind w:hanging="240"/>
              <w:jc w:val="center"/>
              <w:widowControl/>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保洁人数</w:t>
            </w:r>
            <w:r/>
          </w:p>
        </w:tc>
        <w:tc>
          <w:tcPr>
            <w:tcW w:w="1535" w:type="dxa"/>
            <w:vAlign w:val="center"/>
            <w:textDirection w:val="lrTb"/>
            <w:noWrap w:val="false"/>
          </w:tcPr>
          <w:p>
            <w:pPr>
              <w:jc w:val="center"/>
              <w:widowControl/>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备注</w:t>
            </w:r>
            <w:r/>
          </w:p>
        </w:tc>
      </w:tr>
      <w:tr>
        <w:trPr>
          <w:jc w:val="center"/>
          <w:trHeight w:val="510"/>
        </w:trPr>
        <w:tc>
          <w:tcPr>
            <w:gridSpan w:val="4"/>
            <w:shd w:val="clear" w:color="auto" w:fill="dce6f2" w:themeFill="accent1" w:themeFillTint="32"/>
            <w:tcW w:w="9077" w:type="dxa"/>
            <w:vAlign w:val="center"/>
            <w:textDirection w:val="lrTb"/>
            <w:noWrap w:val="false"/>
          </w:tcPr>
          <w:p>
            <w:pPr>
              <w:jc w:val="center"/>
              <w:widowControl/>
              <w:rPr>
                <w:rFonts w:ascii="Arial" w:hAnsi="Arial" w:eastAsia="Arial" w:cs="Arial"/>
                <w:color w:val="000000" w:themeColor="text1"/>
                <w:szCs w:val="21"/>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一、镇区环卫（5</w:t>
            </w:r>
            <w:r>
              <w:rPr>
                <w:rFonts w:hint="eastAsia" w:ascii="宋体" w:hAnsi="宋体" w:cs="宋体"/>
                <w:b/>
                <w:bCs/>
                <w:color w:val="000000" w:themeColor="text1"/>
                <w:sz w:val="24"/>
                <w:szCs w:val="24"/>
                <w:highlight w:val="none"/>
                <w14:textFill>
                  <w14:solidFill>
                    <w14:schemeClr w14:val="tx1"/>
                  </w14:solidFill>
                </w14:textFill>
              </w:rPr>
              <w:t xml:space="preserve">6</w:t>
            </w:r>
            <w:r>
              <w:rPr>
                <w:rFonts w:ascii="宋体" w:hAnsi="宋体" w:cs="宋体"/>
                <w:b/>
                <w:bCs/>
                <w:color w:val="000000" w:themeColor="text1"/>
                <w:sz w:val="24"/>
                <w:szCs w:val="24"/>
                <w:highlight w:val="none"/>
                <w:lang w:eastAsia="en-US"/>
                <w14:textFill>
                  <w14:solidFill>
                    <w14:schemeClr w14:val="tx1"/>
                  </w14:solidFill>
                </w14:textFill>
              </w:rPr>
              <w:t xml:space="preserve">人）</w:t>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5128" w:type="dxa"/>
            <w:vAlign w:val="center"/>
            <w:textDirection w:val="lrTb"/>
            <w:noWrap w:val="false"/>
          </w:tcPr>
          <w:p>
            <w:pPr>
              <w:ind w:left="2203"/>
              <w:jc w:val="left"/>
              <w:spacing w:before="115"/>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平北路</w:t>
            </w:r>
            <w:r/>
          </w:p>
        </w:tc>
        <w:tc>
          <w:tcPr>
            <w:tcW w:w="1336" w:type="dxa"/>
            <w:vAlign w:val="center"/>
            <w:textDirection w:val="lrTb"/>
            <w:noWrap w:val="false"/>
          </w:tcPr>
          <w:p>
            <w:pPr>
              <w:ind w:left="491"/>
              <w:jc w:val="left"/>
              <w:spacing w:before="116"/>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6</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5128" w:type="dxa"/>
            <w:vAlign w:val="center"/>
            <w:textDirection w:val="lrTb"/>
            <w:noWrap w:val="false"/>
          </w:tcPr>
          <w:p>
            <w:pPr>
              <w:ind w:left="2204"/>
              <w:jc w:val="left"/>
              <w:spacing w:before="116"/>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三八路</w:t>
            </w:r>
            <w:r/>
          </w:p>
        </w:tc>
        <w:tc>
          <w:tcPr>
            <w:tcW w:w="1336" w:type="dxa"/>
            <w:vAlign w:val="center"/>
            <w:textDirection w:val="lrTb"/>
            <w:noWrap w:val="false"/>
          </w:tcPr>
          <w:p>
            <w:pPr>
              <w:ind w:left="492"/>
              <w:jc w:val="left"/>
              <w:spacing w:before="117"/>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3</w:t>
            </w:r>
            <w:r/>
          </w:p>
        </w:tc>
        <w:tc>
          <w:tcPr>
            <w:tcW w:w="5128" w:type="dxa"/>
            <w:vAlign w:val="center"/>
            <w:textDirection w:val="lrTb"/>
            <w:noWrap w:val="false"/>
          </w:tcPr>
          <w:p>
            <w:pPr>
              <w:ind w:left="1423" w:firstLine="720"/>
              <w:jc w:val="left"/>
              <w:spacing w:before="119"/>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府前路</w:t>
            </w:r>
            <w:r/>
          </w:p>
        </w:tc>
        <w:tc>
          <w:tcPr>
            <w:tcW w:w="1336" w:type="dxa"/>
            <w:vAlign w:val="center"/>
            <w:textDirection w:val="lrTb"/>
            <w:noWrap w:val="false"/>
          </w:tcPr>
          <w:p>
            <w:pPr>
              <w:ind w:left="491"/>
              <w:jc w:val="left"/>
              <w:spacing w:before="11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4</w:t>
            </w:r>
            <w:r/>
          </w:p>
        </w:tc>
        <w:tc>
          <w:tcPr>
            <w:tcW w:w="5128" w:type="dxa"/>
            <w:vAlign w:val="center"/>
            <w:textDirection w:val="lrTb"/>
            <w:noWrap w:val="false"/>
          </w:tcPr>
          <w:p>
            <w:pPr>
              <w:ind w:left="2203"/>
              <w:jc w:val="left"/>
              <w:spacing w:before="117"/>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平凝路</w:t>
            </w:r>
            <w:r/>
          </w:p>
        </w:tc>
        <w:tc>
          <w:tcPr>
            <w:tcW w:w="1336" w:type="dxa"/>
            <w:vAlign w:val="center"/>
            <w:textDirection w:val="lrTb"/>
            <w:noWrap w:val="false"/>
          </w:tcPr>
          <w:p>
            <w:pPr>
              <w:ind w:left="494"/>
              <w:jc w:val="left"/>
              <w:spacing w:before="11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5</w:t>
            </w:r>
            <w:r/>
          </w:p>
        </w:tc>
        <w:tc>
          <w:tcPr>
            <w:tcW w:w="5128" w:type="dxa"/>
            <w:vAlign w:val="center"/>
            <w:textDirection w:val="lrTb"/>
            <w:noWrap w:val="false"/>
          </w:tcPr>
          <w:p>
            <w:pPr>
              <w:ind w:left="2206"/>
              <w:jc w:val="left"/>
              <w:spacing w:before="117"/>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永凝路</w:t>
            </w:r>
            <w:r/>
          </w:p>
        </w:tc>
        <w:tc>
          <w:tcPr>
            <w:tcW w:w="1336" w:type="dxa"/>
            <w:vAlign w:val="center"/>
            <w:textDirection w:val="lrTb"/>
            <w:noWrap w:val="false"/>
          </w:tcPr>
          <w:p>
            <w:pPr>
              <w:ind w:left="489"/>
              <w:jc w:val="left"/>
              <w:spacing w:before="118"/>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4</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6</w:t>
            </w:r>
            <w:r/>
          </w:p>
        </w:tc>
        <w:tc>
          <w:tcPr>
            <w:tcW w:w="5128" w:type="dxa"/>
            <w:vAlign w:val="center"/>
            <w:textDirection w:val="lrTb"/>
            <w:noWrap w:val="false"/>
          </w:tcPr>
          <w:p>
            <w:pPr>
              <w:ind w:left="2205"/>
              <w:jc w:val="left"/>
              <w:spacing w:before="121"/>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新东路</w:t>
            </w:r>
            <w:r/>
          </w:p>
        </w:tc>
        <w:tc>
          <w:tcPr>
            <w:tcW w:w="1336" w:type="dxa"/>
            <w:vAlign w:val="center"/>
            <w:textDirection w:val="lrTb"/>
            <w:noWrap w:val="false"/>
          </w:tcPr>
          <w:p>
            <w:pPr>
              <w:ind w:left="492"/>
              <w:jc w:val="left"/>
              <w:spacing w:before="122"/>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7</w:t>
            </w:r>
            <w:r/>
          </w:p>
        </w:tc>
        <w:tc>
          <w:tcPr>
            <w:tcW w:w="5128" w:type="dxa"/>
            <w:vAlign w:val="center"/>
            <w:textDirection w:val="lrTb"/>
            <w:noWrap w:val="false"/>
          </w:tcPr>
          <w:p>
            <w:pPr>
              <w:ind w:left="2328"/>
              <w:jc w:val="left"/>
              <w:spacing w:before="119"/>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老街</w:t>
            </w:r>
            <w:r/>
          </w:p>
        </w:tc>
        <w:tc>
          <w:tcPr>
            <w:tcW w:w="1336" w:type="dxa"/>
            <w:vAlign w:val="center"/>
            <w:textDirection w:val="lrTb"/>
            <w:noWrap w:val="false"/>
          </w:tcPr>
          <w:p>
            <w:pPr>
              <w:ind w:left="492"/>
              <w:jc w:val="left"/>
              <w:spacing w:before="120"/>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8</w:t>
            </w:r>
            <w:r/>
          </w:p>
        </w:tc>
        <w:tc>
          <w:tcPr>
            <w:tcW w:w="5128" w:type="dxa"/>
            <w:vAlign w:val="center"/>
            <w:textDirection w:val="lrTb"/>
            <w:noWrap w:val="false"/>
          </w:tcPr>
          <w:p>
            <w:pPr>
              <w:ind w:left="2214"/>
              <w:jc w:val="left"/>
              <w:spacing w:before="119"/>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育才弄</w:t>
            </w:r>
            <w:r/>
          </w:p>
        </w:tc>
        <w:tc>
          <w:tcPr>
            <w:tcW w:w="1336" w:type="dxa"/>
            <w:vAlign w:val="center"/>
            <w:textDirection w:val="lrTb"/>
            <w:noWrap w:val="false"/>
          </w:tcPr>
          <w:p>
            <w:pPr>
              <w:ind w:left="507"/>
              <w:jc w:val="left"/>
              <w:spacing w:before="120"/>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9</w:t>
            </w:r>
            <w:r/>
          </w:p>
        </w:tc>
        <w:tc>
          <w:tcPr>
            <w:tcW w:w="5128" w:type="dxa"/>
            <w:vAlign w:val="center"/>
            <w:textDirection w:val="lrTb"/>
            <w:noWrap w:val="false"/>
          </w:tcPr>
          <w:p>
            <w:pPr>
              <w:ind w:left="1245"/>
              <w:jc w:val="left"/>
              <w:spacing w:before="183"/>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新茂花园（开放式小区）</w:t>
            </w:r>
            <w:r/>
          </w:p>
        </w:tc>
        <w:tc>
          <w:tcPr>
            <w:tcW w:w="1336" w:type="dxa"/>
            <w:vAlign w:val="center"/>
            <w:textDirection w:val="lrTb"/>
            <w:noWrap w:val="false"/>
          </w:tcPr>
          <w:p>
            <w:pPr>
              <w:ind w:left="492"/>
              <w:jc w:val="left"/>
              <w:spacing w:before="184"/>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10</w:t>
            </w:r>
            <w:r/>
          </w:p>
        </w:tc>
        <w:tc>
          <w:tcPr>
            <w:tcW w:w="5128" w:type="dxa"/>
            <w:vAlign w:val="center"/>
            <w:textDirection w:val="lrTb"/>
            <w:noWrap w:val="false"/>
          </w:tcPr>
          <w:p>
            <w:pPr>
              <w:ind w:left="1243"/>
              <w:jc w:val="left"/>
              <w:spacing w:before="213"/>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府前新村（开放式小区）</w:t>
            </w:r>
            <w:r/>
          </w:p>
        </w:tc>
        <w:tc>
          <w:tcPr>
            <w:tcW w:w="1336" w:type="dxa"/>
            <w:vAlign w:val="center"/>
            <w:textDirection w:val="lrTb"/>
            <w:noWrap w:val="false"/>
          </w:tcPr>
          <w:p>
            <w:pPr>
              <w:ind w:left="507"/>
              <w:jc w:val="left"/>
              <w:spacing w:before="213"/>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11</w:t>
            </w:r>
            <w:r/>
          </w:p>
        </w:tc>
        <w:tc>
          <w:tcPr>
            <w:tcW w:w="5128" w:type="dxa"/>
            <w:vAlign w:val="center"/>
            <w:textDirection w:val="lrTb"/>
            <w:noWrap w:val="false"/>
          </w:tcPr>
          <w:p>
            <w:pPr>
              <w:ind w:left="1246"/>
              <w:jc w:val="left"/>
              <w:spacing w:before="303"/>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锦江新村（开放式小区）</w:t>
            </w:r>
            <w:r/>
          </w:p>
        </w:tc>
        <w:tc>
          <w:tcPr>
            <w:tcW w:w="1336" w:type="dxa"/>
            <w:vAlign w:val="center"/>
            <w:textDirection w:val="lrTb"/>
            <w:noWrap w:val="false"/>
          </w:tcPr>
          <w:p>
            <w:pPr>
              <w:ind w:left="507"/>
              <w:jc w:val="left"/>
              <w:spacing w:before="303"/>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12</w:t>
            </w:r>
            <w:r/>
          </w:p>
        </w:tc>
        <w:tc>
          <w:tcPr>
            <w:tcW w:w="5128" w:type="dxa"/>
            <w:vAlign w:val="center"/>
            <w:textDirection w:val="lrTb"/>
            <w:noWrap w:val="false"/>
          </w:tcPr>
          <w:p>
            <w:pPr>
              <w:ind w:left="1264"/>
              <w:jc w:val="left"/>
              <w:spacing w:before="196"/>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园艺新村（开放式小区）</w:t>
            </w:r>
            <w:r/>
          </w:p>
        </w:tc>
        <w:tc>
          <w:tcPr>
            <w:tcW w:w="1336" w:type="dxa"/>
            <w:vAlign w:val="center"/>
            <w:textDirection w:val="lrTb"/>
            <w:noWrap w:val="false"/>
          </w:tcPr>
          <w:p>
            <w:pPr>
              <w:ind w:left="507"/>
              <w:jc w:val="left"/>
              <w:spacing w:before="197"/>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13</w:t>
            </w:r>
            <w:r/>
          </w:p>
        </w:tc>
        <w:tc>
          <w:tcPr>
            <w:tcW w:w="5128" w:type="dxa"/>
            <w:vAlign w:val="center"/>
            <w:textDirection w:val="lrTb"/>
            <w:noWrap w:val="false"/>
          </w:tcPr>
          <w:p>
            <w:pPr>
              <w:ind w:left="529"/>
              <w:jc w:val="left"/>
              <w:spacing w:before="197"/>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商贸街场地、楼道、停车场及开放小区</w:t>
            </w:r>
            <w:r/>
          </w:p>
        </w:tc>
        <w:tc>
          <w:tcPr>
            <w:tcW w:w="1336" w:type="dxa"/>
            <w:vAlign w:val="center"/>
            <w:textDirection w:val="lrTb"/>
            <w:noWrap w:val="false"/>
          </w:tcPr>
          <w:p>
            <w:pPr>
              <w:ind w:left="492"/>
              <w:jc w:val="left"/>
              <w:spacing w:before="197"/>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14</w:t>
            </w:r>
            <w:r/>
          </w:p>
        </w:tc>
        <w:tc>
          <w:tcPr>
            <w:tcW w:w="5128" w:type="dxa"/>
            <w:vAlign w:val="center"/>
            <w:textDirection w:val="lrTb"/>
            <w:noWrap w:val="false"/>
          </w:tcPr>
          <w:p>
            <w:pPr>
              <w:ind w:left="2207"/>
              <w:jc w:val="left"/>
              <w:spacing w:before="196"/>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星光路</w:t>
            </w:r>
            <w:r/>
          </w:p>
        </w:tc>
        <w:tc>
          <w:tcPr>
            <w:tcW w:w="1336" w:type="dxa"/>
            <w:vAlign w:val="center"/>
            <w:textDirection w:val="lrTb"/>
            <w:noWrap w:val="false"/>
          </w:tcPr>
          <w:p>
            <w:pPr>
              <w:ind w:left="492"/>
              <w:jc w:val="left"/>
              <w:spacing w:before="196"/>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15</w:t>
            </w:r>
            <w:r/>
          </w:p>
        </w:tc>
        <w:tc>
          <w:tcPr>
            <w:tcW w:w="5128" w:type="dxa"/>
            <w:vAlign w:val="center"/>
            <w:textDirection w:val="lrTb"/>
            <w:noWrap w:val="false"/>
          </w:tcPr>
          <w:p>
            <w:pPr>
              <w:ind w:left="2205"/>
              <w:jc w:val="left"/>
              <w:spacing w:before="129"/>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新业路</w:t>
            </w:r>
            <w:r/>
          </w:p>
        </w:tc>
        <w:tc>
          <w:tcPr>
            <w:tcW w:w="1336" w:type="dxa"/>
            <w:vAlign w:val="center"/>
            <w:textDirection w:val="lrTb"/>
            <w:noWrap w:val="false"/>
          </w:tcPr>
          <w:p>
            <w:pPr>
              <w:ind w:left="507"/>
              <w:jc w:val="left"/>
              <w:spacing w:before="130"/>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16</w:t>
            </w:r>
            <w:r/>
          </w:p>
        </w:tc>
        <w:tc>
          <w:tcPr>
            <w:tcW w:w="5128" w:type="dxa"/>
            <w:vAlign w:val="center"/>
            <w:textDirection w:val="lrTb"/>
            <w:noWrap w:val="false"/>
          </w:tcPr>
          <w:p>
            <w:pPr>
              <w:ind w:left="2205"/>
              <w:jc w:val="left"/>
              <w:spacing w:before="127"/>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新浦路</w:t>
            </w:r>
            <w:r/>
          </w:p>
        </w:tc>
        <w:tc>
          <w:tcPr>
            <w:tcW w:w="1336" w:type="dxa"/>
            <w:vAlign w:val="center"/>
            <w:textDirection w:val="lrTb"/>
            <w:noWrap w:val="false"/>
          </w:tcPr>
          <w:p>
            <w:pPr>
              <w:ind w:left="507"/>
              <w:jc w:val="left"/>
              <w:spacing w:before="128"/>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17</w:t>
            </w:r>
            <w:r/>
          </w:p>
        </w:tc>
        <w:tc>
          <w:tcPr>
            <w:tcW w:w="5128" w:type="dxa"/>
            <w:vAlign w:val="center"/>
            <w:textDirection w:val="lrTb"/>
            <w:noWrap w:val="false"/>
          </w:tcPr>
          <w:p>
            <w:pPr>
              <w:ind w:left="2203"/>
              <w:jc w:val="left"/>
              <w:spacing w:before="128"/>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海坝路</w:t>
            </w:r>
            <w:r/>
          </w:p>
        </w:tc>
        <w:tc>
          <w:tcPr>
            <w:tcW w:w="1336" w:type="dxa"/>
            <w:vAlign w:val="center"/>
            <w:textDirection w:val="lrTb"/>
            <w:noWrap w:val="false"/>
          </w:tcPr>
          <w:p>
            <w:pPr>
              <w:ind w:left="494"/>
              <w:jc w:val="left"/>
              <w:spacing w:before="12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18</w:t>
            </w:r>
            <w:r/>
          </w:p>
        </w:tc>
        <w:tc>
          <w:tcPr>
            <w:tcW w:w="5128" w:type="dxa"/>
            <w:vAlign w:val="center"/>
            <w:textDirection w:val="lrTb"/>
            <w:noWrap w:val="false"/>
          </w:tcPr>
          <w:p>
            <w:pPr>
              <w:ind w:left="2205"/>
              <w:jc w:val="left"/>
              <w:spacing w:before="131"/>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新乐路</w:t>
            </w:r>
            <w:r/>
          </w:p>
        </w:tc>
        <w:tc>
          <w:tcPr>
            <w:tcW w:w="1336" w:type="dxa"/>
            <w:vAlign w:val="center"/>
            <w:textDirection w:val="lrTb"/>
            <w:noWrap w:val="false"/>
          </w:tcPr>
          <w:p>
            <w:pPr>
              <w:ind w:left="492"/>
              <w:jc w:val="left"/>
              <w:spacing w:before="132"/>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19</w:t>
            </w:r>
            <w:r/>
          </w:p>
        </w:tc>
        <w:tc>
          <w:tcPr>
            <w:tcW w:w="5128" w:type="dxa"/>
            <w:vAlign w:val="center"/>
            <w:textDirection w:val="lrTb"/>
            <w:noWrap w:val="false"/>
          </w:tcPr>
          <w:p>
            <w:pPr>
              <w:ind w:left="2206"/>
              <w:jc w:val="left"/>
              <w:spacing w:before="129"/>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锦江路</w:t>
            </w:r>
            <w:r/>
          </w:p>
        </w:tc>
        <w:tc>
          <w:tcPr>
            <w:tcW w:w="1336" w:type="dxa"/>
            <w:vAlign w:val="center"/>
            <w:textDirection w:val="lrTb"/>
            <w:noWrap w:val="false"/>
          </w:tcPr>
          <w:p>
            <w:pPr>
              <w:ind w:left="492"/>
              <w:jc w:val="left"/>
              <w:spacing w:before="130"/>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20</w:t>
            </w:r>
            <w:r/>
          </w:p>
        </w:tc>
        <w:tc>
          <w:tcPr>
            <w:tcW w:w="5128" w:type="dxa"/>
            <w:vAlign w:val="center"/>
            <w:textDirection w:val="lrTb"/>
            <w:noWrap w:val="false"/>
          </w:tcPr>
          <w:p>
            <w:pPr>
              <w:ind w:left="2206"/>
              <w:jc w:val="left"/>
              <w:spacing w:before="12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新东路西段</w:t>
            </w:r>
            <w:r/>
          </w:p>
        </w:tc>
        <w:tc>
          <w:tcPr>
            <w:tcW w:w="1336" w:type="dxa"/>
            <w:vAlign w:val="center"/>
            <w:textDirection w:val="lrTb"/>
            <w:noWrap w:val="false"/>
          </w:tcPr>
          <w:p>
            <w:pPr>
              <w:ind w:left="492"/>
              <w:jc w:val="left"/>
              <w:spacing w:before="13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21</w:t>
            </w:r>
            <w:r/>
          </w:p>
        </w:tc>
        <w:tc>
          <w:tcPr>
            <w:tcW w:w="5128" w:type="dxa"/>
            <w:vAlign w:val="center"/>
            <w:textDirection w:val="lrTb"/>
            <w:noWrap w:val="false"/>
          </w:tcPr>
          <w:p>
            <w:pPr>
              <w:ind w:firstLine="2400"/>
              <w:jc w:val="left"/>
              <w:spacing w:before="129"/>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兴联路</w:t>
            </w:r>
            <w:r/>
          </w:p>
        </w:tc>
        <w:tc>
          <w:tcPr>
            <w:tcW w:w="1336" w:type="dxa"/>
            <w:vAlign w:val="center"/>
            <w:textDirection w:val="lrTb"/>
            <w:noWrap w:val="false"/>
          </w:tcPr>
          <w:p>
            <w:pPr>
              <w:ind w:left="492"/>
              <w:jc w:val="left"/>
              <w:spacing w:before="13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535" w:type="dxa"/>
            <w:vAlign w:val="center"/>
            <w:textDirection w:val="lrTb"/>
            <w:noWrap w:val="false"/>
          </w:tcPr>
          <w:p>
            <w:pPr>
              <w:jc w:val="left"/>
              <w:widowControl/>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rPr>
                <w:rFonts w:hint="eastAsia" w:ascii="宋体" w:hAnsi="宋体" w:cs="宋体"/>
                <w:color w:val="000000" w:themeColor="text1"/>
                <w:sz w:val="24"/>
                <w:szCs w:val="24"/>
                <w:highlight w:val="none"/>
                <w:lang w:eastAsia="en-US"/>
                <w14:textFill>
                  <w14:solidFill>
                    <w14:schemeClr w14:val="tx1"/>
                  </w14:solidFill>
                </w14:textFill>
              </w:rPr>
              <w:t xml:space="preserve">2</w:t>
            </w:r>
            <w:r/>
          </w:p>
        </w:tc>
        <w:tc>
          <w:tcPr>
            <w:tcW w:w="5128" w:type="dxa"/>
            <w:textDirection w:val="lrTb"/>
            <w:noWrap w:val="false"/>
          </w:tcPr>
          <w:p>
            <w:pPr>
              <w:ind w:left="1843"/>
              <w:jc w:val="left"/>
              <w:spacing w:before="119" w:line="22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滨江菜场</w:t>
            </w:r>
            <w:r>
              <w:rPr>
                <w:rFonts w:hint="eastAsia" w:ascii="宋体" w:hAnsi="宋体" w:cs="宋体"/>
                <w:color w:val="000000" w:themeColor="text1"/>
                <w:sz w:val="24"/>
                <w:szCs w:val="24"/>
                <w:highlight w:val="none"/>
                <w14:textFill>
                  <w14:solidFill>
                    <w14:schemeClr w14:val="tx1"/>
                  </w14:solidFill>
                </w14:textFill>
              </w:rPr>
              <w:t xml:space="preserve">外围道路</w:t>
            </w:r>
            <w:r>
              <w:rPr>
                <w:rFonts w:ascii="宋体" w:hAnsi="宋体" w:cs="宋体"/>
                <w:color w:val="000000" w:themeColor="text1"/>
                <w:sz w:val="24"/>
                <w:szCs w:val="24"/>
                <w:highlight w:val="none"/>
                <w14:textFill>
                  <w14:solidFill>
                    <w14:schemeClr w14:val="tx1"/>
                  </w14:solidFill>
                </w14:textFill>
              </w:rPr>
              <w:t xml:space="preserve">保洁</w:t>
            </w:r>
            <w:r/>
          </w:p>
        </w:tc>
        <w:tc>
          <w:tcPr>
            <w:tcW w:w="1336" w:type="dxa"/>
            <w:textDirection w:val="lrTb"/>
            <w:noWrap w:val="false"/>
          </w:tcPr>
          <w:p>
            <w:pPr>
              <w:ind w:left="494"/>
              <w:jc w:val="left"/>
              <w:spacing w:before="11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535" w:type="dxa"/>
            <w:textDirection w:val="lrTb"/>
            <w:noWrap w:val="false"/>
          </w:tcPr>
          <w:p>
            <w:pPr>
              <w:ind w:left="289"/>
              <w:jc w:val="left"/>
              <w:spacing w:before="119"/>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hint="eastAsia" w:ascii="宋体" w:hAnsi="宋体" w:cs="宋体"/>
                <w:color w:val="000000" w:themeColor="text1"/>
                <w:sz w:val="24"/>
                <w:szCs w:val="24"/>
                <w:highlight w:val="none"/>
                <w:lang w:eastAsia="en-US"/>
                <w14:textFill>
                  <w14:solidFill>
                    <w14:schemeClr w14:val="tx1"/>
                  </w14:solidFill>
                </w14:textFill>
              </w:rPr>
              <w:t xml:space="preserve">23</w:t>
            </w:r>
            <w:r/>
          </w:p>
        </w:tc>
        <w:tc>
          <w:tcPr>
            <w:tcW w:w="5128" w:type="dxa"/>
            <w:textDirection w:val="lrTb"/>
            <w:noWrap w:val="false"/>
          </w:tcPr>
          <w:p>
            <w:pPr>
              <w:jc w:val="center"/>
              <w:spacing w:before="119" w:line="220" w:lineRule="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滨江菜场南北广场及商户门口</w:t>
            </w:r>
            <w:r>
              <w:rPr>
                <w:rFonts w:hint="eastAsia" w:ascii="宋体" w:hAnsi="宋体" w:cs="宋体"/>
                <w:color w:val="000000" w:themeColor="text1"/>
                <w:sz w:val="24"/>
                <w:szCs w:val="24"/>
                <w:highlight w:val="none"/>
                <w:lang w:val="en-US" w:eastAsia="zh-CN"/>
                <w14:textFill>
                  <w14:solidFill>
                    <w14:schemeClr w14:val="tx1"/>
                  </w14:solidFill>
                </w14:textFill>
              </w:rPr>
              <w:t xml:space="preserve">和垃圾收集房</w:t>
            </w:r>
            <w:r/>
          </w:p>
        </w:tc>
        <w:tc>
          <w:tcPr>
            <w:tcW w:w="1336" w:type="dxa"/>
            <w:textDirection w:val="lrTb"/>
            <w:noWrap w:val="false"/>
          </w:tcPr>
          <w:p>
            <w:pPr>
              <w:ind w:left="494"/>
              <w:jc w:val="left"/>
              <w:spacing w:before="119"/>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535" w:type="dxa"/>
            <w:textDirection w:val="lrTb"/>
            <w:noWrap w:val="false"/>
          </w:tcPr>
          <w:p>
            <w:pPr>
              <w:ind w:left="289"/>
              <w:jc w:val="left"/>
              <w:spacing w:before="119"/>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rPr>
                <w:rFonts w:hint="eastAsia" w:ascii="宋体" w:hAnsi="宋体" w:cs="宋体"/>
                <w:color w:val="000000" w:themeColor="text1"/>
                <w:sz w:val="24"/>
                <w:szCs w:val="24"/>
                <w:highlight w:val="none"/>
                <w:lang w:eastAsia="en-US"/>
                <w14:textFill>
                  <w14:solidFill>
                    <w14:schemeClr w14:val="tx1"/>
                  </w14:solidFill>
                </w14:textFill>
              </w:rPr>
              <w:t xml:space="preserve">4</w:t>
            </w:r>
            <w:r/>
          </w:p>
        </w:tc>
        <w:tc>
          <w:tcPr>
            <w:tcW w:w="5128" w:type="dxa"/>
            <w:textDirection w:val="lrTb"/>
            <w:noWrap w:val="false"/>
          </w:tcPr>
          <w:p>
            <w:pPr>
              <w:ind w:left="1851"/>
              <w:jc w:val="left"/>
              <w:spacing w:before="115" w:line="22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市民广场保洁</w:t>
            </w:r>
            <w:r/>
          </w:p>
        </w:tc>
        <w:tc>
          <w:tcPr>
            <w:tcW w:w="1336" w:type="dxa"/>
            <w:textDirection w:val="lrTb"/>
            <w:noWrap w:val="false"/>
          </w:tcPr>
          <w:p>
            <w:pPr>
              <w:ind w:left="507"/>
              <w:jc w:val="left"/>
              <w:spacing w:before="116" w:line="241"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1535" w:type="dxa"/>
            <w:textDirection w:val="lrTb"/>
            <w:noWrap w:val="false"/>
          </w:tcPr>
          <w:p>
            <w:pPr>
              <w:ind w:left="289"/>
              <w:jc w:val="left"/>
              <w:spacing w:before="116" w:line="241" w:lineRule="auto"/>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rPr>
                <w:rFonts w:hint="eastAsia" w:ascii="宋体" w:hAnsi="宋体" w:cs="宋体"/>
                <w:color w:val="000000" w:themeColor="text1"/>
                <w:sz w:val="24"/>
                <w:szCs w:val="24"/>
                <w:highlight w:val="none"/>
                <w:lang w:eastAsia="en-US"/>
                <w14:textFill>
                  <w14:solidFill>
                    <w14:schemeClr w14:val="tx1"/>
                  </w14:solidFill>
                </w14:textFill>
              </w:rPr>
              <w:t xml:space="preserve">5</w:t>
            </w:r>
            <w:r/>
          </w:p>
        </w:tc>
        <w:tc>
          <w:tcPr>
            <w:tcW w:w="5128" w:type="dxa"/>
            <w:textDirection w:val="lrTb"/>
            <w:noWrap w:val="false"/>
          </w:tcPr>
          <w:p>
            <w:pPr>
              <w:ind w:left="1123"/>
              <w:jc w:val="left"/>
              <w:spacing w:before="217" w:line="22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平凝路、海坝路中夜班保洁</w:t>
            </w:r>
            <w:r/>
          </w:p>
        </w:tc>
        <w:tc>
          <w:tcPr>
            <w:tcW w:w="1336" w:type="dxa"/>
            <w:textDirection w:val="lrTb"/>
            <w:noWrap w:val="false"/>
          </w:tcPr>
          <w:p>
            <w:pPr>
              <w:ind w:left="494"/>
              <w:jc w:val="left"/>
              <w:spacing w:before="217"/>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1535" w:type="dxa"/>
            <w:textDirection w:val="lrTb"/>
            <w:noWrap w:val="false"/>
          </w:tcPr>
          <w:p>
            <w:pPr>
              <w:ind w:left="289"/>
              <w:jc w:val="left"/>
              <w:spacing w:before="218" w:line="241" w:lineRule="auto"/>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1078" w:type="dxa"/>
            <w:textDirection w:val="lrTb"/>
            <w:noWrap w:val="false"/>
          </w:tcPr>
          <w:p>
            <w:pPr>
              <w:jc w:val="center"/>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W w:w="5128" w:type="dxa"/>
            <w:textDirection w:val="lrTb"/>
            <w:noWrap w:val="false"/>
          </w:tcPr>
          <w:p>
            <w:pPr>
              <w:ind w:left="2331"/>
              <w:jc w:val="left"/>
              <w:spacing w:before="117" w:line="221"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小计</w:t>
            </w:r>
            <w:r/>
          </w:p>
        </w:tc>
        <w:tc>
          <w:tcPr>
            <w:tcW w:w="1336" w:type="dxa"/>
            <w:textDirection w:val="lrTb"/>
            <w:noWrap w:val="false"/>
          </w:tcPr>
          <w:p>
            <w:pPr>
              <w:ind w:left="434"/>
              <w:jc w:val="left"/>
              <w:spacing w:before="117"/>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5</w:t>
            </w:r>
            <w:r>
              <w:rPr>
                <w:rFonts w:hint="eastAsia" w:ascii="宋体" w:hAnsi="宋体" w:cs="宋体"/>
                <w:b/>
                <w:bCs/>
                <w:color w:val="000000" w:themeColor="text1"/>
                <w:sz w:val="24"/>
                <w:szCs w:val="24"/>
                <w:highlight w:val="none"/>
                <w14:textFill>
                  <w14:solidFill>
                    <w14:schemeClr w14:val="tx1"/>
                  </w14:solidFill>
                </w14:textFill>
              </w:rPr>
              <w:t xml:space="preserve">6</w:t>
            </w:r>
            <w:r/>
          </w:p>
        </w:tc>
        <w:tc>
          <w:tcPr>
            <w:tcW w:w="1535" w:type="dxa"/>
            <w:textDirection w:val="lrTb"/>
            <w:noWrap w:val="false"/>
          </w:tcPr>
          <w:p>
            <w:pPr>
              <w:jc w:val="left"/>
              <w:widowControl/>
              <w:rPr>
                <w:rFonts w:ascii="Arial" w:hAnsi="Arial" w:eastAsia="Arial" w:cs="Arial"/>
                <w:b/>
                <w:bCs/>
                <w:color w:val="000000" w:themeColor="text1"/>
                <w:szCs w:val="21"/>
                <w:highlight w:val="none"/>
                <w:lang w:eastAsia="en-US"/>
                <w14:textFill>
                  <w14:solidFill>
                    <w14:schemeClr w14:val="tx1"/>
                  </w14:solidFill>
                </w14:textFill>
              </w:rPr>
            </w:pPr>
            <w:r>
              <w:rPr>
                <w:rFonts w:ascii="Arial" w:hAnsi="Arial" w:eastAsia="Arial" w:cs="Arial"/>
                <w:b/>
                <w:bCs/>
                <w:color w:val="000000" w:themeColor="text1"/>
                <w:szCs w:val="21"/>
                <w:highlight w:val="none"/>
                <w:lang w:eastAsia="en-US"/>
                <w14:textFill>
                  <w14:solidFill>
                    <w14:schemeClr w14:val="tx1"/>
                  </w14:solidFill>
                </w14:textFill>
              </w:rPr>
            </w:r>
            <w:r/>
          </w:p>
        </w:tc>
      </w:tr>
      <w:tr>
        <w:trPr>
          <w:jc w:val="center"/>
          <w:trHeight w:val="510"/>
        </w:trPr>
        <w:tc>
          <w:tcPr>
            <w:gridSpan w:val="4"/>
            <w:shd w:val="clear" w:color="auto" w:fill="dce6f2" w:themeFill="accent1" w:themeFillTint="32"/>
            <w:tcW w:w="9077" w:type="dxa"/>
            <w:vAlign w:val="center"/>
            <w:textDirection w:val="lrTb"/>
            <w:noWrap w:val="false"/>
          </w:tcPr>
          <w:p>
            <w:pPr>
              <w:jc w:val="center"/>
              <w:widowControl/>
              <w:rPr>
                <w:rFonts w:ascii="Arial" w:hAnsi="Arial" w:eastAsia="Arial" w:cs="Arial"/>
                <w:color w:val="000000" w:themeColor="text1"/>
                <w:szCs w:val="21"/>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二、新镇区（1</w:t>
            </w:r>
            <w:r>
              <w:rPr>
                <w:rFonts w:hint="eastAsia" w:ascii="宋体" w:hAnsi="宋体" w:cs="宋体"/>
                <w:b/>
                <w:bCs/>
                <w:color w:val="000000" w:themeColor="text1"/>
                <w:sz w:val="24"/>
                <w:szCs w:val="24"/>
                <w:highlight w:val="none"/>
                <w14:textFill>
                  <w14:solidFill>
                    <w14:schemeClr w14:val="tx1"/>
                  </w14:solidFill>
                </w14:textFill>
              </w:rPr>
              <w:t xml:space="preserve">2</w:t>
            </w:r>
            <w:r>
              <w:rPr>
                <w:rFonts w:ascii="宋体" w:hAnsi="宋体" w:cs="宋体"/>
                <w:b/>
                <w:bCs/>
                <w:color w:val="000000" w:themeColor="text1"/>
                <w:sz w:val="24"/>
                <w:szCs w:val="24"/>
                <w:highlight w:val="none"/>
                <w:lang w:eastAsia="en-US"/>
                <w14:textFill>
                  <w14:solidFill>
                    <w14:schemeClr w14:val="tx1"/>
                  </w14:solidFill>
                </w14:textFill>
              </w:rPr>
              <w:t xml:space="preserve">人）</w:t>
            </w:r>
            <w:r/>
          </w:p>
        </w:tc>
      </w:tr>
      <w:tr>
        <w:trPr>
          <w:jc w:val="center"/>
          <w:trHeight w:val="510"/>
        </w:trPr>
        <w:tc>
          <w:tcPr>
            <w:tcW w:w="1078" w:type="dxa"/>
            <w:vAlign w:val="center"/>
            <w:textDirection w:val="lrTb"/>
            <w:noWrap w:val="false"/>
          </w:tcPr>
          <w:p>
            <w:pPr>
              <w:pStyle w:val="1066"/>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序号</w:t>
            </w:r>
            <w:r/>
          </w:p>
        </w:tc>
        <w:tc>
          <w:tcPr>
            <w:tcW w:w="5128" w:type="dxa"/>
            <w:vAlign w:val="center"/>
            <w:textDirection w:val="lrTb"/>
            <w:noWrap w:val="false"/>
          </w:tcPr>
          <w:p>
            <w:pPr>
              <w:pStyle w:val="1066"/>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路段名称</w:t>
            </w:r>
            <w:r/>
          </w:p>
        </w:tc>
        <w:tc>
          <w:tcPr>
            <w:tcW w:w="1336" w:type="dxa"/>
            <w:vAlign w:val="center"/>
            <w:textDirection w:val="lrTb"/>
            <w:noWrap w:val="false"/>
          </w:tcPr>
          <w:p>
            <w:pPr>
              <w:pStyle w:val="1066"/>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保洁人数</w:t>
            </w:r>
            <w:r/>
          </w:p>
        </w:tc>
        <w:tc>
          <w:tcPr>
            <w:tcW w:w="1535" w:type="dxa"/>
            <w:vAlign w:val="center"/>
            <w:textDirection w:val="lrTb"/>
            <w:noWrap w:val="false"/>
          </w:tcPr>
          <w:p>
            <w:pPr>
              <w:jc w:val="center"/>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5128"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新南菜场及周边</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jc w:val="center"/>
              <w:spacing w:line="24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新湖南路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新湖中路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新湖北路及漫心公园</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实验</w:t>
            </w:r>
            <w:r>
              <w:rPr>
                <w:color w:val="000000" w:themeColor="text1"/>
                <w:highlight w:val="none"/>
                <w14:textFill>
                  <w14:solidFill>
                    <w14:schemeClr w14:val="tx1"/>
                  </w14:solidFill>
                </w14:textFill>
              </w:rPr>
              <w:t xml:space="preserve">学校及周边</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6</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新幼路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新湖东路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8</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新湖西路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国泰路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10</w:t>
            </w:r>
            <w:r/>
          </w:p>
        </w:tc>
        <w:tc>
          <w:tcPr>
            <w:tcW w:w="5128" w:type="dxa"/>
            <w:vAlign w:val="center"/>
            <w:textDirection w:val="lrTb"/>
            <w:noWrap w:val="false"/>
          </w:tcPr>
          <w:p>
            <w:pPr>
              <w:pStyle w:val="1066"/>
              <w:ind w:firstLine="240"/>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杨新公路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2</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11</w:t>
            </w:r>
            <w:r/>
          </w:p>
        </w:tc>
        <w:tc>
          <w:tcPr>
            <w:tcW w:w="5128" w:type="dxa"/>
            <w:vAlign w:val="center"/>
            <w:textDirection w:val="lrTb"/>
            <w:noWrap w:val="false"/>
          </w:tcPr>
          <w:p>
            <w:pPr>
              <w:pStyle w:val="1066"/>
              <w:ind w:firstLine="2400"/>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新悦路</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pStyle w:val="1066"/>
              <w:spacing w:line="24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tc>
        <w:tc>
          <w:tcPr>
            <w:tcW w:w="5128" w:type="dxa"/>
            <w:vAlign w:val="center"/>
            <w:textDirection w:val="lrTb"/>
            <w:noWrap w:val="false"/>
          </w:tcPr>
          <w:p>
            <w:pPr>
              <w:pStyle w:val="1066"/>
              <w:ind w:firstLine="241"/>
              <w:jc w:val="center"/>
              <w:spacing w:line="24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小计</w:t>
            </w:r>
            <w:r/>
          </w:p>
        </w:tc>
        <w:tc>
          <w:tcPr>
            <w:tcW w:w="1336" w:type="dxa"/>
            <w:vAlign w:val="center"/>
            <w:textDirection w:val="lrTb"/>
            <w:noWrap w:val="false"/>
          </w:tcPr>
          <w:p>
            <w:pPr>
              <w:pStyle w:val="1066"/>
              <w:jc w:val="center"/>
              <w:spacing w:line="24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1</w:t>
            </w:r>
            <w:r>
              <w:rPr>
                <w:rFonts w:hint="eastAsia"/>
                <w:b/>
                <w:bCs/>
                <w:color w:val="000000" w:themeColor="text1"/>
                <w:highlight w:val="none"/>
                <w:lang w:eastAsia="zh-CN"/>
                <w14:textFill>
                  <w14:solidFill>
                    <w14:schemeClr w14:val="tx1"/>
                  </w14:solidFill>
                </w14:textFill>
              </w:rPr>
              <w:t xml:space="preserve">2</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gridSpan w:val="4"/>
            <w:shd w:val="clear" w:color="auto" w:fill="dce6f2" w:themeFill="accent1" w:themeFillTint="32"/>
            <w:tcW w:w="9077" w:type="dxa"/>
            <w:vAlign w:val="center"/>
            <w:textDirection w:val="lrTb"/>
            <w:noWrap w:val="false"/>
          </w:tcPr>
          <w:p>
            <w:pPr>
              <w:pStyle w:val="1066"/>
              <w:ind w:firstLine="241"/>
              <w:jc w:val="center"/>
              <w:spacing w:before="78" w:line="240" w:lineRule="auto"/>
              <w:rPr>
                <w:rFonts w:hint="eastAsia"/>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三、新湖公园（6</w:t>
            </w:r>
            <w:r>
              <w:rPr>
                <w:rFonts w:hint="eastAsia"/>
                <w:b/>
                <w:bCs/>
                <w:color w:val="000000" w:themeColor="text1"/>
                <w:highlight w:val="none"/>
                <w:lang w:eastAsia="zh-CN"/>
                <w14:textFill>
                  <w14:solidFill>
                    <w14:schemeClr w14:val="tx1"/>
                  </w14:solidFill>
                </w14:textFill>
              </w:rPr>
              <w:t xml:space="preserve">人</w:t>
            </w:r>
            <w:r>
              <w:rPr>
                <w:b/>
                <w:bCs/>
                <w:color w:val="000000" w:themeColor="text1"/>
                <w:highlight w:val="none"/>
                <w14:textFill>
                  <w14:solidFill>
                    <w14:schemeClr w14:val="tx1"/>
                  </w14:solidFill>
                </w14:textFill>
              </w:rPr>
              <w:t xml:space="preserve">）</w:t>
            </w:r>
            <w:r/>
          </w:p>
        </w:tc>
      </w:tr>
      <w:tr>
        <w:trPr>
          <w:jc w:val="center"/>
          <w:trHeight w:val="510"/>
        </w:trPr>
        <w:tc>
          <w:tcPr>
            <w:tcW w:w="1078" w:type="dxa"/>
            <w:vAlign w:val="center"/>
            <w:textDirection w:val="lrTb"/>
            <w:noWrap w:val="false"/>
          </w:tcPr>
          <w:p>
            <w:pPr>
              <w:pStyle w:val="1066"/>
              <w:jc w:val="center"/>
              <w:spacing w:before="78" w:line="24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序号</w:t>
            </w:r>
            <w:r/>
          </w:p>
        </w:tc>
        <w:tc>
          <w:tcPr>
            <w:tcW w:w="5128" w:type="dxa"/>
            <w:vAlign w:val="center"/>
            <w:textDirection w:val="lrTb"/>
            <w:noWrap w:val="false"/>
          </w:tcPr>
          <w:p>
            <w:pPr>
              <w:pStyle w:val="1066"/>
              <w:jc w:val="center"/>
              <w:spacing w:before="78" w:line="24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路段名称</w:t>
            </w:r>
            <w:r/>
          </w:p>
        </w:tc>
        <w:tc>
          <w:tcPr>
            <w:tcW w:w="1336" w:type="dxa"/>
            <w:vAlign w:val="center"/>
            <w:textDirection w:val="lrTb"/>
            <w:noWrap w:val="false"/>
          </w:tcPr>
          <w:p>
            <w:pPr>
              <w:pStyle w:val="1066"/>
              <w:jc w:val="center"/>
              <w:spacing w:before="78" w:line="24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保洁人数</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5128"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大新湖道路保洁</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5128"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绿化保洁</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5128"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新湖广场保洁</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vAlign w:val="center"/>
            <w:textDirection w:val="lrTb"/>
            <w:noWrap w:val="false"/>
          </w:tcPr>
          <w:p>
            <w:pPr>
              <w:jc w:val="center"/>
              <w:spacing w:line="24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w:t>
            </w:r>
            <w:r/>
          </w:p>
        </w:tc>
        <w:tc>
          <w:tcPr>
            <w:tcW w:w="5128"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保洁领班兼河道保洁</w:t>
            </w:r>
            <w:r/>
          </w:p>
        </w:tc>
        <w:tc>
          <w:tcPr>
            <w:tcW w:w="1336" w:type="dxa"/>
            <w:vAlign w:val="center"/>
            <w:textDirection w:val="lrTb"/>
            <w:noWrap w:val="false"/>
          </w:tcPr>
          <w:p>
            <w:pPr>
              <w:pStyle w:val="1066"/>
              <w:jc w:val="center"/>
              <w:spacing w:line="24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35" w:type="dxa"/>
            <w:vAlign w:val="center"/>
            <w:textDirection w:val="lrTb"/>
            <w:noWrap w:val="false"/>
          </w:tcPr>
          <w:p>
            <w:pPr>
              <w:pStyle w:val="1066"/>
              <w:ind w:firstLine="240"/>
              <w:jc w:val="center"/>
              <w:spacing w:before="78" w:line="24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W w:w="5128" w:type="dxa"/>
            <w:textDirection w:val="lrTb"/>
            <w:noWrap w:val="false"/>
          </w:tcPr>
          <w:p>
            <w:pPr>
              <w:pStyle w:val="1066"/>
              <w:ind w:left="2331"/>
              <w:spacing w:before="120" w:line="221"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小计</w:t>
            </w:r>
            <w:r/>
          </w:p>
        </w:tc>
        <w:tc>
          <w:tcPr>
            <w:tcW w:w="1336" w:type="dxa"/>
            <w:vAlign w:val="center"/>
            <w:textDirection w:val="lrTb"/>
            <w:noWrap w:val="false"/>
          </w:tcPr>
          <w:p>
            <w:pPr>
              <w:pStyle w:val="1066"/>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6</w:t>
            </w:r>
            <w:r/>
          </w:p>
        </w:tc>
        <w:tc>
          <w:tcPr>
            <w:tcW w:w="1535" w:type="dxa"/>
            <w:textDirection w:val="lrTb"/>
            <w:noWrap w:val="false"/>
          </w:tcPr>
          <w:p>
            <w:pPr>
              <w:pStyle w:val="1066"/>
              <w:ind w:firstLine="240"/>
              <w:jc w:val="center"/>
              <w:spacing w:before="78" w:line="24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jc w:val="center"/>
          <w:trHeight w:val="510"/>
        </w:trPr>
        <w:tc>
          <w:tcPr>
            <w:tcW w:w="1078" w:type="dxa"/>
            <w:textDirection w:val="lrTb"/>
            <w:noWrap w:val="false"/>
          </w:tcPr>
          <w:p>
            <w:pPr>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5128" w:type="dxa"/>
            <w:textDirection w:val="lrTb"/>
            <w:noWrap w:val="false"/>
          </w:tcPr>
          <w:p>
            <w:pPr>
              <w:pStyle w:val="1066"/>
              <w:ind w:firstLine="240"/>
              <w:jc w:val="center"/>
              <w:spacing w:before="78" w:line="24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336" w:type="dxa"/>
            <w:textDirection w:val="lrTb"/>
            <w:noWrap w:val="false"/>
          </w:tcPr>
          <w:p>
            <w:pPr>
              <w:pStyle w:val="1066"/>
              <w:ind w:firstLine="240"/>
              <w:jc w:val="center"/>
              <w:spacing w:before="78" w:line="24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c>
          <w:tcPr>
            <w:tcW w:w="1535" w:type="dxa"/>
            <w:textDirection w:val="lrTb"/>
            <w:noWrap w:val="false"/>
          </w:tcPr>
          <w:p>
            <w:pPr>
              <w:pStyle w:val="1066"/>
              <w:ind w:firstLine="240"/>
              <w:jc w:val="center"/>
              <w:spacing w:before="78" w:line="24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bl>
    <w:p>
      <w:pPr>
        <w:jc w:val="center"/>
        <w:spacing w:before="120" w:line="360" w:lineRule="auto"/>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四、</w:t>
      </w:r>
      <w:r>
        <w:rPr>
          <w:rFonts w:ascii="宋体" w:hAnsi="宋体" w:cs="宋体"/>
          <w:b/>
          <w:bCs/>
          <w:color w:val="000000" w:themeColor="text1"/>
          <w:sz w:val="24"/>
          <w:szCs w:val="24"/>
          <w:highlight w:val="none"/>
          <w14:textFill>
            <w14:solidFill>
              <w14:schemeClr w14:val="tx1"/>
            </w14:solidFill>
          </w14:textFill>
        </w:rPr>
        <w:t xml:space="preserve">大新镇区范围公厕保洁人员岗位分布</w:t>
      </w:r>
      <w:r/>
    </w:p>
    <w:p>
      <w:pPr>
        <w:jc w:val="left"/>
        <w:spacing w:line="75" w:lineRule="exact"/>
        <w:widowControl/>
        <w:rPr>
          <w:rFonts w:ascii="Arial" w:hAnsi="Arial" w:eastAsia="Arial" w:cs="Arial"/>
          <w:color w:val="000000" w:themeColor="text1"/>
          <w:szCs w:val="21"/>
          <w:highlight w:val="none"/>
          <w14:textFill>
            <w14:solidFill>
              <w14:schemeClr w14:val="tx1"/>
            </w14:solidFill>
          </w14:textFill>
        </w:rPr>
      </w:pPr>
      <w:r>
        <w:rPr>
          <w:rFonts w:ascii="Arial" w:hAnsi="Arial" w:eastAsia="Arial" w:cs="Arial"/>
          <w:color w:val="000000" w:themeColor="text1"/>
          <w:szCs w:val="21"/>
          <w:highlight w:val="none"/>
          <w14:textFill>
            <w14:solidFill>
              <w14:schemeClr w14:val="tx1"/>
            </w14:solidFill>
          </w14:textFill>
        </w:rPr>
      </w:r>
      <w:r/>
    </w:p>
    <w:tbl>
      <w:tblPr>
        <w:tblStyle w:val="1065"/>
        <w:tblW w:w="9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75"/>
        <w:gridCol w:w="5181"/>
        <w:gridCol w:w="1323"/>
        <w:gridCol w:w="1543"/>
      </w:tblGrid>
      <w:tr>
        <w:trPr>
          <w:jc w:val="center"/>
          <w:trHeight w:val="510"/>
        </w:trPr>
        <w:tc>
          <w:tcPr>
            <w:tcW w:w="975" w:type="dxa"/>
            <w:vAlign w:val="center"/>
            <w:textDirection w:val="lrTb"/>
            <w:noWrap w:val="false"/>
          </w:tcPr>
          <w:p>
            <w:pPr>
              <w:ind w:left="166"/>
              <w:jc w:val="left"/>
              <w:rPr>
                <w:rFonts w:hint="eastAsia" w:ascii="宋体" w:hAnsi="宋体" w:cs="宋体"/>
                <w:b/>
                <w:bCs/>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序号</w:t>
            </w:r>
            <w:r/>
          </w:p>
        </w:tc>
        <w:tc>
          <w:tcPr>
            <w:tcW w:w="5181" w:type="dxa"/>
            <w:vAlign w:val="center"/>
            <w:textDirection w:val="lrTb"/>
            <w:noWrap w:val="false"/>
          </w:tcPr>
          <w:p>
            <w:pPr>
              <w:ind w:left="2084"/>
              <w:jc w:val="left"/>
              <w:rPr>
                <w:rFonts w:hint="eastAsia" w:ascii="宋体" w:hAnsi="宋体" w:cs="宋体"/>
                <w:b/>
                <w:bCs/>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所在位置</w:t>
            </w:r>
            <w:r/>
          </w:p>
        </w:tc>
        <w:tc>
          <w:tcPr>
            <w:tcW w:w="1323" w:type="dxa"/>
            <w:vAlign w:val="center"/>
            <w:textDirection w:val="lrTb"/>
            <w:noWrap w:val="false"/>
          </w:tcPr>
          <w:p>
            <w:pPr>
              <w:ind w:left="431" w:right="174" w:hanging="240"/>
              <w:jc w:val="left"/>
              <w:rPr>
                <w:rFonts w:hint="eastAsia" w:ascii="宋体" w:hAnsi="宋体" w:cs="宋体"/>
                <w:b/>
                <w:bCs/>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保洁人数</w:t>
            </w:r>
            <w:r/>
          </w:p>
        </w:tc>
        <w:tc>
          <w:tcPr>
            <w:tcW w:w="1543" w:type="dxa"/>
            <w:vAlign w:val="center"/>
            <w:textDirection w:val="lrTb"/>
            <w:noWrap w:val="false"/>
          </w:tcPr>
          <w:p>
            <w:pPr>
              <w:ind w:right="174"/>
              <w:jc w:val="center"/>
              <w:rPr>
                <w:b/>
                <w:bCs/>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w:t>
            </w:r>
            <w:r/>
          </w:p>
        </w:tc>
      </w:tr>
      <w:tr>
        <w:trPr>
          <w:jc w:val="center"/>
          <w:trHeight w:val="510"/>
        </w:trPr>
        <w:tc>
          <w:tcPr>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1</w:t>
            </w:r>
            <w:r/>
          </w:p>
        </w:tc>
        <w:tc>
          <w:tcPr>
            <w:tcW w:w="5181" w:type="dxa"/>
            <w:vAlign w:val="center"/>
            <w:textDirection w:val="lrTb"/>
            <w:noWrap w:val="false"/>
          </w:tcPr>
          <w:p>
            <w:pPr>
              <w:ind w:left="104" w:firstLine="240"/>
              <w:jc w:val="left"/>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好口福公厕、镇政府对面公厕</w:t>
            </w:r>
            <w:r/>
          </w:p>
        </w:tc>
        <w:tc>
          <w:tcPr>
            <w:tcW w:w="1323" w:type="dxa"/>
            <w:vAlign w:val="center"/>
            <w:textDirection w:val="lrTb"/>
            <w:noWrap w:val="false"/>
          </w:tcPr>
          <w:p>
            <w:pPr>
              <w:pStyle w:val="1066"/>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43" w:type="dxa"/>
            <w:vAlign w:val="center"/>
            <w:textDirection w:val="lrTb"/>
            <w:noWrap w:val="false"/>
          </w:tcPr>
          <w:p>
            <w:pPr>
              <w:jc w:val="center"/>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2</w:t>
            </w:r>
            <w:r/>
          </w:p>
        </w:tc>
        <w:tc>
          <w:tcPr>
            <w:tcW w:w="5181" w:type="dxa"/>
            <w:vAlign w:val="center"/>
            <w:textDirection w:val="lrTb"/>
            <w:noWrap w:val="false"/>
          </w:tcPr>
          <w:p>
            <w:pPr>
              <w:ind w:left="364"/>
              <w:jc w:val="left"/>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邮局对面公厕、松山桥公厕、人</w:t>
            </w:r>
            <w:r>
              <w:rPr>
                <w:rFonts w:hint="eastAsia" w:ascii="宋体" w:hAnsi="宋体" w:cs="宋体"/>
                <w:color w:val="000000" w:themeColor="text1"/>
                <w:sz w:val="24"/>
                <w:szCs w:val="24"/>
                <w:highlight w:val="none"/>
                <w14:textFill>
                  <w14:solidFill>
                    <w14:schemeClr w14:val="tx1"/>
                  </w14:solidFill>
                </w14:textFill>
              </w:rPr>
              <w:t xml:space="preserve">民桥公厕</w:t>
            </w:r>
            <w:r/>
          </w:p>
        </w:tc>
        <w:tc>
          <w:tcPr>
            <w:tcW w:w="1323" w:type="dxa"/>
            <w:vAlign w:val="center"/>
            <w:textDirection w:val="lrTb"/>
            <w:noWrap w:val="false"/>
          </w:tcPr>
          <w:p>
            <w:pPr>
              <w:pStyle w:val="1066"/>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43" w:type="dxa"/>
            <w:vAlign w:val="center"/>
            <w:textDirection w:val="lrTb"/>
            <w:noWrap w:val="false"/>
          </w:tcPr>
          <w:p>
            <w:pPr>
              <w:jc w:val="center"/>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3</w:t>
            </w:r>
            <w:r/>
          </w:p>
        </w:tc>
        <w:tc>
          <w:tcPr>
            <w:tcW w:w="5181" w:type="dxa"/>
            <w:vAlign w:val="center"/>
            <w:textDirection w:val="lrTb"/>
            <w:noWrap w:val="false"/>
          </w:tcPr>
          <w:p>
            <w:pPr>
              <w:ind w:left="1607"/>
              <w:jc w:val="left"/>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大新湖</w:t>
            </w:r>
            <w:r>
              <w:rPr>
                <w:rFonts w:hint="eastAsia" w:ascii="宋体" w:hAnsi="宋体" w:cs="宋体"/>
                <w:color w:val="000000" w:themeColor="text1"/>
                <w:sz w:val="24"/>
                <w:szCs w:val="24"/>
                <w:highlight w:val="none"/>
                <w14:textFill>
                  <w14:solidFill>
                    <w14:schemeClr w14:val="tx1"/>
                  </w14:solidFill>
                </w14:textFill>
              </w:rPr>
              <w:t xml:space="preserve">1号、2号</w:t>
            </w:r>
            <w:r>
              <w:rPr>
                <w:rFonts w:ascii="宋体" w:hAnsi="宋体" w:cs="宋体"/>
                <w:color w:val="000000" w:themeColor="text1"/>
                <w:sz w:val="24"/>
                <w:szCs w:val="24"/>
                <w:highlight w:val="none"/>
                <w:lang w:eastAsia="en-US"/>
                <w14:textFill>
                  <w14:solidFill>
                    <w14:schemeClr w14:val="tx1"/>
                  </w14:solidFill>
                </w14:textFill>
              </w:rPr>
              <w:t xml:space="preserve">公厕</w:t>
            </w:r>
            <w:r/>
          </w:p>
        </w:tc>
        <w:tc>
          <w:tcPr>
            <w:tcW w:w="1323" w:type="dxa"/>
            <w:vAlign w:val="center"/>
            <w:textDirection w:val="lrTb"/>
            <w:noWrap w:val="false"/>
          </w:tcPr>
          <w:p>
            <w:pPr>
              <w:pStyle w:val="1066"/>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43" w:type="dxa"/>
            <w:vAlign w:val="center"/>
            <w:textDirection w:val="lrTb"/>
            <w:noWrap w:val="false"/>
          </w:tcPr>
          <w:p>
            <w:pPr>
              <w:jc w:val="center"/>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4</w:t>
            </w:r>
            <w:r/>
          </w:p>
        </w:tc>
        <w:tc>
          <w:tcPr>
            <w:tcW w:w="5181" w:type="dxa"/>
            <w:vAlign w:val="center"/>
            <w:textDirection w:val="lrTb"/>
            <w:noWrap w:val="false"/>
          </w:tcPr>
          <w:p>
            <w:pPr>
              <w:ind w:firstLine="24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市民</w:t>
            </w:r>
            <w:r>
              <w:rPr>
                <w:rFonts w:ascii="宋体" w:hAnsi="宋体" w:cs="宋体"/>
                <w:color w:val="000000" w:themeColor="text1"/>
                <w:sz w:val="24"/>
                <w:szCs w:val="24"/>
                <w:highlight w:val="none"/>
                <w14:textFill>
                  <w14:solidFill>
                    <w14:schemeClr w14:val="tx1"/>
                  </w14:solidFill>
                </w14:textFill>
              </w:rPr>
              <w:t xml:space="preserve">广场公</w:t>
            </w:r>
            <w:r>
              <w:rPr>
                <w:rFonts w:hint="eastAsia" w:ascii="宋体" w:hAnsi="宋体" w:cs="宋体"/>
                <w:color w:val="000000" w:themeColor="text1"/>
                <w:sz w:val="24"/>
                <w:szCs w:val="24"/>
                <w:highlight w:val="none"/>
                <w14:textFill>
                  <w14:solidFill>
                    <w14:schemeClr w14:val="tx1"/>
                  </w14:solidFill>
                </w14:textFill>
              </w:rPr>
              <w:t xml:space="preserve">厕、</w:t>
            </w:r>
            <w:r>
              <w:rPr>
                <w:rFonts w:ascii="宋体" w:hAnsi="宋体" w:cs="宋体"/>
                <w:color w:val="000000" w:themeColor="text1"/>
                <w:sz w:val="24"/>
                <w:szCs w:val="24"/>
                <w:highlight w:val="none"/>
                <w14:textFill>
                  <w14:solidFill>
                    <w14:schemeClr w14:val="tx1"/>
                  </w14:solidFill>
                </w14:textFill>
              </w:rPr>
              <w:t xml:space="preserve">老街公厕、锦江路公厕</w:t>
            </w:r>
            <w:r/>
          </w:p>
        </w:tc>
        <w:tc>
          <w:tcPr>
            <w:tcW w:w="1323" w:type="dxa"/>
            <w:vAlign w:val="center"/>
            <w:textDirection w:val="lrTb"/>
            <w:noWrap w:val="false"/>
          </w:tcPr>
          <w:p>
            <w:pPr>
              <w:pStyle w:val="1066"/>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43" w:type="dxa"/>
            <w:vAlign w:val="center"/>
            <w:textDirection w:val="lrTb"/>
            <w:noWrap w:val="false"/>
          </w:tcPr>
          <w:p>
            <w:pPr>
              <w:jc w:val="center"/>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975" w:type="dxa"/>
            <w:vAlign w:val="center"/>
            <w:textDirection w:val="lrTb"/>
            <w:noWrap w:val="false"/>
          </w:tcPr>
          <w:p>
            <w:pPr>
              <w:jc w:val="center"/>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5</w:t>
            </w:r>
            <w:r/>
          </w:p>
        </w:tc>
        <w:tc>
          <w:tcPr>
            <w:tcW w:w="5181" w:type="dxa"/>
            <w:vAlign w:val="center"/>
            <w:textDirection w:val="lrTb"/>
            <w:noWrap w:val="false"/>
          </w:tcPr>
          <w:p>
            <w:pPr>
              <w:ind w:firstLine="24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商贸街公厕、新茂花园公厕</w:t>
            </w:r>
            <w:r/>
          </w:p>
        </w:tc>
        <w:tc>
          <w:tcPr>
            <w:tcW w:w="1323" w:type="dxa"/>
            <w:vAlign w:val="center"/>
            <w:textDirection w:val="lrTb"/>
            <w:noWrap w:val="false"/>
          </w:tcPr>
          <w:p>
            <w:pPr>
              <w:pStyle w:val="1066"/>
              <w:jc w:val="center"/>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w:t>
            </w:r>
            <w:r/>
          </w:p>
        </w:tc>
        <w:tc>
          <w:tcPr>
            <w:tcW w:w="1543" w:type="dxa"/>
            <w:vAlign w:val="center"/>
            <w:textDirection w:val="lrTb"/>
            <w:noWrap w:val="false"/>
          </w:tcPr>
          <w:p>
            <w:pPr>
              <w:jc w:val="center"/>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r>
        <w:trPr>
          <w:jc w:val="center"/>
          <w:trHeight w:val="510"/>
        </w:trPr>
        <w:tc>
          <w:tcPr>
            <w:tcW w:w="975" w:type="dxa"/>
            <w:vAlign w:val="center"/>
            <w:textDirection w:val="lrTb"/>
            <w:noWrap w:val="false"/>
          </w:tcPr>
          <w:p>
            <w:pPr>
              <w:jc w:val="center"/>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c>
          <w:tcPr>
            <w:tcW w:w="5181" w:type="dxa"/>
            <w:vAlign w:val="center"/>
            <w:textDirection w:val="lrTb"/>
            <w:noWrap w:val="false"/>
          </w:tcPr>
          <w:p>
            <w:pPr>
              <w:ind w:left="2331"/>
              <w:jc w:val="left"/>
              <w:rPr>
                <w:rFonts w:hint="eastAsia" w:ascii="宋体" w:hAnsi="宋体" w:cs="宋体"/>
                <w:b/>
                <w:bCs/>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小计</w:t>
            </w:r>
            <w:r/>
          </w:p>
        </w:tc>
        <w:tc>
          <w:tcPr>
            <w:tcW w:w="1323" w:type="dxa"/>
            <w:vAlign w:val="center"/>
            <w:textDirection w:val="lrTb"/>
            <w:noWrap w:val="false"/>
          </w:tcPr>
          <w:p>
            <w:pPr>
              <w:pStyle w:val="1066"/>
              <w:jc w:val="center"/>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5</w:t>
            </w:r>
            <w:r/>
          </w:p>
        </w:tc>
        <w:tc>
          <w:tcPr>
            <w:tcW w:w="1543" w:type="dxa"/>
            <w:vAlign w:val="center"/>
            <w:textDirection w:val="lrTb"/>
            <w:noWrap w:val="false"/>
          </w:tcPr>
          <w:p>
            <w:pPr>
              <w:jc w:val="center"/>
              <w:rPr>
                <w:rFonts w:ascii="Arial" w:hAnsi="Arial" w:eastAsia="Arial" w:cs="Arial"/>
                <w:color w:val="000000" w:themeColor="text1"/>
                <w:szCs w:val="21"/>
                <w:highlight w:val="none"/>
                <w:lang w:eastAsia="en-US"/>
                <w14:textFill>
                  <w14:solidFill>
                    <w14:schemeClr w14:val="tx1"/>
                  </w14:solidFill>
                </w14:textFill>
              </w:rPr>
            </w:pPr>
            <w:r>
              <w:rPr>
                <w:rFonts w:ascii="Arial" w:hAnsi="Arial" w:eastAsia="Arial" w:cs="Arial"/>
                <w:color w:val="000000" w:themeColor="text1"/>
                <w:szCs w:val="21"/>
                <w:highlight w:val="none"/>
                <w:lang w:eastAsia="en-US"/>
                <w14:textFill>
                  <w14:solidFill>
                    <w14:schemeClr w14:val="tx1"/>
                  </w14:solidFill>
                </w14:textFill>
              </w:rPr>
            </w:r>
            <w:r/>
          </w:p>
        </w:tc>
      </w:tr>
    </w:tbl>
    <w:p>
      <w:pPr>
        <w:ind w:left="40"/>
        <w:jc w:val="left"/>
        <w:spacing w:line="360" w:lineRule="auto"/>
        <w:widowControl/>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b/>
          <w:bCs/>
          <w:color w:val="000000" w:themeColor="text1"/>
          <w:sz w:val="24"/>
          <w:szCs w:val="24"/>
          <w:highlight w:val="none"/>
          <w:lang w:eastAsia="en-US"/>
          <w14:textFill>
            <w14:solidFill>
              <w14:schemeClr w14:val="tx1"/>
            </w14:solidFill>
          </w14:textFill>
        </w:rPr>
        <w:t xml:space="preserve">附件</w:t>
      </w:r>
      <w:r>
        <w:rPr>
          <w:rFonts w:ascii="宋体" w:hAnsi="宋体" w:cs="宋体"/>
          <w:color w:val="000000" w:themeColor="text1"/>
          <w:sz w:val="24"/>
          <w:szCs w:val="24"/>
          <w:highlight w:val="none"/>
          <w:lang w:eastAsia="en-US"/>
          <w14:textFill>
            <w14:solidFill>
              <w14:schemeClr w14:val="tx1"/>
            </w14:solidFill>
          </w14:textFill>
        </w:rPr>
        <w:t xml:space="preserve"> </w:t>
      </w:r>
      <w:r>
        <w:rPr>
          <w:rFonts w:ascii="宋体" w:hAnsi="宋体" w:cs="宋体"/>
          <w:b/>
          <w:bCs/>
          <w:color w:val="000000" w:themeColor="text1"/>
          <w:sz w:val="24"/>
          <w:szCs w:val="24"/>
          <w:highlight w:val="none"/>
          <w:lang w:eastAsia="en-US"/>
          <w14:textFill>
            <w14:solidFill>
              <w14:schemeClr w14:val="tx1"/>
            </w14:solidFill>
          </w14:textFill>
        </w:rPr>
        <w:t xml:space="preserve">1.4</w:t>
      </w:r>
      <w:r>
        <w:rPr>
          <w:rFonts w:ascii="宋体" w:hAnsi="宋体" w:cs="宋体"/>
          <w:color w:val="000000" w:themeColor="text1"/>
          <w:sz w:val="24"/>
          <w:szCs w:val="24"/>
          <w:highlight w:val="none"/>
          <w:lang w:eastAsia="en-US"/>
          <w14:textFill>
            <w14:solidFill>
              <w14:schemeClr w14:val="tx1"/>
            </w14:solidFill>
          </w14:textFill>
        </w:rPr>
        <w:t xml:space="preserve"> </w:t>
      </w:r>
      <w:r>
        <w:rPr>
          <w:rFonts w:ascii="宋体" w:hAnsi="宋体" w:cs="宋体"/>
          <w:b/>
          <w:bCs/>
          <w:color w:val="000000" w:themeColor="text1"/>
          <w:sz w:val="24"/>
          <w:szCs w:val="24"/>
          <w:highlight w:val="none"/>
          <w:lang w:eastAsia="en-US"/>
          <w14:textFill>
            <w14:solidFill>
              <w14:schemeClr w14:val="tx1"/>
            </w14:solidFill>
          </w14:textFill>
        </w:rPr>
        <w:t xml:space="preserve">承诺书</w:t>
      </w:r>
      <w:r/>
    </w:p>
    <w:p>
      <w:pPr>
        <w:ind w:left="500"/>
        <w:jc w:val="left"/>
        <w:spacing w:line="360" w:lineRule="auto"/>
        <w:widowControl/>
        <w:rPr>
          <w:rFonts w:hint="eastAsia" w:ascii="宋体" w:hAnsi="宋体" w:cs="宋体"/>
          <w:color w:val="000000" w:themeColor="text1"/>
          <w:sz w:val="24"/>
          <w:szCs w:val="24"/>
          <w:highlight w:val="none"/>
          <w:lang w:eastAsia="en-US"/>
          <w14:textFill>
            <w14:solidFill>
              <w14:schemeClr w14:val="tx1"/>
            </w14:solidFill>
          </w14:textFill>
        </w:rPr>
      </w:pPr>
      <w:r>
        <w:rPr>
          <w:rFonts w:ascii="宋体" w:hAnsi="宋体" w:cs="宋体"/>
          <w:color w:val="000000" w:themeColor="text1"/>
          <w:sz w:val="24"/>
          <w:szCs w:val="24"/>
          <w:highlight w:val="none"/>
          <w:lang w:eastAsia="en-US"/>
          <w14:textFill>
            <w14:solidFill>
              <w14:schemeClr w14:val="tx1"/>
            </w14:solidFill>
          </w14:textFill>
        </w:rPr>
        <w:t xml:space="preserve">表格一</w:t>
      </w:r>
      <w:r/>
    </w:p>
    <w:tbl>
      <w:tblPr>
        <w:tblStyle w:val="1065"/>
        <w:tblW w:w="9081"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081"/>
      </w:tblGrid>
      <w:tr>
        <w:trPr>
          <w:jc w:val="center"/>
          <w:trHeight w:val="3926"/>
        </w:trPr>
        <w:tc>
          <w:tcPr>
            <w:tcW w:w="9081" w:type="dxa"/>
            <w:textDirection w:val="lrTb"/>
            <w:noWrap w:val="false"/>
          </w:tcPr>
          <w:p>
            <w:pPr>
              <w:ind w:left="4370"/>
              <w:jc w:val="left"/>
              <w:spacing w:before="40"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承诺书</w:t>
            </w:r>
            <w:r/>
          </w:p>
          <w:p>
            <w:pPr>
              <w:ind w:left="112" w:right="104" w:firstLine="480"/>
              <w:jc w:val="left"/>
              <w:spacing w:before="27"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我单位郑重声明：我单位在投标文件中承诺使用的车辆以及设备，在本项目区域内专车专用。</w:t>
            </w:r>
            <w:r>
              <w:rPr>
                <w:rFonts w:hint="eastAsia" w:ascii="宋体" w:hAnsi="宋体" w:cs="宋体"/>
                <w:b/>
                <w:bCs/>
                <w:color w:val="000000" w:themeColor="text1"/>
                <w:sz w:val="24"/>
                <w:szCs w:val="24"/>
                <w:highlight w:val="none"/>
                <w14:textFill>
                  <w14:solidFill>
                    <w14:schemeClr w14:val="tx1"/>
                  </w14:solidFill>
                </w14:textFill>
              </w:rPr>
              <w:t xml:space="preserve">收到中标通知书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
                <w:bCs/>
                <w:color w:val="000000" w:themeColor="text1"/>
                <w:sz w:val="24"/>
                <w:szCs w:val="24"/>
                <w:highlight w:val="none"/>
                <w14:textFill>
                  <w14:solidFill>
                    <w14:schemeClr w14:val="tx1"/>
                  </w14:solidFill>
                </w14:textFill>
              </w:rPr>
              <w:t xml:space="preserve">日内，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人员、</w:t>
            </w:r>
            <w:r>
              <w:rPr>
                <w:rFonts w:ascii="宋体" w:hAnsi="宋体" w:cs="宋体"/>
                <w:b/>
                <w:bCs/>
                <w:color w:val="000000" w:themeColor="text1"/>
                <w:sz w:val="24"/>
                <w:szCs w:val="24"/>
                <w:highlight w:val="none"/>
                <w14:textFill>
                  <w14:solidFill>
                    <w14:schemeClr w14:val="tx1"/>
                  </w14:solidFill>
                </w14:textFill>
              </w:rPr>
              <w:t xml:space="preserve">车辆以及设备全部配备到位。</w:t>
            </w:r>
            <w:r/>
          </w:p>
          <w:p>
            <w:pPr>
              <w:ind w:left="112" w:right="104" w:firstLine="8357"/>
              <w:jc w:val="right"/>
              <w:spacing w:before="1" w:line="241"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104"/>
              <w:jc w:val="right"/>
              <w:spacing w:before="1" w:line="241"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104" w:firstLine="5760"/>
              <w:jc w:val="right"/>
              <w:spacing w:before="1"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right="104" w:firstLine="5760"/>
              <w:spacing w:before="1"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投标单位（加盖公章）：</w:t>
            </w:r>
            <w:r/>
          </w:p>
        </w:tc>
      </w:tr>
    </w:tbl>
    <w:p>
      <w:pPr>
        <w:jc w:val="left"/>
        <w:widowControl/>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附件</w:t>
      </w: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1.5</w:t>
      </w:r>
      <w:r>
        <w:rPr>
          <w:rFonts w:ascii="宋体" w:hAnsi="宋体" w:cs="宋体"/>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考核细则</w:t>
      </w:r>
      <w:r/>
    </w:p>
    <w:p>
      <w:pPr>
        <w:jc w:val="left"/>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大新镇区环卫一体化保洁服务项目考核细则</w:t>
      </w:r>
      <w:r>
        <w:rPr>
          <w:rFonts w:hint="eastAsia" w:ascii="宋体" w:hAnsi="宋体" w:cs="宋体"/>
          <w:b/>
          <w:bCs/>
          <w:color w:val="000000" w:themeColor="text1"/>
          <w:sz w:val="24"/>
          <w:szCs w:val="24"/>
          <w:highlight w:val="none"/>
          <w14:textFill>
            <w14:solidFill>
              <w14:schemeClr w14:val="tx1"/>
            </w14:solidFill>
          </w14:textFill>
        </w:rPr>
        <w:t xml:space="preserve">（100分）</w:t>
      </w:r>
      <w:r/>
    </w:p>
    <w:tbl>
      <w:tblPr>
        <w:tblStyle w:val="802"/>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683"/>
        <w:gridCol w:w="7797"/>
      </w:tblGrid>
      <w:tr>
        <w:trPr>
          <w:jc w:val="center"/>
          <w:trHeight w:val="442"/>
        </w:trPr>
        <w:tc>
          <w:tcPr>
            <w:tcMar>
              <w:left w:w="-1" w:type="dxa"/>
              <w:top w:w="-1" w:type="dxa"/>
              <w:right w:w="-1" w:type="dxa"/>
              <w:bottom w:w="-1" w:type="dxa"/>
            </w:tcMar>
            <w:tcW w:w="545" w:type="dxa"/>
            <w:vAlign w:val="center"/>
            <w:vMerge w:val="restart"/>
            <w:textDirection w:val="lrTb"/>
            <w:noWrap w:val="false"/>
          </w:tcPr>
          <w:p>
            <w:pPr>
              <w:jc w:val="center"/>
              <w:rPr>
                <w:rFonts w:hint="eastAsia" w:ascii="宋体" w:hAnsi="宋体" w:cs="宋体"/>
                <w:b/>
                <w:bCs/>
                <w:color w:val="000000" w:themeColor="text1"/>
                <w:szCs w:val="21"/>
                <w:highlight w:val="none"/>
                <w:lang w:eastAsia="en-US"/>
                <w14:textFill>
                  <w14:solidFill>
                    <w14:schemeClr w14:val="tx1"/>
                  </w14:solidFill>
                </w14:textFill>
              </w:rPr>
            </w:pPr>
            <w:r/>
            <w:bookmarkStart w:id="242" w:name="bookmark28"/>
            <w:r/>
            <w:bookmarkEnd w:id="242"/>
            <w:r/>
            <w:bookmarkStart w:id="243" w:name="bookmark29"/>
            <w:r/>
            <w:bookmarkEnd w:id="243"/>
            <w:r>
              <w:rPr>
                <w:rFonts w:hint="eastAsia" w:ascii="宋体" w:hAnsi="宋体" w:cs="宋体"/>
                <w:b/>
                <w:bCs/>
                <w:color w:val="000000" w:themeColor="text1"/>
                <w:szCs w:val="21"/>
                <w:highlight w:val="none"/>
                <w:lang w:bidi="ar"/>
                <w14:textFill>
                  <w14:solidFill>
                    <w14:schemeClr w14:val="tx1"/>
                  </w14:solidFill>
                </w14:textFill>
              </w:rPr>
              <w:t xml:space="preserve">道路考核细则</w:t>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序号</w:t>
            </w:r>
            <w:r/>
          </w:p>
        </w:tc>
        <w:tc>
          <w:tcPr>
            <w:tcMar>
              <w:left w:w="-1" w:type="dxa"/>
              <w:top w:w="-1" w:type="dxa"/>
              <w:right w:w="-1" w:type="dxa"/>
              <w:bottom w:w="-1" w:type="dxa"/>
            </w:tcMar>
            <w:tcW w:w="7797" w:type="dxa"/>
            <w:vAlign w:val="center"/>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考核事项</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lang w:eastAsia="en-US"/>
                <w14:textFill>
                  <w14:solidFill>
                    <w14:schemeClr w14:val="tx1"/>
                  </w14:solidFill>
                </w14:textFill>
              </w:rPr>
            </w:pPr>
            <w:r>
              <w:rPr>
                <w:rFonts w:hint="eastAsia" w:ascii="宋体" w:hAnsi="宋体" w:cs="宋体"/>
                <w:b/>
                <w:bCs/>
                <w:color w:val="000000" w:themeColor="text1"/>
                <w:szCs w:val="21"/>
                <w:highlight w:val="none"/>
                <w:lang w:eastAsia="en-US"/>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按规定时间、要求落实大清扫:</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1、文明作业，保洁车辆合理停放，因停放不合理影响行人、车辆通行的，扣1分/次；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2、大清扫每天未在规定时间内完成的，扣1分/次；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3、大清扫不到位，出现质量问题的，扣1分/次；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4、无路牙的路面禁止将垃圾往两边绿化或出水通道内清扫，违反规定的，扣1分/次；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5、对于适合机扫条件的快车道、慢车道，一律采用机械清扫，未按机械化要求清扫，引起道路质量问题的，扣1分/次；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6、机扫车严格按规定车速作业，及时人工补扫，清扫不到位，出现质量问题的，扣1分/次。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2</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按规定清扫、保洁、洒水、冲洗(工具、频次、时间、警示信号等)</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1、扫地车、洒水车作业警示灯必须完好，如作业时发现警示灯不亮或未开启，扣1分/次；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2、洒水车作业时应开启提示音乐，未按要求开启的，扣1分/次；特殊情况（凌晨、夜间）洒水、冲水作业时，禁止噪声扰民，洒水作业时应合理避让行人，违反规定的，扣1分/次；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3、具备喷淋功能的清扫作业车辆，必须加水喷淋作业，作业时有扬尘现象的，扣1分/次；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4、机械清扫、洒水作业时不得逆向行驶，违反规定，扣1分/次；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5、作业频次低于规定次数的，扣2分/次；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6、未按规定时间保洁，产生质量问题的，扣1分/次；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7、路段无人保洁产生质量问题的，扣1分/次。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3</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按要求落实保洁、道路巡回任务: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1、日常检查时，巡回保洁人员应及时到岗检查，发现有未到岗现象出现质量问题的，扣1分/次；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2、重大线路保障期间，巡回保洁人员应来回检查，发现问题不及时处理的，扣1分/次；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4</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保洁区域内纸屑、塑料袋等杂物落实半小时保洁制:</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1、快、慢车道（含匝道）不整洁，有零散垃圾，视线范围内超过三处或同一区域、一天内出现三次的，扣1分/次；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2、发现死角、暴露垃圾的，扣1分/次；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3、道路、水域、绿化带内有白色污染或杂物，在规定时间内未及时清理的，扣1分/次；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5</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雨后两小时内确保无积水、无路牙积泥沙或雨水口堵塞:</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1、雨后及时清除路牙口积水，规定时间内未清理造成泥沙积沉现象的，扣1分/次；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2、雨后及时疏通出水口，规定时间内未疏通，造成积水等现象的，扣1~2分/次；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6</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保洁路段、区域工作有序，质量到位</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Style w:val="1067"/>
                <w:rFonts w:hint="default" w:ascii="宋体" w:hAnsi="宋体" w:eastAsia="宋体" w:cs="宋体"/>
                <w:bCs/>
                <w:color w:val="000000" w:themeColor="text1"/>
                <w:sz w:val="21"/>
                <w:szCs w:val="21"/>
                <w:highlight w:val="none"/>
                <w:lang w:bidi="ar"/>
                <w14:textFill>
                  <w14:solidFill>
                    <w14:schemeClr w14:val="tx1"/>
                  </w14:solidFill>
                </w14:textFill>
              </w:rPr>
              <w:t xml:space="preserve">1、保洁时要严格按先拾后扫的原则，未按规定作业，道路、绿化、下穿通道、隔离护栏等保洁出现质量问题的，扣1分/次；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2、路面清扫如有遗漏的，扣1分/次，遗漏多处加倍扣分；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3、路牙处灰砂堆积的，扣1分/处；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Style w:val="1067"/>
                <w:rFonts w:hint="default" w:ascii="宋体" w:hAnsi="宋体" w:eastAsia="宋体" w:cs="宋体"/>
                <w:bCs/>
                <w:color w:val="000000" w:themeColor="text1"/>
                <w:sz w:val="21"/>
                <w:szCs w:val="21"/>
                <w:highlight w:val="none"/>
                <w:lang w:bidi="ar"/>
                <w14:textFill>
                  <w14:solidFill>
                    <w14:schemeClr w14:val="tx1"/>
                  </w14:solidFill>
                </w14:textFill>
              </w:rPr>
              <w:t xml:space="preserve">4、下水道口不畅通，有堵塞物的，扣1分/处；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5、发现地摊，未及时清理干净，扣1分/处；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6、下穿通道有积水，未及时上报，扣1分/处；淤泥积存未及时清理，扣1分/处；保洁不到位，扣1分/处；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7</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废物箱、公交站台及周边区域保洁质量到位</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1、废物箱、公交站台周边散落垃圾超过半小时无人清理的，扣1分/处；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2、废物箱有明显积灰，扣1分/只；</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3、废物箱损坏，米及时上报，扣1分/处；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8</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乱张贴、乱涂写保洁到位:</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1、发现乱张贴、乱涂写、违规横幅等，扣1分/处；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2、未保持清理部位与周边一致，造成不良影响的，扣1分/处；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3、随意破坏设施设备，扣1分/处；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9</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作业人员按要求统一着装：</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1、上班统一着规定的工作服，不按要求着工作服的，每发现一人扣1分；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2、保洁人员着工作服随处小便，扣2分/次；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10</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lang w:eastAsia="en-US"/>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按规定配备作业人员:</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lang w:eastAsia="en-US"/>
                <w14:textFill>
                  <w14:solidFill>
                    <w14:schemeClr w14:val="tx1"/>
                  </w14:solidFill>
                </w14:textFill>
              </w:rPr>
            </w:pPr>
            <w:r>
              <w:rPr>
                <w:rFonts w:hint="eastAsia" w:ascii="宋体" w:hAnsi="宋体" w:cs="宋体"/>
                <w:b/>
                <w:bCs/>
                <w:color w:val="000000" w:themeColor="text1"/>
                <w:szCs w:val="21"/>
                <w:highlight w:val="none"/>
                <w:lang w:eastAsia="en-US"/>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eastAsia="en-US"/>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1、未按招标文件配足作业人员的，每缺一人扣1分；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2、未按招标文件配备岗位人员的，扣1分/人；</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11</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lang w:eastAsia="en-US"/>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文明作业:</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lang w:eastAsia="en-US"/>
                <w14:textFill>
                  <w14:solidFill>
                    <w14:schemeClr w14:val="tx1"/>
                  </w14:solidFill>
                </w14:textFill>
              </w:rPr>
            </w:pPr>
            <w:r>
              <w:rPr>
                <w:rFonts w:hint="eastAsia" w:ascii="宋体" w:hAnsi="宋体" w:cs="宋体"/>
                <w:b/>
                <w:bCs/>
                <w:color w:val="000000" w:themeColor="text1"/>
                <w:szCs w:val="21"/>
                <w:highlight w:val="none"/>
                <w:lang w:eastAsia="en-US"/>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eastAsia="en-US"/>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1、工作时间内，两人以上聚堆聊天超过十分钟的，扣1分/处；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2、工作时</w:t>
            </w:r>
            <w:r>
              <w:rPr>
                <w:rFonts w:hint="eastAsia" w:ascii="宋体" w:hAnsi="宋体" w:cs="宋体"/>
                <w:bCs/>
                <w:color w:val="000000" w:themeColor="text1"/>
                <w:szCs w:val="21"/>
                <w:highlight w:val="none"/>
                <w:lang w:bidi="ar"/>
                <w14:textFill>
                  <w14:solidFill>
                    <w14:schemeClr w14:val="tx1"/>
                  </w14:solidFill>
                </w14:textFill>
              </w:rPr>
              <w:t xml:space="preserve">间</w:t>
            </w:r>
            <w:r>
              <w:rPr>
                <w:rFonts w:hint="eastAsia" w:ascii="宋体" w:hAnsi="宋体" w:cs="宋体"/>
                <w:bCs/>
                <w:color w:val="000000" w:themeColor="text1"/>
                <w:szCs w:val="21"/>
                <w:highlight w:val="none"/>
                <w:lang w:bidi="ar"/>
                <w14:textFill>
                  <w14:solidFill>
                    <w14:schemeClr w14:val="tx1"/>
                  </w14:solidFill>
                </w14:textFill>
              </w:rPr>
              <w:t xml:space="preserve">内做与工作无关的事，有离岗、脱岗现象的，扣1分/处；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3、作业时有打骂、吵架等不文明行为的，扣1分/处；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4、作业时有吸烟现象的，扣1分/处；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5、有消极、怠工、瞌睡现象的，扣1分/处；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12</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按规定处理垃圾(焚烧、乱倒)或倒在指定的地点；</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1、作业人员有焚烧垃圾、树叶等杂物行为的，扣1分/处；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2、产出垃圾应做到日产日清，无堆积现象，未能及时清理的，扣1分/处；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3、未在指定地点倾倒垃圾的，扣1分/处；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4、有捡拾有价垃圾现象的，扣1分/处；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13</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路段间互相配合，交叉作业，对各自路段的接口处相互清扫，保洁至对方区域两米左右:</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1、交叉路段保洁不到位，一经发现，各作业单位各扣1分/处；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14</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雪后及时清除积雪，确保车辆通行、市民出行：</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1、无积冰、无残雪、路见本色，未按规定清除积雪，扣1分/次；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2、堆放在绿化带内的残雪，应及时组织外运，未及时外运的扣1分/处；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3、及时完成雪后除冰、清雪工作，不符要求的扣1分/处；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15</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保洁车辆整洁、工具摆放整齐、资料规范、文明作业：</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1、作业车辆车容不整洁，标志不清晰，警示装置和指示板后缺失、扫毛不及时更换的，扣1分/处；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2、车内环境不整洁，物品乱堆乱放的，扣1分/处；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3、各种规章制度、保养维修记录齐全、完整，缺一项扣1分，记录不全扣1分；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4、驾驶员开车时赤膊、跷脚、穿拖鞋上车或开车时不遵守交通规则、吸烟、打电话的，扣1分/次；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5、停车场内地面整洁、车辆停放有序，不整齐扣1分；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6、特殊车辆的操作员必须证驾相符，发现证驾不符现象的扣1分；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16</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特殊情况下，要按镇环卫所通知作业：</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1、未按要求完成环卫应急保障任务的，扣1分/次；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2、未按要求及时上报各项资料，超过时限的，扣1分/次；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3、按规定对道路进行洒水、冲洗，未及时完成的，扣1分/次；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4、延误洒水、冲洗，造成道路保洁质量产生问题的，扣1分/次；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17</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媒体、来信、来访投诉，经查实有责的、未按照规定整改到位或造成反复投诉的：</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1、经上级部门反馈，查实确有责的扣2分；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2、任何来信、来电、来访投诉，需及时整改，未在规定时间内整改到位的，扣2分/次；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3、任何来信、来电、来访投诉，被媒体曝光的，经查实的确有责的，每件次扣2分；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18</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按规定办理相关用工手续，并按相关法规定发放工资和加班等费用等:</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1、未签订用工合同的，扣0.5分/人；</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2、未按规定为应参保人员办理基本社会养老保险的，扣0.5分/人；</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3、加班、公休、作息时间、工作任务量不符合相关规定的，扣0.5分/人；</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19</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lang w:eastAsia="en-US"/>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情节严重的加重处理: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lang w:eastAsia="en-US"/>
                <w14:textFill>
                  <w14:solidFill>
                    <w14:schemeClr w14:val="tx1"/>
                  </w14:solidFill>
                </w14:textFill>
              </w:rPr>
            </w:pPr>
            <w:r>
              <w:rPr>
                <w:rFonts w:hint="eastAsia" w:ascii="宋体" w:hAnsi="宋体" w:cs="宋体"/>
                <w:b/>
                <w:bCs/>
                <w:color w:val="000000" w:themeColor="text1"/>
                <w:szCs w:val="21"/>
                <w:highlight w:val="none"/>
                <w:lang w:eastAsia="en-US"/>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eastAsia="en-US"/>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1、如遇重大活动(本市主要领导、苏州、省、国家级)，发现上述问题，加倍处理；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2、同一问题，一周内反复出现或指出后拒不整改的，加倍处理；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3、同一问题遭公众、媒体及来信来访反复投诉的，加倍处理。</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restart"/>
            <w:textDirection w:val="lrTb"/>
            <w:noWrap w:val="false"/>
          </w:tcPr>
          <w:p>
            <w:pPr>
              <w:jc w:val="center"/>
              <w:rPr>
                <w:rFonts w:hint="eastAsia" w:ascii="宋体" w:hAnsi="宋体" w:cs="宋体"/>
                <w:b/>
                <w:color w:val="000000" w:themeColor="text1"/>
                <w:szCs w:val="21"/>
                <w:highlight w:val="none"/>
                <w:lang w:eastAsia="en-US"/>
                <w14:textFill>
                  <w14:solidFill>
                    <w14:schemeClr w14:val="tx1"/>
                  </w14:solidFill>
                </w14:textFill>
              </w:rPr>
            </w:pPr>
            <w:r>
              <w:rPr>
                <w:rFonts w:hint="eastAsia" w:ascii="宋体" w:hAnsi="宋体" w:cs="宋体"/>
                <w:b/>
                <w:color w:val="000000" w:themeColor="text1"/>
                <w:szCs w:val="21"/>
                <w:highlight w:val="none"/>
                <w:lang w:bidi="ar"/>
                <w14:textFill>
                  <w14:solidFill>
                    <w14:schemeClr w14:val="tx1"/>
                  </w14:solidFill>
                </w14:textFill>
              </w:rPr>
              <w:t xml:space="preserve">20</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垃圾压缩转运、下水道疏通和抽污项目管理等</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1、垃圾压缩站设备不及时维保、维修或带病作业的，扣2分/次；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2、垃圾压缩站设备存全安全隐患，不及时采取有效措施整改发生安全责任事故，扣5分/次；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3、压机房内外(场地周边)和压机表面卫生保洁不到位，扣1分/次；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4、垃圾外运不及时、外运车辆卫生不到位、外运时抛洒滴漏遇有效投诉的，扣2分/次；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vMerge w:val="continue"/>
            <w:textDirection w:val="lrTb"/>
            <w:noWrap w:val="false"/>
          </w:tcPr>
          <w:p>
            <w:pPr>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5、抽粪车及疏通车不按镇环卫所安排及时进行抽粪及疏通作业的，扣2分/次。</w:t>
            </w:r>
            <w:r/>
          </w:p>
        </w:tc>
      </w:tr>
      <w:tr>
        <w:trPr>
          <w:jc w:val="center"/>
          <w:trHeight w:val="442"/>
        </w:trPr>
        <w:tc>
          <w:tcPr>
            <w:tcMar>
              <w:left w:w="-1" w:type="dxa"/>
              <w:top w:w="-1" w:type="dxa"/>
              <w:right w:w="-1" w:type="dxa"/>
              <w:bottom w:w="-1" w:type="dxa"/>
            </w:tcMar>
            <w:tcW w:w="545"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果壳箱及垃圾清运考核细则</w:t>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果壳箱歪斜，箱体不整洁，表面存在广告纸和其他污染物的，扣1分/次；箱内垃圾因未及时清理而满溢的，扣1分/次；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垃圾房、桶周围1米范围内环境不整洁的，扣1分/次；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运输过程中箱盖敞露或未盖严，垃圾沿途溢洒造成二次污染的，扣1分/次；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车辆出现抛洒滴漏造成二次污染扣1分/次；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清运遗漏的每处扣0.5分/次；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出现特殊情况(车辆故障等)，不及时调配其他车辆，影响清运质量而造成负面影响的，扣1分/次；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不遵守交通规则的(如不按规定行车路线行驶、停车不靠边等影响交通秩序)，扣1分/次。在重要检查、参观等活动中发现着工作服的职工(不论休息时间)不按规定作业，违反交通法规的，一律按双倍考核处理，在此基础上造成严重事故发生的，一切后果</w:t>
            </w:r>
            <w:r>
              <w:rPr>
                <w:rFonts w:hint="eastAsia" w:ascii="宋体" w:hAnsi="宋体" w:cs="宋体"/>
                <w:bCs/>
                <w:color w:val="000000" w:themeColor="text1"/>
                <w:szCs w:val="21"/>
                <w:highlight w:val="none"/>
                <w:lang w:bidi="ar"/>
                <w14:textFill>
                  <w14:solidFill>
                    <w14:schemeClr w14:val="tx1"/>
                  </w14:solidFill>
                </w14:textFill>
              </w:rPr>
              <w:t xml:space="preserve">自</w:t>
            </w:r>
            <w:r>
              <w:rPr>
                <w:rFonts w:hint="eastAsia" w:ascii="宋体" w:hAnsi="宋体" w:cs="宋体"/>
                <w:bCs/>
                <w:color w:val="000000" w:themeColor="text1"/>
                <w:szCs w:val="21"/>
                <w:highlight w:val="none"/>
                <w:lang w:bidi="ar"/>
                <w14:textFill>
                  <w14:solidFill>
                    <w14:schemeClr w14:val="tx1"/>
                  </w14:solidFill>
                </w14:textFill>
              </w:rPr>
              <w:t xml:space="preserve">负；酒后作业的处理办法同上；</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运输工具表面积存污物较多或久未清洗的，扣1分/次；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作业中引起的各类投诉情况，一经查实，扣1分/次；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10</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餐厨垃圾分类管理不到位、不按时清运，扣2分/次。</w:t>
            </w:r>
            <w:r/>
          </w:p>
        </w:tc>
      </w:tr>
      <w:tr>
        <w:trPr>
          <w:jc w:val="center"/>
          <w:trHeight w:val="442"/>
        </w:trPr>
        <w:tc>
          <w:tcPr>
            <w:tcMar>
              <w:left w:w="-1" w:type="dxa"/>
              <w:top w:w="-1" w:type="dxa"/>
              <w:right w:w="-1" w:type="dxa"/>
              <w:bottom w:w="-1" w:type="dxa"/>
            </w:tcMar>
            <w:tcW w:w="545" w:type="dxa"/>
            <w:vAlign w:val="center"/>
            <w:vMerge w:val="restart"/>
            <w:textDirection w:val="lrTb"/>
            <w:noWrap w:val="false"/>
          </w:tcPr>
          <w:p>
            <w:pPr>
              <w:jc w:val="center"/>
              <w:rPr>
                <w:rFonts w:hint="eastAsia" w:ascii="宋体" w:hAnsi="宋体" w:cs="宋体"/>
                <w:b/>
                <w:bCs/>
                <w:color w:val="000000" w:themeColor="text1"/>
                <w:szCs w:val="21"/>
                <w:highlight w:val="none"/>
                <w:lang w:eastAsia="en-US"/>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公厕考核标准</w:t>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未在规定时间内未完成头遍冲洗的，扣1分/次；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走廊、蹲位不干净，便槽有污垢、水锈等的，扣1分/次；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发现内外墙、天花板、门窗等有陈旧蛛网、积尘、污渍(含乱涂乱画)的扣1分/次；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冲洗后水渍未擦干的，扣1分/次；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管理人员在公厕内长时间清洗私人物品的，扣1分/次；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有专人看管的公厕私自离岗扣1分/次；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墙面有非法广告的，扣1分/次；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公厕内外地面有污水溢出的，扣1分/次；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公厕周边场地(门口2米、周边1米范围内)保洁不到位，有杂物的，扣1分/次；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有保洁工具等乱堆放现象的，扣1分/次；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11</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工具间、管理间堆放杂乱的，扣1分/次；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工具间借予他人使用的，扣2分/次；工具间存放工具不上锁，扣1分/次；工具间卫生不到位的，扣1分/次；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无障碍间无故不开放的，扣1分/次；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14</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公厕有私自收费或有偿出售厕纸等现象的，扣2分，再次发生的，扣5分，并调离该人员；</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硬件设施、设备损坏，不上报扣1分/次。</w:t>
            </w:r>
            <w:r/>
          </w:p>
        </w:tc>
      </w:tr>
      <w:tr>
        <w:trPr>
          <w:jc w:val="center"/>
          <w:trHeight w:val="684"/>
        </w:trPr>
        <w:tc>
          <w:tcPr>
            <w:tcMar>
              <w:left w:w="-1" w:type="dxa"/>
              <w:top w:w="-1" w:type="dxa"/>
              <w:right w:w="-1" w:type="dxa"/>
              <w:bottom w:w="-1" w:type="dxa"/>
            </w:tcMar>
            <w:tcW w:w="545" w:type="dxa"/>
            <w:vAlign w:val="center"/>
            <w:vMerge w:val="restart"/>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新湖公园湖区保洁标准</w:t>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水面有水花生、水葫芦、青萍等水生植物的，扣1分/次；水面有垃圾、死禽死畜等漂浮物的，扣0.5分/次；违规使用各类除草剂等化学农药的，扣2分/次；</w:t>
            </w:r>
            <w:r/>
          </w:p>
        </w:tc>
      </w:tr>
      <w:tr>
        <w:trPr>
          <w:jc w:val="center"/>
          <w:trHeight w:val="670"/>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湖面有地笼、网簖、围网、摇网等捕捞(养殖)设施及影响引水、行洪的建筑物、障碍物、有围垦水面、填塞河道现象的，扣1分/次；</w:t>
            </w:r>
            <w:r/>
          </w:p>
        </w:tc>
      </w:tr>
      <w:tr>
        <w:trPr>
          <w:jc w:val="center"/>
          <w:trHeight w:val="684"/>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湖岸不整洁，有生活、生产、建筑垃圾堆放，有影响河道面貌的杂树、杂草及垦种、埋葬、取土等现象的，扣扣1分/次；</w:t>
            </w:r>
            <w:r/>
          </w:p>
        </w:tc>
      </w:tr>
      <w:tr>
        <w:trPr>
          <w:jc w:val="center"/>
          <w:trHeight w:val="442"/>
        </w:trPr>
        <w:tc>
          <w:tcPr>
            <w:tcMar>
              <w:left w:w="-1" w:type="dxa"/>
              <w:top w:w="-1" w:type="dxa"/>
              <w:right w:w="-1" w:type="dxa"/>
              <w:bottom w:w="-1" w:type="dxa"/>
            </w:tcMar>
            <w:tcW w:w="545" w:type="dxa"/>
            <w:vAlign w:val="center"/>
            <w:vMerge w:val="continue"/>
            <w:textDirection w:val="tbRlV"/>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r>
            <w:r/>
          </w:p>
        </w:tc>
        <w:tc>
          <w:tcPr>
            <w:tcMar>
              <w:left w:w="-1" w:type="dxa"/>
              <w:top w:w="-1" w:type="dxa"/>
              <w:right w:w="-1" w:type="dxa"/>
              <w:bottom w:w="-1" w:type="dxa"/>
            </w:tcMar>
            <w:tcW w:w="683" w:type="dxa"/>
            <w:vAlign w:val="center"/>
            <w:textDirection w:val="lrTb"/>
            <w:noWrap w:val="false"/>
          </w:tcPr>
          <w:p>
            <w:pPr>
              <w:jc w:val="center"/>
              <w:rPr>
                <w:rFonts w:hint="eastAsia" w:ascii="宋体" w:hAnsi="宋体" w:cs="宋体"/>
                <w:color w:val="000000" w:themeColor="text1"/>
                <w:szCs w:val="21"/>
                <w:highlight w:val="none"/>
                <w:lang w:eastAsia="en-US"/>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w:t>
            </w:r>
            <w:r/>
          </w:p>
        </w:tc>
        <w:tc>
          <w:tcPr>
            <w:tcMar>
              <w:left w:w="-1" w:type="dxa"/>
              <w:top w:w="-1" w:type="dxa"/>
              <w:right w:w="-1" w:type="dxa"/>
              <w:bottom w:w="-1" w:type="dxa"/>
            </w:tcMar>
            <w:tcW w:w="7797" w:type="dxa"/>
            <w:vAlign w:val="center"/>
            <w:textDirection w:val="lrTb"/>
            <w:noWrap w:val="false"/>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湖区公告牌有人为损坏、张贴告示、广告、表面不清洁等，扣1分/次。</w:t>
            </w:r>
            <w:r/>
          </w:p>
        </w:tc>
      </w:tr>
    </w:tbl>
    <w:p>
      <w:pPr>
        <w:rPr>
          <w:rFonts w:hint="eastAsia" w:ascii="楷体_GB2312"/>
          <w:color w:val="000000" w:themeColor="text1"/>
          <w:sz w:val="44"/>
          <w:szCs w:val="28"/>
          <w:highlight w:val="none"/>
          <w14:textFill>
            <w14:solidFill>
              <w14:schemeClr w14:val="tx1"/>
            </w14:solidFill>
          </w14:textFill>
        </w:rPr>
      </w:pPr>
      <w:r/>
      <w:bookmarkStart w:id="244" w:name="_Toc17138"/>
      <w:r/>
      <w:bookmarkStart w:id="245" w:name="_Toc7119"/>
      <w:r/>
      <w:bookmarkStart w:id="246" w:name="_Toc21785"/>
      <w:r>
        <w:rPr>
          <w:rFonts w:hint="eastAsia"/>
          <w:color w:val="000000" w:themeColor="text1"/>
          <w:highlight w:val="none"/>
          <w14:textFill>
            <w14:solidFill>
              <w14:schemeClr w14:val="tx1"/>
            </w14:solidFill>
          </w14:textFill>
        </w:rPr>
        <w:br w:type="page" w:clear="all"/>
      </w:r>
      <w:r/>
    </w:p>
    <w:p>
      <w:pPr>
        <w:pStyle w:val="9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第五章 评标方法与评标标准</w:t>
      </w:r>
      <w:bookmarkEnd w:id="237"/>
      <w:r/>
      <w:bookmarkEnd w:id="238"/>
      <w:r/>
      <w:bookmarkEnd w:id="239"/>
      <w:r/>
      <w:bookmarkEnd w:id="240"/>
      <w:r/>
      <w:bookmarkEnd w:id="244"/>
      <w:r/>
      <w:bookmarkEnd w:id="245"/>
      <w:r/>
      <w:bookmarkEnd w:id="24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1"/>
        <w:rPr>
          <w:color w:val="000000" w:themeColor="text1"/>
          <w:highlight w:val="none"/>
          <w14:textFill>
            <w14:solidFill>
              <w14:schemeClr w14:val="tx1"/>
            </w14:solidFill>
          </w14:textFill>
        </w:rPr>
      </w:pPr>
      <w:r/>
      <w:bookmarkStart w:id="247" w:name="_Toc24504"/>
      <w:r/>
      <w:bookmarkStart w:id="248" w:name="_Toc38368130"/>
      <w:r/>
      <w:bookmarkStart w:id="249" w:name="_Toc35266030"/>
      <w:r/>
      <w:bookmarkStart w:id="250" w:name="_Toc54615248"/>
      <w:r/>
      <w:bookmarkStart w:id="251" w:name="_Toc2075"/>
      <w:r/>
      <w:bookmarkStart w:id="252" w:name="_Toc160715775"/>
      <w:r/>
      <w:bookmarkStart w:id="253" w:name="_Toc6948"/>
      <w:r>
        <w:rPr>
          <w:color w:val="000000" w:themeColor="text1"/>
          <w:highlight w:val="none"/>
          <w14:textFill>
            <w14:solidFill>
              <w14:schemeClr w14:val="tx1"/>
            </w14:solidFill>
          </w14:textFill>
        </w:rPr>
        <w:t xml:space="preserve">一、评标方法与定标原则</w:t>
      </w:r>
      <w:bookmarkEnd w:id="247"/>
      <w:r/>
      <w:bookmarkEnd w:id="248"/>
      <w:r/>
      <w:bookmarkEnd w:id="249"/>
      <w:r/>
      <w:bookmarkEnd w:id="250"/>
      <w:r/>
      <w:bookmarkEnd w:id="251"/>
      <w:r/>
      <w:bookmarkEnd w:id="252"/>
      <w:r/>
      <w:bookmarkEnd w:id="253"/>
      <w:r/>
      <w:r/>
    </w:p>
    <w:p>
      <w:pPr>
        <w:ind w:firstLine="50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bookmarkStart w:id="254" w:name="_Toc38368131"/>
      <w:r/>
      <w:bookmarkStart w:id="255" w:name="_Toc35266031"/>
      <w:r/>
      <w:bookmarkStart w:id="256" w:name="_Toc54615249"/>
      <w:r/>
      <w:bookmarkStart w:id="257" w:name="_Toc160715776"/>
      <w:r>
        <w:rPr>
          <w:rFonts w:ascii="宋体" w:hAnsi="宋体" w:cs="宋体"/>
          <w:color w:val="000000" w:themeColor="text1"/>
          <w:sz w:val="24"/>
          <w:szCs w:val="24"/>
          <w:highlight w:val="none"/>
          <w14:textFill>
            <w14:solidFill>
              <w14:schemeClr w14:val="tx1"/>
            </w14:solidFill>
          </w14:textFill>
        </w:rPr>
        <w:t xml:space="preserve">1、</w:t>
      </w:r>
      <w:bookmarkStart w:id="258" w:name="EBcd5591da61cb4e94ae541e640de7cf31"/>
      <w:r/>
      <w:bookmarkEnd w:id="258"/>
      <w:r/>
      <w:bookmarkStart w:id="259" w:name="EBfac14fe4f2614092ba9ee84c679fcbea"/>
      <w:r/>
      <w:bookmarkEnd w:id="259"/>
      <w:r/>
      <w:bookmarkStart w:id="260" w:name="EB4d4ec51fae08401e9c82e93d31b337cc"/>
      <w:r/>
      <w:bookmarkEnd w:id="260"/>
      <w:r>
        <w:rPr>
          <w:rFonts w:ascii="宋体" w:hAnsi="宋体" w:cs="宋体"/>
          <w:color w:val="000000" w:themeColor="text1"/>
          <w:sz w:val="24"/>
          <w:highlight w:val="none"/>
          <w14:textFill>
            <w14:solidFill>
              <w14:schemeClr w14:val="tx1"/>
            </w14:solidFill>
          </w14:textFill>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27"/>
        <w:ind w:firstLine="50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2、针对中小型企业、残疾人福利企业和监狱企业的评审：</w:t>
      </w:r>
      <w:r/>
    </w:p>
    <w:p>
      <w:pPr>
        <w:ind w:firstLine="50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本项目为面向中小企业预留采购份额项目，不再执行价格评审优惠的扶持政策。</w:t>
      </w:r>
      <w:r/>
    </w:p>
    <w:p>
      <w:pPr>
        <w:ind w:firstLine="50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投标人若进行分包，应提供分包意向协议</w:t>
      </w:r>
      <w:r>
        <w:rPr>
          <w:rFonts w:hint="eastAsia" w:ascii="宋体" w:hAnsi="宋体" w:eastAsia="宋体" w:cs="宋体"/>
          <w:b/>
          <w:bCs/>
          <w:color w:val="000000" w:themeColor="text1"/>
          <w:sz w:val="24"/>
          <w:szCs w:val="24"/>
          <w:highlight w:val="none"/>
          <w14:textFill>
            <w14:solidFill>
              <w14:schemeClr w14:val="tx1"/>
            </w14:solidFill>
          </w14:textFill>
        </w:rPr>
        <w:t xml:space="preserve">（详见第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14:textFill>
            <w14:solidFill>
              <w14:schemeClr w14:val="tx1"/>
            </w14:solidFill>
          </w14:textFill>
        </w:rPr>
        <w:t xml:space="preserve">章）</w:t>
      </w:r>
      <w:r>
        <w:rPr>
          <w:rFonts w:hint="eastAsia" w:ascii="宋体" w:hAnsi="宋体" w:eastAsia="宋体" w:cs="宋体"/>
          <w:color w:val="000000" w:themeColor="text1"/>
          <w:sz w:val="24"/>
          <w:szCs w:val="24"/>
          <w:highlight w:val="none"/>
          <w14:textFill>
            <w14:solidFill>
              <w14:schemeClr w14:val="tx1"/>
            </w14:solidFill>
          </w14:textFill>
        </w:rPr>
        <w:t xml:space="preserve">，并且分包意向协议中中小企业合同金额必须达到招标文件要求的比例；应提供《中小企业声明函》或《残疾人福利性单位声明函》或监狱企业的证明文件。</w:t>
      </w:r>
      <w:r/>
    </w:p>
    <w:p>
      <w:pPr>
        <w:ind w:firstLine="50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投标人若未进行分包，应提供《中小企业声明函》或《残疾人福利性单位声明函》或属于监狱企业的证明文件。</w:t>
      </w:r>
      <w:r/>
    </w:p>
    <w:p>
      <w:pPr>
        <w:ind w:firstLine="50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w:t>
      </w:r>
      <w:r/>
    </w:p>
    <w:p>
      <w:pPr>
        <w:ind w:firstLine="50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①填报“中小企业声明函”需严格按“工信部联企业〔2011〕300号通知中的《中小企业划型标准规定》进行。</w:t>
      </w:r>
      <w:r/>
    </w:p>
    <w:p>
      <w:pPr>
        <w:ind w:firstLine="500"/>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②若供应商提供的声明函或认定证明为虚假材料，按“政府采购法”相关规定处理并报请政府监管部门给予行政处罚。</w:t>
      </w:r>
      <w:r/>
    </w:p>
    <w:p>
      <w:pPr>
        <w:pStyle w:val="981"/>
        <w:rPr>
          <w:color w:val="000000" w:themeColor="text1"/>
          <w:highlight w:val="none"/>
          <w14:textFill>
            <w14:solidFill>
              <w14:schemeClr w14:val="tx1"/>
            </w14:solidFill>
          </w14:textFill>
        </w:rPr>
      </w:pPr>
      <w:r/>
      <w:bookmarkStart w:id="261" w:name="_Toc28627"/>
      <w:r/>
      <w:bookmarkStart w:id="262" w:name="_Toc7447"/>
      <w:r/>
      <w:bookmarkStart w:id="263" w:name="_Toc16709"/>
      <w:r>
        <w:rPr>
          <w:color w:val="000000" w:themeColor="text1"/>
          <w:highlight w:val="none"/>
          <w14:textFill>
            <w14:solidFill>
              <w14:schemeClr w14:val="tx1"/>
            </w14:solidFill>
          </w14:textFill>
        </w:rPr>
        <w:t xml:space="preserve">二、评标标准</w:t>
      </w:r>
      <w:bookmarkEnd w:id="254"/>
      <w:r/>
      <w:bookmarkEnd w:id="255"/>
      <w:r/>
      <w:bookmarkEnd w:id="256"/>
      <w:r/>
      <w:bookmarkEnd w:id="257"/>
      <w:r/>
      <w:bookmarkEnd w:id="261"/>
      <w:r/>
      <w:bookmarkEnd w:id="262"/>
      <w:r/>
      <w:bookmarkEnd w:id="263"/>
      <w:r/>
      <w:r/>
    </w:p>
    <w:p>
      <w:pPr>
        <w:pStyle w:val="1058"/>
        <w:ind w:firstLine="500"/>
        <w:spacing w:line="360" w:lineRule="auto"/>
        <w:widowControl w:val="off"/>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 xml:space="preserve">（一）价格分 15.0 分</w:t>
      </w:r>
      <w:r/>
    </w:p>
    <w:p>
      <w:pPr>
        <w:pStyle w:val="1058"/>
        <w:ind w:firstLine="50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采用低价优先法计算，即满足招标文件要求且投标价格最低的投标价为评标基准价，其价格分为满分15.0分。其他投标人的价格分统一按照下列公式计算：</w:t>
      </w:r>
      <w:r/>
    </w:p>
    <w:p>
      <w:pPr>
        <w:pStyle w:val="1058"/>
        <w:ind w:firstLine="50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投标报价得分=（评标基准价/投标报价）*15.0%* 100（保留二位小数）。</w:t>
      </w:r>
      <w:bookmarkEnd w:id="234"/>
      <w:r/>
      <w:bookmarkEnd w:id="235"/>
      <w:r/>
      <w:bookmarkEnd w:id="241"/>
      <w:r/>
      <w:r/>
    </w:p>
    <w:p>
      <w:pPr>
        <w:pStyle w:val="1058"/>
        <w:ind w:firstLine="482"/>
        <w:spacing w:line="360" w:lineRule="auto"/>
        <w:widowControl w:val="off"/>
        <w:rPr>
          <w:rFonts w:hint="eastAsia" w:ascii="宋体" w:hAnsi="宋体" w:eastAsia="宋体" w:cs="宋体"/>
          <w:b/>
          <w:color w:val="000000" w:themeColor="text1"/>
          <w:highlight w:val="none"/>
          <w14:textFill>
            <w14:solidFill>
              <w14:schemeClr w14:val="tx1"/>
            </w14:solidFill>
          </w14:textFill>
        </w:rPr>
      </w:pPr>
      <w:r/>
      <w:bookmarkStart w:id="264" w:name="_Toc256000012"/>
      <w:r/>
      <w:bookmarkStart w:id="265" w:name="_Toc160715777"/>
      <w:r/>
      <w:bookmarkStart w:id="266" w:name="_Toc54119656"/>
      <w:r>
        <w:rPr>
          <w:rFonts w:hint="eastAsia" w:ascii="宋体" w:hAnsi="宋体" w:eastAsia="宋体" w:cs="宋体"/>
          <w:b/>
          <w:color w:val="000000" w:themeColor="text1"/>
          <w:highlight w:val="none"/>
          <w14:textFill>
            <w14:solidFill>
              <w14:schemeClr w14:val="tx1"/>
            </w14:solidFill>
          </w14:textFill>
        </w:rPr>
        <w:t xml:space="preserve">（二）技术服务方案分 73.0 分</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2.1</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道路保洁管理方案</w:t>
      </w:r>
      <w:r>
        <w:rPr>
          <w:rFonts w:hint="eastAsia" w:ascii="宋体" w:hAnsi="宋体" w:cs="宋体"/>
          <w:b/>
          <w:bCs/>
          <w:color w:val="000000" w:themeColor="text1"/>
          <w:sz w:val="24"/>
          <w:szCs w:val="24"/>
          <w:highlight w:val="none"/>
          <w14:textFill>
            <w14:solidFill>
              <w14:schemeClr w14:val="tx1"/>
            </w14:solidFill>
          </w14:textFill>
        </w:rPr>
        <w:t xml:space="preserve">8分</w:t>
      </w:r>
      <w:r/>
    </w:p>
    <w:p>
      <w:pPr>
        <w:pStyle w:val="1058"/>
        <w:ind w:firstLine="48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根据招标文件要求和投标人提供的道路保洁管理方案</w:t>
      </w:r>
      <w:r>
        <w:rPr>
          <w:rFonts w:hint="eastAsia" w:ascii="宋体" w:hAnsi="宋体" w:eastAsia="宋体" w:cs="宋体"/>
          <w:color w:val="000000" w:themeColor="text1"/>
          <w:highlight w:val="none"/>
          <w14:textFill>
            <w14:solidFill>
              <w14:schemeClr w14:val="tx1"/>
            </w14:solidFill>
          </w14:textFill>
        </w:rPr>
        <w:t xml:space="preserve">进行评分</w:t>
      </w:r>
      <w:r>
        <w:rPr>
          <w:rFonts w:ascii="宋体" w:hAnsi="宋体" w:eastAsia="宋体" w:cs="宋体"/>
          <w:color w:val="000000" w:themeColor="text1"/>
          <w:highlight w:val="none"/>
          <w14:textFill>
            <w14:solidFill>
              <w14:schemeClr w14:val="tx1"/>
            </w14:solidFill>
          </w14:textFill>
        </w:rPr>
        <w:t xml:space="preserve">，方案包括但不限于</w:t>
      </w:r>
      <w:r>
        <w:rPr>
          <w:rFonts w:hint="eastAsia" w:ascii="宋体" w:hAnsi="宋体" w:eastAsia="宋体" w:cs="宋体"/>
          <w:color w:val="000000" w:themeColor="text1"/>
          <w:highlight w:val="none"/>
          <w14:textFill>
            <w14:solidFill>
              <w14:schemeClr w14:val="tx1"/>
            </w14:solidFill>
          </w14:textFill>
        </w:rPr>
        <w:t xml:space="preserve">路面</w:t>
      </w:r>
      <w:r>
        <w:rPr>
          <w:rFonts w:ascii="宋体" w:hAnsi="宋体" w:eastAsia="宋体" w:cs="宋体"/>
          <w:color w:val="000000" w:themeColor="text1"/>
          <w:highlight w:val="none"/>
          <w14:textFill>
            <w14:solidFill>
              <w14:schemeClr w14:val="tx1"/>
            </w14:solidFill>
          </w14:textFill>
        </w:rPr>
        <w:t xml:space="preserve">常规保洁</w:t>
      </w:r>
      <w:r>
        <w:rPr>
          <w:rFonts w:hint="eastAsia" w:ascii="宋体" w:hAnsi="宋体" w:eastAsia="宋体" w:cs="宋体"/>
          <w:color w:val="000000" w:themeColor="text1"/>
          <w:highlight w:val="none"/>
          <w14:textFill>
            <w14:solidFill>
              <w14:schemeClr w14:val="tx1"/>
            </w14:solidFill>
          </w14:textFill>
        </w:rPr>
        <w:t xml:space="preserve">、降雪天气的道路清扫、路面冲洗（大清扫）、道路保洁质量、乱张贴乱涂写的清理、清扫保洁垃圾的处置</w:t>
      </w:r>
      <w:r>
        <w:rPr>
          <w:rFonts w:ascii="宋体" w:hAnsi="宋体" w:eastAsia="宋体" w:cs="宋体"/>
          <w:color w:val="000000" w:themeColor="text1"/>
          <w:highlight w:val="none"/>
          <w14:textFill>
            <w14:solidFill>
              <w14:schemeClr w14:val="tx1"/>
            </w14:solidFill>
          </w14:textFill>
        </w:rPr>
        <w:t xml:space="preserve">等</w:t>
      </w:r>
      <w:r>
        <w:rPr>
          <w:rFonts w:hint="eastAsia" w:ascii="宋体" w:hAnsi="宋体" w:eastAsia="宋体" w:cs="宋体"/>
          <w:color w:val="000000" w:themeColor="text1"/>
          <w:highlight w:val="none"/>
          <w14:textFill>
            <w14:solidFill>
              <w14:schemeClr w14:val="tx1"/>
            </w14:solidFill>
          </w14:textFill>
        </w:rPr>
        <w:t xml:space="preserve">内容</w:t>
      </w:r>
      <w:r>
        <w:rPr>
          <w:rFonts w:ascii="宋体" w:hAnsi="宋体" w:eastAsia="宋体" w:cs="宋体"/>
          <w:color w:val="000000" w:themeColor="text1"/>
          <w:highlight w:val="none"/>
          <w14:textFill>
            <w14:solidFill>
              <w14:schemeClr w14:val="tx1"/>
            </w14:solidFill>
          </w14:textFill>
        </w:rPr>
        <w:t xml:space="preserve">。方案内容完整且内容详细有实质性意义的</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highlight w:val="none"/>
          <w14:textFill>
            <w14:solidFill>
              <w14:schemeClr w14:val="tx1"/>
            </w14:solidFill>
          </w14:textFill>
        </w:rPr>
        <w:t xml:space="preserve">8</w:t>
      </w:r>
      <w:r>
        <w:rPr>
          <w:rFonts w:ascii="宋体" w:hAnsi="宋体" w:eastAsia="宋体" w:cs="宋体"/>
          <w:color w:val="000000" w:themeColor="text1"/>
          <w:highlight w:val="none"/>
          <w14:textFill>
            <w14:solidFill>
              <w14:schemeClr w14:val="tx1"/>
            </w14:solidFill>
          </w14:textFill>
        </w:rPr>
        <w:t xml:space="preserve">分，方案内有部分内容缺失或部分内容简单无实质性意义的</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highlight w:val="none"/>
          <w14:textFill>
            <w14:solidFill>
              <w14:schemeClr w14:val="tx1"/>
            </w14:solidFill>
          </w14:textFill>
        </w:rPr>
        <w:t xml:space="preserve">5</w:t>
      </w:r>
      <w:r>
        <w:rPr>
          <w:rFonts w:ascii="宋体" w:hAnsi="宋体" w:eastAsia="宋体" w:cs="宋体"/>
          <w:color w:val="000000" w:themeColor="text1"/>
          <w:highlight w:val="none"/>
          <w14:textFill>
            <w14:solidFill>
              <w14:schemeClr w14:val="tx1"/>
            </w14:solidFill>
          </w14:textFill>
        </w:rPr>
        <w:t xml:space="preserve">分，方案内容简略且基本无实质性意义的</w:t>
      </w:r>
      <w:r>
        <w:rPr>
          <w:rFonts w:hint="eastAsia" w:ascii="宋体" w:hAnsi="宋体" w:eastAsia="宋体" w:cs="宋体"/>
          <w:color w:val="000000" w:themeColor="text1"/>
          <w:highlight w:val="none"/>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得</w:t>
      </w:r>
      <w:r>
        <w:rPr>
          <w:rFonts w:hint="eastAsia" w:ascii="宋体" w:hAnsi="宋体" w:eastAsia="宋体" w:cs="宋体"/>
          <w:color w:val="000000" w:themeColor="text1"/>
          <w:highlight w:val="none"/>
          <w14:textFill>
            <w14:solidFill>
              <w14:schemeClr w14:val="tx1"/>
            </w14:solidFill>
          </w14:textFill>
        </w:rPr>
        <w:t xml:space="preserve">3</w:t>
      </w:r>
      <w:r>
        <w:rPr>
          <w:rFonts w:ascii="宋体" w:hAnsi="宋体" w:eastAsia="宋体" w:cs="宋体"/>
          <w:color w:val="000000" w:themeColor="text1"/>
          <w:highlight w:val="none"/>
          <w14:textFill>
            <w14:solidFill>
              <w14:schemeClr w14:val="tx1"/>
            </w14:solidFill>
          </w14:textFill>
        </w:rPr>
        <w:t xml:space="preserve">分，未提供方案的不得分。</w:t>
      </w:r>
      <w:r>
        <w:rPr>
          <w:rFonts w:hint="eastAsia" w:ascii="宋体" w:hAnsi="宋体" w:eastAsia="宋体" w:cs="宋体"/>
          <w:color w:val="000000" w:themeColor="text1"/>
          <w:highlight w:val="none"/>
          <w14:textFill>
            <w14:solidFill>
              <w14:schemeClr w14:val="tx1"/>
            </w14:solidFill>
          </w14:textFill>
        </w:rPr>
        <w:t xml:space="preserve">【0/3/5/8】</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2 镇区</w:t>
      </w:r>
      <w:r>
        <w:rPr>
          <w:rFonts w:ascii="宋体" w:hAnsi="宋体" w:cs="宋体"/>
          <w:b/>
          <w:bCs/>
          <w:color w:val="000000" w:themeColor="text1"/>
          <w:sz w:val="24"/>
          <w:szCs w:val="24"/>
          <w:highlight w:val="none"/>
          <w14:textFill>
            <w14:solidFill>
              <w14:schemeClr w14:val="tx1"/>
            </w14:solidFill>
          </w14:textFill>
        </w:rPr>
        <w:t xml:space="preserve">垃圾清运</w:t>
      </w:r>
      <w:r>
        <w:rPr>
          <w:rFonts w:hint="eastAsia" w:ascii="宋体" w:hAnsi="宋体" w:cs="宋体"/>
          <w:b/>
          <w:bCs/>
          <w:color w:val="000000" w:themeColor="text1"/>
          <w:sz w:val="24"/>
          <w:szCs w:val="24"/>
          <w:highlight w:val="none"/>
          <w14:textFill>
            <w14:solidFill>
              <w14:schemeClr w14:val="tx1"/>
            </w14:solidFill>
          </w14:textFill>
        </w:rPr>
        <w:t xml:space="preserve">及管理方案8分</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根据招标文件要求和投标人提供的镇区垃圾清运及管理方案</w:t>
      </w:r>
      <w:r>
        <w:rPr>
          <w:rFonts w:hint="eastAsia" w:ascii="宋体" w:hAnsi="宋体" w:cs="宋体"/>
          <w:color w:val="000000" w:themeColor="text1"/>
          <w:sz w:val="24"/>
          <w:szCs w:val="24"/>
          <w:highlight w:val="none"/>
          <w14:textFill>
            <w14:solidFill>
              <w14:schemeClr w14:val="tx1"/>
            </w14:solidFill>
          </w14:textFill>
        </w:rPr>
        <w:t xml:space="preserve">进行综合评分</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方案包括但不限镇区垃圾清运次数、周边卫生管理、日常巡查、清运过程中保洁车辆管理等内容。</w:t>
      </w:r>
      <w:r>
        <w:rPr>
          <w:rFonts w:ascii="宋体" w:hAnsi="宋体" w:cs="宋体"/>
          <w:color w:val="000000" w:themeColor="text1"/>
          <w:sz w:val="24"/>
          <w:szCs w:val="24"/>
          <w:highlight w:val="none"/>
          <w14:textFill>
            <w14:solidFill>
              <w14:schemeClr w14:val="tx1"/>
            </w14:solidFill>
          </w14:textFill>
        </w:rPr>
        <w:t xml:space="preserve">方案内容完整且内容详细有实质性意义的，得8分，方案内有部分内容缺失或部分内容简单无实质性意义的，得5分，方案内容简略且基本无实质性意义的，得3分，未提供方案的不得分。</w:t>
      </w:r>
      <w:r>
        <w:rPr>
          <w:rFonts w:hint="eastAsia" w:ascii="宋体" w:hAnsi="宋体" w:cs="宋体"/>
          <w:color w:val="000000" w:themeColor="text1"/>
          <w:sz w:val="24"/>
          <w:szCs w:val="24"/>
          <w:highlight w:val="none"/>
          <w14:textFill>
            <w14:solidFill>
              <w14:schemeClr w14:val="tx1"/>
            </w14:solidFill>
          </w14:textFill>
        </w:rPr>
        <w:t xml:space="preserve">【0/3/5/8】</w:t>
      </w:r>
      <w:r/>
    </w:p>
    <w:p>
      <w:pPr>
        <w:ind w:firstLine="482"/>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2.3</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大新镇新湖公园陆地、绿化带</w:t>
      </w:r>
      <w:r>
        <w:rPr>
          <w:rFonts w:hint="eastAsia" w:ascii="宋体" w:hAnsi="宋体" w:cs="宋体"/>
          <w:b/>
          <w:bCs/>
          <w:color w:val="000000" w:themeColor="text1"/>
          <w:sz w:val="24"/>
          <w:szCs w:val="24"/>
          <w:highlight w:val="none"/>
          <w14:textFill>
            <w14:solidFill>
              <w14:schemeClr w14:val="tx1"/>
            </w14:solidFill>
          </w14:textFill>
        </w:rPr>
        <w:t xml:space="preserve">、</w:t>
      </w:r>
      <w:r>
        <w:rPr>
          <w:rFonts w:ascii="宋体" w:hAnsi="宋体" w:cs="宋体"/>
          <w:b/>
          <w:bCs/>
          <w:color w:val="000000" w:themeColor="text1"/>
          <w:sz w:val="24"/>
          <w:szCs w:val="24"/>
          <w:highlight w:val="none"/>
          <w14:textFill>
            <w14:solidFill>
              <w14:schemeClr w14:val="tx1"/>
            </w14:solidFill>
          </w14:textFill>
        </w:rPr>
        <w:t xml:space="preserve">公共设施设备及湖区等日常保洁方案</w:t>
      </w:r>
      <w:r>
        <w:rPr>
          <w:rFonts w:hint="eastAsia" w:ascii="宋体" w:hAnsi="宋体" w:cs="宋体"/>
          <w:b/>
          <w:bCs/>
          <w:color w:val="000000" w:themeColor="text1"/>
          <w:sz w:val="24"/>
          <w:szCs w:val="24"/>
          <w:highlight w:val="none"/>
          <w14:textFill>
            <w14:solidFill>
              <w14:schemeClr w14:val="tx1"/>
            </w14:solidFill>
          </w14:textFill>
        </w:rPr>
        <w:t xml:space="preserve">8分</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根据招标文件要求和投标人提供的大新镇新湖公园陆地、绿化带</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公共设施设备</w:t>
      </w:r>
      <w:r>
        <w:rPr>
          <w:rFonts w:hint="eastAsia" w:ascii="宋体" w:hAnsi="宋体" w:cs="宋体"/>
          <w:color w:val="000000" w:themeColor="text1"/>
          <w:sz w:val="24"/>
          <w:szCs w:val="24"/>
          <w:highlight w:val="none"/>
          <w14:textFill>
            <w14:solidFill>
              <w14:schemeClr w14:val="tx1"/>
            </w14:solidFill>
          </w14:textFill>
        </w:rPr>
        <w:t xml:space="preserve">等的日常保洁以及</w:t>
      </w:r>
      <w:r>
        <w:rPr>
          <w:rFonts w:ascii="宋体" w:hAnsi="宋体" w:cs="宋体"/>
          <w:color w:val="000000" w:themeColor="text1"/>
          <w:sz w:val="24"/>
          <w:szCs w:val="24"/>
          <w:highlight w:val="none"/>
          <w14:textFill>
            <w14:solidFill>
              <w14:schemeClr w14:val="tx1"/>
            </w14:solidFill>
          </w14:textFill>
        </w:rPr>
        <w:t xml:space="preserve">新湖公园湖区保洁方案</w:t>
      </w:r>
      <w:r>
        <w:rPr>
          <w:rFonts w:hint="eastAsia" w:ascii="宋体" w:hAnsi="宋体" w:cs="宋体"/>
          <w:color w:val="000000" w:themeColor="text1"/>
          <w:sz w:val="24"/>
          <w:szCs w:val="24"/>
          <w:highlight w:val="none"/>
          <w14:textFill>
            <w14:solidFill>
              <w14:schemeClr w14:val="tx1"/>
            </w14:solidFill>
          </w14:textFill>
        </w:rPr>
        <w:t xml:space="preserve">进行评分。</w:t>
      </w:r>
      <w:r>
        <w:rPr>
          <w:rFonts w:ascii="宋体" w:hAnsi="宋体" w:cs="宋体"/>
          <w:color w:val="000000" w:themeColor="text1"/>
          <w:sz w:val="24"/>
          <w:szCs w:val="24"/>
          <w:highlight w:val="none"/>
          <w14:textFill>
            <w14:solidFill>
              <w14:schemeClr w14:val="tx1"/>
            </w14:solidFill>
          </w14:textFill>
        </w:rPr>
        <w:t xml:space="preserve">方案内容完整且内容详细有实质性意义的，得8分，方案内有部分内容缺失或部分内容简单无实质性意义的，得5分，方案内容简略且基本无实质性意义的，得3分，未提供方案的不得分。</w:t>
      </w:r>
      <w:r>
        <w:rPr>
          <w:rFonts w:hint="eastAsia" w:ascii="宋体" w:hAnsi="宋体" w:cs="宋体"/>
          <w:color w:val="000000" w:themeColor="text1"/>
          <w:sz w:val="24"/>
          <w:szCs w:val="24"/>
          <w:highlight w:val="none"/>
          <w14:textFill>
            <w14:solidFill>
              <w14:schemeClr w14:val="tx1"/>
            </w14:solidFill>
          </w14:textFill>
        </w:rPr>
        <w:t xml:space="preserve">【0/3/5/8】</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4 其他设施保洁和</w:t>
      </w:r>
      <w:r>
        <w:rPr>
          <w:rFonts w:ascii="宋体" w:hAnsi="宋体" w:cs="宋体"/>
          <w:b/>
          <w:bCs/>
          <w:color w:val="000000" w:themeColor="text1"/>
          <w:sz w:val="24"/>
          <w:szCs w:val="24"/>
          <w:highlight w:val="none"/>
          <w14:textFill>
            <w14:solidFill>
              <w14:schemeClr w14:val="tx1"/>
            </w14:solidFill>
          </w14:textFill>
        </w:rPr>
        <w:t xml:space="preserve">公厕管理方案8分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根据招标文件要求和投标人提供的其他设施保洁</w:t>
      </w:r>
      <w:r>
        <w:rPr>
          <w:rFonts w:hint="eastAsia" w:ascii="宋体" w:hAnsi="宋体" w:cs="宋体"/>
          <w:color w:val="000000" w:themeColor="text1"/>
          <w:sz w:val="24"/>
          <w:szCs w:val="24"/>
          <w:highlight w:val="none"/>
          <w14:textFill>
            <w14:solidFill>
              <w14:schemeClr w14:val="tx1"/>
            </w14:solidFill>
          </w14:textFill>
        </w:rPr>
        <w:t xml:space="preserve">和</w:t>
      </w:r>
      <w:r>
        <w:rPr>
          <w:rFonts w:ascii="宋体" w:hAnsi="宋体" w:cs="宋体"/>
          <w:color w:val="000000" w:themeColor="text1"/>
          <w:sz w:val="24"/>
          <w:szCs w:val="24"/>
          <w:highlight w:val="none"/>
          <w14:textFill>
            <w14:solidFill>
              <w14:schemeClr w14:val="tx1"/>
            </w14:solidFill>
          </w14:textFill>
        </w:rPr>
        <w:t xml:space="preserve">公厕管理方案进行评分。方案包括但不限于其他设施的保洁</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公厕的日常管护、保洁制度、公厕设施管理、灭蚊灭蝇、公厕卫生保洁质量等内容。方案内容完整且内容详细有实质性意义的，得8分，方案内有部分内容缺失或部分内容简单无实质性意义的，得5分，方案内容简略且基本无实质性意义的，得3分，未提供方案的不得分。【0/3/5/8】</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2.5</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垃圾压缩转运、污水处理、厨余垃圾处理和抽粪作业</w:t>
      </w:r>
      <w:r>
        <w:rPr>
          <w:rFonts w:hint="eastAsia" w:ascii="宋体" w:hAnsi="宋体" w:cs="宋体"/>
          <w:b/>
          <w:bCs/>
          <w:color w:val="000000" w:themeColor="text1"/>
          <w:sz w:val="24"/>
          <w:szCs w:val="24"/>
          <w:highlight w:val="none"/>
          <w14:textFill>
            <w14:solidFill>
              <w14:schemeClr w14:val="tx1"/>
            </w14:solidFill>
          </w14:textFill>
        </w:rPr>
        <w:t xml:space="preserve">方案8分</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根据招标文件要求和投标人提供的垃圾压缩转运、污水处理、厨余垃圾处理和抽粪作业方案</w:t>
      </w:r>
      <w:r>
        <w:rPr>
          <w:rFonts w:hint="eastAsia" w:ascii="宋体" w:hAnsi="宋体" w:cs="宋体"/>
          <w:color w:val="000000" w:themeColor="text1"/>
          <w:sz w:val="24"/>
          <w:szCs w:val="24"/>
          <w:highlight w:val="none"/>
          <w14:textFill>
            <w14:solidFill>
              <w14:schemeClr w14:val="tx1"/>
            </w14:solidFill>
          </w14:textFill>
        </w:rPr>
        <w:t xml:space="preserve">进行综合评分。</w:t>
      </w:r>
      <w:r>
        <w:rPr>
          <w:rFonts w:ascii="宋体" w:hAnsi="宋体" w:cs="宋体"/>
          <w:color w:val="000000" w:themeColor="text1"/>
          <w:sz w:val="24"/>
          <w:szCs w:val="24"/>
          <w:highlight w:val="none"/>
          <w14:textFill>
            <w14:solidFill>
              <w14:schemeClr w14:val="tx1"/>
            </w14:solidFill>
          </w14:textFill>
        </w:rPr>
        <w:t xml:space="preserve">方案包括但不限于垃圾中转站及外运</w:t>
      </w:r>
      <w:r>
        <w:rPr>
          <w:rFonts w:hint="eastAsia" w:ascii="宋体" w:hAnsi="宋体" w:cs="宋体"/>
          <w:color w:val="000000" w:themeColor="text1"/>
          <w:sz w:val="24"/>
          <w:szCs w:val="24"/>
          <w:highlight w:val="none"/>
          <w14:textFill>
            <w14:solidFill>
              <w14:schemeClr w14:val="tx1"/>
            </w14:solidFill>
          </w14:textFill>
        </w:rPr>
        <w:t xml:space="preserve">管理、设备维修维护预案、垃圾压缩站污水处理设备运行及管理、垃圾压缩站厨余垃圾处理设备的运行及管理、抽粪作业要求等内容。</w:t>
      </w:r>
      <w:r>
        <w:rPr>
          <w:rFonts w:ascii="宋体" w:hAnsi="宋体" w:cs="宋体"/>
          <w:color w:val="000000" w:themeColor="text1"/>
          <w:sz w:val="24"/>
          <w:szCs w:val="24"/>
          <w:highlight w:val="none"/>
          <w14:textFill>
            <w14:solidFill>
              <w14:schemeClr w14:val="tx1"/>
            </w14:solidFill>
          </w14:textFill>
        </w:rPr>
        <w:t xml:space="preserve">方案内容完整且内容详细有实质性意义的，得</w:t>
      </w:r>
      <w:r>
        <w:rPr>
          <w:rFonts w:hint="eastAsia" w:ascii="宋体" w:hAnsi="宋体" w:cs="宋体"/>
          <w:color w:val="000000" w:themeColor="text1"/>
          <w:sz w:val="24"/>
          <w:szCs w:val="24"/>
          <w:highlight w:val="none"/>
          <w14:textFill>
            <w14:solidFill>
              <w14:schemeClr w14:val="tx1"/>
            </w14:solidFill>
          </w14:textFill>
        </w:rPr>
        <w:t xml:space="preserve">8</w:t>
      </w:r>
      <w:r>
        <w:rPr>
          <w:rFonts w:ascii="宋体" w:hAnsi="宋体" w:cs="宋体"/>
          <w:color w:val="000000" w:themeColor="text1"/>
          <w:sz w:val="24"/>
          <w:szCs w:val="24"/>
          <w:highlight w:val="none"/>
          <w14:textFill>
            <w14:solidFill>
              <w14:schemeClr w14:val="tx1"/>
            </w14:solidFill>
          </w14:textFill>
        </w:rPr>
        <w:t xml:space="preserve">分，方案内有部分内容缺失或部分内容简单无实质性意义的，得</w:t>
      </w:r>
      <w:r>
        <w:rPr>
          <w:rFonts w:hint="eastAsia"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14:textFill>
            <w14:solidFill>
              <w14:schemeClr w14:val="tx1"/>
            </w14:solidFill>
          </w14:textFill>
        </w:rPr>
        <w:t xml:space="preserve">分，方案内容简略且基本无实质性意义的，得3分，未提供方案的不得分。</w:t>
      </w:r>
      <w:r>
        <w:rPr>
          <w:rFonts w:hint="eastAsia" w:ascii="宋体" w:hAnsi="宋体" w:cs="宋体"/>
          <w:color w:val="000000" w:themeColor="text1"/>
          <w:sz w:val="24"/>
          <w:szCs w:val="24"/>
          <w:highlight w:val="none"/>
          <w14:textFill>
            <w14:solidFill>
              <w14:schemeClr w14:val="tx1"/>
            </w14:solidFill>
          </w14:textFill>
        </w:rPr>
        <w:t xml:space="preserve">【0/3/5/8】</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2.6</w:t>
      </w:r>
      <w:r>
        <w:rPr>
          <w:rFonts w:hint="eastAsia" w:ascii="宋体" w:hAnsi="宋体" w:cs="宋体"/>
          <w:b/>
          <w:bCs/>
          <w:color w:val="000000" w:themeColor="text1"/>
          <w:sz w:val="24"/>
          <w:szCs w:val="24"/>
          <w:highlight w:val="none"/>
          <w14:textFill>
            <w14:solidFill>
              <w14:schemeClr w14:val="tx1"/>
            </w14:solidFill>
          </w14:textFill>
        </w:rPr>
        <w:t xml:space="preserve"> 病媒生物防制管理方案5分</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根据招标文件要求和投标人提供的病媒生物防制</w:t>
      </w:r>
      <w:r>
        <w:rPr>
          <w:rFonts w:hint="eastAsia" w:ascii="宋体" w:hAnsi="宋体" w:cs="宋体"/>
          <w:color w:val="000000" w:themeColor="text1"/>
          <w:sz w:val="24"/>
          <w:szCs w:val="24"/>
          <w:highlight w:val="none"/>
          <w14:textFill>
            <w14:solidFill>
              <w14:schemeClr w14:val="tx1"/>
            </w14:solidFill>
          </w14:textFill>
        </w:rPr>
        <w:t xml:space="preserve">管理</w:t>
      </w:r>
      <w:r>
        <w:rPr>
          <w:rFonts w:ascii="宋体" w:hAnsi="宋体" w:cs="宋体"/>
          <w:color w:val="000000" w:themeColor="text1"/>
          <w:sz w:val="24"/>
          <w:szCs w:val="24"/>
          <w:highlight w:val="none"/>
          <w14:textFill>
            <w14:solidFill>
              <w14:schemeClr w14:val="tx1"/>
            </w14:solidFill>
          </w14:textFill>
        </w:rPr>
        <w:t xml:space="preserve">方案</w:t>
      </w:r>
      <w:r>
        <w:rPr>
          <w:rFonts w:hint="eastAsia" w:ascii="宋体" w:hAnsi="宋体" w:cs="宋体"/>
          <w:color w:val="000000" w:themeColor="text1"/>
          <w:sz w:val="24"/>
          <w:szCs w:val="24"/>
          <w:highlight w:val="none"/>
          <w14:textFill>
            <w14:solidFill>
              <w14:schemeClr w14:val="tx1"/>
            </w14:solidFill>
          </w14:textFill>
        </w:rPr>
        <w:t xml:space="preserve">进行综合评分</w:t>
      </w:r>
      <w:r>
        <w:rPr>
          <w:rFonts w:ascii="宋体" w:hAnsi="宋体" w:cs="宋体"/>
          <w:color w:val="000000" w:themeColor="text1"/>
          <w:sz w:val="24"/>
          <w:szCs w:val="24"/>
          <w:highlight w:val="none"/>
          <w14:textFill>
            <w14:solidFill>
              <w14:schemeClr w14:val="tx1"/>
            </w14:solidFill>
          </w14:textFill>
        </w:rPr>
        <w:t xml:space="preserve">，方案包括但不限于</w:t>
      </w:r>
      <w:r>
        <w:rPr>
          <w:rFonts w:hint="eastAsia" w:ascii="宋体" w:hAnsi="宋体" w:cs="宋体"/>
          <w:color w:val="000000" w:themeColor="text1"/>
          <w:sz w:val="24"/>
          <w:szCs w:val="24"/>
          <w:highlight w:val="none"/>
          <w14:textFill>
            <w14:solidFill>
              <w14:schemeClr w14:val="tx1"/>
            </w14:solidFill>
          </w14:textFill>
        </w:rPr>
        <w:t xml:space="preserve">每周对垃圾箱（桶）、公厕进行消杀，病媒生物防制工作台帐、灭鼠灭蟑</w:t>
      </w:r>
      <w:r>
        <w:rPr>
          <w:rFonts w:ascii="宋体" w:hAnsi="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szCs w:val="24"/>
          <w:highlight w:val="none"/>
          <w14:textFill>
            <w14:solidFill>
              <w14:schemeClr w14:val="tx1"/>
            </w14:solidFill>
          </w14:textFill>
        </w:rPr>
        <w:t xml:space="preserve">内容</w:t>
      </w:r>
      <w:r>
        <w:rPr>
          <w:rFonts w:ascii="宋体" w:hAnsi="宋体" w:cs="宋体"/>
          <w:color w:val="000000" w:themeColor="text1"/>
          <w:sz w:val="24"/>
          <w:szCs w:val="24"/>
          <w:highlight w:val="none"/>
          <w14:textFill>
            <w14:solidFill>
              <w14:schemeClr w14:val="tx1"/>
            </w14:solidFill>
          </w14:textFill>
        </w:rPr>
        <w:t xml:space="preserve">。方案内容完整且内容详细有实质性意义的，得</w:t>
      </w:r>
      <w:r>
        <w:rPr>
          <w:rFonts w:hint="eastAsia"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14:textFill>
            <w14:solidFill>
              <w14:schemeClr w14:val="tx1"/>
            </w14:solidFill>
          </w14:textFill>
        </w:rPr>
        <w:t xml:space="preserve">分，方案内有部分内容缺失或部分内容简单无实质性意义的，得</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分，方案内容简略且基本无实质性意义的，得</w:t>
      </w: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cs="宋体"/>
          <w:color w:val="000000" w:themeColor="text1"/>
          <w:sz w:val="24"/>
          <w:szCs w:val="24"/>
          <w:highlight w:val="none"/>
          <w14:textFill>
            <w14:solidFill>
              <w14:schemeClr w14:val="tx1"/>
            </w14:solidFill>
          </w14:textFill>
        </w:rPr>
        <w:t xml:space="preserve">【0/1/3/5】</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2.7 </w:t>
      </w:r>
      <w:r>
        <w:rPr>
          <w:rFonts w:ascii="宋体" w:hAnsi="宋体" w:cs="宋体"/>
          <w:b/>
          <w:bCs/>
          <w:color w:val="000000" w:themeColor="text1"/>
          <w:sz w:val="24"/>
          <w:szCs w:val="24"/>
          <w:highlight w:val="none"/>
          <w14:textFill>
            <w14:solidFill>
              <w14:schemeClr w14:val="tx1"/>
            </w14:solidFill>
          </w14:textFill>
        </w:rPr>
        <w:t xml:space="preserve">大新镇敞开式小区（</w:t>
      </w:r>
      <w:r>
        <w:rPr>
          <w:rFonts w:hint="eastAsia" w:ascii="宋体" w:hAnsi="宋体" w:cs="宋体"/>
          <w:b/>
          <w:bCs/>
          <w:color w:val="000000" w:themeColor="text1"/>
          <w:sz w:val="24"/>
          <w:szCs w:val="24"/>
          <w:highlight w:val="none"/>
          <w:lang w:eastAsia="zh-CN"/>
          <w14:textFill>
            <w14:solidFill>
              <w14:schemeClr w14:val="tx1"/>
            </w14:solidFill>
          </w14:textFill>
        </w:rPr>
        <w:t xml:space="preserve">13个点位</w:t>
      </w:r>
      <w:r>
        <w:rPr>
          <w:rFonts w:ascii="宋体" w:hAnsi="宋体" w:cs="宋体"/>
          <w:b/>
          <w:bCs/>
          <w:color w:val="000000" w:themeColor="text1"/>
          <w:sz w:val="24"/>
          <w:szCs w:val="24"/>
          <w:highlight w:val="none"/>
          <w14:textFill>
            <w14:solidFill>
              <w14:schemeClr w14:val="tx1"/>
            </w14:solidFill>
          </w14:textFill>
        </w:rPr>
        <w:t xml:space="preserve">）垃圾分类管理方案</w:t>
      </w:r>
      <w:r>
        <w:rPr>
          <w:rFonts w:hint="eastAsia" w:ascii="宋体" w:hAnsi="宋体" w:cs="宋体"/>
          <w:b/>
          <w:bCs/>
          <w:color w:val="000000" w:themeColor="text1"/>
          <w:sz w:val="24"/>
          <w:szCs w:val="24"/>
          <w:highlight w:val="none"/>
          <w14:textFill>
            <w14:solidFill>
              <w14:schemeClr w14:val="tx1"/>
            </w14:solidFill>
          </w14:textFill>
        </w:rPr>
        <w:t xml:space="preserve">8分</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根据招标文件要求和投标人提供的大新镇敞开式小区（</w:t>
      </w:r>
      <w:r>
        <w:rPr>
          <w:rFonts w:hint="eastAsia" w:ascii="宋体" w:hAnsi="宋体" w:cs="宋体"/>
          <w:color w:val="000000" w:themeColor="text1"/>
          <w:sz w:val="24"/>
          <w:szCs w:val="24"/>
          <w:highlight w:val="none"/>
          <w:lang w:eastAsia="zh-CN"/>
          <w14:textFill>
            <w14:solidFill>
              <w14:schemeClr w14:val="tx1"/>
            </w14:solidFill>
          </w14:textFill>
        </w:rPr>
        <w:t xml:space="preserve">13个点位</w:t>
      </w:r>
      <w:r>
        <w:rPr>
          <w:rFonts w:ascii="宋体" w:hAnsi="宋体" w:cs="宋体"/>
          <w:color w:val="000000" w:themeColor="text1"/>
          <w:sz w:val="24"/>
          <w:szCs w:val="24"/>
          <w:highlight w:val="none"/>
          <w14:textFill>
            <w14:solidFill>
              <w14:schemeClr w14:val="tx1"/>
            </w14:solidFill>
          </w14:textFill>
        </w:rPr>
        <w:t xml:space="preserve">）垃圾分类管理方案</w:t>
      </w:r>
      <w:r>
        <w:rPr>
          <w:rFonts w:hint="eastAsia" w:ascii="宋体" w:hAnsi="宋体" w:cs="宋体"/>
          <w:color w:val="000000" w:themeColor="text1"/>
          <w:sz w:val="24"/>
          <w:szCs w:val="24"/>
          <w:highlight w:val="none"/>
          <w14:textFill>
            <w14:solidFill>
              <w14:schemeClr w14:val="tx1"/>
            </w14:solidFill>
          </w14:textFill>
        </w:rPr>
        <w:t xml:space="preserve">进行综合评分</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方案包括但不限于辖区内垃圾分类的宣传指导监督、管理制度、辖区垃圾分类亭、桶及周边卫生的清洁消杀工作、垃圾分类二次分拣等内容。</w:t>
      </w:r>
      <w:r>
        <w:rPr>
          <w:rFonts w:ascii="宋体" w:hAnsi="宋体" w:cs="宋体"/>
          <w:color w:val="000000" w:themeColor="text1"/>
          <w:sz w:val="24"/>
          <w:szCs w:val="24"/>
          <w:highlight w:val="none"/>
          <w14:textFill>
            <w14:solidFill>
              <w14:schemeClr w14:val="tx1"/>
            </w14:solidFill>
          </w14:textFill>
        </w:rPr>
        <w:t xml:space="preserve">方案内容完整且内容详细有实质性意义的，得8分，方案内有部分内容缺失或部分内容简单无实质性意义的，得5分，方案内容简略且基本无实质性意义的，得3分，未提供方案的不得分。</w:t>
      </w:r>
      <w:r>
        <w:rPr>
          <w:rFonts w:hint="eastAsia" w:ascii="宋体" w:hAnsi="宋体" w:cs="宋体"/>
          <w:color w:val="000000" w:themeColor="text1"/>
          <w:sz w:val="24"/>
          <w:szCs w:val="24"/>
          <w:highlight w:val="none"/>
          <w14:textFill>
            <w14:solidFill>
              <w14:schemeClr w14:val="tx1"/>
            </w14:solidFill>
          </w14:textFill>
        </w:rPr>
        <w:t xml:space="preserve">【0/3/5/8】</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8 </w:t>
      </w:r>
      <w:r>
        <w:rPr>
          <w:rFonts w:ascii="宋体" w:hAnsi="宋体" w:cs="宋体"/>
          <w:b/>
          <w:bCs/>
          <w:color w:val="000000" w:themeColor="text1"/>
          <w:sz w:val="24"/>
          <w:szCs w:val="24"/>
          <w:highlight w:val="none"/>
          <w14:textFill>
            <w14:solidFill>
              <w14:schemeClr w14:val="tx1"/>
            </w14:solidFill>
          </w14:textFill>
        </w:rPr>
        <w:t xml:space="preserve">进退场交接方案</w:t>
      </w:r>
      <w:r>
        <w:rPr>
          <w:rFonts w:hint="eastAsia" w:ascii="宋体" w:hAnsi="宋体" w:cs="宋体"/>
          <w:b/>
          <w:bCs/>
          <w:color w:val="000000" w:themeColor="text1"/>
          <w:sz w:val="24"/>
          <w:szCs w:val="24"/>
          <w:highlight w:val="none"/>
          <w14:textFill>
            <w14:solidFill>
              <w14:schemeClr w14:val="tx1"/>
            </w14:solidFill>
          </w14:textFill>
        </w:rPr>
        <w:t xml:space="preserve">5分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根据投标人提供的进退场方案进行综合评</w:t>
      </w:r>
      <w:r>
        <w:rPr>
          <w:rFonts w:hint="eastAsia" w:ascii="宋体" w:hAnsi="宋体" w:cs="宋体"/>
          <w:color w:val="000000" w:themeColor="text1"/>
          <w:sz w:val="24"/>
          <w:szCs w:val="24"/>
          <w:highlight w:val="none"/>
          <w14:textFill>
            <w14:solidFill>
              <w14:schemeClr w14:val="tx1"/>
            </w14:solidFill>
          </w14:textFill>
        </w:rPr>
        <w:t xml:space="preserve">分。方案包括但不限于确认责任人、交接内容、交接时间、交接方式、交接记录、交接人员、监督检查等内容。</w:t>
      </w:r>
      <w:r>
        <w:rPr>
          <w:rFonts w:ascii="宋体" w:hAnsi="宋体" w:cs="宋体"/>
          <w:color w:val="000000" w:themeColor="text1"/>
          <w:sz w:val="24"/>
          <w:szCs w:val="24"/>
          <w:highlight w:val="none"/>
          <w14:textFill>
            <w14:solidFill>
              <w14:schemeClr w14:val="tx1"/>
            </w14:solidFill>
          </w14:textFill>
        </w:rPr>
        <w:t xml:space="preserve">方案内容完整且内容详细有实质性意义的，得</w:t>
      </w:r>
      <w:r>
        <w:rPr>
          <w:rFonts w:hint="eastAsia"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14:textFill>
            <w14:solidFill>
              <w14:schemeClr w14:val="tx1"/>
            </w14:solidFill>
          </w14:textFill>
        </w:rPr>
        <w:t xml:space="preserve">分，方案内有部分内容缺失或部分内容简单无实质性意义的，得</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分，方案内容简略且基本无实质性意义的，得</w:t>
      </w: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cs="宋体"/>
          <w:color w:val="000000" w:themeColor="text1"/>
          <w:sz w:val="24"/>
          <w:szCs w:val="24"/>
          <w:highlight w:val="none"/>
          <w14:textFill>
            <w14:solidFill>
              <w14:schemeClr w14:val="tx1"/>
            </w14:solidFill>
          </w14:textFill>
        </w:rPr>
        <w:t xml:space="preserve">【0/1/3/5】</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9 </w:t>
      </w:r>
      <w:r>
        <w:rPr>
          <w:rFonts w:ascii="宋体" w:hAnsi="宋体" w:cs="宋体"/>
          <w:b/>
          <w:bCs/>
          <w:color w:val="000000" w:themeColor="text1"/>
          <w:sz w:val="24"/>
          <w:szCs w:val="24"/>
          <w:highlight w:val="none"/>
          <w14:textFill>
            <w14:solidFill>
              <w14:schemeClr w14:val="tx1"/>
            </w14:solidFill>
          </w14:textFill>
        </w:rPr>
        <w:t xml:space="preserve">应急</w:t>
      </w:r>
      <w:r>
        <w:rPr>
          <w:rFonts w:hint="eastAsia" w:ascii="宋体" w:hAnsi="宋体" w:cs="宋体"/>
          <w:b/>
          <w:bCs/>
          <w:color w:val="000000" w:themeColor="text1"/>
          <w:sz w:val="24"/>
          <w:szCs w:val="24"/>
          <w:highlight w:val="none"/>
          <w14:textFill>
            <w14:solidFill>
              <w14:schemeClr w14:val="tx1"/>
            </w14:solidFill>
          </w14:textFill>
        </w:rPr>
        <w:t xml:space="preserve">措施</w:t>
      </w:r>
      <w:r>
        <w:rPr>
          <w:rFonts w:ascii="宋体" w:hAnsi="宋体" w:cs="宋体"/>
          <w:b/>
          <w:bCs/>
          <w:color w:val="000000" w:themeColor="text1"/>
          <w:sz w:val="24"/>
          <w:szCs w:val="24"/>
          <w:highlight w:val="none"/>
          <w14:textFill>
            <w14:solidFill>
              <w14:schemeClr w14:val="tx1"/>
            </w14:solidFill>
          </w14:textFill>
        </w:rPr>
        <w:t xml:space="preserve">方案</w:t>
      </w:r>
      <w:r>
        <w:rPr>
          <w:rFonts w:hint="eastAsia" w:ascii="宋体" w:hAnsi="宋体" w:cs="宋体"/>
          <w:b/>
          <w:bCs/>
          <w:color w:val="000000" w:themeColor="text1"/>
          <w:sz w:val="24"/>
          <w:szCs w:val="24"/>
          <w:highlight w:val="none"/>
          <w14:textFill>
            <w14:solidFill>
              <w14:schemeClr w14:val="tx1"/>
            </w14:solidFill>
          </w14:textFill>
        </w:rPr>
        <w:t xml:space="preserve">5分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根据投标人提供的应急措施方案进行综合评</w:t>
      </w:r>
      <w:r>
        <w:rPr>
          <w:rFonts w:hint="eastAsia" w:ascii="宋体" w:hAnsi="宋体" w:cs="宋体"/>
          <w:color w:val="000000" w:themeColor="text1"/>
          <w:sz w:val="24"/>
          <w:szCs w:val="24"/>
          <w:highlight w:val="none"/>
          <w14:textFill>
            <w14:solidFill>
              <w14:schemeClr w14:val="tx1"/>
            </w14:solidFill>
          </w14:textFill>
        </w:rPr>
        <w:t xml:space="preserve">分。</w:t>
      </w:r>
      <w:r>
        <w:rPr>
          <w:rFonts w:ascii="宋体" w:hAnsi="宋体" w:cs="宋体"/>
          <w:color w:val="000000" w:themeColor="text1"/>
          <w:sz w:val="24"/>
          <w:szCs w:val="24"/>
          <w:highlight w:val="none"/>
          <w14:textFill>
            <w14:solidFill>
              <w14:schemeClr w14:val="tx1"/>
            </w14:solidFill>
          </w14:textFill>
        </w:rPr>
        <w:t xml:space="preserve">方案包括但不限于</w:t>
      </w:r>
      <w:r>
        <w:rPr>
          <w:rFonts w:hint="eastAsia" w:ascii="宋体" w:hAnsi="宋体" w:cs="宋体"/>
          <w:color w:val="000000" w:themeColor="text1"/>
          <w:sz w:val="24"/>
          <w:szCs w:val="24"/>
          <w:highlight w:val="none"/>
          <w14:textFill>
            <w14:solidFill>
              <w14:schemeClr w14:val="tx1"/>
            </w14:solidFill>
          </w14:textFill>
        </w:rPr>
        <w:t xml:space="preserve">应急保障服务、应急保障机制、台风或大雨后的突击清理、应急设施、应急演练、应急培训等内容。</w:t>
      </w:r>
      <w:r>
        <w:rPr>
          <w:rFonts w:ascii="宋体" w:hAnsi="宋体" w:cs="宋体"/>
          <w:color w:val="000000" w:themeColor="text1"/>
          <w:sz w:val="24"/>
          <w:szCs w:val="24"/>
          <w:highlight w:val="none"/>
          <w14:textFill>
            <w14:solidFill>
              <w14:schemeClr w14:val="tx1"/>
            </w14:solidFill>
          </w14:textFill>
        </w:rPr>
        <w:t xml:space="preserve">内容完整且内容详细有实质性意义的</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14:textFill>
            <w14:solidFill>
              <w14:schemeClr w14:val="tx1"/>
            </w14:solidFill>
          </w14:textFill>
        </w:rPr>
        <w:t xml:space="preserve">分，方案内有部分内容缺失或部分内容简单无实质性意义的</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分，方案内容简略且基本无实质性意义的</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cs="宋体"/>
          <w:color w:val="000000" w:themeColor="text1"/>
          <w:sz w:val="24"/>
          <w:szCs w:val="24"/>
          <w:highlight w:val="none"/>
          <w14:textFill>
            <w14:solidFill>
              <w14:schemeClr w14:val="tx1"/>
            </w14:solidFill>
          </w14:textFill>
        </w:rPr>
        <w:t xml:space="preserve">【0/1/3/5】</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10 </w:t>
      </w:r>
      <w:r>
        <w:rPr>
          <w:rFonts w:ascii="宋体" w:hAnsi="宋体" w:cs="宋体"/>
          <w:b/>
          <w:bCs/>
          <w:color w:val="000000" w:themeColor="text1"/>
          <w:sz w:val="24"/>
          <w:szCs w:val="24"/>
          <w:highlight w:val="none"/>
          <w14:textFill>
            <w14:solidFill>
              <w14:schemeClr w14:val="tx1"/>
            </w14:solidFill>
          </w14:textFill>
        </w:rPr>
        <w:t xml:space="preserve">重大活动保障方案</w:t>
      </w:r>
      <w:r>
        <w:rPr>
          <w:rFonts w:hint="eastAsia" w:ascii="宋体" w:hAnsi="宋体" w:cs="宋体"/>
          <w:b/>
          <w:bCs/>
          <w:color w:val="000000" w:themeColor="text1"/>
          <w:sz w:val="24"/>
          <w:szCs w:val="24"/>
          <w:highlight w:val="none"/>
          <w14:textFill>
            <w14:solidFill>
              <w14:schemeClr w14:val="tx1"/>
            </w14:solidFill>
          </w14:textFill>
        </w:rPr>
        <w:t xml:space="preserve">5分</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根据投标人提供的重大活动保障方案进行综合评</w:t>
      </w:r>
      <w:r>
        <w:rPr>
          <w:rFonts w:hint="eastAsia" w:ascii="宋体" w:hAnsi="宋体" w:cs="宋体"/>
          <w:color w:val="000000" w:themeColor="text1"/>
          <w:sz w:val="24"/>
          <w:szCs w:val="24"/>
          <w:highlight w:val="none"/>
          <w14:textFill>
            <w14:solidFill>
              <w14:schemeClr w14:val="tx1"/>
            </w14:solidFill>
          </w14:textFill>
        </w:rPr>
        <w:t xml:space="preserve">分。</w:t>
      </w:r>
      <w:r>
        <w:rPr>
          <w:rFonts w:ascii="宋体" w:hAnsi="宋体" w:cs="宋体"/>
          <w:color w:val="000000" w:themeColor="text1"/>
          <w:sz w:val="24"/>
          <w:szCs w:val="24"/>
          <w:highlight w:val="none"/>
          <w14:textFill>
            <w14:solidFill>
              <w14:schemeClr w14:val="tx1"/>
            </w14:solidFill>
          </w14:textFill>
        </w:rPr>
        <w:t xml:space="preserve">方案包括但不限于</w:t>
      </w:r>
      <w:r>
        <w:rPr>
          <w:rFonts w:hint="eastAsia" w:ascii="宋体" w:hAnsi="宋体" w:cs="宋体"/>
          <w:color w:val="000000" w:themeColor="text1"/>
          <w:sz w:val="24"/>
          <w:szCs w:val="24"/>
          <w:highlight w:val="none"/>
          <w14:textFill>
            <w14:solidFill>
              <w14:schemeClr w14:val="tx1"/>
            </w14:solidFill>
          </w14:textFill>
        </w:rPr>
        <w:t xml:space="preserve">安全保障、环境保护措施、应急预案、</w:t>
      </w:r>
      <w:r>
        <w:rPr>
          <w:rFonts w:ascii="宋体" w:hAnsi="宋体" w:cs="宋体"/>
          <w:color w:val="000000" w:themeColor="text1"/>
          <w:sz w:val="24"/>
          <w:szCs w:val="24"/>
          <w:highlight w:val="none"/>
          <w14:textFill>
            <w14:solidFill>
              <w14:schemeClr w14:val="tx1"/>
            </w14:solidFill>
          </w14:textFill>
        </w:rPr>
        <w:t xml:space="preserve">组织保障</w:t>
      </w:r>
      <w:r>
        <w:rPr>
          <w:rFonts w:hint="eastAsia" w:ascii="宋体" w:hAnsi="宋体" w:cs="宋体"/>
          <w:color w:val="000000" w:themeColor="text1"/>
          <w:sz w:val="24"/>
          <w:szCs w:val="24"/>
          <w:highlight w:val="none"/>
          <w14:textFill>
            <w14:solidFill>
              <w14:schemeClr w14:val="tx1"/>
            </w14:solidFill>
          </w14:textFill>
        </w:rPr>
        <w:t xml:space="preserve">、卫生文明创建等内容。</w:t>
      </w:r>
      <w:r>
        <w:rPr>
          <w:rFonts w:ascii="宋体" w:hAnsi="宋体" w:cs="宋体"/>
          <w:color w:val="000000" w:themeColor="text1"/>
          <w:sz w:val="24"/>
          <w:szCs w:val="24"/>
          <w:highlight w:val="none"/>
          <w14:textFill>
            <w14:solidFill>
              <w14:schemeClr w14:val="tx1"/>
            </w14:solidFill>
          </w14:textFill>
        </w:rPr>
        <w:t xml:space="preserve">内容完整且内容详细有实质性意义的，得</w:t>
      </w:r>
      <w:r>
        <w:rPr>
          <w:rFonts w:hint="eastAsia" w:ascii="宋体" w:hAnsi="宋体" w:cs="宋体"/>
          <w:color w:val="000000" w:themeColor="text1"/>
          <w:sz w:val="24"/>
          <w:szCs w:val="24"/>
          <w:highlight w:val="none"/>
          <w14:textFill>
            <w14:solidFill>
              <w14:schemeClr w14:val="tx1"/>
            </w14:solidFill>
          </w14:textFill>
        </w:rPr>
        <w:t xml:space="preserve">5</w:t>
      </w:r>
      <w:r>
        <w:rPr>
          <w:rFonts w:ascii="宋体" w:hAnsi="宋体" w:cs="宋体"/>
          <w:color w:val="000000" w:themeColor="text1"/>
          <w:sz w:val="24"/>
          <w:szCs w:val="24"/>
          <w:highlight w:val="none"/>
          <w14:textFill>
            <w14:solidFill>
              <w14:schemeClr w14:val="tx1"/>
            </w14:solidFill>
          </w14:textFill>
        </w:rPr>
        <w:t xml:space="preserve">分，方案内有部分内容缺失或部分内容简单无实质性意义的，得</w:t>
      </w:r>
      <w:r>
        <w:rPr>
          <w:rFonts w:hint="eastAsia" w:ascii="宋体" w:hAnsi="宋体" w:cs="宋体"/>
          <w:color w:val="000000" w:themeColor="text1"/>
          <w:sz w:val="24"/>
          <w:szCs w:val="24"/>
          <w:highlight w:val="none"/>
          <w14:textFill>
            <w14:solidFill>
              <w14:schemeClr w14:val="tx1"/>
            </w14:solidFill>
          </w14:textFill>
        </w:rPr>
        <w:t xml:space="preserve">3</w:t>
      </w:r>
      <w:r>
        <w:rPr>
          <w:rFonts w:ascii="宋体" w:hAnsi="宋体" w:cs="宋体"/>
          <w:color w:val="000000" w:themeColor="text1"/>
          <w:sz w:val="24"/>
          <w:szCs w:val="24"/>
          <w:highlight w:val="none"/>
          <w14:textFill>
            <w14:solidFill>
              <w14:schemeClr w14:val="tx1"/>
            </w14:solidFill>
          </w14:textFill>
        </w:rPr>
        <w:t xml:space="preserve">分，方案内容简略且基本无实质性意义的，得</w:t>
      </w:r>
      <w:r>
        <w:rPr>
          <w:rFonts w:hint="eastAsia" w:ascii="宋体" w:hAnsi="宋体" w:cs="宋体"/>
          <w:color w:val="000000" w:themeColor="text1"/>
          <w:sz w:val="24"/>
          <w:szCs w:val="24"/>
          <w:highlight w:val="none"/>
          <w14:textFill>
            <w14:solidFill>
              <w14:schemeClr w14:val="tx1"/>
            </w14:solidFill>
          </w14:textFill>
        </w:rPr>
        <w:t xml:space="preserve">1</w:t>
      </w:r>
      <w:r>
        <w:rPr>
          <w:rFonts w:ascii="宋体" w:hAnsi="宋体" w:cs="宋体"/>
          <w:color w:val="000000" w:themeColor="text1"/>
          <w:sz w:val="24"/>
          <w:szCs w:val="24"/>
          <w:highlight w:val="none"/>
          <w14:textFill>
            <w14:solidFill>
              <w14:schemeClr w14:val="tx1"/>
            </w14:solidFill>
          </w14:textFill>
        </w:rPr>
        <w:t xml:space="preserve">分，未提供方案的不得分。</w:t>
      </w:r>
      <w:r>
        <w:rPr>
          <w:rFonts w:hint="eastAsia" w:ascii="宋体" w:hAnsi="宋体" w:cs="宋体"/>
          <w:color w:val="000000" w:themeColor="text1"/>
          <w:sz w:val="24"/>
          <w:szCs w:val="24"/>
          <w:highlight w:val="none"/>
          <w14:textFill>
            <w14:solidFill>
              <w14:schemeClr w14:val="tx1"/>
            </w14:solidFill>
          </w14:textFill>
        </w:rPr>
        <w:t xml:space="preserve">【0/1/3/5】</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2.1</w:t>
      </w:r>
      <w:r>
        <w:rPr>
          <w:rFonts w:hint="eastAsia" w:ascii="宋体" w:hAnsi="宋体" w:cs="宋体"/>
          <w:b/>
          <w:bCs/>
          <w:color w:val="000000" w:themeColor="text1"/>
          <w:sz w:val="24"/>
          <w:szCs w:val="24"/>
          <w:highlight w:val="none"/>
          <w14:textFill>
            <w14:solidFill>
              <w14:schemeClr w14:val="tx1"/>
            </w14:solidFill>
          </w14:textFill>
        </w:rPr>
        <w:t xml:space="preserve">1 </w:t>
      </w:r>
      <w:r>
        <w:rPr>
          <w:rFonts w:ascii="宋体" w:hAnsi="宋体" w:cs="宋体"/>
          <w:b/>
          <w:bCs/>
          <w:color w:val="000000" w:themeColor="text1"/>
          <w:sz w:val="24"/>
          <w:szCs w:val="24"/>
          <w:highlight w:val="none"/>
          <w14:textFill>
            <w14:solidFill>
              <w14:schemeClr w14:val="tx1"/>
            </w14:solidFill>
          </w14:textFill>
        </w:rPr>
        <w:t xml:space="preserve">突击整治</w:t>
      </w:r>
      <w:r>
        <w:rPr>
          <w:rFonts w:hint="eastAsia" w:ascii="宋体" w:hAnsi="宋体" w:cs="宋体"/>
          <w:b/>
          <w:bCs/>
          <w:color w:val="000000" w:themeColor="text1"/>
          <w:sz w:val="24"/>
          <w:szCs w:val="24"/>
          <w:highlight w:val="none"/>
          <w14:textFill>
            <w14:solidFill>
              <w14:schemeClr w14:val="tx1"/>
            </w14:solidFill>
          </w14:textFill>
        </w:rPr>
        <w:t xml:space="preserve">及安全文明管理方案5分</w:t>
      </w:r>
      <w:r/>
    </w:p>
    <w:p>
      <w:pPr>
        <w:pStyle w:val="1058"/>
        <w:ind w:firstLine="48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根据投标人提供的突击整治</w:t>
      </w:r>
      <w:r>
        <w:rPr>
          <w:rFonts w:hint="eastAsia" w:ascii="宋体" w:hAnsi="宋体" w:eastAsia="宋体" w:cs="宋体"/>
          <w:color w:val="000000" w:themeColor="text1"/>
          <w:highlight w:val="none"/>
          <w14:textFill>
            <w14:solidFill>
              <w14:schemeClr w14:val="tx1"/>
            </w14:solidFill>
          </w14:textFill>
        </w:rPr>
        <w:t xml:space="preserve">及安全文明管理方案</w:t>
      </w:r>
      <w:r>
        <w:rPr>
          <w:rFonts w:ascii="宋体" w:hAnsi="宋体" w:eastAsia="宋体" w:cs="宋体"/>
          <w:color w:val="000000" w:themeColor="text1"/>
          <w:highlight w:val="none"/>
          <w14:textFill>
            <w14:solidFill>
              <w14:schemeClr w14:val="tx1"/>
            </w14:solidFill>
          </w14:textFill>
        </w:rPr>
        <w:t xml:space="preserve">进行综合评</w:t>
      </w:r>
      <w:r>
        <w:rPr>
          <w:rFonts w:hint="eastAsia" w:ascii="宋体" w:hAnsi="宋体" w:eastAsia="宋体" w:cs="宋体"/>
          <w:color w:val="000000" w:themeColor="text1"/>
          <w:highlight w:val="none"/>
          <w14:textFill>
            <w14:solidFill>
              <w14:schemeClr w14:val="tx1"/>
            </w14:solidFill>
          </w14:textFill>
        </w:rPr>
        <w:t xml:space="preserve">分。方案内容包括但不限于突击整治方案、安全教育、安全标准、文明管理等内容。</w:t>
      </w:r>
      <w:r>
        <w:rPr>
          <w:rFonts w:ascii="宋体" w:hAnsi="宋体" w:eastAsia="宋体" w:cs="宋体"/>
          <w:color w:val="000000" w:themeColor="text1"/>
          <w:highlight w:val="none"/>
          <w14:textFill>
            <w14:solidFill>
              <w14:schemeClr w14:val="tx1"/>
            </w14:solidFill>
          </w14:textFill>
        </w:rPr>
        <w:t xml:space="preserve">内容完整且内容详细有实质性意义的，得</w:t>
      </w:r>
      <w:r>
        <w:rPr>
          <w:rFonts w:hint="eastAsia" w:ascii="宋体" w:hAnsi="宋体" w:eastAsia="宋体" w:cs="宋体"/>
          <w:color w:val="000000" w:themeColor="text1"/>
          <w:highlight w:val="none"/>
          <w14:textFill>
            <w14:solidFill>
              <w14:schemeClr w14:val="tx1"/>
            </w14:solidFill>
          </w14:textFill>
        </w:rPr>
        <w:t xml:space="preserve">5</w:t>
      </w:r>
      <w:r>
        <w:rPr>
          <w:rFonts w:ascii="宋体" w:hAnsi="宋体" w:eastAsia="宋体" w:cs="宋体"/>
          <w:color w:val="000000" w:themeColor="text1"/>
          <w:highlight w:val="none"/>
          <w14:textFill>
            <w14:solidFill>
              <w14:schemeClr w14:val="tx1"/>
            </w14:solidFill>
          </w14:textFill>
        </w:rPr>
        <w:t xml:space="preserve">分，方案内有部分内容缺失或部分内容简单无实质性意义的，得</w:t>
      </w:r>
      <w:r>
        <w:rPr>
          <w:rFonts w:hint="eastAsia" w:ascii="宋体" w:hAnsi="宋体" w:eastAsia="宋体" w:cs="宋体"/>
          <w:color w:val="000000" w:themeColor="text1"/>
          <w:highlight w:val="none"/>
          <w14:textFill>
            <w14:solidFill>
              <w14:schemeClr w14:val="tx1"/>
            </w14:solidFill>
          </w14:textFill>
        </w:rPr>
        <w:t xml:space="preserve">3</w:t>
      </w:r>
      <w:r>
        <w:rPr>
          <w:rFonts w:ascii="宋体" w:hAnsi="宋体" w:eastAsia="宋体" w:cs="宋体"/>
          <w:color w:val="000000" w:themeColor="text1"/>
          <w:highlight w:val="none"/>
          <w14:textFill>
            <w14:solidFill>
              <w14:schemeClr w14:val="tx1"/>
            </w14:solidFill>
          </w14:textFill>
        </w:rPr>
        <w:t xml:space="preserve">分，方案内容简略且基本无实质性意义的，得</w:t>
      </w:r>
      <w:r>
        <w:rPr>
          <w:rFonts w:hint="eastAsia" w:ascii="宋体" w:hAnsi="宋体" w:eastAsia="宋体" w:cs="宋体"/>
          <w:color w:val="000000" w:themeColor="text1"/>
          <w:highlight w:val="none"/>
          <w14:textFill>
            <w14:solidFill>
              <w14:schemeClr w14:val="tx1"/>
            </w14:solidFill>
          </w14:textFill>
        </w:rPr>
        <w:t xml:space="preserve">1</w:t>
      </w:r>
      <w:r>
        <w:rPr>
          <w:rFonts w:ascii="宋体" w:hAnsi="宋体" w:eastAsia="宋体" w:cs="宋体"/>
          <w:color w:val="000000" w:themeColor="text1"/>
          <w:highlight w:val="none"/>
          <w14:textFill>
            <w14:solidFill>
              <w14:schemeClr w14:val="tx1"/>
            </w14:solidFill>
          </w14:textFill>
        </w:rPr>
        <w:t xml:space="preserve">分，未提供方案的不得分。</w:t>
      </w:r>
      <w:r>
        <w:rPr>
          <w:rFonts w:hint="eastAsia" w:ascii="宋体" w:hAnsi="宋体" w:eastAsia="宋体" w:cs="宋体"/>
          <w:color w:val="000000" w:themeColor="text1"/>
          <w:highlight w:val="none"/>
          <w14:textFill>
            <w14:solidFill>
              <w14:schemeClr w14:val="tx1"/>
            </w14:solidFill>
          </w14:textFill>
        </w:rPr>
        <w:t xml:space="preserve">【0/</w:t>
      </w:r>
      <w:r>
        <w:rPr>
          <w:rFonts w:hint="eastAsia" w:ascii="宋体" w:hAnsi="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3</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5</w:t>
      </w:r>
      <w:r>
        <w:rPr>
          <w:rFonts w:hint="eastAsia" w:ascii="宋体" w:hAnsi="宋体" w:eastAsia="宋体" w:cs="宋体"/>
          <w:color w:val="000000" w:themeColor="text1"/>
          <w:highlight w:val="none"/>
          <w14:textFill>
            <w14:solidFill>
              <w14:schemeClr w14:val="tx1"/>
            </w14:solidFill>
          </w14:textFill>
        </w:rPr>
        <w:t xml:space="preserve">】</w:t>
      </w:r>
      <w:r/>
    </w:p>
    <w:p>
      <w:pPr>
        <w:pStyle w:val="1058"/>
        <w:ind w:firstLine="482"/>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（三）履约能力分 12.0 分</w:t>
      </w:r>
      <w:r/>
    </w:p>
    <w:p>
      <w:pPr>
        <w:pStyle w:val="1058"/>
        <w:ind w:firstLine="482"/>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3.1 类似项目业绩6分</w:t>
      </w:r>
      <w:r/>
    </w:p>
    <w:p>
      <w:pPr>
        <w:pStyle w:val="1058"/>
        <w:ind w:firstLine="480"/>
        <w:spacing w:line="360" w:lineRule="auto"/>
        <w:widowControl w:val="off"/>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投标人提供2023年1月1日以来（以合同签订时间为准）的类似项目业绩，每提供一份有效业绩的，得2分，最多得6分。</w:t>
      </w:r>
      <w:r>
        <w:rPr>
          <w:rFonts w:hint="eastAsia" w:ascii="宋体" w:hAnsi="宋体" w:eastAsia="宋体" w:cs="宋体"/>
          <w:b/>
          <w:bCs/>
          <w:color w:val="000000" w:themeColor="text1"/>
          <w:highlight w:val="none"/>
          <w14:textFill>
            <w14:solidFill>
              <w14:schemeClr w14:val="tx1"/>
            </w14:solidFill>
          </w14:textFill>
        </w:rPr>
        <w:t xml:space="preserve">（请在投标文件中提供合同的扫描件，合同中须反映出相关内容，如合同中不能反映，须提供其他材料予以佐证，不提供的不得分）</w:t>
      </w:r>
      <w:r>
        <w:rPr>
          <w:rFonts w:hint="eastAsia" w:ascii="宋体" w:hAnsi="宋体" w:eastAsia="宋体" w:cs="宋体"/>
          <w:color w:val="000000" w:themeColor="text1"/>
          <w:highlight w:val="none"/>
          <w14:textFill>
            <w14:solidFill>
              <w14:schemeClr w14:val="tx1"/>
            </w14:solidFill>
          </w14:textFill>
        </w:rPr>
        <w:t xml:space="preserve">【0/2/4/6】</w:t>
      </w:r>
      <w:r/>
    </w:p>
    <w:p>
      <w:pPr>
        <w:ind w:firstLine="482"/>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3.</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szCs w:val="24"/>
          <w:highlight w:val="none"/>
          <w14:textFill>
            <w14:solidFill>
              <w14:schemeClr w14:val="tx1"/>
            </w14:solidFill>
          </w14:textFill>
        </w:rPr>
        <w:t xml:space="preserve"> </w:t>
      </w:r>
      <w:r>
        <w:rPr>
          <w:rFonts w:ascii="宋体" w:hAnsi="宋体" w:cs="宋体"/>
          <w:b/>
          <w:bCs/>
          <w:color w:val="000000" w:themeColor="text1"/>
          <w:sz w:val="24"/>
          <w:szCs w:val="24"/>
          <w:highlight w:val="none"/>
          <w14:textFill>
            <w14:solidFill>
              <w14:schemeClr w14:val="tx1"/>
            </w14:solidFill>
          </w14:textFill>
        </w:rPr>
        <w:t xml:space="preserve">体系证书</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color w:val="000000" w:themeColor="text1"/>
          <w:sz w:val="24"/>
          <w:szCs w:val="24"/>
          <w:highlight w:val="none"/>
          <w14:textFill>
            <w14:solidFill>
              <w14:schemeClr w14:val="tx1"/>
            </w14:solidFill>
          </w14:textFill>
        </w:rPr>
        <w:t xml:space="preserve">分</w:t>
      </w:r>
      <w:r/>
    </w:p>
    <w:p>
      <w:pPr>
        <w:ind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投标人具有</w:t>
      </w:r>
      <w:r>
        <w:rPr>
          <w:rFonts w:hint="eastAsia" w:ascii="宋体" w:hAnsi="宋体" w:cs="宋体"/>
          <w:color w:val="000000" w:themeColor="text1"/>
          <w:sz w:val="24"/>
          <w:szCs w:val="24"/>
          <w:highlight w:val="none"/>
          <w14:textFill>
            <w14:solidFill>
              <w14:schemeClr w14:val="tx1"/>
            </w14:solidFill>
          </w14:textFill>
        </w:rPr>
        <w:t xml:space="preserve">有效期内的</w:t>
      </w:r>
      <w:r>
        <w:rPr>
          <w:rFonts w:ascii="宋体" w:hAnsi="宋体" w:cs="宋体"/>
          <w:color w:val="000000" w:themeColor="text1"/>
          <w:sz w:val="24"/>
          <w:szCs w:val="24"/>
          <w:highlight w:val="none"/>
          <w14:textFill>
            <w14:solidFill>
              <w14:schemeClr w14:val="tx1"/>
            </w14:solidFill>
          </w14:textFill>
        </w:rPr>
        <w:t xml:space="preserve">质量管理体系</w:t>
      </w:r>
      <w:r>
        <w:rPr>
          <w:rFonts w:hint="eastAsia" w:ascii="宋体" w:hAnsi="宋体" w:cs="宋体"/>
          <w:color w:val="000000" w:themeColor="text1"/>
          <w:sz w:val="24"/>
          <w:szCs w:val="24"/>
          <w:highlight w:val="none"/>
          <w14:textFill>
            <w14:solidFill>
              <w14:schemeClr w14:val="tx1"/>
            </w14:solidFill>
          </w14:textFill>
        </w:rPr>
        <w:t xml:space="preserve">证书</w:t>
      </w:r>
      <w:r>
        <w:rPr>
          <w:rFonts w:ascii="宋体" w:hAnsi="宋体" w:cs="宋体"/>
          <w:color w:val="000000" w:themeColor="text1"/>
          <w:sz w:val="24"/>
          <w:szCs w:val="24"/>
          <w:highlight w:val="none"/>
          <w14:textFill>
            <w14:solidFill>
              <w14:schemeClr w14:val="tx1"/>
            </w14:solidFill>
          </w14:textFill>
        </w:rPr>
        <w:t xml:space="preserve">、</w:t>
      </w:r>
      <w:bookmarkStart w:id="267" w:name="OLE_LINK3"/>
      <w:r>
        <w:rPr>
          <w:rFonts w:ascii="宋体" w:hAnsi="宋体" w:cs="宋体"/>
          <w:color w:val="000000" w:themeColor="text1"/>
          <w:sz w:val="24"/>
          <w:szCs w:val="24"/>
          <w:highlight w:val="none"/>
          <w14:textFill>
            <w14:solidFill>
              <w14:schemeClr w14:val="tx1"/>
            </w14:solidFill>
          </w14:textFill>
        </w:rPr>
        <w:t xml:space="preserve">环境管理</w:t>
      </w:r>
      <w:bookmarkEnd w:id="267"/>
      <w:r>
        <w:rPr>
          <w:rFonts w:ascii="宋体" w:hAnsi="宋体" w:cs="宋体"/>
          <w:color w:val="000000" w:themeColor="text1"/>
          <w:sz w:val="24"/>
          <w:szCs w:val="24"/>
          <w:highlight w:val="none"/>
          <w14:textFill>
            <w14:solidFill>
              <w14:schemeClr w14:val="tx1"/>
            </w14:solidFill>
          </w14:textFill>
        </w:rPr>
        <w:t xml:space="preserve">体系</w:t>
      </w:r>
      <w:r>
        <w:rPr>
          <w:rFonts w:hint="eastAsia" w:ascii="宋体" w:hAnsi="宋体" w:cs="宋体"/>
          <w:color w:val="000000" w:themeColor="text1"/>
          <w:sz w:val="24"/>
          <w:szCs w:val="24"/>
          <w:highlight w:val="none"/>
          <w14:textFill>
            <w14:solidFill>
              <w14:schemeClr w14:val="tx1"/>
            </w14:solidFill>
          </w14:textFill>
        </w:rPr>
        <w:t xml:space="preserve">证书</w:t>
      </w:r>
      <w:r>
        <w:rPr>
          <w:rFonts w:ascii="宋体" w:hAnsi="宋体" w:cs="宋体"/>
          <w:color w:val="000000" w:themeColor="text1"/>
          <w:sz w:val="24"/>
          <w:szCs w:val="24"/>
          <w:highlight w:val="none"/>
          <w14:textFill>
            <w14:solidFill>
              <w14:schemeClr w14:val="tx1"/>
            </w14:solidFill>
          </w14:textFill>
        </w:rPr>
        <w:t xml:space="preserve">和</w:t>
      </w:r>
      <w:bookmarkStart w:id="268" w:name="OLE_LINK4"/>
      <w:r>
        <w:rPr>
          <w:rFonts w:ascii="宋体" w:hAnsi="宋体" w:cs="宋体"/>
          <w:color w:val="000000" w:themeColor="text1"/>
          <w:sz w:val="24"/>
          <w:szCs w:val="24"/>
          <w:highlight w:val="none"/>
          <w14:textFill>
            <w14:solidFill>
              <w14:schemeClr w14:val="tx1"/>
            </w14:solidFill>
          </w14:textFill>
        </w:rPr>
        <w:t xml:space="preserve">职业健康安全管理</w:t>
      </w:r>
      <w:bookmarkEnd w:id="268"/>
      <w:r>
        <w:rPr>
          <w:rFonts w:ascii="宋体" w:hAnsi="宋体" w:cs="宋体"/>
          <w:color w:val="000000" w:themeColor="text1"/>
          <w:sz w:val="24"/>
          <w:szCs w:val="24"/>
          <w:highlight w:val="none"/>
          <w14:textFill>
            <w14:solidFill>
              <w14:schemeClr w14:val="tx1"/>
            </w14:solidFill>
          </w14:textFill>
        </w:rPr>
        <w:t xml:space="preserve">体系证书</w:t>
      </w:r>
      <w:r>
        <w:rPr>
          <w:rFonts w:hint="eastAsia" w:ascii="宋体" w:hAnsi="宋体" w:cs="宋体"/>
          <w:color w:val="000000" w:themeColor="text1"/>
          <w:sz w:val="24"/>
          <w:szCs w:val="24"/>
          <w:highlight w:val="none"/>
          <w14:textFill>
            <w14:solidFill>
              <w14:schemeClr w14:val="tx1"/>
            </w14:solidFill>
          </w14:textFill>
        </w:rPr>
        <w:t xml:space="preserve">的，</w:t>
      </w:r>
      <w:r>
        <w:rPr>
          <w:rFonts w:ascii="宋体" w:hAnsi="宋体" w:cs="宋体"/>
          <w:color w:val="000000" w:themeColor="text1"/>
          <w:sz w:val="24"/>
          <w:szCs w:val="24"/>
          <w:highlight w:val="none"/>
          <w14:textFill>
            <w14:solidFill>
              <w14:schemeClr w14:val="tx1"/>
            </w14:solidFill>
          </w14:textFill>
        </w:rPr>
        <w:t xml:space="preserve">有一</w:t>
      </w:r>
      <w:r>
        <w:rPr>
          <w:rFonts w:hint="eastAsia" w:ascii="宋体" w:hAnsi="宋体" w:cs="宋体"/>
          <w:color w:val="000000" w:themeColor="text1"/>
          <w:sz w:val="24"/>
          <w:szCs w:val="24"/>
          <w:highlight w:val="none"/>
          <w14:textFill>
            <w14:solidFill>
              <w14:schemeClr w14:val="tx1"/>
            </w14:solidFill>
          </w14:textFill>
        </w:rPr>
        <w:t xml:space="preserve">个</w:t>
      </w:r>
      <w:r>
        <w:rPr>
          <w:rFonts w:ascii="宋体" w:hAnsi="宋体" w:cs="宋体"/>
          <w:color w:val="000000" w:themeColor="text1"/>
          <w:sz w:val="24"/>
          <w:szCs w:val="24"/>
          <w:highlight w:val="none"/>
          <w14:textFill>
            <w14:solidFill>
              <w14:schemeClr w14:val="tx1"/>
            </w14:solidFill>
          </w14:textFill>
        </w:rPr>
        <w:t xml:space="preserve">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ascii="宋体" w:hAnsi="宋体" w:cs="宋体"/>
          <w:color w:val="000000" w:themeColor="text1"/>
          <w:sz w:val="24"/>
          <w:szCs w:val="24"/>
          <w:highlight w:val="none"/>
          <w14:textFill>
            <w14:solidFill>
              <w14:schemeClr w14:val="tx1"/>
            </w14:solidFill>
          </w14:textFill>
        </w:rPr>
        <w:t xml:space="preserve">分，最多得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ascii="宋体" w:hAnsi="宋体" w:cs="宋体"/>
          <w:color w:val="000000" w:themeColor="text1"/>
          <w:sz w:val="24"/>
          <w:szCs w:val="24"/>
          <w:highlight w:val="none"/>
          <w14:textFill>
            <w14:solidFill>
              <w14:schemeClr w14:val="tx1"/>
            </w14:solidFill>
          </w14:textFill>
        </w:rPr>
        <w:t xml:space="preserve">分</w:t>
      </w:r>
      <w:r>
        <w:rPr>
          <w:rFonts w:hint="eastAsia" w:ascii="宋体" w:hAnsi="宋体" w:cs="宋体"/>
          <w:color w:val="000000" w:themeColor="text1"/>
          <w:sz w:val="24"/>
          <w:szCs w:val="24"/>
          <w:highlight w:val="none"/>
          <w14:textFill>
            <w14:solidFill>
              <w14:schemeClr w14:val="tx1"/>
            </w14:solidFill>
          </w14:textFill>
        </w:rPr>
        <w:t xml:space="preserve">。</w:t>
      </w:r>
      <w:r>
        <w:rPr>
          <w:rFonts w:ascii="宋体" w:hAnsi="宋体" w:cs="宋体"/>
          <w:b/>
          <w:bCs/>
          <w:color w:val="000000" w:themeColor="text1"/>
          <w:sz w:val="24"/>
          <w:szCs w:val="24"/>
          <w:highlight w:val="none"/>
          <w14:textFill>
            <w14:solidFill>
              <w14:schemeClr w14:val="tx1"/>
            </w14:solidFill>
          </w14:textFill>
        </w:rPr>
        <w:t xml:space="preserve">（请在投标文件中提供证书</w:t>
      </w:r>
      <w:r>
        <w:rPr>
          <w:rFonts w:hint="eastAsia" w:ascii="宋体" w:hAnsi="宋体" w:cs="宋体"/>
          <w:b/>
          <w:bCs/>
          <w:color w:val="000000" w:themeColor="text1"/>
          <w:sz w:val="24"/>
          <w:szCs w:val="24"/>
          <w:highlight w:val="none"/>
          <w14:textFill>
            <w14:solidFill>
              <w14:schemeClr w14:val="tx1"/>
            </w14:solidFill>
          </w14:textFill>
        </w:rPr>
        <w:t xml:space="preserve">的扫描件</w:t>
      </w:r>
      <w:r>
        <w:rPr>
          <w:rFonts w:ascii="宋体" w:hAnsi="宋体" w:cs="宋体"/>
          <w:b/>
          <w:bCs/>
          <w:color w:val="000000" w:themeColor="text1"/>
          <w:sz w:val="24"/>
          <w:szCs w:val="24"/>
          <w:highlight w:val="none"/>
          <w14:textFill>
            <w14:solidFill>
              <w14:schemeClr w14:val="tx1"/>
            </w14:solidFill>
          </w14:textFill>
        </w:rPr>
        <w:t xml:space="preserve">，不提供</w:t>
      </w:r>
      <w:r>
        <w:rPr>
          <w:rFonts w:hint="eastAsia" w:ascii="宋体" w:hAnsi="宋体" w:cs="宋体"/>
          <w:b/>
          <w:bCs/>
          <w:color w:val="000000" w:themeColor="text1"/>
          <w:sz w:val="24"/>
          <w:szCs w:val="24"/>
          <w:highlight w:val="none"/>
          <w14:textFill>
            <w14:solidFill>
              <w14:schemeClr w14:val="tx1"/>
            </w14:solidFill>
          </w14:textFill>
        </w:rPr>
        <w:t xml:space="preserve">的</w:t>
      </w:r>
      <w:r>
        <w:rPr>
          <w:rFonts w:ascii="宋体" w:hAnsi="宋体" w:cs="宋体"/>
          <w:b/>
          <w:bCs/>
          <w:color w:val="000000" w:themeColor="text1"/>
          <w:sz w:val="24"/>
          <w:szCs w:val="24"/>
          <w:highlight w:val="none"/>
          <w14:textFill>
            <w14:solidFill>
              <w14:schemeClr w14:val="tx1"/>
            </w14:solidFill>
          </w14:textFill>
        </w:rPr>
        <w:t xml:space="preserve">不得分）。</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2"/>
        <w:spacing w:line="360" w:lineRule="auto"/>
        <w:rPr>
          <w:b/>
          <w:bCs/>
          <w:color w:val="000000" w:themeColor="text1"/>
          <w:sz w:val="24"/>
          <w:szCs w:val="24"/>
          <w:highlight w:val="none"/>
          <w:lang w:val="zh-TW" w:eastAsia="zh-TW"/>
          <w14:textFill>
            <w14:solidFill>
              <w14:schemeClr w14:val="tx1"/>
            </w14:solidFill>
          </w14:textFill>
        </w:rPr>
      </w:pPr>
      <w:r>
        <w:rPr>
          <w:b/>
          <w:bCs/>
          <w:color w:val="000000" w:themeColor="text1"/>
          <w:sz w:val="24"/>
          <w:szCs w:val="24"/>
          <w:highlight w:val="none"/>
          <w:lang w:val="zh-TW" w:eastAsia="zh-TW"/>
          <w14:textFill>
            <w14:solidFill>
              <w14:schemeClr w14:val="tx1"/>
            </w14:solidFill>
          </w14:textFill>
        </w:rPr>
      </w:r>
      <w:r/>
    </w:p>
    <w:p>
      <w:pPr>
        <w:ind w:firstLine="482"/>
        <w:spacing w:line="360" w:lineRule="auto"/>
        <w:rPr>
          <w:b/>
          <w:bCs/>
          <w:color w:val="000000" w:themeColor="text1"/>
          <w:sz w:val="24"/>
          <w:szCs w:val="24"/>
          <w:highlight w:val="none"/>
          <w:lang w:val="zh-TW" w:eastAsia="zh-TW"/>
          <w14:textFill>
            <w14:solidFill>
              <w14:schemeClr w14:val="tx1"/>
            </w14:solidFill>
          </w14:textFill>
        </w:rPr>
      </w:pPr>
      <w:r>
        <w:rPr>
          <w:rFonts w:hint="eastAsia"/>
          <w:b/>
          <w:bCs/>
          <w:color w:val="000000" w:themeColor="text1"/>
          <w:sz w:val="24"/>
          <w:szCs w:val="24"/>
          <w:highlight w:val="none"/>
          <w:lang w:val="zh-TW" w:eastAsia="zh-TW"/>
          <w14:textFill>
            <w14:solidFill>
              <w14:schemeClr w14:val="tx1"/>
            </w14:solidFill>
          </w14:textFill>
        </w:rPr>
        <w:t xml:space="preserve">注：</w:t>
      </w:r>
      <w:r/>
    </w:p>
    <w:p>
      <w:pPr>
        <w:ind w:firstLine="482"/>
        <w:spacing w:line="36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以上证明材料，不提供的不得分。</w:t>
      </w:r>
      <w:r/>
    </w:p>
    <w:p>
      <w:pPr>
        <w:pStyle w:val="98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269" w:name="_Toc26060"/>
      <w:r/>
      <w:bookmarkStart w:id="270" w:name="_Toc12423"/>
      <w:r/>
      <w:bookmarkStart w:id="271" w:name="_Toc21725"/>
      <w:r>
        <w:rPr>
          <w:rStyle w:val="801"/>
          <w:rFonts w:hint="eastAsia"/>
          <w:b w:val="0"/>
          <w:color w:val="000000" w:themeColor="text1"/>
          <w:highlight w:val="none"/>
          <w14:textFill>
            <w14:solidFill>
              <w14:schemeClr w14:val="tx1"/>
            </w14:solidFill>
          </w14:textFill>
        </w:rPr>
        <w:t xml:space="preserve">第六章 投标文件格式</w:t>
      </w:r>
      <w:bookmarkEnd w:id="264"/>
      <w:r/>
      <w:bookmarkEnd w:id="265"/>
      <w:r/>
      <w:bookmarkEnd w:id="266"/>
      <w:r/>
      <w:bookmarkEnd w:id="269"/>
      <w:r/>
      <w:bookmarkEnd w:id="270"/>
      <w:r/>
      <w:bookmarkEnd w:id="271"/>
      <w:r/>
      <w:bookmarkStart w:id="272" w:name="_Hlt26671244"/>
      <w:r/>
      <w:bookmarkEnd w:id="272"/>
      <w:r/>
      <w:bookmarkStart w:id="273" w:name="_Hlt26955039"/>
      <w:r/>
      <w:bookmarkEnd w:id="273"/>
      <w:r/>
      <w:bookmarkStart w:id="274" w:name="_Toc49090576"/>
      <w:r/>
      <w:bookmarkStart w:id="275" w:name="_Toc120614282"/>
      <w:r/>
      <w:bookmarkStart w:id="276" w:name="_Toc26554094"/>
      <w:r/>
      <w:bookmarkEnd w:id="274"/>
      <w:r/>
      <w:bookmarkEnd w:id="275"/>
      <w:r/>
      <w:bookmarkEnd w:id="276"/>
      <w:r/>
      <w:r/>
    </w:p>
    <w:p>
      <w:pPr>
        <w:ind w:firstLine="400"/>
        <w:jc w:val="left"/>
        <w:spacing w:line="440" w:lineRule="exact"/>
        <w:rPr>
          <w:rFonts w:hint="eastAsia" w:ascii="宋体" w:hAnsi="宋体"/>
          <w:color w:val="000000" w:themeColor="text1"/>
          <w:sz w:val="20"/>
          <w:highlight w:val="none"/>
          <w14:textFill>
            <w14:solidFill>
              <w14:schemeClr w14:val="tx1"/>
            </w14:solidFill>
          </w14:textFill>
        </w:rPr>
      </w:pPr>
      <w:r>
        <w:rPr>
          <w:rFonts w:hint="eastAsia" w:ascii="宋体" w:hAnsi="宋体"/>
          <w:color w:val="000000" w:themeColor="text1"/>
          <w:sz w:val="20"/>
          <w:highlight w:val="none"/>
          <w14:textFill>
            <w14:solidFill>
              <w14:schemeClr w14:val="tx1"/>
            </w14:solidFill>
          </w14:textFill>
        </w:rPr>
      </w:r>
      <w:r/>
    </w:p>
    <w:p>
      <w:pPr>
        <w:jc w:val="center"/>
        <w:spacing w:before="120" w:after="120"/>
        <w:widowControl/>
        <w:rPr>
          <w:rFonts w:hint="eastAsia" w:ascii="宋体" w:hAnsi="宋体" w:cs="黑体"/>
          <w:b/>
          <w:bCs/>
          <w:color w:val="000000" w:themeColor="text1"/>
          <w:sz w:val="28"/>
          <w:szCs w:val="28"/>
          <w:highlight w:val="none"/>
          <w14:textFill>
            <w14:solidFill>
              <w14:schemeClr w14:val="tx1"/>
            </w14:solidFill>
          </w14:textFill>
        </w:rPr>
      </w:pPr>
      <w:r>
        <w:rPr>
          <w:rFonts w:ascii="宋体" w:hAnsi="宋体" w:cs="黑体"/>
          <w:b/>
          <w:bCs/>
          <w:color w:val="000000" w:themeColor="text1"/>
          <w:sz w:val="28"/>
          <w:szCs w:val="28"/>
          <w:highlight w:val="none"/>
          <w14:textFill>
            <w14:solidFill>
              <w14:schemeClr w14:val="tx1"/>
            </w14:solidFill>
          </w14:textFill>
        </w:rPr>
        <w:t xml:space="preserve">投标主要文件目录</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一、封面</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二、投标函格式</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三、开标一览表</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四、经费测算明细表</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w:t>
      </w:r>
      <w:r>
        <w:rPr>
          <w:rFonts w:ascii="宋体" w:hAnsi="宋体" w:cs="宋体"/>
          <w:color w:val="000000" w:themeColor="text1"/>
          <w:sz w:val="24"/>
          <w:szCs w:val="24"/>
          <w:highlight w:val="none"/>
          <w14:textFill>
            <w14:solidFill>
              <w14:schemeClr w14:val="tx1"/>
            </w14:solidFill>
          </w14:textFill>
        </w:rPr>
        <w:t xml:space="preserve">、资格证明文件</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w:t>
      </w:r>
      <w:r>
        <w:rPr>
          <w:rFonts w:ascii="宋体" w:hAnsi="宋体" w:cs="宋体"/>
          <w:color w:val="000000" w:themeColor="text1"/>
          <w:sz w:val="24"/>
          <w:szCs w:val="24"/>
          <w:highlight w:val="none"/>
          <w14:textFill>
            <w14:solidFill>
              <w14:schemeClr w14:val="tx1"/>
            </w14:solidFill>
          </w14:textFill>
        </w:rPr>
        <w:t xml:space="preserve">、技术</w:t>
      </w:r>
      <w:r>
        <w:rPr>
          <w:rFonts w:hint="eastAsia" w:ascii="宋体" w:hAnsi="宋体" w:cs="宋体"/>
          <w:color w:val="000000" w:themeColor="text1"/>
          <w:sz w:val="24"/>
          <w:szCs w:val="24"/>
          <w:highlight w:val="none"/>
          <w14:textFill>
            <w14:solidFill>
              <w14:schemeClr w14:val="tx1"/>
            </w14:solidFill>
          </w14:textFill>
        </w:rPr>
        <w:t xml:space="preserve">服务要求</w:t>
      </w:r>
      <w:r>
        <w:rPr>
          <w:rFonts w:ascii="宋体" w:hAnsi="宋体" w:cs="宋体"/>
          <w:color w:val="000000" w:themeColor="text1"/>
          <w:sz w:val="24"/>
          <w:szCs w:val="24"/>
          <w:highlight w:val="none"/>
          <w14:textFill>
            <w14:solidFill>
              <w14:schemeClr w14:val="tx1"/>
            </w14:solidFill>
          </w14:textFill>
        </w:rPr>
        <w:t xml:space="preserve">响应及偏离表</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七</w:t>
      </w:r>
      <w:r>
        <w:rPr>
          <w:rFonts w:ascii="宋体" w:hAnsi="宋体" w:cs="宋体"/>
          <w:color w:val="000000" w:themeColor="text1"/>
          <w:sz w:val="24"/>
          <w:szCs w:val="24"/>
          <w:highlight w:val="none"/>
          <w14:textFill>
            <w14:solidFill>
              <w14:schemeClr w14:val="tx1"/>
            </w14:solidFill>
          </w14:textFill>
        </w:rPr>
        <w:t xml:space="preserve">、商务条款响应及偏离表</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八</w:t>
      </w:r>
      <w:r>
        <w:rPr>
          <w:rFonts w:ascii="宋体" w:hAnsi="宋体" w:cs="宋体"/>
          <w:color w:val="000000" w:themeColor="text1"/>
          <w:sz w:val="24"/>
          <w:szCs w:val="24"/>
          <w:highlight w:val="none"/>
          <w14:textFill>
            <w14:solidFill>
              <w14:schemeClr w14:val="tx1"/>
            </w14:solidFill>
          </w14:textFill>
        </w:rPr>
        <w:t xml:space="preserve">、第四章项目需求中实质性要求响应对照表</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九</w:t>
      </w:r>
      <w:r>
        <w:rPr>
          <w:rFonts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技术服务方案</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十、投标人情况介绍</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14:textFill>
            <w14:solidFill>
              <w14:schemeClr w14:val="tx1"/>
            </w14:solidFill>
          </w14:textFill>
        </w:rPr>
        <w:t xml:space="preserve">一</w:t>
      </w:r>
      <w:r>
        <w:rPr>
          <w:rFonts w:ascii="宋体" w:hAnsi="宋体" w:cs="宋体"/>
          <w:color w:val="000000" w:themeColor="text1"/>
          <w:sz w:val="24"/>
          <w:szCs w:val="24"/>
          <w:highlight w:val="none"/>
          <w14:textFill>
            <w14:solidFill>
              <w14:schemeClr w14:val="tx1"/>
            </w14:solidFill>
          </w14:textFill>
        </w:rPr>
        <w:t xml:space="preserve">、中小企业声明函</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14:textFill>
            <w14:solidFill>
              <w14:schemeClr w14:val="tx1"/>
            </w14:solidFill>
          </w14:textFill>
        </w:rPr>
        <w:t xml:space="preserve">二</w:t>
      </w:r>
      <w:r>
        <w:rPr>
          <w:rFonts w:ascii="宋体" w:hAnsi="宋体" w:cs="宋体"/>
          <w:color w:val="000000" w:themeColor="text1"/>
          <w:sz w:val="24"/>
          <w:szCs w:val="24"/>
          <w:highlight w:val="none"/>
          <w14:textFill>
            <w14:solidFill>
              <w14:schemeClr w14:val="tx1"/>
            </w14:solidFill>
          </w14:textFill>
        </w:rPr>
        <w:t xml:space="preserve">、残疾人福利性单位声明函</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14:textFill>
            <w14:solidFill>
              <w14:schemeClr w14:val="tx1"/>
            </w14:solidFill>
          </w14:textFill>
        </w:rPr>
        <w:t xml:space="preserve">三</w:t>
      </w:r>
      <w:r>
        <w:rPr>
          <w:rFonts w:ascii="宋体" w:hAnsi="宋体" w:cs="宋体"/>
          <w:color w:val="000000" w:themeColor="text1"/>
          <w:sz w:val="24"/>
          <w:szCs w:val="24"/>
          <w:highlight w:val="none"/>
          <w14:textFill>
            <w14:solidFill>
              <w14:schemeClr w14:val="tx1"/>
            </w14:solidFill>
          </w14:textFill>
        </w:rPr>
        <w:t xml:space="preserve">、监狱企业的证明文件</w:t>
      </w:r>
      <w:r/>
    </w:p>
    <w:p>
      <w:pPr>
        <w:jc w:val="left"/>
        <w:spacing w:before="240" w:after="240" w:line="200" w:lineRule="atLeast"/>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十</w:t>
      </w:r>
      <w:r>
        <w:rPr>
          <w:rFonts w:hint="eastAsia" w:ascii="宋体" w:hAnsi="宋体" w:cs="宋体"/>
          <w:color w:val="000000" w:themeColor="text1"/>
          <w:sz w:val="24"/>
          <w:szCs w:val="24"/>
          <w:highlight w:val="none"/>
          <w14:textFill>
            <w14:solidFill>
              <w14:schemeClr w14:val="tx1"/>
            </w14:solidFill>
          </w14:textFill>
        </w:rPr>
        <w:t xml:space="preserve">四</w:t>
      </w:r>
      <w:r>
        <w:rPr>
          <w:rFonts w:ascii="宋体" w:hAnsi="宋体" w:cs="宋体"/>
          <w:color w:val="000000" w:themeColor="text1"/>
          <w:sz w:val="24"/>
          <w:szCs w:val="24"/>
          <w:highlight w:val="none"/>
          <w14:textFill>
            <w14:solidFill>
              <w14:schemeClr w14:val="tx1"/>
            </w14:solidFill>
          </w14:textFill>
        </w:rPr>
        <w:t xml:space="preserve">、其他材料</w:t>
      </w:r>
      <w:r/>
    </w:p>
    <w:p>
      <w:pPr>
        <w:spacing w:line="44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sectPr>
      </w:pPr>
      <w:r>
        <w:rPr>
          <w:color w:val="000000" w:themeColor="text1"/>
          <w:highlight w:val="none"/>
          <w14:textFill>
            <w14:solidFill>
              <w14:schemeClr w14:val="tx1"/>
            </w14:solidFill>
          </w14:textFill>
        </w:rPr>
      </w:r>
      <w:r/>
    </w:p>
    <w:p>
      <w:pPr>
        <w:pStyle w:val="981"/>
        <w:rPr>
          <w:color w:val="000000" w:themeColor="text1"/>
          <w:highlight w:val="none"/>
          <w14:textFill>
            <w14:solidFill>
              <w14:schemeClr w14:val="tx1"/>
            </w14:solidFill>
          </w14:textFill>
        </w:rPr>
      </w:pPr>
      <w:r/>
      <w:bookmarkStart w:id="277" w:name="_Toc160715778"/>
      <w:r/>
      <w:bookmarkStart w:id="278" w:name="_Toc31839"/>
      <w:r/>
      <w:bookmarkStart w:id="279" w:name="_Toc13425"/>
      <w:r/>
      <w:bookmarkStart w:id="280" w:name="_Toc11894"/>
      <w:r/>
      <w:bookmarkStart w:id="281" w:name="_Toc256000013"/>
      <w:r>
        <w:rPr>
          <w:color w:val="000000" w:themeColor="text1"/>
          <w:highlight w:val="none"/>
          <w14:textFill>
            <w14:solidFill>
              <w14:schemeClr w14:val="tx1"/>
            </w14:solidFill>
          </w14:textFill>
        </w:rPr>
        <w:t xml:space="preserve">一、封面</w:t>
      </w:r>
      <w:bookmarkEnd w:id="277"/>
      <w:r/>
      <w:bookmarkEnd w:id="278"/>
      <w:r/>
      <w:bookmarkEnd w:id="279"/>
      <w:r/>
      <w:bookmarkEnd w:id="280"/>
      <w:r/>
      <w:bookmarkEnd w:id="281"/>
      <w:r/>
      <w:r/>
    </w:p>
    <w:p>
      <w:pPr>
        <w:jc w:val="center"/>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before="540" w:after="540"/>
        <w:widowControl/>
        <w:rPr>
          <w:rFonts w:hint="eastAsia" w:ascii="宋体" w:hAnsi="宋体" w:cs="宋体"/>
          <w:color w:val="000000" w:themeColor="text1"/>
          <w:sz w:val="54"/>
          <w:szCs w:val="54"/>
          <w:highlight w:val="none"/>
          <w14:textFill>
            <w14:solidFill>
              <w14:schemeClr w14:val="tx1"/>
            </w14:solidFill>
          </w14:textFill>
        </w:rPr>
      </w:pPr>
      <w:r>
        <w:rPr>
          <w:rFonts w:ascii="宋体" w:hAnsi="宋体" w:cs="宋体"/>
          <w:b/>
          <w:bCs/>
          <w:color w:val="000000" w:themeColor="text1"/>
          <w:sz w:val="54"/>
          <w:szCs w:val="54"/>
          <w:highlight w:val="none"/>
          <w14:textFill>
            <w14:solidFill>
              <w14:schemeClr w14:val="tx1"/>
            </w14:solidFill>
          </w14:textFill>
        </w:rPr>
        <w:t xml:space="preserve">投 标 文 件</w:t>
      </w:r>
      <w:r/>
    </w:p>
    <w:p>
      <w:pPr>
        <w:jc w:val="center"/>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ind w:firstLine="2168"/>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项目名称：</w:t>
      </w:r>
      <w:r>
        <w:rPr>
          <w:rFonts w:hint="eastAsia" w:ascii="宋体" w:hAnsi="宋体" w:cs="宋体"/>
          <w:b/>
          <w:bCs/>
          <w:color w:val="000000" w:themeColor="text1"/>
          <w:sz w:val="36"/>
          <w:szCs w:val="36"/>
          <w:highlight w:val="none"/>
          <w:u w:val="single"/>
          <w14:textFill>
            <w14:solidFill>
              <w14:schemeClr w14:val="tx1"/>
            </w14:solidFill>
          </w14:textFill>
        </w:rPr>
        <w:t xml:space="preserve">               </w:t>
      </w:r>
      <w:r/>
    </w:p>
    <w:p>
      <w:pPr>
        <w:ind w:firstLine="2168"/>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招标编号：</w:t>
      </w:r>
      <w:r>
        <w:rPr>
          <w:rFonts w:hint="eastAsia" w:ascii="宋体" w:hAnsi="宋体" w:cs="宋体"/>
          <w:b/>
          <w:bCs/>
          <w:color w:val="000000" w:themeColor="text1"/>
          <w:sz w:val="36"/>
          <w:szCs w:val="36"/>
          <w:highlight w:val="none"/>
          <w:u w:val="single"/>
          <w14:textFill>
            <w14:solidFill>
              <w14:schemeClr w14:val="tx1"/>
            </w14:solidFill>
          </w14:textFill>
        </w:rPr>
        <w:t xml:space="preserve">               </w:t>
      </w:r>
      <w:r/>
    </w:p>
    <w:p>
      <w:pPr>
        <w:jc w:val="center"/>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jc w:val="center"/>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hint="eastAsia" w:ascii="宋体" w:hAnsi="宋体" w:cs="宋体"/>
          <w:b/>
          <w:bCs/>
          <w:color w:val="000000" w:themeColor="text1"/>
          <w:sz w:val="36"/>
          <w:szCs w:val="36"/>
          <w:highlight w:val="none"/>
          <w14:textFill>
            <w14:solidFill>
              <w14:schemeClr w14:val="tx1"/>
            </w14:solidFill>
          </w14:textFill>
        </w:rPr>
      </w:r>
      <w:r/>
    </w:p>
    <w:p>
      <w:pPr>
        <w:ind w:firstLine="2168"/>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投标人名称：</w:t>
      </w:r>
      <w:r>
        <w:rPr>
          <w:rFonts w:hint="eastAsia" w:ascii="宋体" w:hAnsi="宋体" w:cs="宋体"/>
          <w:b/>
          <w:bCs/>
          <w:color w:val="000000" w:themeColor="text1"/>
          <w:sz w:val="36"/>
          <w:szCs w:val="36"/>
          <w:highlight w:val="none"/>
          <w:u w:val="single"/>
          <w14:textFill>
            <w14:solidFill>
              <w14:schemeClr w14:val="tx1"/>
            </w14:solidFill>
          </w14:textFill>
        </w:rPr>
        <w:t xml:space="preserve">             </w:t>
      </w:r>
      <w:r/>
    </w:p>
    <w:p>
      <w:pPr>
        <w:ind w:firstLine="2168"/>
        <w:spacing w:before="360" w:after="360"/>
        <w:widowControl/>
        <w:rPr>
          <w:rFonts w:hint="eastAsia" w:ascii="宋体" w:hAnsi="宋体" w:cs="宋体"/>
          <w:b/>
          <w:bCs/>
          <w:color w:val="000000" w:themeColor="text1"/>
          <w:sz w:val="36"/>
          <w:szCs w:val="36"/>
          <w:highlight w:val="none"/>
          <w14:textFill>
            <w14:solidFill>
              <w14:schemeClr w14:val="tx1"/>
            </w14:solidFill>
          </w14:textFill>
        </w:rPr>
      </w:pPr>
      <w:r>
        <w:rPr>
          <w:rFonts w:ascii="宋体" w:hAnsi="宋体" w:cs="宋体"/>
          <w:b/>
          <w:bCs/>
          <w:color w:val="000000" w:themeColor="text1"/>
          <w:sz w:val="36"/>
          <w:szCs w:val="36"/>
          <w:highlight w:val="none"/>
          <w14:textFill>
            <w14:solidFill>
              <w14:schemeClr w14:val="tx1"/>
            </w14:solidFill>
          </w14:textFill>
        </w:rPr>
        <w:t xml:space="preserve">日</w:t>
      </w:r>
      <w:r>
        <w:rPr>
          <w:rFonts w:hint="eastAsia" w:ascii="宋体" w:hAnsi="宋体" w:cs="宋体"/>
          <w:b/>
          <w:bCs/>
          <w:color w:val="000000" w:themeColor="text1"/>
          <w:sz w:val="36"/>
          <w:szCs w:val="36"/>
          <w:highlight w:val="none"/>
          <w14:textFill>
            <w14:solidFill>
              <w14:schemeClr w14:val="tx1"/>
            </w14:solidFill>
          </w14:textFill>
        </w:rPr>
        <w:t xml:space="preserve">      </w:t>
      </w:r>
      <w:r>
        <w:rPr>
          <w:rFonts w:ascii="宋体" w:hAnsi="宋体" w:cs="宋体"/>
          <w:b/>
          <w:bCs/>
          <w:color w:val="000000" w:themeColor="text1"/>
          <w:sz w:val="36"/>
          <w:szCs w:val="36"/>
          <w:highlight w:val="none"/>
          <w14:textFill>
            <w14:solidFill>
              <w14:schemeClr w14:val="tx1"/>
            </w14:solidFill>
          </w14:textFill>
        </w:rPr>
        <w:t xml:space="preserve">期：</w:t>
      </w:r>
      <w:r>
        <w:rPr>
          <w:rFonts w:hint="eastAsia" w:ascii="宋体" w:hAnsi="宋体" w:cs="宋体"/>
          <w:b/>
          <w:bCs/>
          <w:color w:val="000000" w:themeColor="text1"/>
          <w:sz w:val="36"/>
          <w:szCs w:val="36"/>
          <w:highlight w:val="none"/>
          <w:u w:val="single"/>
          <w14:textFill>
            <w14:solidFill>
              <w14:schemeClr w14:val="tx1"/>
            </w14:solidFill>
          </w14:textFill>
        </w:rPr>
        <w:t xml:space="preserve">             </w:t>
      </w:r>
      <w:r/>
    </w:p>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282" w:name="_Toc3537"/>
      <w:r/>
      <w:bookmarkStart w:id="283" w:name="_Toc15462"/>
      <w:r/>
      <w:bookmarkStart w:id="284" w:name="_Toc256000014"/>
      <w:r/>
      <w:bookmarkStart w:id="285" w:name="_Toc16968"/>
      <w:r/>
      <w:bookmarkStart w:id="286" w:name="_Toc160715779"/>
      <w:r>
        <w:rPr>
          <w:color w:val="000000" w:themeColor="text1"/>
          <w:highlight w:val="none"/>
          <w14:textFill>
            <w14:solidFill>
              <w14:schemeClr w14:val="tx1"/>
            </w14:solidFill>
          </w14:textFill>
        </w:rPr>
        <w:t xml:space="preserve">二、投标函</w:t>
      </w:r>
      <w:bookmarkEnd w:id="282"/>
      <w:r/>
      <w:bookmarkEnd w:id="283"/>
      <w:r/>
      <w:bookmarkEnd w:id="284"/>
      <w:r/>
      <w:bookmarkEnd w:id="285"/>
      <w:r/>
      <w:bookmarkEnd w:id="286"/>
      <w:r/>
      <w:r/>
    </w:p>
    <w:p>
      <w:pPr>
        <w:jc w:val="center"/>
        <w:spacing w:before="120" w:after="120"/>
        <w:widowControl/>
        <w:rPr>
          <w:rFonts w:hint="eastAsia" w:ascii="宋体" w:hAnsi="宋体" w:cs="黑体"/>
          <w:b/>
          <w:bCs/>
          <w:color w:val="000000" w:themeColor="text1"/>
          <w:sz w:val="28"/>
          <w:szCs w:val="28"/>
          <w:highlight w:val="none"/>
          <w14:textFill>
            <w14:solidFill>
              <w14:schemeClr w14:val="tx1"/>
            </w14:solidFill>
          </w14:textFill>
        </w:rPr>
      </w:pPr>
      <w:r>
        <w:rPr>
          <w:rFonts w:ascii="宋体" w:hAnsi="宋体" w:cs="黑体"/>
          <w:b/>
          <w:bCs/>
          <w:color w:val="000000" w:themeColor="text1"/>
          <w:sz w:val="28"/>
          <w:szCs w:val="28"/>
          <w:highlight w:val="none"/>
          <w14:textFill>
            <w14:solidFill>
              <w14:schemeClr w14:val="tx1"/>
            </w14:solidFill>
          </w14:textFill>
        </w:rPr>
        <w:t xml:space="preserve">投标函</w:t>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致：</w:t>
      </w:r>
      <w:r/>
    </w:p>
    <w:p>
      <w:pPr>
        <w:ind w:firstLine="480"/>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根据贵方的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号招标文件，正式授权下述签字人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姓名和职务</w:t>
      </w: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ascii="宋体" w:hAnsi="宋体" w:cs="宋体"/>
          <w:color w:val="000000" w:themeColor="text1"/>
          <w:sz w:val="24"/>
          <w:szCs w:val="24"/>
          <w:highlight w:val="none"/>
          <w14:textFill>
            <w14:solidFill>
              <w14:schemeClr w14:val="tx1"/>
            </w14:solidFill>
          </w14:textFill>
        </w:rPr>
        <w:t xml:space="preserve">代表我方</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（投标人的名称），全权处理本次项目投标的有关事宜。</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据此函，签字人兹宣布同意如下：</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1、同意向贵方提供贵方可能另外要求的与投标有关的任何证据或资料；</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2、我们完全理解贵方不一定将合同授予最低报价的投标人；</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3、我们已详细审核全部招标文件及其有效补充文件，我们知道必须放弃提出含糊不清或误解问题的权利；</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4、一旦我方中标，我们将根据招标文件的规定，严格履行合同条款的责任和义务，并保证按照合同条款提供服务；</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5、与本投标有关的正式通讯地址为：</w:t>
      </w:r>
      <w:r/>
    </w:p>
    <w:p>
      <w:pPr>
        <w:jc w:val="left"/>
        <w:spacing w:before="240" w:after="240" w:line="288" w:lineRule="auto"/>
        <w:widowControl/>
        <w:rPr>
          <w:rFonts w:hint="eastAsia"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地址：</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邮编：</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电话：</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传真：</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投标单位代表姓名：</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投标单位名称：</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公章：</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before="240" w:after="240" w:line="288" w:lineRule="auto"/>
        <w:widowControl/>
        <w:rPr>
          <w:rFonts w:hint="eastAsia"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287" w:name="_Toc970"/>
      <w:r/>
      <w:bookmarkStart w:id="288" w:name="_Toc112"/>
      <w:r/>
      <w:bookmarkStart w:id="289" w:name="_Toc256000015"/>
      <w:r/>
      <w:bookmarkStart w:id="290" w:name="_Toc25533"/>
      <w:r/>
      <w:bookmarkStart w:id="291" w:name="_Toc160715780"/>
      <w:r>
        <w:rPr>
          <w:color w:val="000000" w:themeColor="text1"/>
          <w:highlight w:val="none"/>
          <w14:textFill>
            <w14:solidFill>
              <w14:schemeClr w14:val="tx1"/>
            </w14:solidFill>
          </w14:textFill>
        </w:rPr>
        <w:t xml:space="preserve">三、开标一览表</w:t>
      </w:r>
      <w:bookmarkEnd w:id="287"/>
      <w:r/>
      <w:bookmarkEnd w:id="288"/>
      <w:r/>
      <w:bookmarkEnd w:id="289"/>
      <w:r/>
      <w:bookmarkEnd w:id="290"/>
      <w:r/>
      <w:bookmarkEnd w:id="291"/>
      <w:r/>
      <w:r/>
    </w:p>
    <w:p>
      <w:pPr>
        <w:jc w:val="center"/>
        <w:spacing w:before="120" w:after="12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14:textFill>
            <w14:solidFill>
              <w14:schemeClr w14:val="tx1"/>
            </w14:solidFill>
          </w14:textFill>
        </w:rPr>
        <w:t xml:space="preserve">开标一览表（总报价）</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投标人全称（加盖公章）：</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before="240" w:after="240"/>
        <w:rPr>
          <w:rFonts w:hint="eastAsia" w:ascii="宋体" w:hAnsi="宋体" w:cs="宋体"/>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14:textFill>
            <w14:solidFill>
              <w14:schemeClr w14:val="tx1"/>
            </w14:solidFill>
          </w14:textFill>
        </w:rPr>
        <w:t xml:space="preserve">                         </w:t>
      </w:r>
      <w:r/>
    </w:p>
    <w:tbl>
      <w:tblPr>
        <w:tblStyle w:val="802"/>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3515"/>
        <w:gridCol w:w="5567"/>
      </w:tblGrid>
      <w:tr>
        <w:trPr>
          <w:trHeight w:val="729"/>
        </w:trPr>
        <w:tc>
          <w:tcPr>
            <w:tcW w:w="3515" w:type="dxa"/>
            <w:vAlign w:val="center"/>
            <w:textDirection w:val="lrTb"/>
            <w:noWrap w:val="false"/>
          </w:tcPr>
          <w:p>
            <w:pPr>
              <w:jc w:val="center"/>
              <w:widowControl/>
              <w:rPr>
                <w:b/>
                <w:bCs/>
                <w:color w:val="000000" w:themeColor="text1"/>
                <w:highlight w:val="none"/>
                <w14:textFill>
                  <w14:solidFill>
                    <w14:schemeClr w14:val="tx1"/>
                  </w14:solidFill>
                </w14:textFill>
              </w:rPr>
            </w:pPr>
            <w:r>
              <w:rPr>
                <w:rFonts w:ascii="宋体" w:hAnsi="宋体" w:cs="宋体"/>
                <w:b/>
                <w:bCs/>
                <w:color w:val="000000" w:themeColor="text1"/>
                <w:sz w:val="24"/>
                <w:szCs w:val="24"/>
                <w:highlight w:val="none"/>
                <w:lang w:bidi="ar"/>
                <w14:textFill>
                  <w14:solidFill>
                    <w14:schemeClr w14:val="tx1"/>
                  </w14:solidFill>
                </w14:textFill>
              </w:rPr>
              <w:t xml:space="preserve">项目名称</w:t>
            </w:r>
            <w:r/>
          </w:p>
        </w:tc>
        <w:tc>
          <w:tcPr>
            <w:tcW w:w="5567" w:type="dxa"/>
            <w:vAlign w:val="center"/>
            <w:textDirection w:val="lrTb"/>
            <w:noWrap w:val="false"/>
          </w:tcPr>
          <w:p>
            <w:pPr>
              <w:jc w:val="center"/>
              <w:widowControl/>
              <w:rPr>
                <w:b/>
                <w:bCs/>
                <w:color w:val="000000" w:themeColor="text1"/>
                <w:highlight w:val="none"/>
                <w14:textFill>
                  <w14:solidFill>
                    <w14:schemeClr w14:val="tx1"/>
                  </w14:solidFill>
                </w14:textFill>
              </w:rPr>
            </w:pPr>
            <w:r>
              <w:rPr>
                <w:rFonts w:ascii="宋体" w:hAnsi="宋体" w:cs="宋体"/>
                <w:b/>
                <w:bCs/>
                <w:color w:val="000000" w:themeColor="text1"/>
                <w:sz w:val="24"/>
                <w:szCs w:val="24"/>
                <w:highlight w:val="none"/>
                <w:lang w:bidi="ar"/>
                <w14:textFill>
                  <w14:solidFill>
                    <w14:schemeClr w14:val="tx1"/>
                  </w14:solidFill>
                </w14:textFill>
              </w:rPr>
              <w:t xml:space="preserve">投标总报价</w:t>
            </w:r>
            <w:r/>
          </w:p>
        </w:tc>
      </w:tr>
      <w:tr>
        <w:trPr>
          <w:trHeight w:val="1353"/>
        </w:trPr>
        <w:tc>
          <w:tcPr>
            <w:tcW w:w="3515" w:type="dxa"/>
            <w:vAlign w:val="center"/>
            <w:textDirection w:val="lrTb"/>
            <w:noWrap w:val="false"/>
          </w:tcPr>
          <w:p>
            <w:pPr>
              <w:jc w:val="center"/>
              <w:widowControl/>
              <w:rPr>
                <w:color w:val="000000" w:themeColor="text1"/>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大新镇镇区一体化保洁及厨余等垃圾清运项目</w:t>
            </w:r>
            <w:r/>
          </w:p>
        </w:tc>
        <w:tc>
          <w:tcPr>
            <w:tcW w:w="5567" w:type="dxa"/>
            <w:vAlign w:val="center"/>
            <w:textDirection w:val="lrTb"/>
            <w:noWrap w:val="false"/>
          </w:tcPr>
          <w:p>
            <w:pPr>
              <w:jc w:val="center"/>
              <w:widowControl/>
              <w:rPr>
                <w:color w:val="000000" w:themeColor="text1"/>
                <w:highlight w:val="none"/>
                <w14:textFill>
                  <w14:solidFill>
                    <w14:schemeClr w14:val="tx1"/>
                  </w14:solidFill>
                </w14:textFill>
              </w:rPr>
            </w:pPr>
            <w:r>
              <w:rPr>
                <w:rFonts w:ascii="宋体" w:hAnsi="宋体" w:cs="宋体"/>
                <w:color w:val="000000" w:themeColor="text1"/>
                <w:sz w:val="24"/>
                <w:szCs w:val="24"/>
                <w:highlight w:val="none"/>
                <w:lang w:bidi="ar"/>
                <w14:textFill>
                  <w14:solidFill>
                    <w14:schemeClr w14:val="tx1"/>
                  </w14:solidFill>
                </w14:textFill>
              </w:rPr>
              <w:t xml:space="preserve">小写：</w:t>
            </w:r>
            <w:r>
              <w:rPr>
                <w:rFonts w:hint="eastAsia" w:ascii="宋体" w:hAnsi="宋体" w:cs="宋体"/>
                <w:color w:val="000000" w:themeColor="text1"/>
                <w:sz w:val="24"/>
                <w:szCs w:val="24"/>
                <w:highlight w:val="none"/>
                <w:u w:val="single"/>
                <w:lang w:bidi="ar"/>
                <w14:textFill>
                  <w14:solidFill>
                    <w14:schemeClr w14:val="tx1"/>
                  </w14:solidFill>
                </w14:textFill>
              </w:rPr>
              <w:t xml:space="preserve">                 </w:t>
            </w:r>
            <w:r>
              <w:rPr>
                <w:rFonts w:ascii="宋体" w:hAnsi="宋体" w:cs="宋体"/>
                <w:color w:val="000000" w:themeColor="text1"/>
                <w:sz w:val="24"/>
                <w:szCs w:val="24"/>
                <w:highlight w:val="none"/>
                <w:lang w:bidi="ar"/>
                <w14:textFill>
                  <w14:solidFill>
                    <w14:schemeClr w14:val="tx1"/>
                  </w14:solidFill>
                </w14:textFill>
              </w:rPr>
              <w:t xml:space="preserve">（元人民币）</w:t>
            </w:r>
            <w:r/>
          </w:p>
        </w:tc>
      </w:tr>
      <w:tr>
        <w:trPr>
          <w:trHeight w:val="598"/>
        </w:trPr>
        <w:tc>
          <w:tcPr>
            <w:tcW w:w="3515" w:type="dxa"/>
            <w:vAlign w:val="center"/>
            <w:textDirection w:val="lrTb"/>
            <w:noWrap w:val="false"/>
          </w:tcPr>
          <w:p>
            <w:pPr>
              <w:jc w:val="center"/>
              <w:widowControl/>
              <w:rPr>
                <w:b/>
                <w:bCs/>
                <w:color w:val="000000" w:themeColor="text1"/>
                <w:highlight w:val="none"/>
                <w14:textFill>
                  <w14:solidFill>
                    <w14:schemeClr w14:val="tx1"/>
                  </w14:solidFill>
                </w14:textFill>
              </w:rPr>
            </w:pPr>
            <w:r>
              <w:rPr>
                <w:rFonts w:ascii="宋体" w:hAnsi="宋体" w:cs="宋体"/>
                <w:b/>
                <w:bCs/>
                <w:color w:val="000000" w:themeColor="text1"/>
                <w:sz w:val="24"/>
                <w:szCs w:val="24"/>
                <w:highlight w:val="none"/>
                <w:lang w:bidi="ar"/>
                <w14:textFill>
                  <w14:solidFill>
                    <w14:schemeClr w14:val="tx1"/>
                  </w14:solidFill>
                </w14:textFill>
              </w:rPr>
              <w:t xml:space="preserve">投标报价大写金额</w:t>
            </w:r>
            <w:r/>
          </w:p>
        </w:tc>
        <w:tc>
          <w:tcPr>
            <w:tcW w:w="5567" w:type="dxa"/>
            <w:vAlign w:val="center"/>
            <w:textDirection w:val="lrTb"/>
            <w:noWrap w:val="false"/>
          </w:tcPr>
          <w:p>
            <w:pPr>
              <w:ind w:firstLine="482"/>
              <w:widowControl/>
              <w:rPr>
                <w:b/>
                <w:bCs/>
                <w:color w:val="000000" w:themeColor="text1"/>
                <w:highlight w:val="none"/>
                <w14:textFill>
                  <w14:solidFill>
                    <w14:schemeClr w14:val="tx1"/>
                  </w14:solidFill>
                </w14:textFill>
              </w:rPr>
            </w:pPr>
            <w:r>
              <w:rPr>
                <w:rFonts w:ascii="宋体" w:hAnsi="宋体" w:cs="宋体"/>
                <w:b/>
                <w:bCs/>
                <w:color w:val="000000" w:themeColor="text1"/>
                <w:sz w:val="24"/>
                <w:szCs w:val="24"/>
                <w:highlight w:val="none"/>
                <w:lang w:bidi="ar"/>
                <w14:textFill>
                  <w14:solidFill>
                    <w14:schemeClr w14:val="tx1"/>
                  </w14:solidFill>
                </w14:textFill>
              </w:rPr>
              <w:t xml:space="preserve">金额大写</w:t>
            </w:r>
            <w:r>
              <w:rPr>
                <w:rFonts w:hint="eastAsia" w:ascii="宋体" w:hAnsi="宋体" w:cs="宋体"/>
                <w:b/>
                <w:bCs/>
                <w:color w:val="000000" w:themeColor="text1"/>
                <w:sz w:val="24"/>
                <w:szCs w:val="24"/>
                <w:highlight w:val="none"/>
                <w:u w:val="single"/>
                <w:lang w:bidi="ar"/>
                <w14:textFill>
                  <w14:solidFill>
                    <w14:schemeClr w14:val="tx1"/>
                  </w14:solidFill>
                </w14:textFill>
              </w:rPr>
              <w:t xml:space="preserve">                              </w:t>
            </w:r>
            <w:r/>
          </w:p>
        </w:tc>
      </w:tr>
    </w:tbl>
    <w:p>
      <w:pPr>
        <w:spacing w:before="120"/>
        <w:rPr>
          <w:rFonts w:hint="eastAsia" w:ascii="宋体" w:hAnsi="宋体" w:cs="宋体"/>
          <w:color w:val="000000" w:themeColor="text1"/>
          <w:sz w:val="24"/>
          <w:szCs w:val="20"/>
          <w:highlight w:val="none"/>
          <w:u w:val="single"/>
          <w14:textFill>
            <w14:solidFill>
              <w14:schemeClr w14:val="tx1"/>
            </w14:solidFill>
          </w14:textFill>
        </w:rPr>
      </w:pPr>
      <w:r>
        <w:rPr>
          <w:rFonts w:hint="eastAsia" w:ascii="宋体" w:hAnsi="宋体" w:cs="宋体"/>
          <w:color w:val="000000" w:themeColor="text1"/>
          <w:sz w:val="24"/>
          <w:szCs w:val="20"/>
          <w:highlight w:val="none"/>
          <w:u w:val="single"/>
          <w14:textFill>
            <w14:solidFill>
              <w14:schemeClr w14:val="tx1"/>
            </w14:solidFill>
          </w14:textFill>
        </w:rPr>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r>
      <w:r/>
    </w:p>
    <w:p>
      <w:pPr>
        <w:jc w:val="right"/>
        <w:spacing w:before="240" w:after="240"/>
        <w:rPr>
          <w:rFonts w:hint="eastAsia"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spacing w:before="240" w:after="240"/>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注：</w:t>
      </w:r>
      <w:r/>
    </w:p>
    <w:p>
      <w:pPr>
        <w:spacing w:line="360" w:lineRule="auto"/>
        <w:rPr>
          <w:rFonts w:hint="eastAsia" w:ascii="宋体" w:hAnsi="宋体" w:cs="宋体"/>
          <w:i/>
          <w:iCs/>
          <w:color w:val="000000" w:themeColor="text1"/>
          <w:sz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292" w:name="_Toc24830"/>
      <w:r>
        <w:rPr>
          <w:rFonts w:hint="eastAsia" w:ascii="宋体" w:hAnsi="宋体" w:cs="宋体"/>
          <w:i/>
          <w:iCs/>
          <w:color w:val="000000" w:themeColor="text1"/>
          <w:sz w:val="24"/>
          <w:highlight w:val="none"/>
          <w:u w:val="single"/>
          <w14:textFill>
            <w14:solidFill>
              <w14:schemeClr w14:val="tx1"/>
            </w14:solidFill>
          </w14:textFill>
        </w:rPr>
        <w:t xml:space="preserve">1.开标一览表必须加盖投标人公章（复印件无效）。</w:t>
      </w:r>
      <w:bookmarkEnd w:id="292"/>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bookmarkStart w:id="293" w:name="_Toc30436"/>
      <w:r>
        <w:rPr>
          <w:rFonts w:hint="eastAsia" w:ascii="宋体" w:hAnsi="宋体" w:cs="宋体"/>
          <w:i/>
          <w:iCs/>
          <w:color w:val="000000" w:themeColor="text1"/>
          <w:sz w:val="24"/>
          <w:highlight w:val="none"/>
          <w:u w:val="single"/>
          <w14:textFill>
            <w14:solidFill>
              <w14:schemeClr w14:val="tx1"/>
            </w14:solidFill>
          </w14:textFill>
        </w:rPr>
        <w:t xml:space="preserve">2.如有分包，投标人投任何一个包的标的，都需单独填写开标一览表。</w:t>
      </w:r>
      <w:bookmarkEnd w:id="293"/>
      <w:r/>
      <w:r/>
    </w:p>
    <w:p>
      <w:pPr>
        <w:pStyle w:val="981"/>
        <w:rPr>
          <w:rFonts w:ascii="Times New Roman" w:hAnsi="Times New Roman" w:eastAsia="Times New Roman"/>
          <w:color w:val="000000" w:themeColor="text1"/>
          <w:sz w:val="24"/>
          <w:szCs w:val="24"/>
          <w:highlight w:val="none"/>
          <w14:textFill>
            <w14:solidFill>
              <w14:schemeClr w14:val="tx1"/>
            </w14:solidFill>
          </w14:textFill>
        </w:rPr>
        <w:sectPr>
          <w:footerReference w:type="default" r:id="rId12"/>
          <w:footerReference w:type="even" r:id="rId13"/>
          <w:footerReference w:type="first" r:id="rId14"/>
          <w:footnotePr/>
          <w:endnotePr/>
          <w:type w:val="nextPage"/>
          <w:pgSz w:w="11906" w:h="16838" w:orient="portrait"/>
          <w:pgMar w:top="1418" w:right="1418" w:bottom="1418" w:left="1418" w:header="851" w:footer="850" w:gutter="0"/>
          <w:cols w:num="1" w:sep="0" w:space="1701" w:equalWidth="1"/>
          <w:docGrid w:linePitch="360"/>
          <w:titlePg/>
        </w:sectPr>
      </w:pPr>
      <w:r>
        <w:rPr>
          <w:rFonts w:ascii="Times New Roman" w:hAnsi="Times New Roman" w:eastAsia="Times New Roman"/>
          <w:color w:val="000000" w:themeColor="text1"/>
          <w:sz w:val="24"/>
          <w:szCs w:val="24"/>
          <w:highlight w:val="none"/>
          <w14:textFill>
            <w14:solidFill>
              <w14:schemeClr w14:val="tx1"/>
            </w14:solidFill>
          </w14:textFill>
        </w:rPr>
      </w:r>
      <w:r/>
    </w:p>
    <w:p>
      <w:pPr>
        <w:jc w:val="left"/>
        <w:keepLines/>
        <w:keepNext/>
        <w:spacing w:before="120" w:after="120"/>
        <w:rPr>
          <w:rFonts w:ascii="Arial" w:hAnsi="Arial"/>
          <w:b/>
          <w:bCs/>
          <w:color w:val="000000" w:themeColor="text1"/>
          <w:sz w:val="28"/>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1"/>
      </w:pPr>
      <w:r/>
      <w:bookmarkStart w:id="294" w:name="_Toc31328"/>
      <w:r/>
      <w:bookmarkStart w:id="295" w:name="_Toc3137"/>
      <w:r/>
      <w:bookmarkStart w:id="296" w:name="_Toc23281"/>
      <w:r/>
      <w:bookmarkStart w:id="297" w:name="_Toc8049"/>
      <w:r/>
      <w:bookmarkStart w:id="298" w:name="_Toc18249"/>
      <w:r/>
      <w:bookmarkStart w:id="299" w:name="_Toc1732"/>
      <w:r>
        <w:rPr>
          <w:rFonts w:hint="eastAsia" w:ascii="Arial" w:hAnsi="Arial"/>
          <w:b/>
          <w:bCs/>
          <w:color w:val="000000" w:themeColor="text1"/>
          <w:sz w:val="28"/>
          <w:szCs w:val="44"/>
          <w:highlight w:val="none"/>
          <w14:textFill>
            <w14:solidFill>
              <w14:schemeClr w14:val="tx1"/>
            </w14:solidFill>
          </w14:textFill>
        </w:rPr>
        <w:t xml:space="preserve">四、</w:t>
      </w:r>
      <w:bookmarkEnd w:id="294"/>
      <w:r/>
      <w:bookmarkEnd w:id="295"/>
      <w:r/>
      <w:bookmarkEnd w:id="296"/>
      <w:r/>
      <w:bookmarkEnd w:id="297"/>
      <w:r/>
      <w:bookmarkEnd w:id="298"/>
      <w:r>
        <w:rPr>
          <w:rFonts w:hint="eastAsia" w:ascii="Arial" w:hAnsi="Arial"/>
          <w:b/>
          <w:bCs/>
          <w:color w:val="000000" w:themeColor="text1"/>
          <w:sz w:val="28"/>
          <w:szCs w:val="44"/>
          <w:highlight w:val="none"/>
          <w14:textFill>
            <w14:solidFill>
              <w14:schemeClr w14:val="tx1"/>
            </w14:solidFill>
          </w14:textFill>
        </w:rPr>
        <w:t xml:space="preserve">经费测算明细表</w:t>
      </w:r>
      <w:bookmarkEnd w:id="299"/>
      <w:r/>
      <w:r/>
    </w:p>
    <w:p>
      <w:pPr>
        <w:jc w:val="center"/>
        <w:spacing w:before="120" w:after="120"/>
        <w:rPr>
          <w:rFonts w:hint="eastAsia" w:ascii="宋体" w:hAnsi="宋体" w:cs="宋体"/>
          <w:b/>
          <w:bCs/>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30"/>
          <w:szCs w:val="30"/>
          <w:highlight w:val="none"/>
          <w14:textFill>
            <w14:solidFill>
              <w14:schemeClr w14:val="tx1"/>
            </w14:solidFill>
          </w14:textFill>
        </w:rPr>
        <w:t xml:space="preserve">经费测算明细表</w:t>
      </w:r>
      <w:r/>
    </w:p>
    <w:tbl>
      <w:tblPr>
        <w:tblStyle w:val="802"/>
        <w:tblW w:w="91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1"/>
        <w:gridCol w:w="1674"/>
        <w:gridCol w:w="1467"/>
        <w:gridCol w:w="914"/>
        <w:gridCol w:w="1091"/>
        <w:gridCol w:w="1077"/>
        <w:gridCol w:w="1350"/>
        <w:gridCol w:w="976"/>
      </w:tblGrid>
      <w:tr>
        <w:trPr>
          <w:jc w:val="center"/>
          <w:trHeight w:val="775"/>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序号</w:t>
            </w:r>
            <w:r/>
          </w:p>
        </w:tc>
        <w:tc>
          <w:tcPr>
            <w:tcMar>
              <w:left w:w="0" w:type="dxa"/>
              <w:top w:w="0" w:type="dxa"/>
              <w:right w:w="0" w:type="dxa"/>
              <w:bottom w:w="0" w:type="dxa"/>
            </w:tcMar>
            <w:tcW w:w="1674"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项目</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测算依据</w:t>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单位</w:t>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数量</w:t>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月支出（元）</w:t>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24个月总支出</w:t>
            </w:r>
            <w:r/>
          </w:p>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（元）</w:t>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备注</w:t>
            </w:r>
            <w:r/>
          </w:p>
        </w:tc>
      </w:tr>
      <w:tr>
        <w:trPr>
          <w:jc w:val="center"/>
          <w:trHeight w:val="567"/>
        </w:trPr>
        <w:tc>
          <w:tcPr>
            <w:gridSpan w:val="8"/>
            <w:tcMar>
              <w:left w:w="0" w:type="dxa"/>
              <w:top w:w="0" w:type="dxa"/>
              <w:right w:w="0" w:type="dxa"/>
              <w:bottom w:w="0" w:type="dxa"/>
            </w:tcMar>
            <w:tcW w:w="9110" w:type="dxa"/>
            <w:vAlign w:val="center"/>
            <w:textDirection w:val="lrTb"/>
            <w:noWrap w:val="false"/>
          </w:tcPr>
          <w:p>
            <w:pPr>
              <w:jc w:val="center"/>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人员</w:t>
            </w:r>
            <w:r>
              <w:rPr>
                <w:rFonts w:hint="eastAsia" w:ascii="宋体" w:hAnsi="宋体" w:cs="宋体"/>
                <w:b/>
                <w:bCs/>
                <w:color w:val="000000" w:themeColor="text1"/>
                <w:szCs w:val="21"/>
                <w:highlight w:val="none"/>
                <w:lang w:val="en-US" w:eastAsia="zh-CN"/>
                <w14:textFill>
                  <w14:solidFill>
                    <w14:schemeClr w14:val="tx1"/>
                  </w14:solidFill>
                </w14:textFill>
              </w:rPr>
              <w:t xml:space="preserve">工资</w:t>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项目经理</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内勤</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车队长</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一线保洁员(老镇区）</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一线保洁员(新镇区）</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新湖公园道路绿化河道保洁</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公厕保洁</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开放式小区垃圾分类督导管理人员</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中转站管理员</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中转站门卫</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中转站设备操作工</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垃圾清运员</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辅工</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杂工</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机动车驾驶员</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电动清运车驾驶员</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w:t>
            </w:r>
            <w:r/>
          </w:p>
        </w:tc>
        <w:tc>
          <w:tcPr>
            <w:gridSpan w:val="4"/>
            <w:tcMar>
              <w:left w:w="0" w:type="dxa"/>
              <w:top w:w="0" w:type="dxa"/>
              <w:right w:w="0" w:type="dxa"/>
              <w:bottom w:w="0" w:type="dxa"/>
            </w:tcMar>
            <w:tcW w:w="5146" w:type="dxa"/>
            <w:vAlign w:val="center"/>
            <w:textDirection w:val="lrTb"/>
            <w:noWrap w:val="false"/>
          </w:tcPr>
          <w:p>
            <w:pPr>
              <w:jc w:val="center"/>
              <w:tabs>
                <w:tab w:val="left" w:pos="1122" w:leader="none"/>
              </w:tabs>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小计</w:t>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gridSpan w:val="8"/>
            <w:tcMar>
              <w:left w:w="0" w:type="dxa"/>
              <w:top w:w="0" w:type="dxa"/>
              <w:right w:w="0" w:type="dxa"/>
              <w:bottom w:w="0" w:type="dxa"/>
            </w:tcMar>
            <w:tcW w:w="9110"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社会保险费、住房公积金等费用</w:t>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jc w:val="center"/>
              <w:spacing w:before="33"/>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w:t>
            </w:r>
            <w:r/>
          </w:p>
        </w:tc>
        <w:tc>
          <w:tcPr>
            <w:tcMar>
              <w:left w:w="0" w:type="dxa"/>
              <w:top w:w="0" w:type="dxa"/>
              <w:right w:w="0" w:type="dxa"/>
              <w:bottom w:w="0" w:type="dxa"/>
            </w:tcMar>
            <w:tcW w:w="1674" w:type="dxa"/>
            <w:vAlign w:val="center"/>
            <w:textDirection w:val="lrTb"/>
            <w:noWrap w:val="false"/>
          </w:tcPr>
          <w:p>
            <w:pPr>
              <w:pStyle w:val="1066"/>
              <w:ind w:left="242"/>
              <w:spacing w:before="33"/>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社会保险</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Mar>
              <w:left w:w="0" w:type="dxa"/>
              <w:top w:w="0" w:type="dxa"/>
              <w:right w:w="0" w:type="dxa"/>
              <w:bottom w:w="0" w:type="dxa"/>
            </w:tcMar>
            <w:tcW w:w="1674" w:type="dxa"/>
            <w:vAlign w:val="center"/>
            <w:textDirection w:val="lrTb"/>
            <w:noWrap w:val="false"/>
          </w:tcPr>
          <w:p>
            <w:pPr>
              <w:pStyle w:val="1066"/>
              <w:ind w:left="249"/>
              <w:spacing w:before="34"/>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住房公积金</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Mar>
              <w:left w:w="0" w:type="dxa"/>
              <w:top w:w="0" w:type="dxa"/>
              <w:right w:w="0" w:type="dxa"/>
              <w:bottom w:w="0" w:type="dxa"/>
            </w:tcMar>
            <w:tcW w:w="1674" w:type="dxa"/>
            <w:vAlign w:val="center"/>
            <w:textDirection w:val="lrTb"/>
            <w:noWrap w:val="false"/>
          </w:tcPr>
          <w:p>
            <w:pPr>
              <w:pStyle w:val="1066"/>
              <w:ind w:left="242"/>
              <w:spacing w:before="37"/>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意外保险费</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p>
        </w:tc>
        <w:tc>
          <w:tcPr>
            <w:tcMar>
              <w:left w:w="0" w:type="dxa"/>
              <w:top w:w="0" w:type="dxa"/>
              <w:right w:w="0" w:type="dxa"/>
              <w:bottom w:w="0" w:type="dxa"/>
            </w:tcMar>
            <w:tcW w:w="1674" w:type="dxa"/>
            <w:vAlign w:val="center"/>
            <w:textDirection w:val="lrTb"/>
            <w:noWrap w:val="false"/>
          </w:tcPr>
          <w:p>
            <w:pPr>
              <w:pStyle w:val="1066"/>
              <w:ind w:left="272"/>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gridSpan w:val="4"/>
            <w:tcMar>
              <w:left w:w="0" w:type="dxa"/>
              <w:top w:w="0" w:type="dxa"/>
              <w:right w:w="0" w:type="dxa"/>
              <w:bottom w:w="0" w:type="dxa"/>
            </w:tcMar>
            <w:tcW w:w="514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小计</w:t>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gridSpan w:val="8"/>
            <w:tcMar>
              <w:left w:w="0" w:type="dxa"/>
              <w:top w:w="0" w:type="dxa"/>
              <w:right w:w="0" w:type="dxa"/>
              <w:bottom w:w="0" w:type="dxa"/>
            </w:tcMar>
            <w:tcW w:w="9110"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车辆费用</w:t>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jc w:val="center"/>
              <w:spacing w:before="41"/>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1</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垃圾收集车</w:t>
            </w:r>
            <w:r/>
          </w:p>
        </w:tc>
        <w:tc>
          <w:tcPr>
            <w:tcMar>
              <w:left w:w="0" w:type="dxa"/>
              <w:top w:w="0" w:type="dxa"/>
              <w:right w:w="0" w:type="dxa"/>
              <w:bottom w:w="0" w:type="dxa"/>
            </w:tcMar>
            <w:tcW w:w="1467" w:type="dxa"/>
            <w:vAlign w:val="center"/>
            <w:textDirection w:val="lrTb"/>
            <w:noWrap w:val="false"/>
          </w:tcPr>
          <w:p>
            <w:pPr>
              <w:pStyle w:val="1066"/>
              <w:ind w:left="272"/>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pStyle w:val="1066"/>
              <w:ind w:left="272"/>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pStyle w:val="1066"/>
              <w:ind w:left="272"/>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pStyle w:val="1066"/>
              <w:ind w:left="272"/>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pStyle w:val="1066"/>
              <w:ind w:left="272"/>
              <w:spacing w:before="42"/>
              <w:rPr>
                <w:rFonts w:hint="eastAsia"/>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其中上牌新能源车辆不少于3辆</w:t>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中型扫地车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小型无人自动清扫车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高压洒水车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jc w:val="center"/>
              <w:spacing w:before="34"/>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5</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生活垃圾压块转运车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jc w:val="center"/>
              <w:spacing w:before="3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6</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抽粪车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jc w:val="center"/>
              <w:spacing w:before="40"/>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7</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厢式电动三轮保洁车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jc w:val="center"/>
              <w:spacing w:before="40"/>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8</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生活垃圾电瓶三轮清运车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9</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巡查车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餐饮垃圾收集车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二轮电动巡查车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12</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后翻式四轮电动垃圾清运车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13</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高压电动清洗车</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gridSpan w:val="4"/>
            <w:tcMar>
              <w:left w:w="0" w:type="dxa"/>
              <w:top w:w="0" w:type="dxa"/>
              <w:right w:w="0" w:type="dxa"/>
              <w:bottom w:w="0" w:type="dxa"/>
            </w:tcMar>
            <w:tcW w:w="514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gridSpan w:val="8"/>
            <w:tcMar>
              <w:left w:w="0" w:type="dxa"/>
              <w:top w:w="0" w:type="dxa"/>
              <w:right w:w="0" w:type="dxa"/>
              <w:bottom w:w="0" w:type="dxa"/>
            </w:tcMar>
            <w:tcW w:w="9110"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其他环卫装备费用</w:t>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背负式风管机</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弥雾机</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铲雪装置</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4</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汽油锯</w:t>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gridSpan w:val="4"/>
            <w:tcMar>
              <w:left w:w="0" w:type="dxa"/>
              <w:top w:w="0" w:type="dxa"/>
              <w:right w:w="0" w:type="dxa"/>
              <w:bottom w:w="0" w:type="dxa"/>
            </w:tcMar>
            <w:tcW w:w="514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小计</w:t>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gridSpan w:val="8"/>
            <w:tcMar>
              <w:left w:w="0" w:type="dxa"/>
              <w:top w:w="0" w:type="dxa"/>
              <w:right w:w="0" w:type="dxa"/>
              <w:bottom w:w="0" w:type="dxa"/>
            </w:tcMar>
            <w:tcW w:w="9110"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垃圾中转站整体运行、维护管理费用</w:t>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gridSpan w:val="8"/>
            <w:tcMar>
              <w:left w:w="0" w:type="dxa"/>
              <w:top w:w="0" w:type="dxa"/>
              <w:right w:w="0" w:type="dxa"/>
              <w:bottom w:w="0" w:type="dxa"/>
            </w:tcMar>
            <w:tcW w:w="9110"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其他费用</w:t>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1</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2</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3</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tcMar>
              <w:left w:w="0" w:type="dxa"/>
              <w:top w:w="0" w:type="dxa"/>
              <w:right w:w="0" w:type="dxa"/>
              <w:bottom w:w="0" w:type="dxa"/>
            </w:tcMar>
            <w:tcW w:w="561" w:type="dxa"/>
            <w:vAlign w:val="center"/>
            <w:textDirection w:val="lrTb"/>
            <w:noWrap w:val="false"/>
          </w:tcPr>
          <w:p>
            <w:pPr>
              <w:pStyle w:val="1066"/>
              <w:ind w:left="159"/>
              <w:spacing w:before="46"/>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w:t>
            </w:r>
            <w:r/>
          </w:p>
        </w:tc>
        <w:tc>
          <w:tcPr>
            <w:tcMar>
              <w:left w:w="0" w:type="dxa"/>
              <w:top w:w="0" w:type="dxa"/>
              <w:right w:w="0" w:type="dxa"/>
              <w:bottom w:w="0" w:type="dxa"/>
            </w:tcMar>
            <w:tcW w:w="1674" w:type="dxa"/>
            <w:vAlign w:val="center"/>
            <w:textDirection w:val="lrTb"/>
            <w:noWrap w:val="false"/>
          </w:tcPr>
          <w:p>
            <w:pPr>
              <w:pStyle w:val="1066"/>
              <w:jc w:val="center"/>
              <w:spacing w:before="42"/>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r>
            <w:r/>
          </w:p>
        </w:tc>
        <w:tc>
          <w:tcPr>
            <w:tcMar>
              <w:left w:w="0" w:type="dxa"/>
              <w:top w:w="0" w:type="dxa"/>
              <w:right w:w="0" w:type="dxa"/>
              <w:bottom w:w="0" w:type="dxa"/>
            </w:tcMar>
            <w:tcW w:w="146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14"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91"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077"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1350"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c>
          <w:tcPr>
            <w:tcMar>
              <w:left w:w="0" w:type="dxa"/>
              <w:top w:w="0" w:type="dxa"/>
              <w:right w:w="0" w:type="dxa"/>
              <w:bottom w:w="0" w:type="dxa"/>
            </w:tcMar>
            <w:tcW w:w="976" w:type="dxa"/>
            <w:vAlign w:val="center"/>
            <w:textDirection w:val="lrTb"/>
            <w:noWrap w:val="false"/>
          </w:tcPr>
          <w:p>
            <w:pPr>
              <w:jc w:val="cente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tc>
      </w:tr>
      <w:tr>
        <w:trPr>
          <w:jc w:val="center"/>
          <w:trHeight w:val="567"/>
        </w:trPr>
        <w:tc>
          <w:tcPr>
            <w:gridSpan w:val="2"/>
            <w:tcMar>
              <w:left w:w="0" w:type="dxa"/>
              <w:top w:w="0" w:type="dxa"/>
              <w:right w:w="0" w:type="dxa"/>
              <w:bottom w:w="0" w:type="dxa"/>
            </w:tcMar>
            <w:tcW w:w="2235" w:type="dxa"/>
            <w:vAlign w:val="center"/>
            <w:textDirection w:val="lrTb"/>
            <w:noWrap w:val="false"/>
          </w:tcPr>
          <w:p>
            <w:pPr>
              <w:jc w:val="center"/>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合计</w:t>
            </w:r>
            <w:r/>
          </w:p>
        </w:tc>
        <w:tc>
          <w:tcPr>
            <w:gridSpan w:val="6"/>
            <w:tcMar>
              <w:left w:w="0" w:type="dxa"/>
              <w:top w:w="0" w:type="dxa"/>
              <w:right w:w="0" w:type="dxa"/>
              <w:bottom w:w="0" w:type="dxa"/>
            </w:tcMar>
            <w:tcW w:w="6875" w:type="dxa"/>
            <w:vAlign w:val="center"/>
            <w:textDirection w:val="lrTb"/>
            <w:noWrap w:val="false"/>
          </w:tcPr>
          <w:p>
            <w:pPr>
              <w:pStyle w:val="1066"/>
              <w:ind w:left="510"/>
              <w:spacing w:before="43"/>
              <w:rPr>
                <w:rFonts w:hint="eastAsia"/>
                <w:color w:val="000000" w:themeColor="text1"/>
                <w:sz w:val="21"/>
                <w:szCs w:val="21"/>
                <w:highlight w:val="none"/>
                <w:lang w:eastAsia="zh-CN"/>
                <w14:textFill>
                  <w14:solidFill>
                    <w14:schemeClr w14:val="tx1"/>
                  </w14:solidFill>
                </w14:textFill>
              </w:rPr>
            </w:pPr>
            <w:r>
              <w:rPr>
                <w:rFonts w:hint="eastAsia"/>
                <w:color w:val="000000" w:themeColor="text1"/>
                <w:sz w:val="21"/>
                <w:szCs w:val="21"/>
                <w:highlight w:val="none"/>
                <w:lang w:eastAsia="zh-CN"/>
                <w14:textFill>
                  <w14:solidFill>
                    <w14:schemeClr w14:val="tx1"/>
                  </w14:solidFill>
                </w14:textFill>
              </w:rPr>
              <w:t xml:space="preserve">大写：</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元；小写</w:t>
            </w:r>
            <w:r>
              <w:rPr>
                <w:rFonts w:hint="eastAsia"/>
                <w:color w:val="000000" w:themeColor="text1"/>
                <w:sz w:val="21"/>
                <w:szCs w:val="21"/>
                <w:highlight w:val="none"/>
                <w:u w:val="single"/>
                <w:lang w:eastAsia="zh-CN"/>
                <w14:textFill>
                  <w14:solidFill>
                    <w14:schemeClr w14:val="tx1"/>
                  </w14:solidFill>
                </w14:textFill>
              </w:rPr>
              <w:t xml:space="preserve">              </w:t>
            </w:r>
            <w:r>
              <w:rPr>
                <w:rFonts w:hint="eastAsia"/>
                <w:color w:val="000000" w:themeColor="text1"/>
                <w:sz w:val="21"/>
                <w:szCs w:val="21"/>
                <w:highlight w:val="none"/>
                <w:lang w:eastAsia="zh-CN"/>
                <w14:textFill>
                  <w14:solidFill>
                    <w14:schemeClr w14:val="tx1"/>
                  </w14:solidFill>
                </w14:textFill>
              </w:rPr>
              <w:t xml:space="preserve">元</w:t>
            </w:r>
            <w:r/>
          </w:p>
        </w:tc>
      </w:tr>
    </w:tbl>
    <w:p>
      <w:pPr>
        <w:spacing w:line="360" w:lineRule="auto"/>
        <w:rPr>
          <w:rFonts w:ascii="Times New Roman" w:hAnsi="Times New Roman"/>
          <w:b/>
          <w:bCs/>
          <w:color w:val="000000" w:themeColor="text1"/>
          <w:sz w:val="24"/>
          <w:szCs w:val="24"/>
          <w:highlight w:val="none"/>
          <w14:textFill>
            <w14:solidFill>
              <w14:schemeClr w14:val="tx1"/>
            </w14:solidFill>
          </w14:textFill>
        </w:rPr>
      </w:pPr>
      <w:r>
        <w:rPr>
          <w:rFonts w:ascii="Times New Roman" w:hAnsi="Times New Roman"/>
          <w:b/>
          <w:bCs/>
          <w:color w:val="000000" w:themeColor="text1"/>
          <w:sz w:val="24"/>
          <w:szCs w:val="24"/>
          <w:highlight w:val="none"/>
          <w14:textFill>
            <w14:solidFill>
              <w14:schemeClr w14:val="tx1"/>
            </w14:solidFill>
          </w14:textFill>
        </w:rPr>
      </w:r>
      <w:r/>
    </w:p>
    <w:p>
      <w:pPr>
        <w:ind w:firstLine="482"/>
        <w:spacing w:line="360" w:lineRule="auto"/>
        <w:rPr>
          <w:rFonts w:hint="eastAsia" w:ascii="宋体" w:hAnsi="宋体" w:cs="宋体"/>
          <w:b/>
          <w:bCs/>
          <w:i/>
          <w:iCs/>
          <w:color w:val="000000" w:themeColor="text1"/>
          <w:sz w:val="24"/>
          <w:szCs w:val="24"/>
          <w:highlight w:val="none"/>
          <w:u w:val="single"/>
          <w14:textFill>
            <w14:solidFill>
              <w14:schemeClr w14:val="tx1"/>
            </w14:solidFill>
          </w14:textFill>
        </w:rPr>
      </w:pPr>
      <w:r>
        <w:rPr>
          <w:rFonts w:hint="eastAsia" w:ascii="宋体" w:hAnsi="宋体" w:cs="宋体"/>
          <w:b/>
          <w:bCs/>
          <w:i w:val="0"/>
          <w:iCs w:val="0"/>
          <w:color w:val="000000" w:themeColor="text1"/>
          <w:sz w:val="24"/>
          <w:szCs w:val="24"/>
          <w:highlight w:val="none"/>
          <w:u w:val="single"/>
          <w14:textFill>
            <w14:solidFill>
              <w14:schemeClr w14:val="tx1"/>
            </w14:solidFill>
          </w14:textFill>
        </w:rPr>
        <w:t xml:space="preserve">针对本项目   </w:t>
      </w:r>
      <w:r>
        <w:rPr>
          <w:rFonts w:hint="eastAsia" w:ascii="宋体" w:hAnsi="宋体" w:cs="宋体"/>
          <w:b/>
          <w:bCs/>
          <w:i w:val="0"/>
          <w:iCs w:val="0"/>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bCs/>
          <w:i w:val="0"/>
          <w:iCs w:val="0"/>
          <w:color w:val="000000" w:themeColor="text1"/>
          <w:sz w:val="24"/>
          <w:szCs w:val="24"/>
          <w:highlight w:val="none"/>
          <w:u w:val="single"/>
          <w14:textFill>
            <w14:solidFill>
              <w14:schemeClr w14:val="tx1"/>
            </w14:solidFill>
          </w14:textFill>
        </w:rPr>
        <w:t xml:space="preserve">  （是或否）使用退休人员。</w:t>
      </w:r>
      <w:r/>
    </w:p>
    <w:p>
      <w:pPr>
        <w:spacing w:line="360" w:lineRule="auto"/>
        <w:rPr>
          <w:rFonts w:hint="eastAsia" w:ascii="宋体" w:hAnsi="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14:textFill>
            <w14:solidFill>
              <w14:schemeClr w14:val="tx1"/>
            </w14:solidFill>
          </w14:textFill>
        </w:rPr>
      </w:r>
      <w:r/>
    </w:p>
    <w:p>
      <w:pPr>
        <w:ind w:firstLine="482"/>
        <w:spacing w:line="360" w:lineRule="auto"/>
        <w:rPr>
          <w:rFonts w:hint="eastAsia" w:ascii="宋体" w:hAnsi="宋体" w:cs="宋体"/>
          <w:b/>
          <w:bCs/>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14:textFill>
            <w14:solidFill>
              <w14:schemeClr w14:val="tx1"/>
            </w14:solidFill>
          </w14:textFill>
        </w:rPr>
        <w:t xml:space="preserve">注：</w:t>
      </w:r>
      <w:r/>
    </w:p>
    <w:p>
      <w:pPr>
        <w:ind w:firstLine="482"/>
        <w:spacing w:line="360" w:lineRule="auto"/>
        <w:rPr>
          <w:rFonts w:hint="eastAsia" w:ascii="宋体" w:hAnsi="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14:textFill>
            <w14:solidFill>
              <w14:schemeClr w14:val="tx1"/>
            </w14:solidFill>
          </w14:textFill>
        </w:rPr>
        <w:t xml:space="preserve">1.以上表格必须如实提供（所有费用都须列明并合理），内容表述不全的可自行调整或添加，但不得减少已列出的内容，除备注外，其余为必填项。</w:t>
      </w:r>
      <w:r/>
    </w:p>
    <w:p>
      <w:pPr>
        <w:ind w:firstLine="482"/>
        <w:spacing w:line="360" w:lineRule="auto"/>
        <w:rPr>
          <w:rFonts w:hint="eastAsia" w:ascii="宋体" w:hAnsi="宋体" w:cs="宋体"/>
          <w:i w:val="0"/>
          <w:iCs w:val="0"/>
          <w:color w:val="000000" w:themeColor="text1"/>
          <w:sz w:val="24"/>
          <w:szCs w:val="24"/>
          <w:highlight w:val="none"/>
          <w:u w:val="none"/>
          <w14:textFill>
            <w14:solidFill>
              <w14:schemeClr w14:val="tx1"/>
            </w14:solidFill>
          </w14:textFill>
        </w:rPr>
      </w:pPr>
      <w:r>
        <w:rPr>
          <w:rFonts w:hint="eastAsia" w:ascii="宋体" w:hAnsi="宋体" w:cs="宋体"/>
          <w:b/>
          <w:bCs/>
          <w:i w:val="0"/>
          <w:iCs w:val="0"/>
          <w:color w:val="000000" w:themeColor="text1"/>
          <w:sz w:val="24"/>
          <w:szCs w:val="24"/>
          <w:highlight w:val="none"/>
          <w:u w:val="none"/>
          <w14:textFill>
            <w14:solidFill>
              <w14:schemeClr w14:val="tx1"/>
            </w14:solidFill>
          </w14:textFill>
        </w:rPr>
        <w:t xml:space="preserve">2.请供应商明确针对该项目是否使用退休人员：如使用退休人员，则在横线处填写“是”；如未使用退休人员，则在横线处填写“否”。（此为必填项）</w:t>
      </w:r>
      <w:r/>
    </w:p>
    <w:p>
      <w:pPr>
        <w:ind w:firstLine="482"/>
        <w:spacing w:line="360" w:lineRule="auto"/>
        <w:rPr>
          <w:rFonts w:hint="eastAsia" w:ascii="宋体" w:hAnsi="宋体" w:cs="宋体"/>
          <w:b/>
          <w:bCs/>
          <w:i w:val="0"/>
          <w:iCs w:val="0"/>
          <w:color w:val="000000" w:themeColor="text1"/>
          <w:sz w:val="24"/>
          <w:szCs w:val="24"/>
          <w:highlight w:val="none"/>
          <w:u w:val="none"/>
          <w14:textFill>
            <w14:solidFill>
              <w14:schemeClr w14:val="tx1"/>
            </w14:solidFill>
          </w14:textFill>
        </w:rPr>
      </w:pPr>
      <w:r/>
      <w:bookmarkStart w:id="300" w:name="_Toc2502"/>
      <w:r/>
      <w:bookmarkStart w:id="301" w:name="_Toc8212"/>
      <w:r/>
      <w:bookmarkStart w:id="302" w:name="_Toc16347"/>
      <w:r>
        <w:rPr>
          <w:rFonts w:hint="eastAsia" w:ascii="宋体" w:hAnsi="宋体" w:cs="宋体"/>
          <w:b/>
          <w:bCs/>
          <w:i w:val="0"/>
          <w:iCs w:val="0"/>
          <w:color w:val="000000" w:themeColor="text1"/>
          <w:sz w:val="24"/>
          <w:szCs w:val="24"/>
          <w:highlight w:val="none"/>
          <w:u w:val="none"/>
          <w14:textFill>
            <w14:solidFill>
              <w14:schemeClr w14:val="tx1"/>
            </w14:solidFill>
          </w14:textFill>
        </w:rPr>
        <w:t xml:space="preserve">3.如有分包，投标人投任何一个包的标的，都需单独填写经费测算明细表。</w:t>
      </w:r>
      <w:bookmarkEnd w:id="300"/>
      <w:r/>
      <w:bookmarkEnd w:id="301"/>
      <w:r/>
      <w:bookmarkEnd w:id="302"/>
      <w:r/>
      <w:r/>
    </w:p>
    <w:p>
      <w:pPr>
        <w:ind w:firstLine="480"/>
        <w:keepLines w:val="0"/>
        <w:keepNext w:val="0"/>
        <w:spacing w:before="0" w:after="0" w:line="360" w:lineRule="auto"/>
        <w:rPr>
          <w:color w:val="000000" w:themeColor="text1"/>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03" w:name="_Toc26115"/>
      <w:r/>
      <w:bookmarkStart w:id="304" w:name="_Toc11271"/>
      <w:r/>
      <w:bookmarkStart w:id="305" w:name="_Toc17197"/>
      <w:r/>
      <w:bookmarkStart w:id="306" w:name="_Toc160715781"/>
      <w:r/>
      <w:bookmarkStart w:id="307" w:name="_Toc256000016"/>
      <w:r>
        <w:rPr>
          <w:rFonts w:hint="eastAsia"/>
          <w:b/>
          <w:bCs/>
          <w:color w:val="000000" w:themeColor="text1"/>
          <w:sz w:val="28"/>
          <w:szCs w:val="28"/>
          <w:highlight w:val="none"/>
          <w14:textFill>
            <w14:solidFill>
              <w14:schemeClr w14:val="tx1"/>
            </w14:solidFill>
          </w14:textFill>
        </w:rPr>
        <w:t xml:space="preserve">五</w:t>
      </w:r>
      <w:r>
        <w:rPr>
          <w:b/>
          <w:bCs/>
          <w:color w:val="000000" w:themeColor="text1"/>
          <w:sz w:val="28"/>
          <w:szCs w:val="28"/>
          <w:highlight w:val="none"/>
          <w14:textFill>
            <w14:solidFill>
              <w14:schemeClr w14:val="tx1"/>
            </w14:solidFill>
          </w14:textFill>
        </w:rPr>
        <w:t xml:space="preserve">、资格证明文件</w:t>
      </w:r>
      <w:bookmarkEnd w:id="303"/>
      <w:r/>
      <w:bookmarkEnd w:id="304"/>
      <w:r/>
      <w:bookmarkEnd w:id="305"/>
      <w:r/>
      <w:bookmarkEnd w:id="306"/>
      <w:r/>
      <w:bookmarkEnd w:id="307"/>
      <w:r/>
      <w:r/>
    </w:p>
    <w:p>
      <w:pPr>
        <w:ind w:firstLine="482"/>
        <w:spacing w:line="400" w:lineRule="exact"/>
        <w:tabs>
          <w:tab w:val="left" w:pos="709" w:leader="none"/>
        </w:tabs>
        <w:rPr>
          <w:rFonts w:hint="eastAsia" w:ascii="宋体" w:hAnsi="宋体" w:cs="宋体"/>
          <w:b/>
          <w:bCs/>
          <w:i/>
          <w:color w:val="000000" w:themeColor="text1"/>
          <w:sz w:val="24"/>
          <w:szCs w:val="24"/>
          <w:highlight w:val="none"/>
          <w:u w:val="single"/>
          <w14:textFill>
            <w14:solidFill>
              <w14:schemeClr w14:val="tx1"/>
            </w14:solidFill>
          </w14:textFill>
        </w:rPr>
      </w:pPr>
      <w:r>
        <w:rPr>
          <w:rFonts w:hint="eastAsia" w:ascii="宋体" w:hAnsi="宋体" w:cs="宋体"/>
          <w:b/>
          <w:bCs/>
          <w:i/>
          <w:color w:val="000000" w:themeColor="text1"/>
          <w:sz w:val="24"/>
          <w:szCs w:val="24"/>
          <w:highlight w:val="none"/>
          <w:u w:val="single"/>
          <w14:textFill>
            <w14:solidFill>
              <w14:schemeClr w14:val="tx1"/>
            </w14:solidFill>
          </w14:textFill>
        </w:rPr>
        <w:t xml:space="preserve">投标人必须在投标文件提交截止时间之前递交以下资格证明文件：</w:t>
      </w:r>
      <w:r/>
    </w:p>
    <w:p>
      <w:pPr>
        <w:ind w:left="105" w:firstLine="48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left="105" w:firstLine="48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2、财务状况报告（成立不满一年不需要提供）；</w:t>
      </w:r>
      <w:r/>
    </w:p>
    <w:p>
      <w:pPr>
        <w:ind w:left="105" w:firstLine="48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3、依法缴纳税收和社会保障资金的相关材料（如依法享受缓缴、免缴税收、社会保障资金的，应提供相关证明材料）；</w:t>
      </w:r>
      <w:r/>
    </w:p>
    <w:p>
      <w:pPr>
        <w:ind w:left="105" w:firstLine="48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4、具备履行合同所必需的设备和专业技术能力的书面声明（格式见后）；</w:t>
      </w:r>
      <w:r/>
    </w:p>
    <w:p>
      <w:pPr>
        <w:ind w:firstLine="60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5、参加政府采购活动前3年内在经营活动中没有重大违法记录的书面声明（格式见后）；</w:t>
      </w:r>
      <w:r/>
    </w:p>
    <w:p>
      <w:pPr>
        <w:ind w:firstLine="60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6、提供授权委托书（被授权人非法定代表人的，应提供授权委托书；被授权人是法定代表人的，应提供授权委托书或法定代表人身份证明书。格式见后）；</w:t>
      </w:r>
      <w:r/>
    </w:p>
    <w:p>
      <w:pPr>
        <w:ind w:left="105" w:firstLine="48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7、关于资格证明文件的书面承诺（格式见后）；</w:t>
      </w:r>
      <w:r/>
    </w:p>
    <w:p>
      <w:pPr>
        <w:ind w:firstLine="600"/>
        <w:spacing w:line="440" w:lineRule="exact"/>
        <w:tabs>
          <w:tab w:val="left" w:pos="709" w:leader="none"/>
        </w:tabs>
        <w:rPr>
          <w:rFonts w:hint="eastAsia" w:ascii="宋体" w:hAnsi="宋体" w:cs="宋体"/>
          <w:bCs/>
          <w:i/>
          <w:color w:val="000000" w:themeColor="text1"/>
          <w:sz w:val="24"/>
          <w:szCs w:val="24"/>
          <w:highlight w:val="none"/>
          <w:u w:val="single"/>
          <w14:textFill>
            <w14:solidFill>
              <w14:schemeClr w14:val="tx1"/>
            </w14:solidFill>
          </w14:textFill>
        </w:rPr>
      </w:pPr>
      <w:r>
        <w:rPr>
          <w:rFonts w:hint="eastAsia" w:ascii="宋体" w:hAnsi="宋体" w:cs="宋体"/>
          <w:bCs/>
          <w:i/>
          <w:color w:val="000000" w:themeColor="text1"/>
          <w:sz w:val="24"/>
          <w:szCs w:val="24"/>
          <w:highlight w:val="none"/>
          <w:u w:val="single"/>
          <w14:textFill>
            <w14:solidFill>
              <w14:schemeClr w14:val="tx1"/>
            </w14:solidFill>
          </w14:textFill>
        </w:rPr>
        <w:t xml:space="preserve">8、未被“信用中国”网站（www.creditchina.gov.cn）列入失信被执行人、重大税收违法案件当事人名单、政府采购严重失信行为记录名单。</w:t>
      </w:r>
      <w:r/>
    </w:p>
    <w:p>
      <w:pPr>
        <w:ind w:firstLine="600"/>
        <w:spacing w:line="440" w:lineRule="exact"/>
        <w:tabs>
          <w:tab w:val="left" w:pos="709" w:leader="none"/>
        </w:tabs>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pP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r>
      <w:r/>
    </w:p>
    <w:p>
      <w:pPr>
        <w:ind w:firstLine="601"/>
        <w:keepLines w:val="0"/>
        <w:keepNext w:val="0"/>
        <w:pageBreakBefore w:val="0"/>
        <w:spacing w:line="312" w:lineRule="auto"/>
        <w:widowControl w:val="off"/>
        <w:tabs>
          <w:tab w:val="left" w:pos="709" w:leader="none"/>
        </w:tabs>
        <w:rPr>
          <w:rFonts w:hint="eastAsia" w:ascii="宋体" w:hAnsi="宋体" w:eastAsia="宋体" w:cs="宋体"/>
          <w:b/>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u w:val="none"/>
          <w:lang w:val="en-US" w:eastAsia="zh-CN"/>
          <w14:textFill>
            <w14:solidFill>
              <w14:schemeClr w14:val="tx1"/>
            </w14:solidFill>
          </w14:textFill>
        </w:rPr>
        <w:t xml:space="preserve">注：</w:t>
      </w:r>
      <w:r/>
    </w:p>
    <w:p>
      <w:pPr>
        <w:ind w:firstLine="601"/>
        <w:keepLines w:val="0"/>
        <w:keepNext w:val="0"/>
        <w:pageBreakBefore w:val="0"/>
        <w:spacing w:line="312" w:lineRule="auto"/>
        <w:widowControl w:val="off"/>
        <w:tabs>
          <w:tab w:val="left" w:pos="709" w:leader="none"/>
        </w:tabs>
        <w:rPr>
          <w:rFonts w:hint="eastAsia" w:ascii="宋体" w:hAnsi="宋体" w:eastAsia="宋体" w:cs="宋体"/>
          <w:bCs/>
          <w:i/>
          <w:color w:val="000000" w:themeColor="text1"/>
          <w:sz w:val="24"/>
          <w:szCs w:val="24"/>
          <w:highlight w:val="none"/>
          <w:u w:val="none"/>
          <w14:textFill>
            <w14:solidFill>
              <w14:schemeClr w14:val="tx1"/>
            </w14:solidFill>
          </w14:textFill>
        </w:rPr>
      </w:pPr>
      <w:r>
        <w:rPr>
          <w:rFonts w:hint="eastAsia" w:ascii="宋体" w:hAnsi="宋体" w:eastAsia="宋体" w:cs="宋体"/>
          <w:b/>
          <w:color w:val="000000" w:themeColor="text1"/>
          <w:sz w:val="24"/>
          <w:szCs w:val="24"/>
          <w:highlight w:val="none"/>
          <w:u w:val="none"/>
          <w14:textFill>
            <w14:solidFill>
              <w14:schemeClr w14:val="tx1"/>
            </w14:solidFill>
          </w14:textFill>
        </w:rPr>
        <w:t xml:space="preserve">以上</w:t>
      </w:r>
      <w:r>
        <w:rPr>
          <w:rFonts w:hint="eastAsia" w:ascii="宋体" w:hAnsi="宋体" w:eastAsia="宋体" w:cs="宋体"/>
          <w:b/>
          <w:color w:val="000000" w:themeColor="text1"/>
          <w:sz w:val="24"/>
          <w:szCs w:val="24"/>
          <w:highlight w:val="none"/>
          <w:u w:val="none"/>
          <w:lang w:val="en-US" w:eastAsia="zh-CN"/>
          <w14:textFill>
            <w14:solidFill>
              <w14:schemeClr w14:val="tx1"/>
            </w14:solidFill>
          </w14:textFill>
        </w:rPr>
        <w:t xml:space="preserve">1-8</w:t>
      </w:r>
      <w:r>
        <w:rPr>
          <w:rFonts w:hint="eastAsia" w:ascii="宋体" w:hAnsi="宋体" w:eastAsia="宋体" w:cs="宋体"/>
          <w:b/>
          <w:color w:val="000000" w:themeColor="text1"/>
          <w:sz w:val="24"/>
          <w:szCs w:val="24"/>
          <w:highlight w:val="none"/>
          <w:u w:val="none"/>
          <w14:textFill>
            <w14:solidFill>
              <w14:schemeClr w14:val="tx1"/>
            </w14:solidFill>
          </w14:textFill>
        </w:rPr>
        <w:t xml:space="preserve">项是资格审查要求必须提供的材料，（1）若投标人不属于中小企业，必须将本项目合同分包给一家或多家中小企业，还必须提供分包意向协议</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书</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lang w:val="en-US" w:eastAsia="zh-CN"/>
          <w14:textFill>
            <w14:solidFill>
              <w14:schemeClr w14:val="tx1"/>
            </w14:solidFill>
          </w14:textFill>
        </w:rPr>
        <w:t xml:space="preserve">格式见后</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，并且分包意向协议</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书</w:t>
      </w:r>
      <w:r>
        <w:rPr>
          <w:rFonts w:hint="eastAsia" w:ascii="宋体" w:hAnsi="宋体" w:eastAsia="宋体" w:cs="宋体"/>
          <w:b/>
          <w:color w:val="000000" w:themeColor="text1"/>
          <w:sz w:val="24"/>
          <w:szCs w:val="24"/>
          <w:highlight w:val="none"/>
          <w:u w:val="none"/>
          <w14:textFill>
            <w14:solidFill>
              <w14:schemeClr w14:val="tx1"/>
            </w14:solidFill>
          </w14:textFill>
        </w:rPr>
        <w:t xml:space="preserve">中中小企业合同金额必须达到招标文件要求的比例；还必须提供</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14:textFill>
            <w14:solidFill>
              <w14:schemeClr w14:val="tx1"/>
            </w14:solidFill>
          </w14:textFill>
        </w:rPr>
        <w:t xml:space="preserve">中小企业声明函</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14:textFill>
            <w14:solidFill>
              <w14:schemeClr w14:val="tx1"/>
            </w14:solidFill>
          </w14:textFill>
        </w:rPr>
        <w:t xml:space="preserve">或</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14:textFill>
            <w14:solidFill>
              <w14:schemeClr w14:val="tx1"/>
            </w14:solidFill>
          </w14:textFill>
        </w:rPr>
        <w:t xml:space="preserve">残疾人福利性单位声明函</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14:textFill>
            <w14:solidFill>
              <w14:schemeClr w14:val="tx1"/>
            </w14:solidFill>
          </w14:textFill>
        </w:rPr>
        <w:t xml:space="preserve">或</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14:textFill>
            <w14:solidFill>
              <w14:schemeClr w14:val="tx1"/>
            </w14:solidFill>
          </w14:textFill>
        </w:rPr>
        <w:t xml:space="preserve">监狱企业证明文件</w:t>
      </w:r>
      <w:r>
        <w:rPr>
          <w:rFonts w:hint="eastAsia" w:ascii="宋体" w:hAnsi="宋体" w:eastAsia="宋体" w:cs="宋体"/>
          <w:b/>
          <w:color w:val="000000" w:themeColor="text1"/>
          <w:sz w:val="24"/>
          <w:szCs w:val="24"/>
          <w:highlight w:val="none"/>
          <w:u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u w:val="none"/>
          <w14:textFill>
            <w14:solidFill>
              <w14:schemeClr w14:val="tx1"/>
            </w14:solidFill>
          </w14:textFill>
        </w:rPr>
        <w:t xml:space="preserve">，否则投标无效；（2）若投标人属于中型企业，必须将本项目合同分包给一家或者多家小微企业，还必须提供分包意向协议</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书</w:t>
      </w:r>
      <w:r>
        <w:rPr>
          <w:rFonts w:hint="eastAsia" w:ascii="宋体" w:hAnsi="宋体" w:eastAsia="宋体" w:cs="宋体"/>
          <w:b/>
          <w:color w:val="000000" w:themeColor="text1"/>
          <w:sz w:val="24"/>
          <w:szCs w:val="24"/>
          <w:highlight w:val="none"/>
          <w:u w:val="none"/>
          <w14:textFill>
            <w14:solidFill>
              <w14:schemeClr w14:val="tx1"/>
            </w14:solidFill>
          </w14:textFill>
        </w:rPr>
        <w:t xml:space="preserve">（格式见后），并且分包意向协议</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书</w:t>
      </w:r>
      <w:r>
        <w:rPr>
          <w:rFonts w:hint="eastAsia" w:ascii="宋体" w:hAnsi="宋体" w:eastAsia="宋体" w:cs="宋体"/>
          <w:b/>
          <w:color w:val="000000" w:themeColor="text1"/>
          <w:sz w:val="24"/>
          <w:szCs w:val="24"/>
          <w:highlight w:val="none"/>
          <w:u w:val="none"/>
          <w14:textFill>
            <w14:solidFill>
              <w14:schemeClr w14:val="tx1"/>
            </w14:solidFill>
          </w14:textFill>
        </w:rPr>
        <w:t xml:space="preserve">中小</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微</w:t>
      </w:r>
      <w:r>
        <w:rPr>
          <w:rFonts w:hint="eastAsia" w:ascii="宋体" w:hAnsi="宋体" w:eastAsia="宋体" w:cs="宋体"/>
          <w:b/>
          <w:color w:val="000000" w:themeColor="text1"/>
          <w:sz w:val="24"/>
          <w:szCs w:val="24"/>
          <w:highlight w:val="none"/>
          <w:u w:val="none"/>
          <w14:textFill>
            <w14:solidFill>
              <w14:schemeClr w14:val="tx1"/>
            </w14:solidFill>
          </w14:textFill>
        </w:rPr>
        <w:t xml:space="preserve">企业合同金额必须达到招标文件要求的比例；还必须提供“中小企业声明函”或“残疾人福利性单位声明函”或“监狱企业证明文件”，否则投标无效；（3）若投标人属于小微企业，则可根据自身意愿决定是否分包给其他小微企业，分包比例不作要求，还必须提供“中小企业声明函”或“残疾人福利性单位声明函”或“监狱企业证明文件”；如采取合同分包，还必须提供分包意向协议</w:t>
      </w:r>
      <w:r>
        <w:rPr>
          <w:rFonts w:hint="eastAsia" w:ascii="宋体" w:hAnsi="宋体" w:cs="宋体"/>
          <w:b/>
          <w:color w:val="000000" w:themeColor="text1"/>
          <w:sz w:val="24"/>
          <w:szCs w:val="24"/>
          <w:highlight w:val="none"/>
          <w:u w:val="none"/>
          <w:lang w:val="en-US" w:eastAsia="zh-CN"/>
          <w14:textFill>
            <w14:solidFill>
              <w14:schemeClr w14:val="tx1"/>
            </w14:solidFill>
          </w14:textFill>
        </w:rPr>
        <w:t xml:space="preserve">书</w:t>
      </w:r>
      <w:r>
        <w:rPr>
          <w:rFonts w:hint="eastAsia" w:ascii="宋体" w:hAnsi="宋体" w:eastAsia="宋体" w:cs="宋体"/>
          <w:b/>
          <w:color w:val="000000" w:themeColor="text1"/>
          <w:sz w:val="24"/>
          <w:szCs w:val="24"/>
          <w:highlight w:val="none"/>
          <w:u w:val="none"/>
          <w14:textFill>
            <w14:solidFill>
              <w14:schemeClr w14:val="tx1"/>
            </w14:solidFill>
          </w14:textFill>
        </w:rPr>
        <w:t xml:space="preserve">（格式见后），否则投标无效。</w:t>
      </w:r>
      <w:r/>
    </w:p>
    <w:p>
      <w:pPr>
        <w:ind w:firstLine="600"/>
        <w:spacing w:line="440" w:lineRule="exact"/>
        <w:tabs>
          <w:tab w:val="left" w:pos="709" w:leader="none"/>
        </w:tabs>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r>
        <w:rPr>
          <w:rFonts w:ascii="宋体" w:hAnsi="宋体" w:cs="宋体"/>
          <w:b/>
          <w:color w:val="000000" w:themeColor="text1"/>
          <w:sz w:val="28"/>
          <w:szCs w:val="24"/>
          <w:highlight w:val="none"/>
          <w14:textFill>
            <w14:solidFill>
              <w14:schemeClr w14:val="tx1"/>
            </w14:solidFill>
          </w14:textFill>
        </w:rPr>
        <w:t xml:space="preserve">法人或者其他组织的营业执照等证明文件，自然人的身份证明</w:t>
      </w:r>
      <w:r/>
    </w:p>
    <w:p>
      <w:pPr>
        <w:jc w:val="left"/>
        <w:spacing w:line="440" w:lineRule="exact"/>
        <w:widowControl/>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jc w:val="left"/>
        <w:spacing w:before="240" w:after="240"/>
        <w:widowControl/>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jc w:val="left"/>
        <w:widowControl/>
        <w:rPr>
          <w:rFonts w:hint="eastAsia" w:ascii="宋体" w:hAnsi="宋体" w:cs="宋体"/>
          <w:b/>
          <w:color w:val="000000" w:themeColor="text1"/>
          <w:sz w:val="28"/>
          <w:szCs w:val="24"/>
          <w:highlight w:val="none"/>
          <w14:textFill>
            <w14:solidFill>
              <w14:schemeClr w14:val="tx1"/>
            </w14:solidFill>
          </w14:textFill>
        </w:rPr>
        <w:outlineLvl w:val="2"/>
      </w:pPr>
      <w:r>
        <w:rPr>
          <w:rFonts w:ascii="宋体" w:hAnsi="宋体" w:cs="宋体"/>
          <w:b/>
          <w:color w:val="000000" w:themeColor="text1"/>
          <w:sz w:val="28"/>
          <w:szCs w:val="24"/>
          <w:highlight w:val="none"/>
          <w14:textFill>
            <w14:solidFill>
              <w14:schemeClr w14:val="tx1"/>
            </w14:solidFill>
          </w14:textFill>
        </w:rPr>
        <w:t xml:space="preserve">法人或者其他组织的营业执照等证明文件，自然人的身份证明</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Height w:val="567"/>
        </w:trPr>
        <w:tc>
          <w:tcPr>
            <w:tcMar>
              <w:left w:w="0" w:type="dxa"/>
              <w:top w:w="0" w:type="dxa"/>
              <w:right w:w="0" w:type="dxa"/>
              <w:bottom w:w="0" w:type="dxa"/>
            </w:tcMar>
            <w:tcW w:w="121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625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证书名称</w:t>
            </w:r>
            <w:r/>
          </w:p>
        </w:tc>
        <w:tc>
          <w:tcPr>
            <w:tcMar>
              <w:left w:w="0" w:type="dxa"/>
              <w:top w:w="0" w:type="dxa"/>
              <w:right w:w="0" w:type="dxa"/>
              <w:bottom w:w="0" w:type="dxa"/>
            </w:tcMar>
            <w:tcW w:w="151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查看</w:t>
            </w:r>
            <w:r/>
          </w:p>
        </w:tc>
      </w:tr>
      <w:tr>
        <w:trPr>
          <w:jc w:val="center"/>
          <w:trHeight w:val="567"/>
        </w:trPr>
        <w:tc>
          <w:tcPr>
            <w:tcMar>
              <w:left w:w="0" w:type="dxa"/>
              <w:top w:w="0" w:type="dxa"/>
              <w:right w:w="0" w:type="dxa"/>
              <w:bottom w:w="0" w:type="dxa"/>
            </w:tcMar>
            <w:tcW w:w="121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bookmarkStart w:id="308" w:name="A1"/>
            <w:r/>
            <w:bookmarkEnd w:id="308"/>
            <w:r/>
            <w:r/>
          </w:p>
        </w:tc>
        <w:tc>
          <w:tcPr>
            <w:tcMar>
              <w:left w:w="0" w:type="dxa"/>
              <w:top w:w="0" w:type="dxa"/>
              <w:right w:w="0" w:type="dxa"/>
              <w:bottom w:w="0" w:type="dxa"/>
            </w:tcMar>
            <w:tcW w:w="6255" w:type="dxa"/>
            <w:vAlign w:val="center"/>
            <w:textDirection w:val="lrTb"/>
            <w:noWrap w:val="false"/>
          </w:tcPr>
          <w:p>
            <w:pPr>
              <w:jc w:val="left"/>
              <w:widowControl/>
              <w:rPr>
                <w:rFonts w:hint="eastAsia" w:ascii="宋体" w:hAnsi="宋体" w:cs="宋体"/>
                <w:color w:val="000000" w:themeColor="text1"/>
                <w:sz w:val="24"/>
                <w:szCs w:val="24"/>
                <w:highlight w:val="none"/>
                <w14:textFill>
                  <w14:solidFill>
                    <w14:schemeClr w14:val="tx1"/>
                  </w14:solidFill>
                </w14:textFill>
              </w:rPr>
            </w:pPr>
            <w:r/>
            <w:bookmarkStart w:id="309" w:name="MC"/>
            <w:r/>
            <w:bookmarkEnd w:id="309"/>
            <w:r/>
            <w:r/>
          </w:p>
        </w:tc>
        <w:tc>
          <w:tcPr>
            <w:tcMar>
              <w:left w:w="0" w:type="dxa"/>
              <w:top w:w="0" w:type="dxa"/>
              <w:right w:w="0" w:type="dxa"/>
              <w:bottom w:w="0" w:type="dxa"/>
            </w:tcMar>
            <w:tcW w:w="151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bookmarkStart w:id="310" w:name="ChaKan"/>
            <w:r/>
            <w:bookmarkEnd w:id="310"/>
            <w:r/>
            <w:r/>
          </w:p>
        </w:tc>
      </w:tr>
    </w:tbl>
    <w:p>
      <w:pPr>
        <w:ind w:firstLine="480"/>
        <w:jc w:val="left"/>
        <w:spacing w:before="240" w:after="240" w:line="360" w:lineRule="auto"/>
        <w:widowControl/>
        <w:rPr>
          <w:rFonts w:ascii="Times New Roman" w:hAnsi="Times New Roman" w:eastAsia="Times New Roman"/>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jc w:val="left"/>
        <w:widowControl/>
        <w:rPr>
          <w:rFonts w:ascii="Times New Roman" w:hAnsi="Times New Roman" w:eastAsia="Times New Roman"/>
          <w:color w:val="000000" w:themeColor="text1"/>
          <w:sz w:val="24"/>
          <w:szCs w:val="24"/>
          <w:highlight w:val="none"/>
          <w14:textFill>
            <w14:solidFill>
              <w14:schemeClr w14:val="tx1"/>
            </w14:solidFill>
          </w14:textFill>
        </w:rPr>
        <w:outlineLvl w:val="2"/>
      </w:pPr>
      <w:r>
        <w:rPr>
          <w:rFonts w:ascii="Times New Roman" w:hAnsi="Times New Roman" w:eastAsia="Times New Roman"/>
          <w:color w:val="000000" w:themeColor="text1"/>
          <w:sz w:val="24"/>
          <w:szCs w:val="24"/>
          <w:highlight w:val="none"/>
          <w14:textFill>
            <w14:solidFill>
              <w14:schemeClr w14:val="tx1"/>
            </w14:solidFill>
          </w14:textFill>
        </w:rPr>
        <w:br w:type="page" w:clear="all"/>
      </w:r>
      <w:r>
        <w:rPr>
          <w:rFonts w:ascii="宋体" w:hAnsi="宋体" w:cs="宋体"/>
          <w:b/>
          <w:color w:val="000000" w:themeColor="text1"/>
          <w:sz w:val="28"/>
          <w:szCs w:val="24"/>
          <w:highlight w:val="none"/>
          <w14:textFill>
            <w14:solidFill>
              <w14:schemeClr w14:val="tx1"/>
            </w14:solidFill>
          </w14:textFill>
        </w:rPr>
        <w:t xml:space="preserve">财务状况报告（成立不满一年不需要提供）</w:t>
      </w:r>
      <w:r/>
    </w:p>
    <w:p>
      <w:pPr>
        <w:jc w:val="left"/>
        <w:spacing w:line="440" w:lineRule="exact"/>
        <w:widowControl/>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jc w:val="center"/>
        <w:spacing w:before="360" w:after="360" w:line="300" w:lineRule="auto"/>
        <w:widowControl/>
        <w:rPr>
          <w:rFonts w:hint="eastAsia" w:ascii="黑体" w:hAnsi="黑体" w:eastAsia="黑体" w:cs="黑体"/>
          <w:b/>
          <w:bCs/>
          <w:color w:val="000000" w:themeColor="text1"/>
          <w:sz w:val="36"/>
          <w:szCs w:val="36"/>
          <w:highlight w:val="none"/>
          <w14:textFill>
            <w14:solidFill>
              <w14:schemeClr w14:val="tx1"/>
            </w14:solidFill>
          </w14:textFill>
        </w:rPr>
      </w:pPr>
      <w:r>
        <w:rPr>
          <w:rFonts w:ascii="黑体" w:hAnsi="黑体" w:eastAsia="黑体" w:cs="黑体"/>
          <w:b/>
          <w:bCs/>
          <w:color w:val="000000" w:themeColor="text1"/>
          <w:sz w:val="36"/>
          <w:szCs w:val="36"/>
          <w:highlight w:val="none"/>
          <w14:textFill>
            <w14:solidFill>
              <w14:schemeClr w14:val="tx1"/>
            </w14:solidFill>
          </w14:textFill>
        </w:rPr>
        <w:t xml:space="preserve">近年财务状况表</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903"/>
        <w:gridCol w:w="5025"/>
        <w:gridCol w:w="2145"/>
      </w:tblGrid>
      <w:tr>
        <w:trPr>
          <w:jc w:val="center"/>
          <w:trHeight w:val="680"/>
        </w:trPr>
        <w:tc>
          <w:tcPr>
            <w:tcMar>
              <w:left w:w="0" w:type="dxa"/>
              <w:top w:w="0" w:type="dxa"/>
              <w:right w:w="0" w:type="dxa"/>
              <w:bottom w:w="0" w:type="dxa"/>
            </w:tcMar>
            <w:tcW w:w="1903"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年度</w:t>
            </w:r>
            <w:r/>
          </w:p>
        </w:tc>
        <w:tc>
          <w:tcPr>
            <w:tcMar>
              <w:left w:w="0" w:type="dxa"/>
              <w:top w:w="0" w:type="dxa"/>
              <w:right w:w="0" w:type="dxa"/>
              <w:bottom w:w="0" w:type="dxa"/>
            </w:tcMar>
            <w:tcW w:w="502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说明</w:t>
            </w:r>
            <w:r/>
          </w:p>
        </w:tc>
        <w:tc>
          <w:tcPr>
            <w:tcMar>
              <w:left w:w="0" w:type="dxa"/>
              <w:top w:w="0" w:type="dxa"/>
              <w:right w:w="0" w:type="dxa"/>
              <w:bottom w:w="0" w:type="dxa"/>
            </w:tcMar>
            <w:tcW w:w="214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查看</w:t>
            </w:r>
            <w:r/>
          </w:p>
        </w:tc>
      </w:tr>
      <w:tr>
        <w:trPr>
          <w:jc w:val="center"/>
          <w:trHeight w:val="680"/>
        </w:trPr>
        <w:tc>
          <w:tcPr>
            <w:tcMar>
              <w:left w:w="0" w:type="dxa"/>
              <w:top w:w="0" w:type="dxa"/>
              <w:right w:w="0" w:type="dxa"/>
              <w:bottom w:w="0" w:type="dxa"/>
            </w:tcMar>
            <w:tcW w:w="1903" w:type="dxa"/>
            <w:vAlign w:val="center"/>
            <w:textDirection w:val="lrTb"/>
            <w:noWrap w:val="false"/>
          </w:tcPr>
          <w:p>
            <w:pPr>
              <w:jc w:val="left"/>
              <w:widowControl/>
              <w:rPr>
                <w:rFonts w:hint="eastAsia" w:ascii="宋体" w:hAnsi="宋体" w:cs="宋体"/>
                <w:color w:val="000000" w:themeColor="text1"/>
                <w:sz w:val="24"/>
                <w:szCs w:val="24"/>
                <w:highlight w:val="none"/>
                <w14:textFill>
                  <w14:solidFill>
                    <w14:schemeClr w14:val="tx1"/>
                  </w14:solidFill>
                </w14:textFill>
              </w:rPr>
            </w:pPr>
            <w:r/>
            <w:bookmarkStart w:id="311" w:name="Year"/>
            <w:r/>
            <w:bookmarkEnd w:id="311"/>
            <w:r/>
            <w:r/>
          </w:p>
        </w:tc>
        <w:tc>
          <w:tcPr>
            <w:tcMar>
              <w:left w:w="0" w:type="dxa"/>
              <w:top w:w="0" w:type="dxa"/>
              <w:right w:w="0" w:type="dxa"/>
              <w:bottom w:w="0" w:type="dxa"/>
            </w:tcMar>
            <w:tcW w:w="5025" w:type="dxa"/>
            <w:vAlign w:val="center"/>
            <w:textDirection w:val="lrTb"/>
            <w:noWrap w:val="false"/>
          </w:tcPr>
          <w:p>
            <w:pPr>
              <w:jc w:val="left"/>
              <w:widowControl/>
              <w:rPr>
                <w:rFonts w:hint="eastAsia" w:ascii="宋体" w:hAnsi="宋体" w:cs="宋体"/>
                <w:color w:val="000000" w:themeColor="text1"/>
                <w:sz w:val="24"/>
                <w:szCs w:val="24"/>
                <w:highlight w:val="none"/>
                <w14:textFill>
                  <w14:solidFill>
                    <w14:schemeClr w14:val="tx1"/>
                  </w14:solidFill>
                </w14:textFill>
              </w:rPr>
            </w:pPr>
            <w:r/>
            <w:bookmarkStart w:id="312" w:name="ReMark"/>
            <w:r/>
            <w:bookmarkEnd w:id="312"/>
            <w:r/>
            <w:r/>
          </w:p>
        </w:tc>
        <w:tc>
          <w:tcPr>
            <w:tcMar>
              <w:left w:w="0" w:type="dxa"/>
              <w:top w:w="0" w:type="dxa"/>
              <w:right w:w="0" w:type="dxa"/>
              <w:bottom w:w="0" w:type="dxa"/>
            </w:tcMar>
            <w:tcW w:w="2145" w:type="dxa"/>
            <w:vAlign w:val="center"/>
            <w:textDirection w:val="lrTb"/>
            <w:noWrap w:val="false"/>
          </w:tcPr>
          <w:p>
            <w:pPr>
              <w:jc w:val="left"/>
              <w:widowControl/>
              <w:rPr>
                <w:rFonts w:hint="eastAsia" w:ascii="宋体" w:hAnsi="宋体" w:cs="宋体"/>
                <w:color w:val="000000" w:themeColor="text1"/>
                <w:sz w:val="24"/>
                <w:szCs w:val="24"/>
                <w:highlight w:val="none"/>
                <w14:textFill>
                  <w14:solidFill>
                    <w14:schemeClr w14:val="tx1"/>
                  </w14:solidFill>
                </w14:textFill>
              </w:rPr>
            </w:pPr>
            <w:r/>
            <w:bookmarkStart w:id="313" w:name="ChaKan_0"/>
            <w:r/>
            <w:bookmarkEnd w:id="313"/>
            <w:r/>
            <w:r/>
          </w:p>
        </w:tc>
      </w:tr>
    </w:tbl>
    <w:p>
      <w:pPr>
        <w:jc w:val="left"/>
        <w:widowControl/>
        <w:rPr>
          <w:rFonts w:hint="eastAsia" w:ascii="黑体" w:hAnsi="黑体" w:eastAsia="黑体" w:cs="黑体"/>
          <w:b/>
          <w:bCs/>
          <w:color w:val="000000" w:themeColor="text1"/>
          <w:sz w:val="36"/>
          <w:szCs w:val="36"/>
          <w:highlight w:val="none"/>
          <w14:textFill>
            <w14:solidFill>
              <w14:schemeClr w14:val="tx1"/>
            </w14:solidFill>
          </w14:textFill>
        </w:rPr>
      </w:pPr>
      <w:r>
        <w:rPr>
          <w:rFonts w:hint="eastAsia" w:ascii="黑体" w:hAnsi="黑体" w:eastAsia="黑体" w:cs="黑体"/>
          <w:b/>
          <w:bCs/>
          <w:color w:val="000000" w:themeColor="text1"/>
          <w:sz w:val="36"/>
          <w:szCs w:val="36"/>
          <w:highlight w:val="none"/>
          <w14:textFill>
            <w14:solidFill>
              <w14:schemeClr w14:val="tx1"/>
            </w14:solidFill>
          </w14:textFill>
        </w:rPr>
      </w:r>
      <w:r/>
    </w:p>
    <w:p>
      <w:pPr>
        <w:jc w:val="left"/>
        <w:widowControl/>
        <w:rPr>
          <w:rFonts w:ascii="Times New Roman" w:hAnsi="Times New Roman" w:eastAsia="Times New Roman"/>
          <w:color w:val="000000" w:themeColor="text1"/>
          <w:sz w:val="24"/>
          <w:szCs w:val="24"/>
          <w:highlight w:val="none"/>
          <w14:textFill>
            <w14:solidFill>
              <w14:schemeClr w14:val="tx1"/>
            </w14:solidFill>
          </w14:textFill>
        </w:rPr>
        <w:outlineLvl w:val="2"/>
      </w:pPr>
      <w:r>
        <w:rPr>
          <w:rFonts w:ascii="Times New Roman" w:hAnsi="Times New Roman" w:eastAsia="Times New Roman"/>
          <w:color w:val="000000" w:themeColor="text1"/>
          <w:sz w:val="24"/>
          <w:szCs w:val="24"/>
          <w:highlight w:val="none"/>
          <w14:textFill>
            <w14:solidFill>
              <w14:schemeClr w14:val="tx1"/>
            </w14:solidFill>
          </w14:textFill>
        </w:rPr>
        <w:br w:type="page" w:clear="all"/>
      </w:r>
      <w:r>
        <w:rPr>
          <w:rFonts w:ascii="宋体" w:hAnsi="宋体" w:cs="宋体"/>
          <w:b/>
          <w:color w:val="000000" w:themeColor="text1"/>
          <w:sz w:val="28"/>
          <w:szCs w:val="24"/>
          <w:highlight w:val="none"/>
          <w14:textFill>
            <w14:solidFill>
              <w14:schemeClr w14:val="tx1"/>
            </w14:solidFill>
          </w14:textFill>
        </w:rPr>
        <w:t xml:space="preserve">依法缴纳税收和社会保障资金的相关材料</w:t>
      </w:r>
      <w:r/>
    </w:p>
    <w:p>
      <w:pPr>
        <w:jc w:val="center"/>
        <w:rPr>
          <w:b/>
          <w:bCs/>
          <w:color w:val="000000" w:themeColor="text1"/>
          <w:sz w:val="28"/>
          <w:szCs w:val="28"/>
          <w:highlight w:val="none"/>
          <w14:textFill>
            <w14:solidFill>
              <w14:schemeClr w14:val="tx1"/>
            </w14:solidFill>
          </w14:textFill>
        </w:rPr>
      </w:pPr>
      <w:r>
        <w:rPr>
          <w:b/>
          <w:bCs/>
          <w:color w:val="000000" w:themeColor="text1"/>
          <w:sz w:val="28"/>
          <w:szCs w:val="28"/>
          <w:highlight w:val="none"/>
          <w14:textFill>
            <w14:solidFill>
              <w14:schemeClr w14:val="tx1"/>
            </w14:solidFill>
          </w14:textFill>
        </w:rPr>
      </w:r>
      <w:r/>
    </w:p>
    <w:p>
      <w:pPr>
        <w:jc w:val="center"/>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依法缴纳税收和社会保障资金的相关材料（如依法享受缓缴、免缴税收、社会保障资金的，应提供相关证明材料）</w:t>
      </w:r>
      <w:r/>
    </w:p>
    <w:p>
      <w:pPr>
        <w:jc w:val="left"/>
        <w:widowControl/>
        <w:rPr>
          <w:rFonts w:ascii="Times New Roman" w:hAnsi="Times New Roman" w:eastAsia="Times New Roman"/>
          <w:color w:val="000000" w:themeColor="text1"/>
          <w:sz w:val="24"/>
          <w:szCs w:val="24"/>
          <w:highlight w:val="none"/>
          <w14:textFill>
            <w14:solidFill>
              <w14:schemeClr w14:val="tx1"/>
            </w14:solidFill>
          </w14:textFill>
        </w:rPr>
        <w:outlineLvl w:val="2"/>
      </w:pPr>
      <w:r>
        <w:rPr>
          <w:rFonts w:ascii="Times New Roman" w:hAnsi="Times New Roman" w:eastAsia="Times New Roman"/>
          <w:color w:val="000000" w:themeColor="text1"/>
          <w:sz w:val="24"/>
          <w:szCs w:val="24"/>
          <w:highlight w:val="none"/>
          <w14:textFill>
            <w14:solidFill>
              <w14:schemeClr w14:val="tx1"/>
            </w14:solidFill>
          </w14:textFill>
        </w:rPr>
        <w:br w:type="page" w:clear="all"/>
      </w:r>
      <w:r>
        <w:rPr>
          <w:rFonts w:ascii="宋体" w:hAnsi="宋体" w:cs="宋体"/>
          <w:b/>
          <w:color w:val="000000" w:themeColor="text1"/>
          <w:sz w:val="28"/>
          <w:szCs w:val="24"/>
          <w:highlight w:val="none"/>
          <w14:textFill>
            <w14:solidFill>
              <w14:schemeClr w14:val="tx1"/>
            </w14:solidFill>
          </w14:textFill>
        </w:rPr>
        <w:t xml:space="preserve">具备履行合同所必需的设备和专业技术能力的书面声明</w:t>
      </w:r>
      <w:r/>
    </w:p>
    <w:p>
      <w:pPr>
        <w:jc w:val="left"/>
        <w:spacing w:line="440" w:lineRule="exact"/>
        <w:widowControl/>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r>
      <w:r/>
    </w:p>
    <w:p>
      <w:pPr>
        <w:jc w:val="center"/>
        <w:spacing w:before="320" w:after="320"/>
        <w:widowControl/>
        <w:rPr>
          <w:rFonts w:hint="eastAsia"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t xml:space="preserve">具备履行合同所必需的设备和专业技术能力的书面声明</w:t>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before="320" w:after="320"/>
        <w:widowControl/>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我单位郑重声明：我单位具备履行本项采购合同所必需的设备和专业技术能力。 </w:t>
      </w:r>
      <w:r/>
    </w:p>
    <w:p>
      <w:pPr>
        <w:jc w:val="left"/>
        <w:spacing w:before="360" w:after="360"/>
        <w:widowControl/>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left"/>
        <w:spacing w:before="360" w:after="360"/>
        <w:widowControl/>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left"/>
        <w:spacing w:before="360" w:after="360"/>
        <w:widowControl/>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jc w:val="left"/>
        <w:spacing w:before="360" w:after="360"/>
        <w:widowControl/>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r>
      <w:r/>
    </w:p>
    <w:p>
      <w:pPr>
        <w:ind w:firstLine="3600"/>
        <w:jc w:val="left"/>
        <w:spacing w:before="210" w:after="210"/>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投标单位</w:t>
      </w:r>
      <w:r>
        <w:rPr>
          <w:rFonts w:hint="eastAsia" w:ascii="宋体" w:hAnsi="宋体" w:cs="宋体"/>
          <w:color w:val="000000" w:themeColor="text1"/>
          <w:sz w:val="24"/>
          <w:szCs w:val="24"/>
          <w:highlight w:val="none"/>
          <w14:textFill>
            <w14:solidFill>
              <w14:schemeClr w14:val="tx1"/>
            </w14:solidFill>
          </w14:textFill>
        </w:rPr>
        <w:t xml:space="preserve">名称</w:t>
      </w:r>
      <w:r>
        <w:rPr>
          <w:rFonts w:ascii="宋体" w:hAnsi="宋体" w:cs="宋体"/>
          <w:color w:val="000000" w:themeColor="text1"/>
          <w:sz w:val="24"/>
          <w:szCs w:val="24"/>
          <w:highlight w:val="none"/>
          <w14:textFill>
            <w14:solidFill>
              <w14:schemeClr w14:val="tx1"/>
            </w14:solidFill>
          </w14:textFill>
        </w:rPr>
        <w:t xml:space="preserve">（加盖公章）：</w:t>
      </w:r>
      <w:r/>
    </w:p>
    <w:p>
      <w:pPr>
        <w:jc w:val="left"/>
        <w:widowControl/>
        <w:rPr>
          <w:rFonts w:ascii="Times New Roman" w:hAnsi="Times New Roman" w:eastAsia="Times New Roman"/>
          <w:color w:val="000000" w:themeColor="text1"/>
          <w:sz w:val="24"/>
          <w:szCs w:val="24"/>
          <w:highlight w:val="none"/>
          <w14:textFill>
            <w14:solidFill>
              <w14:schemeClr w14:val="tx1"/>
            </w14:solidFill>
          </w14:textFill>
        </w:rPr>
        <w:outlineLvl w:val="2"/>
      </w:pPr>
      <w:r>
        <w:rPr>
          <w:rFonts w:ascii="Times New Roman" w:hAnsi="Times New Roman" w:eastAsia="Times New Roman"/>
          <w:color w:val="000000" w:themeColor="text1"/>
          <w:sz w:val="24"/>
          <w:szCs w:val="24"/>
          <w:highlight w:val="none"/>
          <w14:textFill>
            <w14:solidFill>
              <w14:schemeClr w14:val="tx1"/>
            </w14:solidFill>
          </w14:textFill>
        </w:rPr>
        <w:br w:type="page" w:clear="all"/>
      </w:r>
      <w:r>
        <w:rPr>
          <w:rFonts w:ascii="宋体" w:hAnsi="宋体" w:cs="宋体"/>
          <w:b/>
          <w:color w:val="000000" w:themeColor="text1"/>
          <w:sz w:val="28"/>
          <w:szCs w:val="24"/>
          <w:highlight w:val="none"/>
          <w14:textFill>
            <w14:solidFill>
              <w14:schemeClr w14:val="tx1"/>
            </w14:solidFill>
          </w14:textFill>
        </w:rPr>
        <w:t xml:space="preserve">参加政府采购活动前3年内在经营活动中没有重大违法记录的书面声明</w:t>
      </w:r>
      <w:r/>
    </w:p>
    <w:p>
      <w:pPr>
        <w:jc w:val="left"/>
        <w:spacing w:line="440" w:lineRule="exact"/>
        <w:widowControl/>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r>
      <w:r/>
    </w:p>
    <w:p>
      <w:pPr>
        <w:jc w:val="center"/>
        <w:spacing w:before="320" w:after="320"/>
        <w:widowControl/>
        <w:rPr>
          <w:rFonts w:hint="eastAsia"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t xml:space="preserve">参加政府采购活动前3年内在经营活动中没有重大违法记录的书面声明</w:t>
      </w:r>
      <w:r/>
    </w:p>
    <w:p>
      <w:pPr>
        <w:jc w:val="center"/>
        <w:spacing w:before="320" w:after="320"/>
        <w:widowControl/>
        <w:rPr>
          <w:rFonts w:hint="eastAsia"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360"/>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3600"/>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投标单位</w:t>
      </w:r>
      <w:r>
        <w:rPr>
          <w:rFonts w:hint="eastAsia" w:ascii="宋体" w:hAnsi="宋体" w:cs="宋体"/>
          <w:color w:val="000000" w:themeColor="text1"/>
          <w:sz w:val="24"/>
          <w:szCs w:val="24"/>
          <w:highlight w:val="none"/>
          <w14:textFill>
            <w14:solidFill>
              <w14:schemeClr w14:val="tx1"/>
            </w14:solidFill>
          </w14:textFill>
        </w:rPr>
        <w:t xml:space="preserve">名称</w:t>
      </w:r>
      <w:r>
        <w:rPr>
          <w:rFonts w:ascii="宋体" w:hAnsi="宋体" w:cs="宋体"/>
          <w:color w:val="000000" w:themeColor="text1"/>
          <w:sz w:val="24"/>
          <w:szCs w:val="24"/>
          <w:highlight w:val="none"/>
          <w14:textFill>
            <w14:solidFill>
              <w14:schemeClr w14:val="tx1"/>
            </w14:solidFill>
          </w14:textFill>
        </w:rPr>
        <w:t xml:space="preserve">（加盖公章）：</w:t>
      </w:r>
      <w:r/>
    </w:p>
    <w:p>
      <w:pPr>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olor w:val="000000" w:themeColor="text1"/>
          <w:sz w:val="24"/>
          <w:szCs w:val="24"/>
          <w:highlight w:val="none"/>
          <w14:textFill>
            <w14:solidFill>
              <w14:schemeClr w14:val="tx1"/>
            </w14:solidFill>
          </w14:textFill>
        </w:rPr>
        <w:br w:type="page" w:clear="all"/>
      </w:r>
      <w:r>
        <w:rPr>
          <w:rFonts w:hint="eastAsia" w:ascii="宋体" w:hAnsi="宋体" w:cs="宋体"/>
          <w:b/>
          <w:bCs/>
          <w:color w:val="000000" w:themeColor="text1"/>
          <w:sz w:val="28"/>
          <w:highlight w:val="none"/>
          <w14:textFill>
            <w14:solidFill>
              <w14:schemeClr w14:val="tx1"/>
            </w14:solidFill>
          </w14:textFill>
        </w:rPr>
        <w:t xml:space="preserve">提供授权委托书（被授权人非法定代表人的，应提供授权委托书；被授权人是法定代表人的，应提供授权委托书或法定代表人身份证明书）</w:t>
      </w:r>
      <w:r/>
    </w:p>
    <w:p>
      <w:pPr>
        <w:jc w:val="center"/>
        <w:spacing w:before="240" w:after="240"/>
        <w:rPr>
          <w:rFonts w:ascii="宋体" w:hAnsi="宋体" w:eastAsia="Times New Roman"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1、授权委托书</w:t>
      </w:r>
      <w:r/>
    </w:p>
    <w:p>
      <w:pPr>
        <w:ind w:firstLine="500"/>
        <w:spacing w:before="240" w:after="240" w:line="360" w:lineRule="auto"/>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本授权书声明：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（供应商名称）授权</w:t>
      </w:r>
      <w:bookmarkStart w:id="314" w:name="sys_STR"/>
      <w:r/>
      <w:bookmarkEnd w:id="314"/>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(被授权人的姓名)（被授权人身份证号码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）为我方就</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（项目编号：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）项目采购活动的合法代理人，以本单位名义全权处理一切与该项目采购有关的事务，其代表本单位处理相关事项所产生的一切责任由本单位承担。</w:t>
      </w:r>
      <w:r/>
    </w:p>
    <w:p>
      <w:pPr>
        <w:ind w:firstLine="50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本授权书于</w:t>
      </w:r>
      <w:r>
        <w:rPr>
          <w:rFonts w:hint="eastAsia" w:ascii="宋体" w:hAnsi="宋体" w:cs="宋体"/>
          <w:color w:val="000000" w:themeColor="text1"/>
          <w:sz w:val="24"/>
          <w:szCs w:val="24"/>
          <w:highlight w:val="none"/>
          <w:u w:val="single"/>
          <w14:textFill>
            <w14:solidFill>
              <w14:schemeClr w14:val="tx1"/>
            </w14:solidFill>
          </w14:textFill>
        </w:rPr>
        <w:t xml:space="preserve">    年    月    日</w:t>
      </w:r>
      <w:r>
        <w:rPr>
          <w:rFonts w:hint="eastAsia" w:ascii="宋体" w:hAnsi="宋体" w:cs="宋体"/>
          <w:color w:val="000000" w:themeColor="text1"/>
          <w:sz w:val="24"/>
          <w:szCs w:val="24"/>
          <w:highlight w:val="none"/>
          <w14:textFill>
            <w14:solidFill>
              <w14:schemeClr w14:val="tx1"/>
            </w14:solidFill>
          </w14:textFill>
        </w:rPr>
        <w:t xml:space="preserve">起生效，特此声明。</w:t>
      </w:r>
      <w:r/>
    </w:p>
    <w:p>
      <w:pPr>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p>
      <w:pPr>
        <w:ind w:firstLine="357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被授权人联系电话：（手机）</w:t>
      </w:r>
      <w:r/>
    </w:p>
    <w:p>
      <w:pPr>
        <w:ind w:firstLine="357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授权单位名称：（加盖公章）</w:t>
      </w:r>
      <w:r/>
    </w:p>
    <w:p>
      <w:pPr>
        <w:ind w:firstLine="357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单位地址：</w:t>
      </w:r>
      <w:r/>
    </w:p>
    <w:p>
      <w:pPr>
        <w:ind w:firstLine="3600"/>
        <w:spacing w:before="240" w:after="2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p>
      <w:pPr>
        <w:jc w:val="left"/>
        <w:widowControl/>
        <w:rPr>
          <w:rFonts w:hint="eastAsia" w:ascii="宋体" w:hAnsi="宋体" w:cs="宋体"/>
          <w:color w:val="000000" w:themeColor="text1"/>
          <w:sz w:val="28"/>
          <w:szCs w:val="28"/>
          <w:highlight w:val="none"/>
          <w14:textFill>
            <w14:solidFill>
              <w14:schemeClr w14:val="tx1"/>
            </w14:solidFill>
          </w14:textFill>
        </w:rPr>
      </w:pPr>
      <w:r>
        <w:rPr>
          <w:rFonts w:ascii="Times New Roman Regular" w:hAnsi="Times New Roman Regular" w:cs="Times New Roman Regular"/>
          <w:b/>
          <w:bCs/>
          <w:color w:val="000000" w:themeColor="text1"/>
          <w:sz w:val="28"/>
          <w:szCs w:val="28"/>
          <w:highlight w:val="none"/>
          <w14:textFill>
            <w14:solidFill>
              <w14:schemeClr w14:val="tx1"/>
            </w14:solidFill>
          </w14:textFill>
        </w:rPr>
        <w:t xml:space="preserve">附：被授权人身份证复印件（正反面）</w:t>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center"/>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2、法定代表人身份证明书</w:t>
      </w:r>
      <w:r/>
    </w:p>
    <w:p>
      <w:pPr>
        <w:ind w:firstLine="500"/>
        <w:spacing w:before="240" w:after="240" w:line="360" w:lineRule="auto"/>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兹证明</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（姓名）（法定代表人身份证号码</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）担任</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（供应商名称）</w:t>
      </w:r>
      <w:r>
        <w:rPr>
          <w:rFonts w:hint="eastAsia" w:ascii="宋体" w:hAnsi="宋体" w:cs="宋体"/>
          <w:color w:val="000000" w:themeColor="text1"/>
          <w:sz w:val="24"/>
          <w:szCs w:val="24"/>
          <w:highlight w:val="none"/>
          <w:u w:val="single"/>
          <w14:textFill>
            <w14:solidFill>
              <w14:schemeClr w14:val="tx1"/>
            </w14:solidFill>
          </w14:textFill>
        </w:rPr>
        <w:t xml:space="preserve">      （职位）</w:t>
      </w:r>
      <w:r>
        <w:rPr>
          <w:rFonts w:hint="eastAsia" w:ascii="宋体" w:hAnsi="宋体" w:cs="宋体"/>
          <w:color w:val="000000" w:themeColor="text1"/>
          <w:sz w:val="24"/>
          <w:szCs w:val="24"/>
          <w:highlight w:val="none"/>
          <w14:textFill>
            <w14:solidFill>
              <w14:schemeClr w14:val="tx1"/>
            </w14:solidFill>
          </w14:textFill>
        </w:rPr>
        <w:t xml:space="preserve">，是我单位的法定代表人。</w:t>
      </w:r>
      <w:r/>
    </w:p>
    <w:p>
      <w:pPr>
        <w:ind w:firstLine="50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特此证明。</w:t>
      </w:r>
      <w:r/>
    </w:p>
    <w:p>
      <w:pPr>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p>
      <w:pPr>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p>
      <w:pPr>
        <w:ind w:firstLine="357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法定代表人联系电话：（手机）</w:t>
      </w:r>
      <w:r/>
    </w:p>
    <w:p>
      <w:pPr>
        <w:ind w:firstLine="357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单位名称：（加盖公章）</w:t>
      </w:r>
      <w:r/>
    </w:p>
    <w:p>
      <w:pPr>
        <w:ind w:firstLine="3570"/>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单位地址：</w:t>
      </w:r>
      <w:r/>
    </w:p>
    <w:p>
      <w:pPr>
        <w:ind w:firstLine="4830"/>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     年   月   日</w:t>
      </w:r>
      <w:r/>
    </w:p>
    <w:p>
      <w:pPr>
        <w:spacing w:before="240" w:after="240"/>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p>
      <w:pPr>
        <w:jc w:val="left"/>
        <w:widowControl/>
        <w:rPr>
          <w:rFonts w:hint="eastAsia" w:ascii="宋体" w:hAnsi="宋体" w:cs="宋体"/>
          <w:color w:val="000000" w:themeColor="text1"/>
          <w:sz w:val="24"/>
          <w:szCs w:val="24"/>
          <w:highlight w:val="none"/>
          <w14:textFill>
            <w14:solidFill>
              <w14:schemeClr w14:val="tx1"/>
            </w14:solidFill>
          </w14:textFill>
        </w:rPr>
      </w:pPr>
      <w:r>
        <w:rPr>
          <w:rFonts w:ascii="Times New Roman Regular" w:hAnsi="Times New Roman Regular" w:cs="Times New Roman Regular"/>
          <w:b/>
          <w:bCs/>
          <w:color w:val="000000" w:themeColor="text1"/>
          <w:sz w:val="28"/>
          <w:szCs w:val="28"/>
          <w:highlight w:val="none"/>
          <w14:textFill>
            <w14:solidFill>
              <w14:schemeClr w14:val="tx1"/>
            </w14:solidFill>
          </w14:textFill>
        </w:rPr>
        <w:t xml:space="preserve">附：法人身份证复印件（正反面）</w:t>
      </w:r>
      <w:r/>
    </w:p>
    <w:p>
      <w:pPr>
        <w:ind w:firstLine="4830"/>
        <w:jc w:val="left"/>
        <w:spacing w:before="240" w:after="240"/>
        <w:widowControl/>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color w:val="000000" w:themeColor="text1"/>
          <w:sz w:val="24"/>
          <w:szCs w:val="24"/>
          <w:highlight w:val="none"/>
          <w14:textFill>
            <w14:solidFill>
              <w14:schemeClr w14:val="tx1"/>
            </w14:solidFill>
          </w14:textFill>
        </w:rPr>
      </w:r>
      <w:r/>
    </w:p>
    <w:p>
      <w:pPr>
        <w:pStyle w:val="1005"/>
        <w:rPr>
          <w:color w:val="000000" w:themeColor="text1"/>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themeColor="text1"/>
          <w:highlight w:val="none"/>
          <w14:textFill>
            <w14:solidFill>
              <w14:schemeClr w14:val="tx1"/>
            </w14:solidFill>
          </w14:textFill>
        </w:rPr>
      </w:r>
      <w:r/>
    </w:p>
    <w:p>
      <w:pPr>
        <w:jc w:val="left"/>
        <w:widowControl/>
        <w:rPr>
          <w:rFonts w:hint="eastAsia" w:ascii="宋体" w:hAnsi="宋体" w:cs="宋体"/>
          <w:b/>
          <w:color w:val="000000" w:themeColor="text1"/>
          <w:sz w:val="28"/>
          <w:szCs w:val="24"/>
          <w:highlight w:val="none"/>
          <w14:textFill>
            <w14:solidFill>
              <w14:schemeClr w14:val="tx1"/>
            </w14:solidFill>
          </w14:textFill>
        </w:rPr>
        <w:outlineLvl w:val="2"/>
      </w:pPr>
      <w:r>
        <w:rPr>
          <w:rFonts w:ascii="宋体" w:hAnsi="宋体" w:cs="宋体"/>
          <w:b/>
          <w:color w:val="000000" w:themeColor="text1"/>
          <w:sz w:val="28"/>
          <w:szCs w:val="24"/>
          <w:highlight w:val="none"/>
          <w14:textFill>
            <w14:solidFill>
              <w14:schemeClr w14:val="tx1"/>
            </w14:solidFill>
          </w14:textFill>
        </w:rPr>
        <w:t xml:space="preserve">关于资格证明文件的书面承诺</w:t>
      </w:r>
      <w:r/>
    </w:p>
    <w:p>
      <w:pPr>
        <w:jc w:val="center"/>
        <w:spacing w:before="320" w:after="320"/>
        <w:widowControl/>
        <w:rPr>
          <w:rFonts w:hint="eastAsia" w:ascii="宋体" w:hAnsi="宋体" w:cs="宋体"/>
          <w:b/>
          <w:bCs/>
          <w:color w:val="000000" w:themeColor="text1"/>
          <w:sz w:val="32"/>
          <w:szCs w:val="32"/>
          <w:highlight w:val="none"/>
          <w14:textFill>
            <w14:solidFill>
              <w14:schemeClr w14:val="tx1"/>
            </w14:solidFill>
          </w14:textFill>
        </w:rPr>
      </w:pPr>
      <w:r>
        <w:rPr>
          <w:rFonts w:ascii="宋体" w:hAnsi="宋体" w:cs="宋体"/>
          <w:b/>
          <w:bCs/>
          <w:color w:val="000000" w:themeColor="text1"/>
          <w:sz w:val="32"/>
          <w:szCs w:val="32"/>
          <w:highlight w:val="none"/>
          <w14:textFill>
            <w14:solidFill>
              <w14:schemeClr w14:val="tx1"/>
            </w14:solidFill>
          </w14:textFill>
        </w:rPr>
        <w:t xml:space="preserve">关于资格证明文件的书面承诺</w:t>
      </w:r>
      <w:r/>
    </w:p>
    <w:p>
      <w:pPr>
        <w:ind w:firstLine="360"/>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1005"/>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投标人名称（加盖公章）：</w:t>
      </w:r>
      <w:r/>
    </w:p>
    <w:p>
      <w:pPr>
        <w:pStyle w:val="1005"/>
        <w:ind w:left="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hint="eastAsia" w:ascii="宋体" w:hAnsi="宋体" w:cs="宋体"/>
          <w:color w:val="000000" w:themeColor="text1"/>
          <w:sz w:val="24"/>
          <w:szCs w:val="24"/>
          <w:highlight w:val="none"/>
          <w14:textFill>
            <w14:solidFill>
              <w14:schemeClr w14:val="tx1"/>
            </w14:solidFill>
          </w14:textFill>
        </w:rPr>
        <w:sectPr>
          <w:footerReference w:type="default" r:id="rId15"/>
          <w:footerReference w:type="first" r:id="rId16"/>
          <w:footnotePr/>
          <w:endnotePr/>
          <w:type w:val="nextPage"/>
          <w:pgSz w:w="11906" w:h="16838" w:orient="portrait"/>
          <w:pgMar w:top="1418" w:right="1418" w:bottom="1418" w:left="1418" w:header="851" w:footer="850" w:gutter="0"/>
          <w:cols w:num="1" w:sep="0" w:space="1701" w:equalWidth="1"/>
          <w:docGrid w:linePitch="360"/>
          <w:titlePg/>
        </w:sectPr>
        <w:outlineLvl w:val="2"/>
      </w:pPr>
      <w:r>
        <w:rPr>
          <w:rFonts w:hint="eastAsia" w:ascii="宋体" w:hAnsi="宋体" w:cs="宋体"/>
          <w:color w:val="000000" w:themeColor="text1"/>
          <w:sz w:val="24"/>
          <w:szCs w:val="24"/>
          <w:highlight w:val="none"/>
          <w14:textFill>
            <w14:solidFill>
              <w14:schemeClr w14:val="tx1"/>
            </w14:solidFill>
          </w14:textFill>
        </w:rPr>
      </w:r>
      <w:r/>
    </w:p>
    <w:p>
      <w:pPr>
        <w:jc w:val="center"/>
        <w:widowControl/>
        <w:rPr>
          <w:rFonts w:hint="eastAsia" w:ascii="宋体" w:hAnsi="宋体" w:cs="宋体"/>
          <w:b/>
          <w:color w:val="000000" w:themeColor="text1"/>
          <w:sz w:val="28"/>
          <w:szCs w:val="24"/>
          <w:highlight w:val="none"/>
          <w14:textFill>
            <w14:solidFill>
              <w14:schemeClr w14:val="tx1"/>
            </w14:solidFill>
          </w14:textFill>
        </w:rPr>
        <w:outlineLvl w:val="2"/>
      </w:pPr>
      <w:r>
        <w:rPr>
          <w:rFonts w:hint="eastAsia" w:ascii="宋体" w:hAnsi="宋体" w:cs="宋体"/>
          <w:b/>
          <w:color w:val="000000" w:themeColor="text1"/>
          <w:sz w:val="28"/>
          <w:szCs w:val="24"/>
          <w:highlight w:val="none"/>
          <w14:textFill>
            <w14:solidFill>
              <w14:schemeClr w14:val="tx1"/>
            </w14:solidFill>
          </w14:textFill>
        </w:rPr>
        <w:t xml:space="preserve">未被“信用中国”网站（www.creditchina.gov.cn）列入失信被执行人、重大税收违法案件当事人名单、政府采购严重失信行为记录名单（提供查询材料）</w:t>
      </w:r>
      <w:r/>
    </w:p>
    <w:p>
      <w:pPr>
        <w:pStyle w:val="1005"/>
        <w:ind w:left="0"/>
        <w:rPr>
          <w:rFonts w:hint="eastAsia" w:ascii="宋体" w:hAnsi="宋体" w:cs="宋体"/>
          <w:b/>
          <w:color w:val="000000" w:themeColor="text1"/>
          <w:sz w:val="28"/>
          <w:szCs w:val="24"/>
          <w:highlight w:val="none"/>
          <w14:textFill>
            <w14:solidFill>
              <w14:schemeClr w14:val="tx1"/>
            </w14:solidFill>
          </w14:textFill>
        </w:rPr>
      </w:pPr>
      <w:r>
        <w:rPr>
          <w:rFonts w:hint="eastAsia" w:ascii="宋体" w:hAnsi="宋体" w:cs="宋体"/>
          <w:b/>
          <w:color w:val="000000" w:themeColor="text1"/>
          <w:sz w:val="28"/>
          <w:szCs w:val="24"/>
          <w:highlight w:val="none"/>
          <w14:textFill>
            <w14:solidFill>
              <w14:schemeClr w14:val="tx1"/>
            </w14:solidFill>
          </w14:textFill>
        </w:rPr>
      </w:r>
      <w:r/>
    </w:p>
    <w:p>
      <w:pPr>
        <w:pStyle w:val="1005"/>
        <w:ind w:left="0"/>
        <w:rPr>
          <w:rFonts w:hint="eastAsia" w:ascii="宋体" w:hAnsi="宋体" w:cs="宋体"/>
          <w:b/>
          <w:color w:val="000000" w:themeColor="text1"/>
          <w:sz w:val="28"/>
          <w:szCs w:val="24"/>
          <w:highlight w:val="none"/>
          <w14:textFill>
            <w14:solidFill>
              <w14:schemeClr w14:val="tx1"/>
            </w14:solidFill>
          </w14:textFill>
        </w:rPr>
      </w:pPr>
      <w:r>
        <w:rPr>
          <w:rFonts w:hint="eastAsia" w:ascii="宋体" w:hAnsi="宋体" w:cs="宋体"/>
          <w:b/>
          <w:color w:val="000000" w:themeColor="text1"/>
          <w:sz w:val="28"/>
          <w:szCs w:val="24"/>
          <w:highlight w:val="none"/>
          <w14:textFill>
            <w14:solidFill>
              <w14:schemeClr w14:val="tx1"/>
            </w14:solidFill>
          </w14:textFill>
        </w:rPr>
      </w:r>
      <w:r/>
    </w:p>
    <w:p>
      <w:pPr>
        <w:pStyle w:val="1005"/>
        <w:ind w:left="0"/>
        <w:rPr>
          <w:rFonts w:hint="eastAsia" w:ascii="宋体" w:hAnsi="宋体" w:cs="宋体"/>
          <w:b/>
          <w:color w:val="000000" w:themeColor="text1"/>
          <w:sz w:val="28"/>
          <w:szCs w:val="24"/>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cs="宋体"/>
          <w:b/>
          <w:color w:val="000000" w:themeColor="text1"/>
          <w:sz w:val="28"/>
          <w:szCs w:val="24"/>
          <w:highlight w:val="none"/>
          <w14:textFill>
            <w14:solidFill>
              <w14:schemeClr w14:val="tx1"/>
            </w14:solidFill>
          </w14:textFill>
        </w:rPr>
      </w:r>
      <w:r/>
    </w:p>
    <w:p>
      <w:pPr>
        <w:pStyle w:val="1071"/>
        <w:jc w:val="center"/>
        <w:keepLines w:val="0"/>
        <w:keepNext w:val="0"/>
        <w:pageBreakBefore w:val="0"/>
        <w:spacing w:before="181"/>
        <w:widowControl/>
        <w:rPr>
          <w:rFonts w:ascii="宋体" w:hAnsi="宋体" w:eastAsia="宋体" w:cs="宋体"/>
          <w:b/>
          <w:color w:val="000000" w:themeColor="text1"/>
          <w:sz w:val="32"/>
          <w:highlight w:val="none"/>
          <w14:textFill>
            <w14:solidFill>
              <w14:schemeClr w14:val="tx1"/>
            </w14:solidFill>
          </w14:textFill>
        </w:rPr>
        <w:outlineLvl w:val="0"/>
      </w:pPr>
      <w:r>
        <w:rPr>
          <w:rFonts w:hint="eastAsia" w:ascii="宋体" w:hAnsi="宋体" w:eastAsia="宋体" w:cs="宋体"/>
          <w:b/>
          <w:color w:val="000000" w:themeColor="text1"/>
          <w:sz w:val="32"/>
          <w:highlight w:val="none"/>
          <w14:textFill>
            <w14:solidFill>
              <w14:schemeClr w14:val="tx1"/>
            </w14:solidFill>
          </w14:textFill>
        </w:rPr>
        <w:t xml:space="preserve">分包意向协议书（若进行分包</w:t>
      </w:r>
      <w:r>
        <w:rPr>
          <w:rFonts w:hint="eastAsia" w:ascii="宋体" w:hAnsi="宋体" w:eastAsia="宋体" w:cs="宋体"/>
          <w:b/>
          <w:color w:val="000000" w:themeColor="text1"/>
          <w:sz w:val="32"/>
          <w:highlight w:val="none"/>
          <w:lang w:val="en-US" w:eastAsia="zh-CN"/>
          <w14:textFill>
            <w14:solidFill>
              <w14:schemeClr w14:val="tx1"/>
            </w14:solidFill>
          </w14:textFill>
        </w:rPr>
        <w:t xml:space="preserve">须</w:t>
      </w:r>
      <w:r>
        <w:rPr>
          <w:rFonts w:hint="eastAsia" w:ascii="宋体" w:hAnsi="宋体" w:eastAsia="宋体" w:cs="宋体"/>
          <w:b/>
          <w:color w:val="000000" w:themeColor="text1"/>
          <w:sz w:val="32"/>
          <w:highlight w:val="none"/>
          <w14:textFill>
            <w14:solidFill>
              <w14:schemeClr w14:val="tx1"/>
            </w14:solidFill>
          </w14:textFill>
        </w:rPr>
        <w:t xml:space="preserve">提供）</w:t>
      </w:r>
      <w:r/>
    </w:p>
    <w:p>
      <w:pPr>
        <w:ind w:left="0" w:firstLine="315"/>
        <w:jc w:val="center"/>
        <w:spacing w:line="360" w:lineRule="auto"/>
        <w:rPr>
          <w:rFonts w:hint="default" w:ascii="宋体" w:hAnsi="宋体" w:eastAsia="宋体" w:cs="Times New Roman"/>
          <w:b/>
          <w:color w:val="000000" w:themeColor="text1"/>
          <w:sz w:val="21"/>
          <w:szCs w:val="21"/>
          <w:highlight w:val="none"/>
          <w14:textFill>
            <w14:solidFill>
              <w14:schemeClr w14:val="tx1"/>
            </w14:solidFill>
          </w14:textFill>
        </w:rPr>
      </w:pPr>
      <w:r>
        <w:rPr>
          <w:rFonts w:hint="default" w:ascii="宋体" w:hAnsi="宋体" w:eastAsia="宋体" w:cs="Times New Roman"/>
          <w:b/>
          <w:color w:val="000000" w:themeColor="text1"/>
          <w:sz w:val="21"/>
          <w:szCs w:val="21"/>
          <w:highlight w:val="none"/>
          <w14:textFill>
            <w14:solidFill>
              <w14:schemeClr w14:val="tx1"/>
            </w14:solidFill>
          </w14:textFill>
        </w:rPr>
      </w:r>
      <w:r/>
    </w:p>
    <w:p>
      <w:pPr>
        <w:jc w:val="center"/>
        <w:rPr>
          <w:rFonts w:hint="eastAsia" w:eastAsia="宋体" w:cs="Times New Roman"/>
          <w:color w:val="000000" w:themeColor="text1"/>
          <w:sz w:val="32"/>
          <w:szCs w:val="32"/>
          <w:highlight w:val="none"/>
          <w14:textFill>
            <w14:solidFill>
              <w14:schemeClr w14:val="tx1"/>
            </w14:solidFill>
          </w14:textFill>
        </w:rPr>
      </w:pPr>
      <w:r>
        <w:rPr>
          <w:rFonts w:hint="eastAsia" w:eastAsia="宋体" w:cs="Times New Roman"/>
          <w:b/>
          <w:bCs/>
          <w:color w:val="000000" w:themeColor="text1"/>
          <w:sz w:val="32"/>
          <w:szCs w:val="32"/>
          <w:highlight w:val="none"/>
          <w14:textFill>
            <w14:solidFill>
              <w14:schemeClr w14:val="tx1"/>
            </w14:solidFill>
          </w14:textFill>
        </w:rPr>
        <w:t xml:space="preserve">分包意向协议书</w:t>
      </w:r>
      <w:r/>
    </w:p>
    <w:p>
      <w:pPr>
        <w:ind w:firstLine="424"/>
        <w:jc w:val="left"/>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4"/>
        <w:jc w:val="left"/>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乙公司全称</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4"/>
        <w:jc w:val="left"/>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（……公司全称）</w:t>
      </w:r>
      <w:r/>
    </w:p>
    <w:p>
      <w:pPr>
        <w:ind w:left="210" w:firstLine="212"/>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乙公司全称</w:t>
      </w:r>
      <w:r>
        <w:rPr>
          <w:rFonts w:hint="eastAsia" w:ascii="宋体" w:hAnsi="宋体" w:eastAsia="宋体" w:cs="宋体"/>
          <w:color w:val="000000" w:themeColor="text1"/>
          <w:sz w:val="21"/>
          <w:szCs w:val="21"/>
          <w:highlight w:val="none"/>
          <w14:textFill>
            <w14:solidFill>
              <w14:schemeClr w14:val="tx1"/>
            </w14:solidFill>
          </w14:textFill>
        </w:rPr>
        <w:t xml:space="preserve">）、（……公司全称）自愿达成分包意向，参加</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（采购项目编号）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（采购项目名称）</w:t>
      </w:r>
      <w:r>
        <w:rPr>
          <w:rFonts w:hint="eastAsia" w:ascii="宋体" w:hAnsi="宋体" w:eastAsia="宋体" w:cs="宋体"/>
          <w:color w:val="000000" w:themeColor="text1"/>
          <w:sz w:val="21"/>
          <w:szCs w:val="21"/>
          <w:highlight w:val="none"/>
          <w14:textFill>
            <w14:solidFill>
              <w14:schemeClr w14:val="tx1"/>
            </w14:solidFill>
          </w14:textFill>
        </w:rPr>
        <w:t xml:space="preserve">的投标活动。经各方充分协商一致，就项目的投标和合同实施阶段的有关事务协商一致订立意向如下：</w:t>
      </w:r>
      <w:r/>
    </w:p>
    <w:p>
      <w:pPr>
        <w:ind w:firstLine="426"/>
        <w:spacing w:after="160" w:line="360" w:lineRule="auto"/>
        <w:widowControl/>
        <w:rPr>
          <w:rFonts w:hint="default"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一、分包意向各方关系</w:t>
      </w:r>
      <w:r/>
    </w:p>
    <w:p>
      <w:pPr>
        <w:ind w:firstLine="424"/>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为投标单位，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乙公司全称）</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（……公司全称）</w:t>
      </w:r>
      <w:r>
        <w:rPr>
          <w:rFonts w:hint="eastAsia" w:ascii="宋体" w:hAnsi="宋体" w:eastAsia="宋体" w:cs="宋体"/>
          <w:color w:val="000000" w:themeColor="text1"/>
          <w:sz w:val="21"/>
          <w:szCs w:val="21"/>
          <w:highlight w:val="none"/>
          <w14:textFill>
            <w14:solidFill>
              <w14:schemeClr w14:val="tx1"/>
            </w14:solidFill>
          </w14:textFill>
        </w:rPr>
        <w:t xml:space="preserve">为分包意向单位，</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以投标单位的身份参加本项目的投标。若中标，</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与采购人签订政府采购合同。承接分包意向的单位与</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签订分包合同。</w:t>
      </w:r>
      <w:r>
        <w:rPr>
          <w:rFonts w:hint="eastAsia" w:ascii="宋体" w:hAnsi="宋体" w:eastAsia="宋体" w:cs="宋体"/>
          <w:color w:val="000000" w:themeColor="text1"/>
          <w:sz w:val="21"/>
          <w:szCs w:val="21"/>
          <w:highlight w:val="none"/>
          <w:u w:val="single"/>
          <w14:textFill>
            <w14:solidFill>
              <w14:schemeClr w14:val="tx1"/>
            </w14:solidFill>
          </w14:textFill>
        </w:rPr>
        <w:t xml:space="preserve">（</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就采购项目和分包项目向采购人负责，分包供应商就分包项目承担责任。</w:t>
      </w:r>
      <w:r/>
    </w:p>
    <w:p>
      <w:pPr>
        <w:ind w:firstLine="426"/>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二、有关事项约定如下</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4"/>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1.如中标，分包意向单位分别与（</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甲公司全称</w:t>
      </w:r>
      <w:r>
        <w:rPr>
          <w:rFonts w:hint="eastAsia" w:ascii="宋体" w:hAnsi="宋体" w:eastAsia="宋体" w:cs="宋体"/>
          <w:color w:val="000000" w:themeColor="text1"/>
          <w:sz w:val="21"/>
          <w:szCs w:val="21"/>
          <w:highlight w:val="none"/>
          <w14:textFill>
            <w14:solidFill>
              <w14:schemeClr w14:val="tx1"/>
            </w14:solidFill>
          </w14:textFill>
        </w:rPr>
        <w:t xml:space="preserve">）签订合同，并就中标项目分包部分向采购人负责，有连带的和各自的法律责任。</w:t>
      </w:r>
      <w:r/>
    </w:p>
    <w:p>
      <w:pPr>
        <w:ind w:firstLine="424"/>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2.分包意向单位1</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（公司全称）</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（中型、小型、微型）</w:t>
      </w:r>
      <w:r>
        <w:rPr>
          <w:rFonts w:hint="eastAsia" w:ascii="宋体" w:hAnsi="宋体" w:eastAsia="宋体" w:cs="宋体"/>
          <w:color w:val="000000" w:themeColor="text1"/>
          <w:sz w:val="21"/>
          <w:szCs w:val="21"/>
          <w:highlight w:val="none"/>
          <w14:textFill>
            <w14:solidFill>
              <w14:schemeClr w14:val="tx1"/>
            </w14:solidFill>
          </w14:textFill>
        </w:rPr>
        <w:t xml:space="preserve">企业，将承担以下分包工作：</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（具体分包工作内容）</w:t>
      </w:r>
      <w:r>
        <w:rPr>
          <w:rFonts w:hint="eastAsia" w:ascii="宋体" w:hAnsi="宋体" w:eastAsia="宋体" w:cs="宋体"/>
          <w:color w:val="000000" w:themeColor="text1"/>
          <w:sz w:val="21"/>
          <w:szCs w:val="21"/>
          <w:highlight w:val="none"/>
          <w14:textFill>
            <w14:solidFill>
              <w14:schemeClr w14:val="tx1"/>
            </w14:solidFill>
          </w14:textFill>
        </w:rPr>
        <w:t xml:space="preserve">，该部分工作内容占合同总金额的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4"/>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3.分包意向单位2</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（公司全称）</w:t>
      </w:r>
      <w:r>
        <w:rPr>
          <w:rFonts w:hint="eastAsia" w:ascii="宋体" w:hAnsi="宋体" w:eastAsia="宋体" w:cs="宋体"/>
          <w:color w:val="000000" w:themeColor="text1"/>
          <w:sz w:val="21"/>
          <w:szCs w:val="21"/>
          <w:highlight w:val="none"/>
          <w14:textFill>
            <w14:solidFill>
              <w14:schemeClr w14:val="tx1"/>
            </w14:solidFill>
          </w14:textFill>
        </w:rPr>
        <w:t xml:space="preserve">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（中型、小型、微型）</w:t>
      </w:r>
      <w:r>
        <w:rPr>
          <w:rFonts w:hint="eastAsia" w:ascii="宋体" w:hAnsi="宋体" w:eastAsia="宋体" w:cs="宋体"/>
          <w:color w:val="000000" w:themeColor="text1"/>
          <w:sz w:val="21"/>
          <w:szCs w:val="21"/>
          <w:highlight w:val="none"/>
          <w14:textFill>
            <w14:solidFill>
              <w14:schemeClr w14:val="tx1"/>
            </w14:solidFill>
          </w14:textFill>
        </w:rPr>
        <w:t xml:space="preserve">企业，将承担以下分包工作：</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（具体分包工作内容）</w:t>
      </w:r>
      <w:r>
        <w:rPr>
          <w:rFonts w:hint="eastAsia" w:ascii="宋体" w:hAnsi="宋体" w:eastAsia="宋体" w:cs="宋体"/>
          <w:color w:val="000000" w:themeColor="text1"/>
          <w:sz w:val="21"/>
          <w:szCs w:val="21"/>
          <w:highlight w:val="none"/>
          <w14:textFill>
            <w14:solidFill>
              <w14:schemeClr w14:val="tx1"/>
            </w14:solidFill>
          </w14:textFill>
        </w:rPr>
        <w:t xml:space="preserve">，该部分工作内容占合同总金额的</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4"/>
        <w:spacing w:after="160" w:line="360" w:lineRule="auto"/>
        <w:widowControl/>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6"/>
        <w:spacing w:after="160" w:line="360" w:lineRule="auto"/>
        <w:widowControl/>
        <w:rPr>
          <w:rFonts w:hint="default"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三、如中标，分包意向单位不得以任何理由提出终止本意向协议。</w:t>
      </w:r>
      <w:r/>
    </w:p>
    <w:p>
      <w:pPr>
        <w:ind w:firstLine="482"/>
        <w:spacing w:line="440" w:lineRule="exact"/>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四、本意向协议在自签订之日起生效，投标有效期结束之日失效。如中标，有效期延续至政府采购合同履行完毕之日。</w:t>
      </w:r>
      <w:r/>
    </w:p>
    <w:p>
      <w:pPr>
        <w:ind w:firstLine="480"/>
        <w:spacing w:line="440" w:lineRule="exact"/>
        <w:rPr>
          <w:rFonts w:ascii="Times New Roman" w:hAnsi="Times New Roman" w:eastAsia="宋体" w:cs="Times New Roman"/>
          <w:color w:val="000000" w:themeColor="text1"/>
          <w:sz w:val="21"/>
          <w:szCs w:val="21"/>
          <w:highlight w:val="none"/>
          <w:u w:val="singl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五、有关本次协议分包投标的其他事宜：</w:t>
      </w: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p>
    <w:p>
      <w:pPr>
        <w:ind w:firstLine="480"/>
        <w:spacing w:line="440" w:lineRule="exact"/>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六、本协议提交</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采购人</w:t>
      </w:r>
      <w:r>
        <w:rPr>
          <w:rFonts w:ascii="Times New Roman" w:hAnsi="Times New Roman" w:eastAsia="宋体" w:cs="Times New Roman"/>
          <w:color w:val="000000" w:themeColor="text1"/>
          <w:sz w:val="21"/>
          <w:szCs w:val="21"/>
          <w:highlight w:val="none"/>
          <w14:textFill>
            <w14:solidFill>
              <w14:schemeClr w14:val="tx1"/>
            </w14:solidFill>
          </w14:textFill>
        </w:rPr>
        <w:t xml:space="preserve">后，合同分包投标各方不得以任何形式对上述实质内容进行修改或撤销。</w:t>
      </w:r>
      <w:r/>
    </w:p>
    <w:p>
      <w:pPr>
        <w:ind w:firstLine="480"/>
        <w:spacing w:line="440" w:lineRule="exact"/>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七、本协议一式</w:t>
      </w: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份，签约各方各持一份，中标后交采购人一份备案。</w:t>
      </w:r>
      <w:r/>
    </w:p>
    <w:p>
      <w:pPr>
        <w:pStyle w:val="803"/>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p>
      <w:pPr>
        <w:ind w:firstLine="420"/>
        <w:spacing w:line="360" w:lineRule="auto"/>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甲方单位：   </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（公章）</w:t>
      </w:r>
      <w:r/>
    </w:p>
    <w:p>
      <w:pPr>
        <w:ind w:firstLine="420"/>
        <w:spacing w:line="360" w:lineRule="auto"/>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法定代表人（负责人）：（签章）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年</w:t>
      </w: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月</w:t>
      </w: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日</w:t>
      </w:r>
      <w:r/>
    </w:p>
    <w:p>
      <w:pPr>
        <w:ind w:left="0" w:firstLine="422"/>
        <w:spacing w:line="360" w:lineRule="auto"/>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r>
      <w:r/>
    </w:p>
    <w:p>
      <w:pPr>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乙方单位：   </w:t>
      </w:r>
      <w:r>
        <w:rPr>
          <w:rFonts w:hint="eastAsia" w:ascii="Times New Roman" w:hAnsi="Times New Roman" w:cs="Times New Roman"/>
          <w:color w:val="000000" w:themeColor="text1"/>
          <w:sz w:val="21"/>
          <w:szCs w:val="21"/>
          <w:highlight w:val="none"/>
          <w:lang w:val="en-US" w:eastAsia="zh-CN"/>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（公章）</w:t>
      </w:r>
      <w:r/>
    </w:p>
    <w:p>
      <w:pPr>
        <w:ind w:left="0" w:firstLine="422"/>
        <w:spacing w:line="360" w:lineRule="auto"/>
        <w:rPr>
          <w:rFonts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 xml:space="preserve">法定代表人（负责人）：（签章）</w:t>
      </w:r>
      <w:r/>
    </w:p>
    <w:p>
      <w:pPr>
        <w:ind w:left="0" w:firstLine="422"/>
        <w:spacing w:line="360" w:lineRule="auto"/>
        <w:rPr>
          <w:rFonts w:hint="eastAsia" w:ascii="Times New Roman" w:hAnsi="Times New Roman" w:eastAsia="宋体" w:cs="Times New Roman"/>
          <w:color w:val="000000" w:themeColor="text1"/>
          <w:sz w:val="21"/>
          <w:szCs w:val="21"/>
          <w:highlight w:val="none"/>
          <w14:textFill>
            <w14:solidFill>
              <w14:schemeClr w14:val="tx1"/>
            </w14:solidFill>
          </w14:textFill>
        </w:rPr>
      </w:pP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年</w:t>
      </w: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月</w:t>
      </w:r>
      <w:r>
        <w:rPr>
          <w:rFonts w:ascii="Times New Roman" w:hAnsi="Times New Roman" w:eastAsia="宋体" w:cs="Times New Roman"/>
          <w:color w:val="000000" w:themeColor="text1"/>
          <w:sz w:val="21"/>
          <w:szCs w:val="21"/>
          <w:highlight w:val="none"/>
          <w:u w:val="single"/>
          <w14:textFill>
            <w14:solidFill>
              <w14:schemeClr w14:val="tx1"/>
            </w14:solidFill>
          </w14:textFill>
        </w:rPr>
        <w:t xml:space="preserve">    </w:t>
      </w:r>
      <w:r>
        <w:rPr>
          <w:rFonts w:ascii="Times New Roman" w:hAnsi="Times New Roman" w:eastAsia="宋体" w:cs="Times New Roman"/>
          <w:color w:val="000000" w:themeColor="text1"/>
          <w:sz w:val="21"/>
          <w:szCs w:val="21"/>
          <w:highlight w:val="none"/>
          <w14:textFill>
            <w14:solidFill>
              <w14:schemeClr w14:val="tx1"/>
            </w14:solidFill>
          </w14:textFill>
        </w:rPr>
        <w:t xml:space="preserve">日</w:t>
      </w:r>
      <w:r/>
    </w:p>
    <w:p>
      <w:pPr>
        <w:ind w:left="0"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ind w:left="0"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……公司（盖章）： </w:t>
      </w:r>
      <w:r/>
    </w:p>
    <w:p>
      <w:pPr>
        <w:ind w:left="0" w:firstLine="422"/>
        <w:spacing w:line="360" w:lineRule="auto"/>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法定代表人或代理人（签字或盖章）：</w:t>
      </w:r>
      <w:r/>
    </w:p>
    <w:p>
      <w:pPr>
        <w:ind w:left="0" w:firstLine="422"/>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日期:       年      月     日</w:t>
      </w:r>
      <w:r/>
    </w:p>
    <w:p>
      <w:pPr>
        <w:pStyle w:val="8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80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0" w:firstLine="42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注：</w:t>
      </w:r>
      <w:r/>
    </w:p>
    <w:p>
      <w:pPr>
        <w:ind w:left="0" w:firstLine="422"/>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1.分包意向协议书须由协议分包各方法定代表人签字或盖章，并加盖协议分包各方公章，否则按无效投标处理</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ind w:left="0" w:firstLine="42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2.本意向协议书将作为签订合同的附件之一。</w:t>
      </w:r>
      <w:r/>
    </w:p>
    <w:p>
      <w:pPr>
        <w:ind w:left="0" w:firstLine="422"/>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3.小微企业不得将合同分包给大中型企业，中型企业不得将合同分包给大型企业。</w:t>
      </w:r>
      <w:r/>
    </w:p>
    <w:p>
      <w:pPr>
        <w:ind w:left="0" w:firstLine="42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4.接受分包的中小企业和分包企业不得存在直接控股、管理关系。</w:t>
      </w:r>
      <w:r/>
    </w:p>
    <w:p>
      <w:pPr>
        <w:ind w:left="0" w:firstLine="422"/>
        <w:spacing w:line="360" w:lineRule="auto"/>
        <w:rPr>
          <w:rFonts w:hint="default"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color w:val="000000" w:themeColor="text1"/>
          <w:sz w:val="24"/>
          <w:szCs w:val="24"/>
          <w:highlight w:val="none"/>
          <w14:textFill>
            <w14:solidFill>
              <w14:schemeClr w14:val="tx1"/>
            </w14:solidFill>
          </w14:textFill>
        </w:rPr>
        <w:t xml:space="preserve">投标人根据招标文件的规定和采购项目的实际情况，拟在中标后将中标项目的非主体、非关键性工作（除项目经理、内勤、</w:t>
      </w:r>
      <w:r>
        <w:rPr>
          <w:rFonts w:hint="eastAsia" w:ascii="宋体" w:hAnsi="宋体"/>
          <w:b/>
          <w:bCs/>
          <w:color w:val="000000" w:themeColor="text1"/>
          <w:sz w:val="24"/>
          <w:highlight w:val="none"/>
          <w:lang w:val="en-US" w:eastAsia="zh-CN"/>
          <w14:textFill>
            <w14:solidFill>
              <w14:schemeClr w14:val="tx1"/>
            </w14:solidFill>
          </w14:textFill>
        </w:rPr>
        <w:t xml:space="preserve">车队长、</w:t>
      </w:r>
      <w:r>
        <w:rPr>
          <w:rFonts w:hint="eastAsia" w:ascii="宋体" w:hAnsi="宋体" w:eastAsia="宋体" w:cs="宋体"/>
          <w:b/>
          <w:color w:val="000000" w:themeColor="text1"/>
          <w:sz w:val="24"/>
          <w:szCs w:val="24"/>
          <w:highlight w:val="none"/>
          <w14:textFill>
            <w14:solidFill>
              <w14:schemeClr w14:val="tx1"/>
            </w14:solidFill>
          </w14:textFill>
        </w:rPr>
        <w:t xml:space="preserve">中转站管理员）作分包的，应当在投标文件中载明分包承担主体，分包承担主体应当具备相应资质条件且不得再次分包。</w:t>
      </w:r>
      <w:r/>
    </w:p>
    <w:p>
      <w:pPr>
        <w:pStyle w:val="1005"/>
        <w:ind w:left="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05"/>
        <w:ind w:left="0"/>
        <w:rPr>
          <w:rFonts w:hint="eastAsia" w:ascii="宋体" w:hAnsi="宋体" w:eastAsia="宋体" w:cs="宋体"/>
          <w:color w:val="000000" w:themeColor="text1"/>
          <w:sz w:val="24"/>
          <w:szCs w:val="24"/>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titlePg/>
        </w:sectPr>
      </w:pPr>
      <w:r>
        <w:rPr>
          <w:rFonts w:hint="eastAsia" w:ascii="宋体" w:hAnsi="宋体" w:eastAsia="宋体" w:cs="宋体"/>
          <w:color w:val="000000" w:themeColor="text1"/>
          <w:sz w:val="24"/>
          <w:szCs w:val="24"/>
          <w:highlight w:val="none"/>
          <w14:textFill>
            <w14:solidFill>
              <w14:schemeClr w14:val="tx1"/>
            </w14:solidFill>
          </w14:textFill>
        </w:rPr>
      </w:r>
      <w:r/>
    </w:p>
    <w:p>
      <w:pPr>
        <w:pStyle w:val="1005"/>
        <w:ind w:left="0" w:firstLine="36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pStyle w:val="981"/>
        <w:rPr>
          <w:rFonts w:ascii="Times New Roman" w:hAnsi="Times New Roman" w:eastAsia="Times New Roman"/>
          <w:color w:val="000000" w:themeColor="text1"/>
          <w:sz w:val="24"/>
          <w:szCs w:val="24"/>
          <w:highlight w:val="none"/>
          <w14:textFill>
            <w14:solidFill>
              <w14:schemeClr w14:val="tx1"/>
            </w14:solidFill>
          </w14:textFill>
        </w:rPr>
      </w:pPr>
      <w:r/>
      <w:bookmarkStart w:id="315" w:name="_Toc256000019"/>
      <w:r/>
      <w:bookmarkStart w:id="316" w:name="_Toc160715784"/>
      <w:r/>
      <w:bookmarkStart w:id="317" w:name="_Toc28913"/>
      <w:r/>
      <w:bookmarkStart w:id="318" w:name="_Toc15483"/>
      <w:r/>
      <w:bookmarkStart w:id="319" w:name="_Toc6273"/>
      <w:r>
        <w:rPr>
          <w:rFonts w:hint="eastAsia" w:ascii="Times New Roman" w:hAnsi="Times New Roman"/>
          <w:color w:val="000000" w:themeColor="text1"/>
          <w:sz w:val="24"/>
          <w:szCs w:val="24"/>
          <w:highlight w:val="none"/>
          <w14:textFill>
            <w14:solidFill>
              <w14:schemeClr w14:val="tx1"/>
            </w14:solidFill>
          </w14:textFill>
        </w:rPr>
        <w:t xml:space="preserve">六</w:t>
      </w:r>
      <w:r>
        <w:rPr>
          <w:color w:val="000000" w:themeColor="text1"/>
          <w:highlight w:val="none"/>
          <w14:textFill>
            <w14:solidFill>
              <w14:schemeClr w14:val="tx1"/>
            </w14:solidFill>
          </w14:textFill>
        </w:rPr>
        <w:t xml:space="preserve">、技术</w:t>
      </w:r>
      <w:r>
        <w:rPr>
          <w:rFonts w:hint="eastAsia"/>
          <w:color w:val="000000" w:themeColor="text1"/>
          <w:highlight w:val="none"/>
          <w14:textFill>
            <w14:solidFill>
              <w14:schemeClr w14:val="tx1"/>
            </w14:solidFill>
          </w14:textFill>
        </w:rPr>
        <w:t xml:space="preserve">服务要求</w:t>
      </w:r>
      <w:r>
        <w:rPr>
          <w:color w:val="000000" w:themeColor="text1"/>
          <w:highlight w:val="none"/>
          <w14:textFill>
            <w14:solidFill>
              <w14:schemeClr w14:val="tx1"/>
            </w14:solidFill>
          </w14:textFill>
        </w:rPr>
        <w:t xml:space="preserve">响应及偏离表</w:t>
      </w:r>
      <w:bookmarkEnd w:id="315"/>
      <w:r/>
      <w:bookmarkEnd w:id="316"/>
      <w:r/>
      <w:bookmarkEnd w:id="317"/>
      <w:r/>
      <w:bookmarkEnd w:id="318"/>
      <w:r/>
      <w:bookmarkEnd w:id="319"/>
      <w:r/>
      <w:r/>
    </w:p>
    <w:p>
      <w:pPr>
        <w:jc w:val="center"/>
        <w:spacing w:before="120" w:after="12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14:textFill>
            <w14:solidFill>
              <w14:schemeClr w14:val="tx1"/>
            </w14:solidFill>
          </w14:textFill>
        </w:rPr>
        <w:t xml:space="preserve">技术服务要求响应及偏离表</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4"/>
        <w:gridCol w:w="2074"/>
        <w:gridCol w:w="2228"/>
        <w:gridCol w:w="1406"/>
        <w:gridCol w:w="1921"/>
        <w:gridCol w:w="821"/>
      </w:tblGrid>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招标文件技术要求中的要求</w:t>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投标文件对应要求的服务承诺</w:t>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有无偏离</w:t>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偏离内容及原因</w:t>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w:t>
            </w:r>
            <w:r/>
          </w:p>
        </w:tc>
      </w:tr>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737"/>
        </w:trPr>
        <w:tc>
          <w:tcPr>
            <w:tcMar>
              <w:left w:w="0" w:type="dxa"/>
              <w:top w:w="0" w:type="dxa"/>
              <w:right w:w="0" w:type="dxa"/>
              <w:bottom w:w="0" w:type="dxa"/>
            </w:tcMar>
            <w:tcW w:w="65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07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2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406"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82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r>
      <w:r/>
    </w:p>
    <w:p>
      <w:pPr>
        <w:ind w:firstLine="48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w:t>
      </w:r>
      <w:r/>
    </w:p>
    <w:p>
      <w:pPr>
        <w:ind w:firstLine="480"/>
        <w:spacing w:line="520" w:lineRule="exact"/>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520" w:lineRule="exact"/>
        <w:widowControl/>
        <w:rPr>
          <w:rFonts w:ascii="宋体" w:hAnsi="宋体" w:eastAsia="Times New Roman" w:cs="宋体"/>
          <w:b/>
          <w:bCs/>
          <w:color w:val="000000" w:themeColor="text1"/>
          <w:sz w:val="24"/>
          <w:szCs w:val="24"/>
          <w:highlight w:val="none"/>
          <w14:textFill>
            <w14:solidFill>
              <w14:schemeClr w14:val="tx1"/>
            </w14:solidFill>
          </w14:textFill>
        </w:rPr>
      </w:pPr>
      <w:r/>
      <w:bookmarkStart w:id="320" w:name="_Toc19751"/>
      <w:r/>
      <w:bookmarkStart w:id="321" w:name="_Toc22333"/>
      <w:r/>
      <w:bookmarkStart w:id="322" w:name="_Toc10053"/>
      <w:r/>
      <w:bookmarkStart w:id="323" w:name="_Toc13804"/>
      <w:r/>
      <w:bookmarkStart w:id="324" w:name="_Toc5290"/>
      <w:r/>
      <w:bookmarkStart w:id="325" w:name="_Toc12597"/>
      <w:r>
        <w:rPr>
          <w:rFonts w:hint="eastAsia" w:ascii="宋体" w:hAnsi="宋体" w:cs="宋体"/>
          <w:color w:val="000000" w:themeColor="text1"/>
          <w:sz w:val="24"/>
          <w:szCs w:val="24"/>
          <w:highlight w:val="none"/>
          <w14:textFill>
            <w14:solidFill>
              <w14:schemeClr w14:val="tx1"/>
            </w14:solidFill>
          </w14:textFill>
        </w:rPr>
        <w:t xml:space="preserve">2.表格不够可另接。</w:t>
      </w:r>
      <w:bookmarkEnd w:id="320"/>
      <w:r/>
      <w:bookmarkEnd w:id="321"/>
      <w:r/>
      <w:bookmarkEnd w:id="322"/>
      <w:r/>
      <w:bookmarkEnd w:id="323"/>
      <w:r/>
      <w:bookmarkEnd w:id="324"/>
      <w:r/>
      <w:bookmarkEnd w:id="325"/>
      <w:r/>
      <w:r/>
    </w:p>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26" w:name="_Toc22654"/>
      <w:r/>
      <w:bookmarkStart w:id="327" w:name="_Toc474"/>
      <w:r/>
      <w:bookmarkStart w:id="328" w:name="_Toc256000020"/>
      <w:r/>
      <w:bookmarkStart w:id="329" w:name="_Toc8720"/>
      <w:r/>
      <w:bookmarkStart w:id="330" w:name="_Toc160715785"/>
      <w:r>
        <w:rPr>
          <w:rFonts w:hint="eastAsia" w:ascii="Times New Roman" w:hAnsi="Times New Roman"/>
          <w:color w:val="000000" w:themeColor="text1"/>
          <w:sz w:val="24"/>
          <w:szCs w:val="24"/>
          <w:highlight w:val="none"/>
          <w14:textFill>
            <w14:solidFill>
              <w14:schemeClr w14:val="tx1"/>
            </w14:solidFill>
          </w14:textFill>
        </w:rPr>
        <w:t xml:space="preserve">七</w:t>
      </w:r>
      <w:r>
        <w:rPr>
          <w:color w:val="000000" w:themeColor="text1"/>
          <w:highlight w:val="none"/>
          <w14:textFill>
            <w14:solidFill>
              <w14:schemeClr w14:val="tx1"/>
            </w14:solidFill>
          </w14:textFill>
        </w:rPr>
        <w:t xml:space="preserve">、商务条款响应及偏离表</w:t>
      </w:r>
      <w:bookmarkEnd w:id="326"/>
      <w:r/>
      <w:bookmarkEnd w:id="327"/>
      <w:r/>
      <w:bookmarkEnd w:id="328"/>
      <w:r/>
      <w:bookmarkEnd w:id="329"/>
      <w:r/>
      <w:bookmarkEnd w:id="330"/>
      <w:r/>
      <w:r/>
    </w:p>
    <w:p>
      <w:pPr>
        <w:jc w:val="center"/>
        <w:spacing w:before="120" w:after="12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14:textFill>
            <w14:solidFill>
              <w14:schemeClr w14:val="tx1"/>
            </w14:solidFill>
          </w14:textFill>
        </w:rPr>
        <w:t xml:space="preserve">商务条款响应及偏离表</w:t>
      </w:r>
      <w:r/>
    </w:p>
    <w:tbl>
      <w:tblPr>
        <w:tblStyle w:val="80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45"/>
        <w:gridCol w:w="2275"/>
        <w:gridCol w:w="1784"/>
        <w:gridCol w:w="2601"/>
      </w:tblGrid>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项目</w:t>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招标文件要求</w:t>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是否响应</w:t>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投标人的承诺或说明</w:t>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67"/>
        </w:trPr>
        <w:tc>
          <w:tcPr>
            <w:tcMar>
              <w:left w:w="0" w:type="dxa"/>
              <w:top w:w="0" w:type="dxa"/>
              <w:right w:w="0" w:type="dxa"/>
              <w:bottom w:w="0" w:type="dxa"/>
            </w:tcMar>
            <w:tcW w:w="244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75"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784"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601"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31" w:name="_Toc11658"/>
      <w:r/>
      <w:bookmarkStart w:id="332" w:name="_Toc1495"/>
      <w:r/>
      <w:bookmarkStart w:id="333" w:name="_Toc160715786"/>
      <w:r/>
      <w:bookmarkStart w:id="334" w:name="_Toc256000021"/>
      <w:r/>
      <w:bookmarkStart w:id="335" w:name="_Toc31842"/>
      <w:r>
        <w:rPr>
          <w:rFonts w:hint="eastAsia" w:ascii="Times New Roman" w:hAnsi="Times New Roman"/>
          <w:color w:val="000000" w:themeColor="text1"/>
          <w:sz w:val="24"/>
          <w:szCs w:val="24"/>
          <w:highlight w:val="none"/>
          <w14:textFill>
            <w14:solidFill>
              <w14:schemeClr w14:val="tx1"/>
            </w14:solidFill>
          </w14:textFill>
        </w:rPr>
        <w:t xml:space="preserve">八</w:t>
      </w:r>
      <w:r>
        <w:rPr>
          <w:color w:val="000000" w:themeColor="text1"/>
          <w:highlight w:val="none"/>
          <w14:textFill>
            <w14:solidFill>
              <w14:schemeClr w14:val="tx1"/>
            </w14:solidFill>
          </w14:textFill>
        </w:rPr>
        <w:t xml:space="preserve">、第四章项目需求中实质性要求响应对照表</w:t>
      </w:r>
      <w:bookmarkEnd w:id="331"/>
      <w:r/>
      <w:bookmarkEnd w:id="332"/>
      <w:r/>
      <w:bookmarkEnd w:id="333"/>
      <w:r/>
      <w:bookmarkEnd w:id="334"/>
      <w:r/>
      <w:bookmarkEnd w:id="335"/>
      <w:r/>
      <w:r/>
    </w:p>
    <w:p>
      <w:pPr>
        <w:jc w:val="center"/>
        <w:spacing w:before="120" w:after="12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14:textFill>
            <w14:solidFill>
              <w14:schemeClr w14:val="tx1"/>
            </w14:solidFill>
          </w14:textFill>
        </w:rPr>
        <w:t xml:space="preserve">第四章项目需求中实质性要求响应对照表</w:t>
      </w:r>
      <w:r/>
    </w:p>
    <w:p>
      <w:pPr>
        <w:ind w:firstLine="482"/>
        <w:spacing w:line="440" w:lineRule="exact"/>
        <w:rPr>
          <w:rFonts w:ascii="宋体" w:hAnsi="宋体" w:eastAsia="Times New Roman"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1、商务条款的实质性格式</w:t>
      </w:r>
      <w:r/>
    </w:p>
    <w:tbl>
      <w:tblPr>
        <w:tblStyle w:val="802"/>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86"/>
        <w:gridCol w:w="6384"/>
        <w:gridCol w:w="1990"/>
      </w:tblGrid>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6384"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商务条款的实质性要求</w:t>
            </w:r>
            <w:r/>
          </w:p>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（加斜体下划线内容）</w:t>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是否响应</w:t>
            </w:r>
            <w:r/>
          </w:p>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（填是或者否）</w:t>
            </w:r>
            <w:r/>
          </w:p>
        </w:tc>
      </w:tr>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Mar>
              <w:left w:w="0" w:type="dxa"/>
              <w:top w:w="0" w:type="dxa"/>
              <w:right w:w="0" w:type="dxa"/>
              <w:bottom w:w="0" w:type="dxa"/>
            </w:tcMar>
            <w:tcW w:w="6384" w:type="dxa"/>
            <w:vAlign w:val="center"/>
            <w:textDirection w:val="lrTb"/>
            <w:noWrap w:val="false"/>
          </w:tcPr>
          <w:p>
            <w:pPr>
              <w:ind w:firstLine="500"/>
              <w:spacing w:line="440" w:lineRule="exact"/>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Mar>
              <w:left w:w="0" w:type="dxa"/>
              <w:top w:w="0" w:type="dxa"/>
              <w:right w:w="0" w:type="dxa"/>
              <w:bottom w:w="0" w:type="dxa"/>
            </w:tcMar>
            <w:tcW w:w="6384" w:type="dxa"/>
            <w:vAlign w:val="center"/>
            <w:textDirection w:val="lrTb"/>
            <w:noWrap w:val="false"/>
          </w:tcPr>
          <w:p>
            <w:pPr>
              <w:ind w:firstLine="50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Mar>
              <w:left w:w="0" w:type="dxa"/>
              <w:top w:w="0" w:type="dxa"/>
              <w:right w:w="0" w:type="dxa"/>
              <w:bottom w:w="0" w:type="dxa"/>
            </w:tcMar>
            <w:tcW w:w="6384" w:type="dxa"/>
            <w:vAlign w:val="center"/>
            <w:textDirection w:val="lrTb"/>
            <w:noWrap w:val="false"/>
          </w:tcPr>
          <w:p>
            <w:pPr>
              <w:ind w:firstLine="50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384" w:type="dxa"/>
            <w:vAlign w:val="center"/>
            <w:textDirection w:val="lrTb"/>
            <w:noWrap w:val="false"/>
          </w:tcPr>
          <w:p>
            <w:pPr>
              <w:ind w:firstLine="50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384" w:type="dxa"/>
            <w:vAlign w:val="center"/>
            <w:textDirection w:val="lrTb"/>
            <w:noWrap w:val="false"/>
          </w:tcPr>
          <w:p>
            <w:pPr>
              <w:ind w:firstLine="50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384" w:type="dxa"/>
            <w:vAlign w:val="center"/>
            <w:textDirection w:val="lrTb"/>
            <w:noWrap w:val="false"/>
          </w:tcPr>
          <w:p>
            <w:pPr>
              <w:ind w:firstLine="50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86"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Mar>
              <w:left w:w="0" w:type="dxa"/>
              <w:top w:w="0" w:type="dxa"/>
              <w:right w:w="0" w:type="dxa"/>
              <w:bottom w:w="0" w:type="dxa"/>
            </w:tcMar>
            <w:tcW w:w="6384" w:type="dxa"/>
            <w:vAlign w:val="center"/>
            <w:textDirection w:val="lrTb"/>
            <w:noWrap w:val="false"/>
          </w:tcPr>
          <w:p>
            <w:pPr>
              <w:spacing w:line="440" w:lineRule="exact"/>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1990" w:type="dxa"/>
            <w:vAlign w:val="center"/>
            <w:textDirection w:val="lrTb"/>
            <w:noWrap w:val="false"/>
          </w:tcPr>
          <w:p>
            <w:pPr>
              <w:jc w:val="center"/>
              <w:rPr>
                <w:rFonts w:ascii="宋体" w:hAnsi="宋体" w:eastAsia="Times New Roman" w:cs="宋体"/>
                <w:color w:val="000000" w:themeColor="text1"/>
                <w:sz w:val="24"/>
                <w:szCs w:val="24"/>
                <w:highlight w:val="none"/>
                <w14:textFill>
                  <w14:solidFill>
                    <w14:schemeClr w14:val="tx1"/>
                  </w14:solidFill>
                </w14:textFill>
              </w:rPr>
            </w:pPr>
            <w:r>
              <w:rPr>
                <w:rFonts w:ascii="宋体" w:hAnsi="宋体" w:eastAsia="Times New Roman" w:cs="宋体"/>
                <w:color w:val="000000" w:themeColor="text1"/>
                <w:sz w:val="24"/>
                <w:szCs w:val="24"/>
                <w:highlight w:val="none"/>
                <w14:textFill>
                  <w14:solidFill>
                    <w14:schemeClr w14:val="tx1"/>
                  </w14:solidFill>
                </w14:textFill>
              </w:rPr>
            </w:r>
            <w:r/>
          </w:p>
        </w:tc>
      </w:tr>
    </w:tbl>
    <w:p>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p>
      <w:pPr>
        <w:ind w:firstLine="480"/>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1.投标人必须对商务条款中的实质性要求</w:t>
      </w:r>
      <w:r>
        <w:rPr>
          <w:rFonts w:hint="eastAsia" w:ascii="宋体" w:hAnsi="宋体" w:cs="宋体"/>
          <w:i/>
          <w:color w:val="000000" w:themeColor="text1"/>
          <w:sz w:val="24"/>
          <w:szCs w:val="24"/>
          <w:highlight w:val="none"/>
          <w:u w:val="single"/>
          <w14:textFill>
            <w14:solidFill>
              <w14:schemeClr w14:val="tx1"/>
            </w14:solidFill>
          </w14:textFill>
        </w:rPr>
        <w:t xml:space="preserve">（加斜体下划线内容）</w:t>
      </w:r>
      <w:r>
        <w:rPr>
          <w:rFonts w:hint="eastAsia" w:ascii="宋体" w:hAnsi="宋体" w:cs="宋体"/>
          <w:color w:val="000000" w:themeColor="text1"/>
          <w:sz w:val="24"/>
          <w:szCs w:val="24"/>
          <w:highlight w:val="none"/>
          <w14:textFill>
            <w14:solidFill>
              <w14:schemeClr w14:val="tx1"/>
            </w14:solidFill>
          </w14:textFill>
        </w:rPr>
        <w:t xml:space="preserve">逐条做出明确响应，</w:t>
      </w:r>
      <w:r>
        <w:rPr>
          <w:rFonts w:hint="eastAsia" w:ascii="宋体" w:hAnsi="宋体" w:cs="宋体"/>
          <w:color w:val="000000" w:themeColor="text1"/>
          <w:sz w:val="24"/>
          <w:highlight w:val="none"/>
          <w14:textFill>
            <w14:solidFill>
              <w14:schemeClr w14:val="tx1"/>
            </w14:solidFill>
          </w14:textFill>
        </w:rPr>
        <w:t xml:space="preserve">否则该采购包作无效投标处理。</w:t>
      </w:r>
      <w:r/>
    </w:p>
    <w:p>
      <w:pPr>
        <w:rPr>
          <w:color w:val="000000" w:themeColor="text1"/>
          <w:highlight w:val="none"/>
          <w14:textFill>
            <w14:solidFill>
              <w14:schemeClr w14:val="tx1"/>
            </w14:solidFill>
          </w14:textFill>
        </w:rPr>
      </w:pPr>
      <w:r/>
      <w:bookmarkStart w:id="336" w:name="_Toc1067"/>
      <w:r/>
      <w:bookmarkStart w:id="337" w:name="_Toc14687"/>
      <w:r/>
      <w:r/>
    </w:p>
    <w:p>
      <w:pPr>
        <w:ind w:firstLine="482"/>
        <w:spacing w:line="440" w:lineRule="exact"/>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2、技术要求的实质性格式</w:t>
      </w:r>
      <w:r/>
    </w:p>
    <w:tbl>
      <w:tblPr>
        <w:tblStyle w:val="802"/>
        <w:tblW w:w="9089"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2"/>
        <w:gridCol w:w="6288"/>
        <w:gridCol w:w="2139"/>
      </w:tblGrid>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6288"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技术要求的实质性要求</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t xml:space="preserve">（加斜体下划线内容）</w:t>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是否响应</w:t>
            </w:r>
            <w:r/>
          </w:p>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（填是或者否）</w:t>
            </w:r>
            <w:r/>
          </w:p>
        </w:tc>
      </w:tr>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Mar>
              <w:left w:w="0" w:type="dxa"/>
              <w:top w:w="0" w:type="dxa"/>
              <w:right w:w="0" w:type="dxa"/>
              <w:bottom w:w="0" w:type="dxa"/>
            </w:tcMar>
            <w:tcW w:w="6288" w:type="dxa"/>
            <w:vAlign w:val="center"/>
            <w:textDirection w:val="lrTb"/>
            <w:noWrap w:val="false"/>
          </w:tcPr>
          <w:p>
            <w:pPr>
              <w:rPr>
                <w:rFonts w:hint="eastAsia" w:ascii="宋体" w:hAnsi="宋体" w:cs="宋体"/>
                <w:i/>
                <w:color w:val="000000" w:themeColor="text1"/>
                <w:sz w:val="24"/>
                <w:szCs w:val="24"/>
                <w:highlight w:val="none"/>
                <w:u w:val="single"/>
                <w14:textFill>
                  <w14:solidFill>
                    <w14:schemeClr w14:val="tx1"/>
                  </w14:solidFill>
                </w14:textFill>
              </w:rPr>
            </w:pPr>
            <w:r>
              <w:rPr>
                <w:rFonts w:hint="eastAsia" w:ascii="宋体" w:hAnsi="宋体" w:cs="宋体"/>
                <w:i/>
                <w:color w:val="000000" w:themeColor="text1"/>
                <w:sz w:val="24"/>
                <w:szCs w:val="24"/>
                <w:highlight w:val="none"/>
                <w:u w:val="single"/>
                <w14:textFill>
                  <w14:solidFill>
                    <w14:schemeClr w14:val="tx1"/>
                  </w14:solidFill>
                </w14:textFill>
              </w:rPr>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Mar>
              <w:left w:w="0" w:type="dxa"/>
              <w:top w:w="0" w:type="dxa"/>
              <w:right w:w="0" w:type="dxa"/>
              <w:bottom w:w="0" w:type="dxa"/>
            </w:tcMar>
            <w:tcW w:w="6288" w:type="dxa"/>
            <w:vAlign w:val="center"/>
            <w:textDirection w:val="lrTb"/>
            <w:noWrap w:val="false"/>
          </w:tcPr>
          <w:p>
            <w:pPr>
              <w:rPr>
                <w:rFonts w:hint="eastAsia" w:ascii="宋体" w:hAnsi="宋体" w:cs="宋体"/>
                <w:b/>
                <w:i/>
                <w:iCs/>
                <w:color w:val="000000" w:themeColor="text1"/>
                <w:sz w:val="24"/>
                <w:szCs w:val="24"/>
                <w:highlight w:val="none"/>
                <w:u w:val="single"/>
                <w14:textFill>
                  <w14:solidFill>
                    <w14:schemeClr w14:val="tx1"/>
                  </w14:solidFill>
                </w14:textFill>
              </w:rPr>
            </w:pPr>
            <w:r>
              <w:rPr>
                <w:rFonts w:hint="eastAsia" w:ascii="宋体" w:hAnsi="宋体" w:cs="宋体"/>
                <w:b/>
                <w:i/>
                <w:iCs/>
                <w:color w:val="000000" w:themeColor="text1"/>
                <w:sz w:val="24"/>
                <w:szCs w:val="24"/>
                <w:highlight w:val="none"/>
                <w:u w:val="single"/>
                <w14:textFill>
                  <w14:solidFill>
                    <w14:schemeClr w14:val="tx1"/>
                  </w14:solidFill>
                </w14:textFill>
              </w:rPr>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Mar>
              <w:left w:w="0" w:type="dxa"/>
              <w:top w:w="0" w:type="dxa"/>
              <w:right w:w="0" w:type="dxa"/>
              <w:bottom w:w="0" w:type="dxa"/>
            </w:tcMar>
            <w:tcW w:w="6288" w:type="dxa"/>
            <w:vAlign w:val="center"/>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288" w:type="dxa"/>
            <w:vAlign w:val="center"/>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288" w:type="dxa"/>
            <w:vAlign w:val="center"/>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6288" w:type="dxa"/>
            <w:vAlign w:val="center"/>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trHeight w:val="510"/>
        </w:trPr>
        <w:tc>
          <w:tcPr>
            <w:tcMar>
              <w:left w:w="0" w:type="dxa"/>
              <w:top w:w="0" w:type="dxa"/>
              <w:right w:w="0" w:type="dxa"/>
              <w:bottom w:w="0" w:type="dxa"/>
            </w:tcMar>
            <w:tcW w:w="662"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Mar>
              <w:left w:w="0" w:type="dxa"/>
              <w:top w:w="0" w:type="dxa"/>
              <w:right w:w="0" w:type="dxa"/>
              <w:bottom w:w="0" w:type="dxa"/>
            </w:tcMar>
            <w:tcW w:w="6288" w:type="dxa"/>
            <w:vAlign w:val="center"/>
            <w:textDirection w:val="lrTb"/>
            <w:noWrap w:val="false"/>
          </w:tcPr>
          <w:p>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139"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spacing w:line="4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备注</w:t>
      </w:r>
      <w:r>
        <w:rPr>
          <w:rFonts w:ascii="宋体" w:hAnsi="宋体"/>
          <w:color w:val="000000" w:themeColor="text1"/>
          <w:sz w:val="24"/>
          <w:szCs w:val="24"/>
          <w:highlight w:val="none"/>
          <w14:textFill>
            <w14:solidFill>
              <w14:schemeClr w14:val="tx1"/>
            </w14:solidFill>
          </w14:textFill>
        </w:rPr>
        <w:t xml:space="preserve">：</w:t>
      </w:r>
      <w:r/>
    </w:p>
    <w:p>
      <w:pPr>
        <w:ind w:firstLine="480"/>
        <w:spacing w:line="400" w:lineRule="exact"/>
        <w:rPr>
          <w:rFonts w:ascii="Times New Roman" w:hAnsi="Times New Roman" w:eastAsia="Times New Roman"/>
          <w:color w:val="000000" w:themeColor="text1"/>
          <w:sz w:val="24"/>
          <w:szCs w:val="24"/>
          <w:highlight w:val="none"/>
          <w14:textFill>
            <w14:solidFill>
              <w14:schemeClr w14:val="tx1"/>
            </w14:solidFill>
          </w14:textFill>
        </w:rPr>
      </w:pPr>
      <w:r/>
      <w:bookmarkStart w:id="338" w:name="_Toc9474"/>
      <w:r/>
      <w:bookmarkStart w:id="339" w:name="_Toc1637"/>
      <w:r>
        <w:rPr>
          <w:rFonts w:hint="eastAsia" w:ascii="宋体" w:hAnsi="宋体"/>
          <w:color w:val="000000" w:themeColor="text1"/>
          <w:sz w:val="24"/>
          <w:szCs w:val="24"/>
          <w:highlight w:val="none"/>
          <w14:textFill>
            <w14:solidFill>
              <w14:schemeClr w14:val="tx1"/>
            </w14:solidFill>
          </w14:textFill>
        </w:rPr>
        <w:t xml:space="preserve">1.投标人必须</w:t>
      </w:r>
      <w:r>
        <w:rPr>
          <w:rFonts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14:textFill>
            <w14:solidFill>
              <w14:schemeClr w14:val="tx1"/>
            </w14:solidFill>
          </w14:textFill>
        </w:rPr>
        <w:t xml:space="preserve">技术要求</w:t>
      </w:r>
      <w:r>
        <w:rPr>
          <w:rFonts w:ascii="宋体" w:hAnsi="宋体"/>
          <w:color w:val="000000" w:themeColor="text1"/>
          <w:sz w:val="24"/>
          <w:szCs w:val="24"/>
          <w:highlight w:val="none"/>
          <w14:textFill>
            <w14:solidFill>
              <w14:schemeClr w14:val="tx1"/>
            </w14:solidFill>
          </w14:textFill>
        </w:rPr>
        <w:t xml:space="preserve">中的实质性要求</w:t>
      </w:r>
      <w:r>
        <w:rPr>
          <w:rFonts w:hint="eastAsia" w:ascii="宋体" w:hAnsi="宋体"/>
          <w:i/>
          <w:color w:val="000000" w:themeColor="text1"/>
          <w:sz w:val="24"/>
          <w:szCs w:val="24"/>
          <w:highlight w:val="none"/>
          <w:u w:val="single"/>
          <w14:textFill>
            <w14:solidFill>
              <w14:schemeClr w14:val="tx1"/>
            </w14:solidFill>
          </w14:textFill>
        </w:rPr>
        <w:t xml:space="preserve">（加</w:t>
      </w:r>
      <w:r>
        <w:rPr>
          <w:rFonts w:ascii="宋体" w:hAnsi="宋体"/>
          <w:i/>
          <w:color w:val="000000" w:themeColor="text1"/>
          <w:sz w:val="24"/>
          <w:szCs w:val="24"/>
          <w:highlight w:val="none"/>
          <w:u w:val="single"/>
          <w14:textFill>
            <w14:solidFill>
              <w14:schemeClr w14:val="tx1"/>
            </w14:solidFill>
          </w14:textFill>
        </w:rPr>
        <w:t xml:space="preserve">斜体下划线内容</w:t>
      </w:r>
      <w:r>
        <w:rPr>
          <w:rFonts w:hint="eastAsia" w:ascii="宋体" w:hAnsi="宋体"/>
          <w:i/>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逐条做出明确响应</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否则该采购包作无效投标处理</w:t>
      </w:r>
      <w:r>
        <w:rPr>
          <w:rFonts w:ascii="宋体" w:hAnsi="宋体"/>
          <w:color w:val="000000" w:themeColor="text1"/>
          <w:sz w:val="24"/>
          <w:highlight w:val="none"/>
          <w14:textFill>
            <w14:solidFill>
              <w14:schemeClr w14:val="tx1"/>
            </w14:solidFill>
          </w14:textFill>
        </w:rPr>
        <w:t xml:space="preserve">。</w:t>
      </w:r>
      <w:bookmarkEnd w:id="338"/>
      <w:r/>
      <w:bookmarkEnd w:id="339"/>
      <w:r/>
      <w:r/>
    </w:p>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40" w:name="_Toc256000022"/>
      <w:r/>
      <w:bookmarkStart w:id="341" w:name="_Toc160715787"/>
      <w:r/>
      <w:bookmarkStart w:id="342" w:name="_Toc2285"/>
      <w:r>
        <w:rPr>
          <w:rFonts w:hint="eastAsia"/>
          <w:color w:val="000000" w:themeColor="text1"/>
          <w:highlight w:val="none"/>
          <w14:textFill>
            <w14:solidFill>
              <w14:schemeClr w14:val="tx1"/>
            </w14:solidFill>
          </w14:textFill>
        </w:rPr>
        <w:t xml:space="preserve">九</w:t>
      </w:r>
      <w:r>
        <w:rPr>
          <w:color w:val="000000" w:themeColor="text1"/>
          <w:highlight w:val="none"/>
          <w14:textFill>
            <w14:solidFill>
              <w14:schemeClr w14:val="tx1"/>
            </w14:solidFill>
          </w14:textFill>
        </w:rPr>
        <w:t xml:space="preserve">、</w:t>
      </w:r>
      <w:bookmarkEnd w:id="336"/>
      <w:r/>
      <w:bookmarkEnd w:id="337"/>
      <w:r/>
      <w:bookmarkEnd w:id="340"/>
      <w:r/>
      <w:bookmarkEnd w:id="341"/>
      <w:r>
        <w:rPr>
          <w:rFonts w:hint="eastAsia"/>
          <w:color w:val="000000" w:themeColor="text1"/>
          <w:highlight w:val="none"/>
          <w14:textFill>
            <w14:solidFill>
              <w14:schemeClr w14:val="tx1"/>
            </w14:solidFill>
          </w14:textFill>
        </w:rPr>
        <w:t xml:space="preserve">技术服务方案</w:t>
      </w:r>
      <w:bookmarkEnd w:id="342"/>
      <w:r/>
      <w:r/>
    </w:p>
    <w:p>
      <w:pPr>
        <w:jc w:val="center"/>
        <w:spacing w:before="120" w:after="120"/>
        <w:widowControl/>
        <w:rPr>
          <w:rFonts w:hint="eastAsia" w:ascii="宋体" w:hAnsi="宋体" w:cs="黑体"/>
          <w:b/>
          <w:bCs/>
          <w:color w:val="000000" w:themeColor="text1"/>
          <w:sz w:val="28"/>
          <w:szCs w:val="28"/>
          <w:highlight w:val="none"/>
          <w14:textFill>
            <w14:solidFill>
              <w14:schemeClr w14:val="tx1"/>
            </w14:solidFill>
          </w14:textFill>
        </w:rPr>
      </w:pPr>
      <w:r>
        <w:rPr>
          <w:rFonts w:hint="eastAsia" w:ascii="宋体" w:hAnsi="宋体" w:cs="黑体"/>
          <w:b/>
          <w:bCs/>
          <w:color w:val="000000" w:themeColor="text1"/>
          <w:sz w:val="28"/>
          <w:szCs w:val="28"/>
          <w:highlight w:val="none"/>
          <w14:textFill>
            <w14:solidFill>
              <w14:schemeClr w14:val="tx1"/>
            </w14:solidFill>
          </w14:textFill>
        </w:rPr>
        <w:t xml:space="preserve">技术服务方案</w:t>
      </w:r>
      <w:r/>
    </w:p>
    <w:p>
      <w:pPr>
        <w:jc w:val="center"/>
        <w:spacing w:line="360" w:lineRule="auto"/>
        <w:rPr>
          <w:rFonts w:hint="eastAsia" w:ascii="宋体" w:hAnsi="宋体" w:cs="Arial"/>
          <w:color w:val="000000" w:themeColor="text1"/>
          <w:sz w:val="24"/>
          <w:szCs w:val="21"/>
          <w:highlight w:val="none"/>
          <w14:textFill>
            <w14:solidFill>
              <w14:schemeClr w14:val="tx1"/>
            </w14:solidFill>
          </w14:textFill>
        </w:rPr>
      </w:pPr>
      <w:r>
        <w:rPr>
          <w:rFonts w:hint="eastAsia" w:ascii="宋体" w:hAnsi="宋体" w:cs="Arial"/>
          <w:color w:val="000000" w:themeColor="text1"/>
          <w:sz w:val="24"/>
          <w:szCs w:val="21"/>
          <w:highlight w:val="none"/>
          <w14:textFill>
            <w14:solidFill>
              <w14:schemeClr w14:val="tx1"/>
            </w14:solidFill>
          </w14:textFill>
        </w:rPr>
        <w:t xml:space="preserve">（技术方案及服务方案的内容编排等由投标人自定）</w:t>
      </w:r>
      <w:r/>
    </w:p>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43" w:name="_Toc12028"/>
      <w:r/>
      <w:bookmarkStart w:id="344" w:name="_Toc256000023"/>
      <w:r/>
      <w:bookmarkStart w:id="345" w:name="_Toc160715788"/>
      <w:r/>
      <w:bookmarkStart w:id="346" w:name="_Toc7051"/>
      <w:r/>
      <w:bookmarkStart w:id="347" w:name="_Toc4218"/>
      <w:r>
        <w:rPr>
          <w:color w:val="000000" w:themeColor="text1"/>
          <w:highlight w:val="none"/>
          <w14:textFill>
            <w14:solidFill>
              <w14:schemeClr w14:val="tx1"/>
            </w14:solidFill>
          </w14:textFill>
        </w:rPr>
        <w:t xml:space="preserve">十、投标人情况介绍</w:t>
      </w:r>
      <w:bookmarkEnd w:id="343"/>
      <w:r/>
      <w:bookmarkEnd w:id="344"/>
      <w:r/>
      <w:bookmarkEnd w:id="345"/>
      <w:r/>
      <w:bookmarkEnd w:id="346"/>
      <w:r/>
      <w:bookmarkEnd w:id="347"/>
      <w:r/>
      <w:r/>
    </w:p>
    <w:p>
      <w:pPr>
        <w:jc w:val="left"/>
        <w:widowControl/>
        <w:rPr>
          <w:rFonts w:ascii="Times New Roman" w:hAnsi="Times New Roman" w:eastAsia="Times New Roman"/>
          <w:color w:val="000000" w:themeColor="text1"/>
          <w:sz w:val="24"/>
          <w:szCs w:val="24"/>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titlePg/>
        </w:sectPr>
        <w:outlineLvl w:val="2"/>
      </w:pPr>
      <w:r>
        <w:rPr>
          <w:rFonts w:ascii="Times New Roman" w:hAnsi="Times New Roman" w:eastAsia="Times New Roman"/>
          <w:color w:val="000000" w:themeColor="text1"/>
          <w:sz w:val="24"/>
          <w:szCs w:val="24"/>
          <w:highlight w:val="none"/>
          <w14:textFill>
            <w14:solidFill>
              <w14:schemeClr w14:val="tx1"/>
            </w14:solidFill>
          </w14:textFill>
        </w:rPr>
      </w:r>
      <w:r/>
    </w:p>
    <w:p>
      <w:pPr>
        <w:ind w:firstLine="562"/>
        <w:jc w:val="left"/>
        <w:widowControl/>
        <w:rPr>
          <w:rFonts w:ascii="Times New Roman" w:hAnsi="Times New Roman" w:eastAsia="Times New Roman"/>
          <w:color w:val="000000" w:themeColor="text1"/>
          <w:sz w:val="24"/>
          <w:szCs w:val="24"/>
          <w:highlight w:val="none"/>
          <w14:textFill>
            <w14:solidFill>
              <w14:schemeClr w14:val="tx1"/>
            </w14:solidFill>
          </w14:textFill>
        </w:rPr>
        <w:outlineLvl w:val="2"/>
      </w:pPr>
      <w:r>
        <w:rPr>
          <w:rFonts w:ascii="宋体" w:hAnsi="宋体" w:cs="宋体"/>
          <w:b/>
          <w:color w:val="000000" w:themeColor="text1"/>
          <w:sz w:val="28"/>
          <w:szCs w:val="24"/>
          <w:highlight w:val="none"/>
          <w14:textFill>
            <w14:solidFill>
              <w14:schemeClr w14:val="tx1"/>
            </w14:solidFill>
          </w14:textFill>
        </w:rPr>
        <w:t xml:space="preserve">类似业绩一览表</w:t>
      </w:r>
      <w:r/>
    </w:p>
    <w:p>
      <w:pPr>
        <w:jc w:val="center"/>
        <w:spacing w:before="120" w:after="120"/>
        <w:widowControl/>
        <w:rPr>
          <w:rFonts w:hint="eastAsia" w:ascii="宋体" w:hAnsi="宋体" w:cs="黑体"/>
          <w:b/>
          <w:bCs/>
          <w:color w:val="000000" w:themeColor="text1"/>
          <w:sz w:val="28"/>
          <w:szCs w:val="28"/>
          <w:highlight w:val="none"/>
          <w14:textFill>
            <w14:solidFill>
              <w14:schemeClr w14:val="tx1"/>
            </w14:solidFill>
          </w14:textFill>
        </w:rPr>
      </w:pPr>
      <w:r>
        <w:rPr>
          <w:rFonts w:ascii="宋体" w:hAnsi="宋体" w:cs="黑体"/>
          <w:b/>
          <w:bCs/>
          <w:color w:val="000000" w:themeColor="text1"/>
          <w:sz w:val="28"/>
          <w:szCs w:val="28"/>
          <w:highlight w:val="none"/>
          <w14:textFill>
            <w14:solidFill>
              <w14:schemeClr w14:val="tx1"/>
            </w14:solidFill>
          </w14:textFill>
        </w:rPr>
        <w:t xml:space="preserve">类似业绩一览表</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1"/>
        <w:gridCol w:w="2246"/>
        <w:gridCol w:w="3352"/>
        <w:gridCol w:w="2246"/>
      </w:tblGrid>
      <w:tr>
        <w:trPr>
          <w:jc w:val="center"/>
          <w:trHeight w:val="567"/>
        </w:trPr>
        <w:tc>
          <w:tcPr>
            <w:tcMar>
              <w:left w:w="0" w:type="dxa"/>
              <w:top w:w="0" w:type="dxa"/>
              <w:right w:w="0" w:type="dxa"/>
              <w:bottom w:w="0" w:type="dxa"/>
            </w:tcMar>
            <w:tcW w:w="1141" w:type="dxa"/>
            <w:vAlign w:val="center"/>
            <w:textDirection w:val="lrTb"/>
            <w:noWrap w:val="false"/>
          </w:tcPr>
          <w:p>
            <w:pPr>
              <w:jc w:val="center"/>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序号</w:t>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项目名称</w:t>
            </w:r>
            <w:r/>
          </w:p>
        </w:tc>
        <w:tc>
          <w:tcPr>
            <w:tcMar>
              <w:left w:w="0" w:type="dxa"/>
              <w:top w:w="0" w:type="dxa"/>
              <w:right w:w="0" w:type="dxa"/>
              <w:bottom w:w="0" w:type="dxa"/>
            </w:tcMar>
            <w:tcW w:w="3352" w:type="dxa"/>
            <w:vAlign w:val="center"/>
            <w:textDirection w:val="lrTb"/>
            <w:noWrap w:val="false"/>
          </w:tcPr>
          <w:p>
            <w:pPr>
              <w:jc w:val="center"/>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合同期（天）</w:t>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合同金额</w:t>
            </w:r>
            <w:r/>
          </w:p>
        </w:tc>
      </w:tr>
      <w:tr>
        <w:trPr>
          <w:jc w:val="center"/>
          <w:trHeight w:val="567"/>
        </w:trPr>
        <w:tc>
          <w:tcPr>
            <w:tcMar>
              <w:left w:w="0" w:type="dxa"/>
              <w:top w:w="0" w:type="dxa"/>
              <w:right w:w="0" w:type="dxa"/>
              <w:bottom w:w="0" w:type="dxa"/>
            </w:tcMar>
            <w:tcW w:w="1141"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bookmarkStart w:id="348" w:name="xh"/>
            <w:r/>
            <w:bookmarkEnd w:id="348"/>
            <w:r>
              <w:rPr>
                <w:rFonts w:hint="eastAsia" w:ascii="宋体" w:hAnsi="宋体" w:cs="宋体"/>
                <w:color w:val="000000" w:themeColor="text1"/>
                <w:sz w:val="24"/>
                <w:szCs w:val="24"/>
                <w:highlight w:val="none"/>
                <w14:textFill>
                  <w14:solidFill>
                    <w14:schemeClr w14:val="tx1"/>
                  </w14:solidFill>
                </w14:textFill>
              </w:rPr>
              <w:t xml:space="preserve">1</w:t>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bookmarkStart w:id="349" w:name="XmName"/>
            <w:r/>
            <w:bookmarkEnd w:id="349"/>
            <w:r/>
            <w:r/>
          </w:p>
        </w:tc>
        <w:tc>
          <w:tcPr>
            <w:tcMar>
              <w:left w:w="0" w:type="dxa"/>
              <w:top w:w="0" w:type="dxa"/>
              <w:right w:w="0" w:type="dxa"/>
              <w:bottom w:w="0" w:type="dxa"/>
            </w:tcMar>
            <w:tcW w:w="3352"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bookmarkStart w:id="350" w:name="ZhongBiaoJia"/>
            <w:r/>
            <w:bookmarkEnd w:id="350"/>
            <w:r/>
            <w:r/>
          </w:p>
        </w:tc>
      </w:tr>
      <w:tr>
        <w:trPr>
          <w:jc w:val="center"/>
          <w:trHeight w:val="567"/>
        </w:trPr>
        <w:tc>
          <w:tcPr>
            <w:tcMar>
              <w:left w:w="0" w:type="dxa"/>
              <w:top w:w="0" w:type="dxa"/>
              <w:right w:w="0" w:type="dxa"/>
              <w:bottom w:w="0" w:type="dxa"/>
            </w:tcMar>
            <w:tcW w:w="1141"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352"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r>
        <w:trPr>
          <w:jc w:val="center"/>
          <w:trHeight w:val="567"/>
        </w:trPr>
        <w:tc>
          <w:tcPr>
            <w:tcMar>
              <w:left w:w="0" w:type="dxa"/>
              <w:top w:w="0" w:type="dxa"/>
              <w:right w:w="0" w:type="dxa"/>
              <w:bottom w:w="0" w:type="dxa"/>
            </w:tcMar>
            <w:tcW w:w="1141"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3352"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tcMar>
              <w:left w:w="0" w:type="dxa"/>
              <w:top w:w="0" w:type="dxa"/>
              <w:right w:w="0" w:type="dxa"/>
              <w:bottom w:w="0" w:type="dxa"/>
            </w:tcMar>
            <w:tcW w:w="2246"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r>
    </w:tbl>
    <w:p>
      <w:pPr>
        <w:jc w:val="left"/>
        <w:widowControl/>
        <w:rPr>
          <w:rFonts w:ascii="Times New Roman" w:hAnsi="Times New Roman" w:eastAsia="Times New Roman"/>
          <w:color w:val="000000" w:themeColor="text1"/>
          <w:sz w:val="24"/>
          <w:szCs w:val="24"/>
          <w:highlight w:val="none"/>
          <w14:textFill>
            <w14:solidFill>
              <w14:schemeClr w14:val="tx1"/>
            </w14:solidFill>
          </w14:textFill>
        </w:rPr>
        <w:outlineLvl w:val="2"/>
      </w:pPr>
      <w:r>
        <w:rPr>
          <w:rFonts w:ascii="宋体" w:hAnsi="宋体" w:cs="宋体"/>
          <w:b/>
          <w:color w:val="000000" w:themeColor="text1"/>
          <w:sz w:val="28"/>
          <w:szCs w:val="24"/>
          <w:highlight w:val="none"/>
          <w14:textFill>
            <w14:solidFill>
              <w14:schemeClr w14:val="tx1"/>
            </w14:solidFill>
          </w14:textFill>
        </w:rPr>
        <w:br w:type="page" w:clear="all"/>
      </w:r>
      <w:r>
        <w:rPr>
          <w:rFonts w:ascii="宋体" w:hAnsi="宋体" w:cs="宋体"/>
          <w:b/>
          <w:color w:val="000000" w:themeColor="text1"/>
          <w:sz w:val="28"/>
          <w:szCs w:val="24"/>
          <w:highlight w:val="none"/>
          <w14:textFill>
            <w14:solidFill>
              <w14:schemeClr w14:val="tx1"/>
            </w14:solidFill>
          </w14:textFill>
        </w:rPr>
        <w:t xml:space="preserve">投标人获得的相关证书</w:t>
      </w:r>
      <w:r/>
    </w:p>
    <w:p>
      <w:pPr>
        <w:jc w:val="center"/>
        <w:spacing w:before="120" w:after="120"/>
        <w:widowControl/>
        <w:rPr>
          <w:rFonts w:hint="eastAsia" w:ascii="宋体" w:hAnsi="宋体" w:cs="黑体"/>
          <w:b/>
          <w:bCs/>
          <w:color w:val="000000" w:themeColor="text1"/>
          <w:sz w:val="28"/>
          <w:szCs w:val="28"/>
          <w:highlight w:val="none"/>
          <w14:textFill>
            <w14:solidFill>
              <w14:schemeClr w14:val="tx1"/>
            </w14:solidFill>
          </w14:textFill>
        </w:rPr>
      </w:pPr>
      <w:r>
        <w:rPr>
          <w:rFonts w:ascii="宋体" w:hAnsi="宋体" w:cs="黑体"/>
          <w:b/>
          <w:bCs/>
          <w:color w:val="000000" w:themeColor="text1"/>
          <w:sz w:val="28"/>
          <w:szCs w:val="28"/>
          <w:highlight w:val="none"/>
          <w14:textFill>
            <w14:solidFill>
              <w14:schemeClr w14:val="tx1"/>
            </w14:solidFill>
          </w14:textFill>
        </w:rPr>
        <w:t xml:space="preserve">各类证书</w:t>
      </w:r>
      <w:r>
        <w:rPr>
          <w:rFonts w:hint="eastAsia" w:ascii="宋体" w:hAnsi="宋体" w:cs="黑体"/>
          <w:b/>
          <w:bCs/>
          <w:color w:val="000000" w:themeColor="text1"/>
          <w:sz w:val="28"/>
          <w:szCs w:val="28"/>
          <w:highlight w:val="none"/>
          <w14:textFill>
            <w14:solidFill>
              <w14:schemeClr w14:val="tx1"/>
            </w14:solidFill>
          </w14:textFill>
        </w:rPr>
        <w:t xml:space="preserve">（如有）</w:t>
      </w:r>
      <w:r/>
    </w:p>
    <w:tbl>
      <w:tblPr>
        <w:tblStyle w:val="8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70"/>
        <w:gridCol w:w="1815"/>
      </w:tblGrid>
      <w:tr>
        <w:trPr>
          <w:jc w:val="center"/>
          <w:trHeight w:val="567"/>
        </w:trPr>
        <w:tc>
          <w:tcPr>
            <w:tcMar>
              <w:left w:w="0" w:type="dxa"/>
              <w:top w:w="0" w:type="dxa"/>
              <w:right w:w="0" w:type="dxa"/>
              <w:bottom w:w="0" w:type="dxa"/>
            </w:tcMar>
            <w:tcW w:w="7170"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证书名称</w:t>
            </w:r>
            <w:r/>
          </w:p>
        </w:tc>
        <w:tc>
          <w:tcPr>
            <w:tcMar>
              <w:left w:w="0" w:type="dxa"/>
              <w:top w:w="0" w:type="dxa"/>
              <w:right w:w="0" w:type="dxa"/>
              <w:bottom w:w="0" w:type="dxa"/>
            </w:tcMar>
            <w:tcW w:w="1815" w:type="dxa"/>
            <w:vAlign w:val="center"/>
            <w:textDirection w:val="lrTb"/>
            <w:noWrap w:val="false"/>
          </w:tcPr>
          <w:p>
            <w:pPr>
              <w:jc w:val="center"/>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查看</w:t>
            </w:r>
            <w:r/>
          </w:p>
        </w:tc>
      </w:tr>
      <w:tr>
        <w:trPr>
          <w:jc w:val="center"/>
          <w:trHeight w:val="567"/>
        </w:trPr>
        <w:tc>
          <w:tcPr>
            <w:tcMar>
              <w:left w:w="0" w:type="dxa"/>
              <w:top w:w="0" w:type="dxa"/>
              <w:right w:w="0" w:type="dxa"/>
              <w:bottom w:w="0" w:type="dxa"/>
            </w:tcMar>
            <w:tcW w:w="7170" w:type="dxa"/>
            <w:vAlign w:val="center"/>
            <w:textDirection w:val="lrTb"/>
            <w:noWrap w:val="false"/>
          </w:tcPr>
          <w:p>
            <w:pPr>
              <w:jc w:val="left"/>
              <w:widowControl/>
              <w:rPr>
                <w:rFonts w:hint="eastAsia" w:ascii="宋体" w:hAnsi="宋体" w:cs="宋体"/>
                <w:color w:val="000000" w:themeColor="text1"/>
                <w:sz w:val="24"/>
                <w:szCs w:val="24"/>
                <w:highlight w:val="none"/>
                <w14:textFill>
                  <w14:solidFill>
                    <w14:schemeClr w14:val="tx1"/>
                  </w14:solidFill>
                </w14:textFill>
              </w:rPr>
            </w:pPr>
            <w:r/>
            <w:bookmarkStart w:id="351" w:name="MC_0"/>
            <w:r/>
            <w:bookmarkEnd w:id="351"/>
            <w:r/>
            <w:r/>
          </w:p>
        </w:tc>
        <w:tc>
          <w:tcPr>
            <w:tcMar>
              <w:left w:w="0" w:type="dxa"/>
              <w:top w:w="0" w:type="dxa"/>
              <w:right w:w="0" w:type="dxa"/>
              <w:bottom w:w="0" w:type="dxa"/>
            </w:tcMar>
            <w:tcW w:w="1815" w:type="dxa"/>
            <w:vAlign w:val="center"/>
            <w:textDirection w:val="lrTb"/>
            <w:noWrap w:val="false"/>
          </w:tcPr>
          <w:p>
            <w:pPr>
              <w:jc w:val="left"/>
              <w:widowControl/>
              <w:rPr>
                <w:rFonts w:hint="eastAsia" w:ascii="宋体" w:hAnsi="宋体" w:cs="宋体"/>
                <w:color w:val="000000" w:themeColor="text1"/>
                <w:sz w:val="24"/>
                <w:szCs w:val="24"/>
                <w:highlight w:val="none"/>
                <w14:textFill>
                  <w14:solidFill>
                    <w14:schemeClr w14:val="tx1"/>
                  </w14:solidFill>
                </w14:textFill>
              </w:rPr>
            </w:pPr>
            <w:r/>
            <w:bookmarkStart w:id="352" w:name="ChaKan_1"/>
            <w:r/>
            <w:bookmarkEnd w:id="352"/>
            <w:r/>
            <w:r/>
          </w:p>
        </w:tc>
      </w:tr>
    </w:tbl>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53" w:name="_Toc5304"/>
      <w:r/>
      <w:bookmarkStart w:id="354" w:name="_Toc14808"/>
      <w:r/>
      <w:bookmarkStart w:id="355" w:name="_Toc160715789"/>
      <w:r/>
      <w:bookmarkStart w:id="356" w:name="_Toc256000024"/>
      <w:r/>
      <w:bookmarkStart w:id="357" w:name="_Toc12370"/>
      <w:r>
        <w:rPr>
          <w:color w:val="000000" w:themeColor="text1"/>
          <w:highlight w:val="none"/>
          <w14:textFill>
            <w14:solidFill>
              <w14:schemeClr w14:val="tx1"/>
            </w14:solidFill>
          </w14:textFill>
        </w:rPr>
        <w:t xml:space="preserve">十</w:t>
      </w:r>
      <w:r>
        <w:rPr>
          <w:rFonts w:hint="eastAsia"/>
          <w:color w:val="000000" w:themeColor="text1"/>
          <w:highlight w:val="none"/>
          <w14:textFill>
            <w14:solidFill>
              <w14:schemeClr w14:val="tx1"/>
            </w14:solidFill>
          </w14:textFill>
        </w:rPr>
        <w:t xml:space="preserve">一</w:t>
      </w:r>
      <w:r>
        <w:rPr>
          <w:color w:val="000000" w:themeColor="text1"/>
          <w:highlight w:val="none"/>
          <w14:textFill>
            <w14:solidFill>
              <w14:schemeClr w14:val="tx1"/>
            </w14:solidFill>
          </w14:textFill>
        </w:rPr>
        <w:t xml:space="preserve">、中小企业声明函</w:t>
      </w:r>
      <w:bookmarkEnd w:id="353"/>
      <w:r/>
      <w:bookmarkEnd w:id="354"/>
      <w:r/>
      <w:bookmarkEnd w:id="355"/>
      <w:r/>
      <w:bookmarkEnd w:id="356"/>
      <w:r/>
      <w:bookmarkEnd w:id="357"/>
      <w:r/>
      <w:r/>
    </w:p>
    <w:p>
      <w:pPr>
        <w:jc w:val="center"/>
        <w:spacing w:before="120" w:after="12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highlight w:val="none"/>
          <w14:textFill>
            <w14:solidFill>
              <w14:schemeClr w14:val="tx1"/>
            </w14:solidFill>
          </w14:textFill>
        </w:rPr>
        <w:t xml:space="preserve">中小企业声明函（服务）</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r>
      <w:r/>
    </w:p>
    <w:p>
      <w:pPr>
        <w:ind w:firstLine="480"/>
        <w:spacing w:line="43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本公司郑重声明，根据《政府采购促进中小企业发展管理办法》(财库〔2020〕46号)的规定，本公司参加</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（单位名称）</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14:textFill>
            <w14:solidFill>
              <w14:schemeClr w14:val="tx1"/>
            </w14:solidFill>
          </w14:textFill>
        </w:rPr>
        <w:t xml:space="preserve">              （项目名称）</w:t>
      </w:r>
      <w:r>
        <w:rPr>
          <w:rFonts w:hint="eastAsia" w:ascii="宋体" w:hAnsi="宋体" w:cs="宋体"/>
          <w:color w:val="000000" w:themeColor="text1"/>
          <w:sz w:val="24"/>
          <w:highlight w:val="none"/>
          <w14:textFill>
            <w14:solidFill>
              <w14:schemeClr w14:val="tx1"/>
            </w14:solidFill>
          </w14:textFill>
        </w:rPr>
        <w:t xml:space="preserve">采购活动，服务全部由符合政策要求的中小企业</w:t>
      </w:r>
      <w:r>
        <w:rPr>
          <w:rFonts w:hint="eastAsia" w:ascii="宋体" w:hAnsi="宋体" w:cs="宋体"/>
          <w:b/>
          <w:bCs/>
          <w:color w:val="000000" w:themeColor="text1"/>
          <w:sz w:val="24"/>
          <w:highlight w:val="none"/>
          <w:lang w:eastAsia="zh-CN"/>
          <w14:textFill>
            <w14:solidFill>
              <w14:schemeClr w14:val="tx1"/>
            </w14:solidFill>
          </w14:textFill>
        </w:rPr>
        <w:t xml:space="preserve">（含合同分包中的中小企业）</w:t>
      </w:r>
      <w:r>
        <w:rPr>
          <w:rFonts w:hint="eastAsia" w:ascii="宋体" w:hAnsi="宋体" w:cs="宋体"/>
          <w:color w:val="000000" w:themeColor="text1"/>
          <w:sz w:val="24"/>
          <w:highlight w:val="none"/>
          <w14:textFill>
            <w14:solidFill>
              <w14:schemeClr w14:val="tx1"/>
            </w14:solidFill>
          </w14:textFill>
        </w:rPr>
        <w:t xml:space="preserve">承接。相关企业的具体情况如下：</w:t>
      </w:r>
      <w:r/>
    </w:p>
    <w:p>
      <w:pPr>
        <w:numPr>
          <w:ilvl w:val="0"/>
          <w:numId w:val="0"/>
        </w:numPr>
        <w:spacing w:line="43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szCs w:val="24"/>
          <w:highlight w:val="none"/>
          <w:u w:val="single"/>
          <w14:textFill>
            <w14:solidFill>
              <w14:schemeClr w14:val="tx1"/>
            </w14:solidFill>
          </w14:textFill>
        </w:rPr>
        <w:t xml:space="preserve">大</w:t>
      </w:r>
      <w:r>
        <w:rPr>
          <w:rFonts w:hint="eastAsia" w:ascii="宋体" w:hAnsi="宋体" w:cs="宋体"/>
          <w:color w:val="000000" w:themeColor="text1"/>
          <w:sz w:val="24"/>
          <w:highlight w:val="none"/>
          <w:u w:val="single"/>
          <w14:textFill>
            <w14:solidFill>
              <w14:schemeClr w14:val="tx1"/>
            </w14:solidFill>
          </w14:textFill>
        </w:rPr>
        <w:t xml:space="preserve">新镇镇区一体化保洁及厨余等垃圾清运项目（标的名称）</w:t>
      </w:r>
      <w:r>
        <w:rPr>
          <w:rFonts w:hint="eastAsia" w:ascii="宋体" w:hAnsi="宋体" w:cs="宋体"/>
          <w:i/>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属于</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其他未列明行业（包括科学研究和技术服务业，水利、环境和公共设施管理业，居民服务、修理和其他服务业，社会工作，文化、体育和娱乐业等）</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行业；</w:t>
      </w:r>
      <w:r>
        <w:rPr>
          <w:rFonts w:hint="eastAsia" w:ascii="宋体" w:hAnsi="宋体" w:cs="宋体"/>
          <w:b/>
          <w:bCs/>
          <w:color w:val="000000" w:themeColor="text1"/>
          <w:sz w:val="24"/>
          <w:highlight w:val="none"/>
          <w14:textFill>
            <w14:solidFill>
              <w14:schemeClr w14:val="tx1"/>
            </w14:solidFill>
          </w14:textFill>
        </w:rPr>
        <w:t xml:space="preserve">承接企业</w:t>
      </w:r>
      <w:r>
        <w:rPr>
          <w:rFonts w:hint="eastAsia" w:ascii="宋体" w:hAnsi="宋体" w:cs="宋体"/>
          <w:color w:val="000000" w:themeColor="text1"/>
          <w:sz w:val="24"/>
          <w:highlight w:val="none"/>
          <w14:textFill>
            <w14:solidFill>
              <w14:schemeClr w14:val="tx1"/>
            </w14:solidFill>
          </w14:textFill>
        </w:rPr>
        <w:t xml:space="preserve">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（企业名称）</w:t>
      </w:r>
      <w:r>
        <w:rPr>
          <w:rFonts w:hint="eastAsia"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万元，属于</w:t>
      </w:r>
      <w:r>
        <w:rPr>
          <w:rFonts w:hint="eastAsia" w:ascii="宋体" w:hAnsi="宋体" w:cs="宋体"/>
          <w:color w:val="000000" w:themeColor="text1"/>
          <w:sz w:val="24"/>
          <w:highlight w:val="none"/>
          <w:u w:val="single"/>
          <w14:textFill>
            <w14:solidFill>
              <w14:schemeClr w14:val="tx1"/>
            </w14:solidFill>
          </w14:textFill>
        </w:rPr>
        <w:t xml:space="preserve">         （中型企业、小型企业、微型企业）；</w:t>
      </w:r>
      <w:r/>
    </w:p>
    <w:p>
      <w:pPr>
        <w:ind w:firstLine="480"/>
        <w:spacing w:line="43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439" w:lineRule="atLeast"/>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企业名称（盖章）：</w:t>
      </w:r>
      <w:r/>
    </w:p>
    <w:p>
      <w:pPr>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日期：</w:t>
      </w:r>
      <w:r/>
    </w:p>
    <w:p>
      <w:pPr>
        <w:spacing w:before="120"/>
        <w:rPr>
          <w:rFonts w:ascii="Arial" w:hAnsi="Arial"/>
          <w:color w:val="000000" w:themeColor="text1"/>
          <w:sz w:val="24"/>
          <w:szCs w:val="20"/>
          <w:highlight w:val="none"/>
          <w14:textFill>
            <w14:solidFill>
              <w14:schemeClr w14:val="tx1"/>
            </w14:solidFill>
          </w14:textFill>
        </w:rPr>
      </w:pPr>
      <w:r>
        <w:rPr>
          <w:rFonts w:ascii="Arial" w:hAnsi="Arial"/>
          <w:color w:val="000000" w:themeColor="text1"/>
          <w:sz w:val="24"/>
          <w:szCs w:val="20"/>
          <w:highlight w:val="none"/>
          <w14:textFill>
            <w14:solidFill>
              <w14:schemeClr w14:val="tx1"/>
            </w14:solidFill>
          </w14:textFill>
        </w:rPr>
      </w:r>
      <w:r/>
    </w:p>
    <w:p>
      <w:pPr>
        <w:spacing w:after="120" w:line="360" w:lineRule="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注：投标人对照</w:t>
      </w:r>
      <w:bookmarkStart w:id="358" w:name="OLE_LINK1"/>
      <w:r>
        <w:rPr>
          <w:rFonts w:hint="eastAsia" w:ascii="宋体" w:hAnsi="宋体" w:cs="宋体"/>
          <w:color w:val="000000" w:themeColor="text1"/>
          <w:sz w:val="24"/>
          <w:highlight w:val="none"/>
          <w14:textFill>
            <w14:solidFill>
              <w14:schemeClr w14:val="tx1"/>
            </w14:solidFill>
          </w14:textFill>
        </w:rPr>
        <w:t xml:space="preserve">《关于印发中小企业划型标准规定的通知》（工信部联企业【2011】300号）</w:t>
      </w:r>
      <w:bookmarkEnd w:id="358"/>
      <w:r>
        <w:rPr>
          <w:rFonts w:hint="eastAsia" w:ascii="宋体" w:hAnsi="宋体" w:cs="宋体"/>
          <w:color w:val="000000" w:themeColor="text1"/>
          <w:sz w:val="24"/>
          <w:highlight w:val="none"/>
          <w14:textFill>
            <w14:solidFill>
              <w14:schemeClr w14:val="tx1"/>
            </w14:solidFill>
          </w14:textFill>
        </w:rPr>
        <w:t xml:space="preserve">中的标准，明确标的承接企业所属企业类型。</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备注：</w:t>
      </w:r>
      <w:r/>
    </w:p>
    <w:p>
      <w:pPr>
        <w:ind w:firstLine="480"/>
        <w:spacing w:line="360" w:lineRule="auto"/>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1.从业人员、营业收入、资产总额填报上一年度数据，无上一年度数据的新成立企业可不填报。</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w:t>
      </w:r>
      <w:bookmarkStart w:id="359" w:name="OLE_LINK5"/>
      <w:r>
        <w:rPr>
          <w:rFonts w:hint="eastAsia" w:ascii="宋体" w:hAnsi="宋体" w:cs="宋体"/>
          <w:b/>
          <w:color w:val="000000" w:themeColor="text1"/>
          <w:sz w:val="24"/>
          <w:highlight w:val="none"/>
          <w14:textFill>
            <w14:solidFill>
              <w14:schemeClr w14:val="tx1"/>
            </w14:solidFill>
          </w14:textFill>
        </w:rPr>
        <w:t xml:space="preserve">服务类项目中投标人若使用退休人员，将不享受相应扶持政策。</w:t>
      </w:r>
      <w:bookmarkEnd w:id="359"/>
      <w:r/>
      <w:r/>
    </w:p>
    <w:p>
      <w:p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3.涉及多个采购标的的项目，供应商应当</w:t>
      </w:r>
      <w:r>
        <w:rPr>
          <w:rFonts w:hint="eastAsia" w:ascii="宋体" w:hAnsi="宋体" w:cs="宋体"/>
          <w:b/>
          <w:bCs/>
          <w:color w:val="000000" w:themeColor="text1"/>
          <w:sz w:val="24"/>
          <w:highlight w:val="none"/>
          <w:lang w:val="en-US" w:eastAsia="zh-CN"/>
          <w14:textFill>
            <w14:solidFill>
              <w14:schemeClr w14:val="tx1"/>
            </w14:solidFill>
          </w14:textFill>
        </w:rPr>
        <w:t xml:space="preserve">逐一填报与采购项目属性一致的每个采购标的（主要采购标的，不包括配件、辅料等）</w:t>
      </w:r>
      <w:r>
        <w:rPr>
          <w:rFonts w:hint="eastAsia" w:ascii="宋体" w:hAnsi="宋体" w:cs="宋体"/>
          <w:color w:val="000000" w:themeColor="text1"/>
          <w:sz w:val="24"/>
          <w:highlight w:val="none"/>
          <w:lang w:val="en-US" w:eastAsia="zh-CN"/>
          <w14:textFill>
            <w14:solidFill>
              <w14:schemeClr w14:val="tx1"/>
            </w14:solidFill>
          </w14:textFill>
        </w:rPr>
        <w:t xml:space="preserve">的制造商或者承建（承接）供应商信息。</w:t>
      </w:r>
      <w:r/>
    </w:p>
    <w:p>
      <w:pPr>
        <w:ind w:firstLine="480"/>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ascii="宋体" w:hAnsi="宋体" w:cs="宋体"/>
          <w:color w:val="000000" w:themeColor="text1"/>
          <w:sz w:val="24"/>
          <w:highlight w:val="none"/>
          <w14:textFill>
            <w14:solidFill>
              <w14:schemeClr w14:val="tx1"/>
            </w14:solidFill>
          </w14:textFill>
        </w:rPr>
        <w:t xml:space="preserve">.若</w:t>
      </w:r>
      <w:r>
        <w:rPr>
          <w:rFonts w:hint="eastAsia" w:ascii="宋体" w:hAnsi="宋体" w:cs="宋体"/>
          <w:color w:val="000000" w:themeColor="text1"/>
          <w:sz w:val="24"/>
          <w:highlight w:val="none"/>
          <w:lang w:val="en-US" w:eastAsia="zh-CN"/>
          <w14:textFill>
            <w14:solidFill>
              <w14:schemeClr w14:val="tx1"/>
            </w14:solidFill>
          </w14:textFill>
        </w:rPr>
        <w:t xml:space="preserve">投标单位</w:t>
      </w:r>
      <w:r>
        <w:rPr>
          <w:rFonts w:ascii="宋体" w:hAnsi="宋体" w:cs="宋体"/>
          <w:color w:val="000000" w:themeColor="text1"/>
          <w:sz w:val="24"/>
          <w:highlight w:val="none"/>
          <w14:textFill>
            <w14:solidFill>
              <w14:schemeClr w14:val="tx1"/>
            </w14:solidFill>
          </w14:textFill>
        </w:rPr>
        <w:t xml:space="preserve">对照《政府采购促进中小企业发展管理办法》(财库〔2020〕46号)中的规定，明确不符合中小企业的，则无需提供此声明函。</w:t>
      </w:r>
      <w:r/>
    </w:p>
    <w:p>
      <w:pPr>
        <w:ind w:firstLine="480"/>
        <w:spacing w:line="360" w:lineRule="auto"/>
        <w:rPr>
          <w:rFonts w:hint="eastAsia" w:ascii="宋体" w:hAnsi="宋体" w:cs="宋体"/>
          <w:b/>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4"/>
          <w:highlight w:val="none"/>
          <w:lang w:val="en-US" w:eastAsia="zh-CN"/>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val="en-US" w:eastAsia="zh-CN"/>
          <w14:textFill>
            <w14:solidFill>
              <w14:schemeClr w14:val="tx1"/>
            </w14:solidFill>
          </w14:textFill>
        </w:rPr>
        <w:t xml:space="preserve">如</w:t>
      </w:r>
      <w:r>
        <w:rPr>
          <w:rFonts w:hint="eastAsia" w:ascii="宋体" w:hAnsi="宋体" w:cs="宋体"/>
          <w:b/>
          <w:color w:val="000000" w:themeColor="text1"/>
          <w:sz w:val="24"/>
          <w:highlight w:val="none"/>
          <w14:textFill>
            <w14:solidFill>
              <w14:schemeClr w14:val="tx1"/>
            </w14:solidFill>
          </w14:textFill>
        </w:rPr>
        <w:t xml:space="preserve">采用合同分包形式投标的，还需提供分包商的中小企业</w:t>
      </w:r>
      <w:r>
        <w:rPr>
          <w:rFonts w:hint="eastAsia" w:ascii="宋体" w:hAnsi="宋体" w:cs="宋体"/>
          <w:b/>
          <w:color w:val="000000" w:themeColor="text1"/>
          <w:sz w:val="24"/>
          <w:highlight w:val="none"/>
          <w:lang w:val="en-US" w:eastAsia="zh-CN"/>
          <w14:textFill>
            <w14:solidFill>
              <w14:schemeClr w14:val="tx1"/>
            </w14:solidFill>
          </w14:textFill>
        </w:rPr>
        <w:t xml:space="preserve">声</w:t>
      </w:r>
      <w:r>
        <w:rPr>
          <w:rFonts w:hint="eastAsia" w:ascii="宋体" w:hAnsi="宋体" w:cs="宋体"/>
          <w:b/>
          <w:color w:val="000000" w:themeColor="text1"/>
          <w:sz w:val="24"/>
          <w:highlight w:val="none"/>
          <w14:textFill>
            <w14:solidFill>
              <w14:schemeClr w14:val="tx1"/>
            </w14:solidFill>
          </w14:textFill>
        </w:rPr>
        <w:t xml:space="preserve">明函。</w:t>
      </w:r>
      <w:r/>
    </w:p>
    <w:p>
      <w:pPr>
        <w:spacing w:before="240" w:after="240"/>
        <w:rPr>
          <w:rFonts w:hint="eastAsia" w:ascii="宋体" w:hAnsi="宋体" w:cs="宋体"/>
          <w:b w:val="0"/>
          <w:bCs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themeColor="text1"/>
          <w:sz w:val="24"/>
          <w:highlight w:val="none"/>
          <w14:textFill>
            <w14:solidFill>
              <w14:schemeClr w14:val="tx1"/>
            </w14:solidFill>
          </w14:textFill>
        </w:rPr>
        <w:t xml:space="preserve">附：中小企业划型标准规定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（一）农、林、牧、渔业。营业收入20000万元以下的为中小微型企业。其中，营业收入500万元及以上的为中型企业，营业收入50万元及以上的为小型企业，营业收入50万元以下的为微型企业。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spacing w:before="240" w:after="240"/>
        <w:rPr>
          <w:rFonts w:hint="eastAsia"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（十六）其他未列明行业。从业人员300人以下的为中小微型企业。其中，从业人员100人及以上的为中型企业；从业人员10人及以上的为小型企业；从业人员10人以下的为微型企业。</w:t>
      </w:r>
      <w:r/>
    </w:p>
    <w:p>
      <w:pPr>
        <w:pStyle w:val="981"/>
        <w:rPr>
          <w:rFonts w:ascii="Times New Roman" w:hAnsi="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60" w:name="_Toc27194"/>
      <w:r/>
      <w:bookmarkStart w:id="361" w:name="_Toc6972"/>
      <w:r/>
      <w:bookmarkStart w:id="362" w:name="_Toc160715790"/>
      <w:r/>
      <w:bookmarkStart w:id="363" w:name="_Toc256000025"/>
      <w:r/>
      <w:bookmarkStart w:id="364" w:name="_Toc12252"/>
      <w:r>
        <w:rPr>
          <w:color w:val="000000" w:themeColor="text1"/>
          <w:highlight w:val="none"/>
          <w14:textFill>
            <w14:solidFill>
              <w14:schemeClr w14:val="tx1"/>
            </w14:solidFill>
          </w14:textFill>
        </w:rPr>
        <w:t xml:space="preserve">十</w:t>
      </w:r>
      <w:r>
        <w:rPr>
          <w:rFonts w:hint="eastAsia"/>
          <w:color w:val="000000" w:themeColor="text1"/>
          <w:highlight w:val="none"/>
          <w14:textFill>
            <w14:solidFill>
              <w14:schemeClr w14:val="tx1"/>
            </w14:solidFill>
          </w14:textFill>
        </w:rPr>
        <w:t xml:space="preserve">二</w:t>
      </w:r>
      <w:r>
        <w:rPr>
          <w:color w:val="000000" w:themeColor="text1"/>
          <w:highlight w:val="none"/>
          <w14:textFill>
            <w14:solidFill>
              <w14:schemeClr w14:val="tx1"/>
            </w14:solidFill>
          </w14:textFill>
        </w:rPr>
        <w:t xml:space="preserve">、残疾人福利性单位声明函</w:t>
      </w:r>
      <w:bookmarkEnd w:id="360"/>
      <w:r/>
      <w:bookmarkEnd w:id="361"/>
      <w:r/>
      <w:bookmarkEnd w:id="362"/>
      <w:r/>
      <w:bookmarkEnd w:id="363"/>
      <w:r/>
      <w:bookmarkEnd w:id="364"/>
      <w:r/>
      <w:r/>
    </w:p>
    <w:p>
      <w:pPr>
        <w:jc w:val="center"/>
        <w:spacing w:before="120" w:after="120"/>
        <w:widowControl/>
        <w:rPr>
          <w:rFonts w:hint="eastAsia" w:ascii="宋体" w:hAnsi="宋体" w:cs="黑体"/>
          <w:b/>
          <w:bCs/>
          <w:color w:val="000000" w:themeColor="text1"/>
          <w:sz w:val="28"/>
          <w:szCs w:val="28"/>
          <w:highlight w:val="none"/>
          <w14:textFill>
            <w14:solidFill>
              <w14:schemeClr w14:val="tx1"/>
            </w14:solidFill>
          </w14:textFill>
        </w:rPr>
      </w:pPr>
      <w:r>
        <w:rPr>
          <w:rFonts w:ascii="宋体" w:hAnsi="宋体" w:cs="黑体"/>
          <w:b/>
          <w:bCs/>
          <w:color w:val="000000" w:themeColor="text1"/>
          <w:sz w:val="28"/>
          <w:szCs w:val="28"/>
          <w:highlight w:val="none"/>
          <w14:textFill>
            <w14:solidFill>
              <w14:schemeClr w14:val="tx1"/>
            </w14:solidFill>
          </w14:textFill>
        </w:rPr>
        <w:t xml:space="preserve">残疾人福利性单位声明函</w:t>
      </w:r>
      <w:r/>
    </w:p>
    <w:p>
      <w:pPr>
        <w:jc w:val="left"/>
        <w:spacing w:before="240" w:after="240"/>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单位的</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jc w:val="left"/>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left"/>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单位名称（盖章）：</w:t>
      </w:r>
      <w:r/>
    </w:p>
    <w:p>
      <w:pPr>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日期：</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注：1、符合《关于促进残疾人就业政府采购政策的通知》（财库〔2017〕141号）规定条件的残疾人福利性单位在参加政府采购活动时，应当提供《残疾人福利性单位声明函》，并对声明的真实性负责。</w:t>
      </w:r>
      <w:r/>
    </w:p>
    <w:p>
      <w:pPr>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spacing w:before="240" w:after="240" w:line="288"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jc w:val="left"/>
        <w:spacing w:before="240" w:after="240" w:line="288"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t xml:space="preserve">2、若供应商对照《关于促进残疾人就业政府采购政策的通知》（财库〔2017〕141号）中的规定，明确不符合残疾人福利性单位条件的，则无需提供此声明函。</w:t>
      </w:r>
      <w:r/>
    </w:p>
    <w:p>
      <w:pPr>
        <w:pStyle w:val="981"/>
        <w:rPr>
          <w:rFonts w:ascii="Times New Roman" w:hAnsi="Times New Roman" w:eastAsia="Times New Roman"/>
          <w:color w:val="000000" w:themeColor="text1"/>
          <w:sz w:val="24"/>
          <w:szCs w:val="24"/>
          <w:highlight w:val="none"/>
          <w14:textFill>
            <w14:solidFill>
              <w14:schemeClr w14:val="tx1"/>
            </w14:solidFill>
          </w14:textFill>
        </w:rPr>
      </w:pPr>
      <w:r>
        <w:rPr>
          <w:rFonts w:ascii="Times New Roman" w:hAnsi="Times New Roman" w:eastAsia="Times New Roman"/>
          <w:color w:val="000000" w:themeColor="text1"/>
          <w:sz w:val="24"/>
          <w:szCs w:val="24"/>
          <w:highlight w:val="none"/>
          <w14:textFill>
            <w14:solidFill>
              <w14:schemeClr w14:val="tx1"/>
            </w14:solidFill>
          </w14:textFill>
        </w:rPr>
        <w:br w:type="page" w:clear="all"/>
      </w:r>
      <w:bookmarkStart w:id="365" w:name="_Toc28912"/>
      <w:r/>
      <w:bookmarkStart w:id="366" w:name="_Toc160715791"/>
      <w:r/>
      <w:bookmarkStart w:id="367" w:name="_Toc8429"/>
      <w:r/>
      <w:bookmarkStart w:id="368" w:name="_Toc1606"/>
      <w:r/>
      <w:bookmarkStart w:id="369" w:name="_Toc256000026"/>
      <w:r>
        <w:rPr>
          <w:color w:val="000000" w:themeColor="text1"/>
          <w:highlight w:val="none"/>
          <w14:textFill>
            <w14:solidFill>
              <w14:schemeClr w14:val="tx1"/>
            </w14:solidFill>
          </w14:textFill>
        </w:rPr>
        <w:t xml:space="preserve">十</w:t>
      </w:r>
      <w:r>
        <w:rPr>
          <w:rFonts w:hint="eastAsia"/>
          <w:color w:val="000000" w:themeColor="text1"/>
          <w:highlight w:val="none"/>
          <w14:textFill>
            <w14:solidFill>
              <w14:schemeClr w14:val="tx1"/>
            </w14:solidFill>
          </w14:textFill>
        </w:rPr>
        <w:t xml:space="preserve">三</w:t>
      </w:r>
      <w:r>
        <w:rPr>
          <w:color w:val="000000" w:themeColor="text1"/>
          <w:highlight w:val="none"/>
          <w14:textFill>
            <w14:solidFill>
              <w14:schemeClr w14:val="tx1"/>
            </w14:solidFill>
          </w14:textFill>
        </w:rPr>
        <w:t xml:space="preserve">、监狱企业的证明文件</w:t>
      </w:r>
      <w:bookmarkEnd w:id="365"/>
      <w:r/>
      <w:bookmarkEnd w:id="366"/>
      <w:r/>
      <w:bookmarkEnd w:id="367"/>
      <w:r/>
      <w:bookmarkEnd w:id="368"/>
      <w:r/>
      <w:bookmarkEnd w:id="369"/>
      <w:r/>
      <w:r/>
    </w:p>
    <w:p>
      <w:pPr>
        <w:jc w:val="center"/>
        <w:spacing w:before="120" w:after="120"/>
        <w:widowControl/>
        <w:rPr>
          <w:rFonts w:hint="eastAsia" w:ascii="宋体" w:hAnsi="宋体" w:cs="黑体"/>
          <w:b/>
          <w:bCs/>
          <w:color w:val="000000" w:themeColor="text1"/>
          <w:sz w:val="28"/>
          <w:szCs w:val="28"/>
          <w:highlight w:val="none"/>
          <w14:textFill>
            <w14:solidFill>
              <w14:schemeClr w14:val="tx1"/>
            </w14:solidFill>
          </w14:textFill>
        </w:rPr>
      </w:pPr>
      <w:r/>
      <w:bookmarkStart w:id="370" w:name="_Toc35244896"/>
      <w:r/>
      <w:bookmarkStart w:id="371" w:name="_Toc40430384"/>
      <w:r>
        <w:rPr>
          <w:rFonts w:hint="eastAsia" w:ascii="宋体" w:hAnsi="宋体" w:cs="黑体"/>
          <w:b/>
          <w:bCs/>
          <w:color w:val="000000" w:themeColor="text1"/>
          <w:sz w:val="28"/>
          <w:szCs w:val="28"/>
          <w:highlight w:val="none"/>
          <w14:textFill>
            <w14:solidFill>
              <w14:schemeClr w14:val="tx1"/>
            </w14:solidFill>
          </w14:textFill>
        </w:rPr>
        <w:t xml:space="preserve">监狱企业的证明文件</w:t>
      </w:r>
      <w:bookmarkEnd w:id="370"/>
      <w:r/>
      <w:bookmarkEnd w:id="371"/>
      <w:r/>
      <w:r/>
    </w:p>
    <w:p>
      <w:pPr>
        <w:rPr>
          <w:rFonts w:ascii="Times New Roman" w:hAnsi="Times New Roman"/>
          <w:color w:val="000000" w:themeColor="text1"/>
          <w:szCs w:val="20"/>
          <w:highlight w:val="none"/>
          <w14:textFill>
            <w14:solidFill>
              <w14:schemeClr w14:val="tx1"/>
            </w14:solidFill>
          </w14:textFill>
        </w:rPr>
      </w:pPr>
      <w:r>
        <w:rPr>
          <w:rFonts w:ascii="Times New Roman" w:hAnsi="Times New Roman"/>
          <w:color w:val="000000" w:themeColor="text1"/>
          <w:szCs w:val="20"/>
          <w:highlight w:val="none"/>
          <w14:textFill>
            <w14:solidFill>
              <w14:schemeClr w14:val="tx1"/>
            </w14:solidFill>
          </w14:textFill>
        </w:rPr>
      </w:r>
      <w:r/>
    </w:p>
    <w:p>
      <w:pPr>
        <w:rPr>
          <w:rFonts w:hint="eastAsia" w:ascii="等线" w:hAnsi="等线" w:eastAsia="等线"/>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（证明文件）</w:t>
      </w:r>
      <w:r/>
    </w:p>
    <w:p>
      <w:pPr>
        <w:jc w:val="left"/>
        <w:spacing w:line="360" w:lineRule="auto"/>
        <w:rPr>
          <w:rFonts w:hint="eastAsia" w:ascii="等线" w:hAnsi="等线" w:eastAsia="等线"/>
          <w:color w:val="000000" w:themeColor="text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r>
      <w:r/>
    </w:p>
    <w:p>
      <w:pPr>
        <w:jc w:val="left"/>
        <w:spacing w:line="360" w:lineRule="auto"/>
        <w:rPr>
          <w:rFonts w:hint="eastAsia" w:ascii="等线" w:hAnsi="等线" w:eastAsia="等线"/>
          <w:color w:val="000000" w:themeColor="text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r>
      <w:r/>
    </w:p>
    <w:p>
      <w:pPr>
        <w:jc w:val="left"/>
        <w:spacing w:line="360" w:lineRule="auto"/>
        <w:rPr>
          <w:rFonts w:hint="eastAsia" w:ascii="等线" w:hAnsi="等线" w:eastAsia="等线"/>
          <w:color w:val="000000" w:themeColor="text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r>
      <w:r/>
    </w:p>
    <w:p>
      <w:pPr>
        <w:jc w:val="left"/>
        <w:spacing w:line="360" w:lineRule="auto"/>
        <w:rPr>
          <w:rFonts w:hint="eastAsia" w:ascii="等线" w:hAnsi="等线" w:eastAsia="等线"/>
          <w:color w:val="000000" w:themeColor="text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r>
      <w:r/>
    </w:p>
    <w:p>
      <w:pPr>
        <w:jc w:val="left"/>
        <w:spacing w:line="360" w:lineRule="auto"/>
        <w:rPr>
          <w:rFonts w:hint="eastAsia" w:ascii="等线" w:hAnsi="等线" w:eastAsia="等线"/>
          <w:color w:val="000000" w:themeColor="text1"/>
          <w:highlight w:val="none"/>
          <w14:textFill>
            <w14:solidFill>
              <w14:schemeClr w14:val="tx1"/>
            </w14:solidFill>
          </w14:textFill>
        </w:rPr>
      </w:pPr>
      <w:r>
        <w:rPr>
          <w:rFonts w:hint="eastAsia" w:ascii="等线" w:hAnsi="等线" w:eastAsia="等线"/>
          <w:color w:val="000000" w:themeColor="text1"/>
          <w:highlight w:val="none"/>
          <w14:textFill>
            <w14:solidFill>
              <w14:schemeClr w14:val="tx1"/>
            </w14:solidFill>
          </w14:textFill>
        </w:rPr>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81"/>
        <w:ind w:firstLine="482"/>
        <w:spacing w:line="360" w:lineRule="auto"/>
        <w:rPr>
          <w:rFonts w:hint="eastAsia" w:ascii="宋体" w:hAnsi="宋体" w:cs="宋体"/>
          <w:color w:val="000000" w:themeColor="text1"/>
          <w:sz w:val="24"/>
          <w:szCs w:val="24"/>
          <w:highlight w:val="none"/>
          <w14:textFill>
            <w14:solidFill>
              <w14:schemeClr w14:val="tx1"/>
            </w14:solidFill>
          </w14:textFill>
        </w:rPr>
        <w:outlineLvl w:val="9"/>
      </w:pPr>
      <w:r/>
      <w:bookmarkStart w:id="372" w:name="_Toc6161"/>
      <w:r/>
      <w:bookmarkStart w:id="373" w:name="_Toc5414"/>
      <w:r/>
      <w:bookmarkStart w:id="374" w:name="_Toc26508"/>
      <w:r/>
      <w:bookmarkStart w:id="375" w:name="_Toc8547"/>
      <w:r>
        <w:rPr>
          <w:rFonts w:hint="eastAsia" w:ascii="宋体" w:hAnsi="宋体" w:cs="宋体"/>
          <w:color w:val="000000" w:themeColor="text1"/>
          <w:sz w:val="24"/>
          <w:szCs w:val="24"/>
          <w:highlight w:val="none"/>
          <w14:textFill>
            <w14:solidFill>
              <w14:schemeClr w14:val="tx1"/>
            </w14:solidFill>
          </w14:textFill>
        </w:rPr>
        <w:t xml:space="preserve">2、若供应商对照《关于政府采购支持监狱企业发展有关问题的通知》（财库〔2014〕68号）中的规定，明确不符合监狱企业条件的，则无需提供相关证明文件。</w:t>
      </w:r>
      <w:bookmarkEnd w:id="372"/>
      <w:r/>
      <w:bookmarkEnd w:id="373"/>
      <w:r/>
      <w:bookmarkEnd w:id="374"/>
      <w:r/>
      <w:bookmarkEnd w:id="375"/>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sectPr>
          <w:footnotePr/>
          <w:endnotePr/>
          <w:type w:val="nextPage"/>
          <w:pgSz w:w="11906" w:h="16838" w:orient="portrait"/>
          <w:pgMar w:top="1418" w:right="1418" w:bottom="1418" w:left="1418" w:header="851" w:footer="850" w:gutter="0"/>
          <w:cols w:num="1" w:sep="0" w:space="1701" w:equalWidth="1"/>
          <w:docGrid w:linePitch="360"/>
          <w:titlePg/>
        </w:sectPr>
      </w:pPr>
      <w:r>
        <w:rPr>
          <w:color w:val="000000" w:themeColor="text1"/>
          <w:highlight w:val="none"/>
          <w14:textFill>
            <w14:solidFill>
              <w14:schemeClr w14:val="tx1"/>
            </w14:solidFill>
          </w14:textFill>
        </w:rPr>
      </w:r>
      <w:r/>
    </w:p>
    <w:p>
      <w:pPr>
        <w:pStyle w:val="981"/>
        <w:numPr>
          <w:ilvl w:val="0"/>
          <w:numId w:val="0"/>
        </w:numPr>
        <w:rPr>
          <w:rFonts w:hint="eastAsia"/>
          <w:color w:val="000000" w:themeColor="text1"/>
          <w:highlight w:val="none"/>
          <w14:textFill>
            <w14:solidFill>
              <w14:schemeClr w14:val="tx1"/>
            </w14:solidFill>
          </w14:textFill>
        </w:rPr>
      </w:pPr>
      <w:r/>
      <w:bookmarkStart w:id="376" w:name="_Toc18571"/>
      <w:r>
        <w:rPr>
          <w:rFonts w:hint="eastAsia" w:ascii="Arial" w:hAnsi="Arial" w:eastAsia="宋体" w:cs="Times New Roman"/>
          <w:b/>
          <w:bCs/>
          <w:color w:val="000000" w:themeColor="text1"/>
          <w:sz w:val="28"/>
          <w:szCs w:val="44"/>
          <w:highlight w:val="none"/>
          <w:lang w:val="en-US" w:eastAsia="zh-CN" w:bidi="ar-SA"/>
          <w14:textFill>
            <w14:solidFill>
              <w14:schemeClr w14:val="tx1"/>
            </w14:solidFill>
          </w14:textFill>
        </w:rPr>
        <w:t xml:space="preserve">十四、</w:t>
      </w:r>
      <w:r>
        <w:rPr>
          <w:rFonts w:hint="eastAsia"/>
          <w:color w:val="000000" w:themeColor="text1"/>
          <w:highlight w:val="none"/>
          <w14:textFill>
            <w14:solidFill>
              <w14:schemeClr w14:val="tx1"/>
            </w14:solidFill>
          </w14:textFill>
        </w:rPr>
        <w:t xml:space="preserve">其他材料</w:t>
      </w:r>
      <w:bookmarkEnd w:id="376"/>
      <w:r/>
      <w:r/>
    </w:p>
    <w:p>
      <w:pPr>
        <w:spacing w:line="360" w:lineRule="auto"/>
        <w:rPr>
          <w:rFonts w:hint="default"/>
          <w:b/>
          <w:bCs/>
          <w:color w:val="000000" w:themeColor="text1"/>
          <w:sz w:val="24"/>
          <w:szCs w:val="24"/>
          <w:highlight w:val="none"/>
          <w:lang w:val="en-US" w:eastAsia="zh-CN"/>
          <w14:textFill>
            <w14:solidFill>
              <w14:schemeClr w14:val="tx1"/>
            </w14:solidFill>
          </w14:textFill>
        </w:rPr>
      </w:pPr>
      <w:r>
        <w:rPr>
          <w:rFonts w:hint="default"/>
          <w:b/>
          <w:bCs/>
          <w:color w:val="000000" w:themeColor="text1"/>
          <w:sz w:val="24"/>
          <w:szCs w:val="24"/>
          <w:highlight w:val="none"/>
          <w:lang w:val="en-US" w:eastAsia="zh-CN"/>
          <w14:textFill>
            <w14:solidFill>
              <w14:schemeClr w14:val="tx1"/>
            </w14:solidFill>
          </w14:textFill>
        </w:rPr>
      </w:r>
      <w:r/>
    </w:p>
    <w:sectPr>
      <w:footnotePr/>
      <w:endnotePr/>
      <w:type w:val="nextPage"/>
      <w:pgSz w:w="11906" w:h="16838" w:orient="portrait"/>
      <w:pgMar w:top="1418" w:right="1418" w:bottom="1418" w:left="1418"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Segoe UI">
    <w:panose1 w:val="020B0502040204020203"/>
  </w:font>
  <w:font w:name="Symbol">
    <w:panose1 w:val="05050102010706020507"/>
  </w:font>
  <w:font w:name="Wingdings">
    <w:panose1 w:val="05000000000000000000"/>
  </w:font>
  <w:font w:name="方正仿宋简体">
    <w:panose1 w:val="020B0503020202020204"/>
  </w:font>
  <w:font w:name="Courier New">
    <w:panose1 w:val="02070309020205020404"/>
  </w:font>
  <w:font w:name="等线">
    <w:panose1 w:val="02010600030101010101"/>
  </w:font>
  <w:font w:name="等线 Light">
    <w:panose1 w:val="02010600030101010101"/>
  </w:font>
  <w:font w:name="仿宋_GB2312">
    <w:panose1 w:val="020106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创艺简仿宋">
    <w:panose1 w:val="020B0503020202020204"/>
  </w:font>
  <w:font w:name="Arial Unicode MS">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rPr>
        <w:highlight w:val="white"/>
      </w:rPr>
      <w:instrText xml:space="preserve">PAGE  </w:instrText>
    </w:r>
    <w:r>
      <w:fldChar w:fldCharType="separate"/>
    </w:r>
    <w:r>
      <w:rPr>
        <w:highlight w:val="white"/>
      </w:rPr>
      <w:t xml:space="preserve">33</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framePr w:wrap="around" w:vAnchor="text" w:hAnchor="margin" w:xAlign="center" w:y="1"/>
    </w:pPr>
    <w:r>
      <w:fldChar w:fldCharType="begin"/>
    </w:r>
    <w:r>
      <w:rPr>
        <w:highlight w:val="white"/>
      </w:rPr>
      <w:instrText xml:space="preserve">PAGE  </w:instrText>
    </w:r>
    <w:r>
      <w:fldChar w:fldCharType="end"/>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42</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framePr w:wrap="around" w:vAnchor="text" w:hAnchor="margin" w:xAlign="right" w:y="1"/>
    </w:pPr>
    <w:r>
      <w:fldChar w:fldCharType="begin"/>
    </w:r>
    <w:r>
      <w:rPr>
        <w:color w:val="000000"/>
        <w:highlight w:val="white"/>
      </w:rPr>
      <w:instrText xml:space="preserve">PAGE  </w:instrText>
    </w:r>
    <w:r>
      <w:fldChar w:fldCharType="end"/>
    </w:r>
    <w:r/>
  </w:p>
  <w:p>
    <w:pPr>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41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72</w:t>
    </w:r>
    <w:r>
      <w:fldChar w:fldCharType="end"/>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55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85"/>
      <w:isLgl w:val="false"/>
      <w:suff w:val="nothing"/>
      <w:lvlText w:val=""/>
      <w:lvlJc w:val="left"/>
      <w:pPr>
        <w:ind w:left="0" w:firstLine="0"/>
        <w:tabs>
          <w:tab w:val="left" w:pos="0" w:leader="none"/>
        </w:tabs>
      </w:pPr>
    </w:lvl>
    <w:lvl w:ilvl="6">
      <w:start w:val="1"/>
      <w:numFmt w:val="decimal"/>
      <w:pStyle w:val="986"/>
      <w:isLgl w:val="false"/>
      <w:suff w:val="nothing"/>
      <w:lvlText w:val=""/>
      <w:lvlJc w:val="left"/>
      <w:pPr>
        <w:ind w:left="0" w:firstLine="0"/>
        <w:tabs>
          <w:tab w:val="left" w:pos="0" w:leader="none"/>
        </w:tabs>
      </w:pPr>
    </w:lvl>
    <w:lvl w:ilvl="7">
      <w:start w:val="1"/>
      <w:numFmt w:val="decimal"/>
      <w:pStyle w:val="987"/>
      <w:isLgl w:val="false"/>
      <w:suff w:val="nothing"/>
      <w:lvlText w:val=""/>
      <w:lvlJc w:val="left"/>
      <w:pPr>
        <w:ind w:left="0" w:firstLine="0"/>
        <w:tabs>
          <w:tab w:val="left" w:pos="0" w:leader="none"/>
        </w:tabs>
      </w:pPr>
    </w:lvl>
    <w:lvl w:ilvl="8">
      <w:start w:val="1"/>
      <w:numFmt w:val="decimal"/>
      <w:pStyle w:val="988"/>
      <w:isLgl w:val="false"/>
      <w:suff w:val="nothing"/>
      <w:lvlText w:val=""/>
      <w:lvlJc w:val="left"/>
      <w:pPr>
        <w:ind w:left="0" w:firstLine="0"/>
        <w:tabs>
          <w:tab w:val="left" w:pos="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801"/>
    <w:link w:val="792"/>
    <w:uiPriority w:val="9"/>
    <w:rPr>
      <w:rFonts w:ascii="Arial" w:hAnsi="Arial" w:eastAsia="Arial" w:cs="Arial"/>
      <w:sz w:val="40"/>
      <w:szCs w:val="40"/>
    </w:rPr>
  </w:style>
  <w:style w:type="character" w:styleId="755">
    <w:name w:val="Heading 2 Char"/>
    <w:basedOn w:val="801"/>
    <w:link w:val="793"/>
    <w:uiPriority w:val="9"/>
    <w:rPr>
      <w:rFonts w:ascii="Arial" w:hAnsi="Arial" w:eastAsia="Arial" w:cs="Arial"/>
      <w:sz w:val="34"/>
    </w:rPr>
  </w:style>
  <w:style w:type="character" w:styleId="756">
    <w:name w:val="Heading 3 Char"/>
    <w:basedOn w:val="801"/>
    <w:link w:val="794"/>
    <w:uiPriority w:val="9"/>
    <w:rPr>
      <w:rFonts w:ascii="Arial" w:hAnsi="Arial" w:eastAsia="Arial" w:cs="Arial"/>
      <w:sz w:val="30"/>
      <w:szCs w:val="30"/>
    </w:rPr>
  </w:style>
  <w:style w:type="character" w:styleId="757">
    <w:name w:val="Heading 4 Char"/>
    <w:basedOn w:val="801"/>
    <w:link w:val="795"/>
    <w:uiPriority w:val="9"/>
    <w:rPr>
      <w:rFonts w:ascii="Arial" w:hAnsi="Arial" w:eastAsia="Arial" w:cs="Arial"/>
      <w:b/>
      <w:bCs/>
      <w:sz w:val="26"/>
      <w:szCs w:val="26"/>
    </w:rPr>
  </w:style>
  <w:style w:type="character" w:styleId="758">
    <w:name w:val="Heading 5 Char"/>
    <w:basedOn w:val="801"/>
    <w:link w:val="796"/>
    <w:uiPriority w:val="9"/>
    <w:rPr>
      <w:rFonts w:ascii="Arial" w:hAnsi="Arial" w:eastAsia="Arial" w:cs="Arial"/>
      <w:b/>
      <w:bCs/>
      <w:sz w:val="24"/>
      <w:szCs w:val="24"/>
    </w:rPr>
  </w:style>
  <w:style w:type="character" w:styleId="759">
    <w:name w:val="Heading 6 Char"/>
    <w:basedOn w:val="801"/>
    <w:link w:val="797"/>
    <w:uiPriority w:val="9"/>
    <w:rPr>
      <w:rFonts w:ascii="Arial" w:hAnsi="Arial" w:eastAsia="Arial" w:cs="Arial"/>
      <w:b/>
      <w:bCs/>
      <w:sz w:val="22"/>
      <w:szCs w:val="22"/>
    </w:rPr>
  </w:style>
  <w:style w:type="character" w:styleId="760">
    <w:name w:val="Heading 7 Char"/>
    <w:basedOn w:val="801"/>
    <w:link w:val="798"/>
    <w:uiPriority w:val="9"/>
    <w:rPr>
      <w:rFonts w:ascii="Arial" w:hAnsi="Arial" w:eastAsia="Arial" w:cs="Arial"/>
      <w:b/>
      <w:bCs/>
      <w:i/>
      <w:iCs/>
      <w:sz w:val="22"/>
      <w:szCs w:val="22"/>
    </w:rPr>
  </w:style>
  <w:style w:type="character" w:styleId="761">
    <w:name w:val="Heading 8 Char"/>
    <w:basedOn w:val="801"/>
    <w:link w:val="799"/>
    <w:uiPriority w:val="9"/>
    <w:rPr>
      <w:rFonts w:ascii="Arial" w:hAnsi="Arial" w:eastAsia="Arial" w:cs="Arial"/>
      <w:i/>
      <w:iCs/>
      <w:sz w:val="22"/>
      <w:szCs w:val="22"/>
    </w:rPr>
  </w:style>
  <w:style w:type="character" w:styleId="762">
    <w:name w:val="Heading 9 Char"/>
    <w:basedOn w:val="801"/>
    <w:link w:val="800"/>
    <w:uiPriority w:val="9"/>
    <w:rPr>
      <w:rFonts w:ascii="Arial" w:hAnsi="Arial" w:eastAsia="Arial" w:cs="Arial"/>
      <w:i/>
      <w:iCs/>
      <w:sz w:val="21"/>
      <w:szCs w:val="21"/>
    </w:rPr>
  </w:style>
  <w:style w:type="character" w:styleId="763">
    <w:name w:val="Title Char"/>
    <w:basedOn w:val="801"/>
    <w:link w:val="823"/>
    <w:uiPriority w:val="10"/>
    <w:rPr>
      <w:sz w:val="48"/>
      <w:szCs w:val="48"/>
    </w:rPr>
  </w:style>
  <w:style w:type="character" w:styleId="764">
    <w:name w:val="Subtitle Char"/>
    <w:basedOn w:val="801"/>
    <w:link w:val="817"/>
    <w:uiPriority w:val="11"/>
    <w:rPr>
      <w:sz w:val="24"/>
      <w:szCs w:val="24"/>
    </w:rPr>
  </w:style>
  <w:style w:type="character" w:styleId="765">
    <w:name w:val="Quote Char"/>
    <w:link w:val="845"/>
    <w:uiPriority w:val="29"/>
    <w:rPr>
      <w:i/>
    </w:rPr>
  </w:style>
  <w:style w:type="character" w:styleId="766">
    <w:name w:val="Intense Quote Char"/>
    <w:link w:val="847"/>
    <w:uiPriority w:val="30"/>
    <w:rPr>
      <w:i/>
    </w:rPr>
  </w:style>
  <w:style w:type="character" w:styleId="767">
    <w:name w:val="Header Char"/>
    <w:basedOn w:val="801"/>
    <w:link w:val="814"/>
    <w:uiPriority w:val="99"/>
  </w:style>
  <w:style w:type="character" w:styleId="768">
    <w:name w:val="Caption Char"/>
    <w:basedOn w:val="805"/>
    <w:link w:val="813"/>
    <w:uiPriority w:val="99"/>
  </w:style>
  <w:style w:type="table" w:styleId="769">
    <w:name w:val="Plain Table 1"/>
    <w:basedOn w:val="80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basedOn w:val="80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basedOn w:val="80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basedOn w:val="80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2"/>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6">
    <w:name w:val="Grid Table 3"/>
    <w:basedOn w:val="80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80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name w:val="Grid Table 5 Dark"/>
    <w:basedOn w:val="80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9">
    <w:name w:val="Grid Table 6 Colorful"/>
    <w:basedOn w:val="80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7 Colorful"/>
    <w:basedOn w:val="80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List Table 1 Light"/>
    <w:basedOn w:val="80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2"/>
    <w:basedOn w:val="80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3">
    <w:name w:val="List Table 3"/>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w:basedOn w:val="80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5 Dark"/>
    <w:basedOn w:val="80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0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7 Colorful"/>
    <w:basedOn w:val="80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8">
    <w:name w:val="Footnote Text Char"/>
    <w:link w:val="818"/>
    <w:uiPriority w:val="99"/>
    <w:rPr>
      <w:sz w:val="18"/>
    </w:rPr>
  </w:style>
  <w:style w:type="character" w:styleId="789">
    <w:name w:val="Endnote Text Char"/>
    <w:link w:val="812"/>
    <w:uiPriority w:val="99"/>
    <w:rPr>
      <w:sz w:val="20"/>
    </w:rPr>
  </w:style>
  <w:style w:type="paragraph" w:styleId="790">
    <w:name w:val="TOC Heading"/>
    <w:uiPriority w:val="39"/>
    <w:unhideWhenUsed/>
  </w:style>
  <w:style w:type="paragraph" w:styleId="791" w:default="1">
    <w:name w:val="Normal"/>
    <w:next w:val="803"/>
    <w:uiPriority w:val="0"/>
    <w:qFormat/>
    <w:pPr>
      <w:jc w:val="both"/>
      <w:widowControl w:val="off"/>
    </w:pPr>
    <w:rPr>
      <w:rFonts w:ascii="Calibri" w:hAnsi="Calibri" w:eastAsia="宋体" w:cs="Times New Roman"/>
      <w:sz w:val="21"/>
      <w:szCs w:val="22"/>
      <w:lang w:val="en-US" w:eastAsia="zh-CN" w:bidi="ar-SA"/>
    </w:rPr>
  </w:style>
  <w:style w:type="paragraph" w:styleId="792">
    <w:name w:val="Heading 1"/>
    <w:basedOn w:val="791"/>
    <w:next w:val="791"/>
    <w:link w:val="832"/>
    <w:uiPriority w:val="9"/>
    <w:qFormat/>
    <w:pPr>
      <w:keepLines/>
      <w:keepNext/>
      <w:spacing w:before="480" w:after="200"/>
      <w:outlineLvl w:val="0"/>
    </w:pPr>
    <w:rPr>
      <w:rFonts w:ascii="Arial" w:hAnsi="Arial" w:eastAsia="Arial" w:cs="Arial"/>
      <w:sz w:val="40"/>
      <w:szCs w:val="40"/>
    </w:rPr>
  </w:style>
  <w:style w:type="paragraph" w:styleId="793">
    <w:name w:val="Heading 2"/>
    <w:basedOn w:val="791"/>
    <w:next w:val="791"/>
    <w:link w:val="833"/>
    <w:uiPriority w:val="9"/>
    <w:unhideWhenUsed/>
    <w:qFormat/>
    <w:pPr>
      <w:keepLines/>
      <w:keepNext/>
      <w:spacing w:before="360" w:after="200"/>
      <w:outlineLvl w:val="1"/>
    </w:pPr>
    <w:rPr>
      <w:rFonts w:ascii="Arial" w:hAnsi="Arial" w:eastAsia="Arial" w:cs="Arial"/>
      <w:sz w:val="34"/>
    </w:rPr>
  </w:style>
  <w:style w:type="paragraph" w:styleId="794">
    <w:name w:val="Heading 3"/>
    <w:basedOn w:val="791"/>
    <w:next w:val="791"/>
    <w:link w:val="834"/>
    <w:uiPriority w:val="9"/>
    <w:unhideWhenUsed/>
    <w:qFormat/>
    <w:pPr>
      <w:keepLines/>
      <w:keepNext/>
      <w:spacing w:before="320" w:after="200"/>
      <w:outlineLvl w:val="2"/>
    </w:pPr>
    <w:rPr>
      <w:rFonts w:ascii="Arial" w:hAnsi="Arial" w:eastAsia="Arial" w:cs="Arial"/>
      <w:sz w:val="30"/>
      <w:szCs w:val="30"/>
    </w:rPr>
  </w:style>
  <w:style w:type="paragraph" w:styleId="795">
    <w:name w:val="Heading 4"/>
    <w:basedOn w:val="791"/>
    <w:next w:val="791"/>
    <w:link w:val="835"/>
    <w:uiPriority w:val="9"/>
    <w:unhideWhenUsed/>
    <w:qFormat/>
    <w:pPr>
      <w:keepLines/>
      <w:keepNext/>
      <w:spacing w:before="320" w:after="200"/>
      <w:outlineLvl w:val="3"/>
    </w:pPr>
    <w:rPr>
      <w:rFonts w:ascii="Arial" w:hAnsi="Arial" w:eastAsia="Arial" w:cs="Arial"/>
      <w:b/>
      <w:bCs/>
      <w:sz w:val="26"/>
      <w:szCs w:val="26"/>
    </w:rPr>
  </w:style>
  <w:style w:type="paragraph" w:styleId="796">
    <w:name w:val="Heading 5"/>
    <w:basedOn w:val="791"/>
    <w:next w:val="791"/>
    <w:link w:val="836"/>
    <w:uiPriority w:val="9"/>
    <w:unhideWhenUsed/>
    <w:qFormat/>
    <w:pPr>
      <w:keepLines/>
      <w:keepNext/>
      <w:spacing w:before="320" w:after="200"/>
      <w:outlineLvl w:val="4"/>
    </w:pPr>
    <w:rPr>
      <w:rFonts w:ascii="Arial" w:hAnsi="Arial" w:eastAsia="Arial" w:cs="Arial"/>
      <w:b/>
      <w:bCs/>
      <w:sz w:val="24"/>
      <w:szCs w:val="24"/>
    </w:rPr>
  </w:style>
  <w:style w:type="paragraph" w:styleId="797">
    <w:name w:val="Heading 6"/>
    <w:basedOn w:val="791"/>
    <w:next w:val="791"/>
    <w:link w:val="837"/>
    <w:uiPriority w:val="9"/>
    <w:unhideWhenUsed/>
    <w:qFormat/>
    <w:pPr>
      <w:keepLines/>
      <w:keepNext/>
      <w:spacing w:before="320" w:after="200"/>
      <w:outlineLvl w:val="5"/>
    </w:pPr>
    <w:rPr>
      <w:rFonts w:ascii="Arial" w:hAnsi="Arial" w:eastAsia="Arial" w:cs="Arial"/>
      <w:b/>
      <w:bCs/>
      <w:sz w:val="22"/>
    </w:rPr>
  </w:style>
  <w:style w:type="paragraph" w:styleId="798">
    <w:name w:val="Heading 7"/>
    <w:basedOn w:val="791"/>
    <w:next w:val="791"/>
    <w:link w:val="838"/>
    <w:uiPriority w:val="9"/>
    <w:unhideWhenUsed/>
    <w:qFormat/>
    <w:pPr>
      <w:keepLines/>
      <w:keepNext/>
      <w:spacing w:before="320" w:after="200"/>
      <w:outlineLvl w:val="6"/>
    </w:pPr>
    <w:rPr>
      <w:rFonts w:ascii="Arial" w:hAnsi="Arial" w:eastAsia="Arial" w:cs="Arial"/>
      <w:b/>
      <w:bCs/>
      <w:i/>
      <w:iCs/>
      <w:sz w:val="22"/>
    </w:rPr>
  </w:style>
  <w:style w:type="paragraph" w:styleId="799">
    <w:name w:val="Heading 8"/>
    <w:basedOn w:val="791"/>
    <w:next w:val="791"/>
    <w:link w:val="839"/>
    <w:uiPriority w:val="9"/>
    <w:unhideWhenUsed/>
    <w:qFormat/>
    <w:pPr>
      <w:keepLines/>
      <w:keepNext/>
      <w:spacing w:before="320" w:after="200"/>
      <w:outlineLvl w:val="7"/>
    </w:pPr>
    <w:rPr>
      <w:rFonts w:ascii="Arial" w:hAnsi="Arial" w:eastAsia="Arial" w:cs="Arial"/>
      <w:i/>
      <w:iCs/>
      <w:sz w:val="22"/>
    </w:rPr>
  </w:style>
  <w:style w:type="paragraph" w:styleId="800">
    <w:name w:val="Heading 9"/>
    <w:basedOn w:val="791"/>
    <w:next w:val="791"/>
    <w:link w:val="840"/>
    <w:uiPriority w:val="9"/>
    <w:unhideWhenUsed/>
    <w:qFormat/>
    <w:pPr>
      <w:keepLines/>
      <w:keepNext/>
      <w:spacing w:before="320" w:after="200"/>
      <w:outlineLvl w:val="8"/>
    </w:pPr>
    <w:rPr>
      <w:rFonts w:ascii="Arial" w:hAnsi="Arial" w:eastAsia="Arial" w:cs="Arial"/>
      <w:i/>
      <w:iCs/>
      <w:szCs w:val="21"/>
    </w:rPr>
  </w:style>
  <w:style w:type="character" w:styleId="801" w:default="1">
    <w:name w:val="Default Paragraph Font"/>
    <w:uiPriority w:val="1"/>
    <w:semiHidden/>
    <w:unhideWhenUsed/>
    <w:qFormat/>
  </w:style>
  <w:style w:type="table" w:styleId="802" w:default="1">
    <w:name w:val="Normal Table"/>
    <w:uiPriority w:val="99"/>
    <w:semiHidden/>
    <w:unhideWhenUsed/>
    <w:qFormat/>
    <w:tblPr>
      <w:tblCellMar>
        <w:left w:w="108" w:type="dxa"/>
        <w:top w:w="0" w:type="dxa"/>
        <w:right w:w="108" w:type="dxa"/>
        <w:bottom w:w="0" w:type="dxa"/>
      </w:tblCellMar>
    </w:tblPr>
  </w:style>
  <w:style w:type="paragraph" w:styleId="803" w:customStyle="1">
    <w:name w:val="正文文本首行缩进 21"/>
    <w:uiPriority w:val="0"/>
    <w:qFormat/>
    <w:pPr>
      <w:ind w:firstLine="420"/>
      <w:jc w:val="both"/>
      <w:spacing w:after="160" w:line="278" w:lineRule="auto"/>
      <w:widowControl w:val="off"/>
    </w:pPr>
    <w:rPr>
      <w:rFonts w:hint="default" w:ascii="楷体_GB2312" w:hAnsi="Times New Roman" w:eastAsia="楷体_GB2312" w:cs="宋体"/>
      <w:sz w:val="32"/>
      <w:szCs w:val="32"/>
      <w:lang w:val="en-US" w:eastAsia="zh-CN" w:bidi="ar-SA"/>
    </w:rPr>
  </w:style>
  <w:style w:type="paragraph" w:styleId="804">
    <w:name w:val="toc 7"/>
    <w:basedOn w:val="791"/>
    <w:next w:val="791"/>
    <w:uiPriority w:val="39"/>
    <w:unhideWhenUsed/>
    <w:qFormat/>
    <w:pPr>
      <w:ind w:left="1701"/>
      <w:spacing w:after="57"/>
    </w:pPr>
  </w:style>
  <w:style w:type="paragraph" w:styleId="805">
    <w:name w:val="Caption"/>
    <w:basedOn w:val="791"/>
    <w:next w:val="79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6">
    <w:name w:val="annotation text"/>
    <w:basedOn w:val="791"/>
    <w:link w:val="1069"/>
    <w:uiPriority w:val="99"/>
    <w:unhideWhenUsed/>
    <w:qFormat/>
    <w:pPr>
      <w:jc w:val="left"/>
    </w:pPr>
  </w:style>
  <w:style w:type="paragraph" w:styleId="807">
    <w:name w:val="Body Text Indent"/>
    <w:next w:val="808"/>
    <w:uiPriority w:val="0"/>
    <w:qFormat/>
    <w:pPr>
      <w:ind w:firstLine="645"/>
      <w:jc w:val="both"/>
      <w:widowControl w:val="off"/>
    </w:pPr>
    <w:rPr>
      <w:rFonts w:hint="default" w:ascii="楷体_GB2312" w:hAnsi="宋体" w:eastAsia="楷体_GB2312" w:cs="宋体"/>
      <w:sz w:val="32"/>
      <w:szCs w:val="32"/>
      <w:lang w:val="en-US" w:eastAsia="zh-CN" w:bidi="ar-SA"/>
    </w:rPr>
  </w:style>
  <w:style w:type="paragraph" w:styleId="808">
    <w:name w:val="envelope return"/>
    <w:uiPriority w:val="99"/>
    <w:qFormat/>
    <w:pPr>
      <w:jc w:val="both"/>
      <w:widowControl w:val="off"/>
    </w:pPr>
    <w:rPr>
      <w:rFonts w:hint="default" w:ascii="Arial" w:hAnsi="Arial" w:eastAsia="宋体" w:cs="Times New Roman"/>
      <w:sz w:val="21"/>
      <w:szCs w:val="22"/>
      <w:lang w:val="en-US" w:eastAsia="zh-CN" w:bidi="ar-SA"/>
    </w:rPr>
  </w:style>
  <w:style w:type="paragraph" w:styleId="809">
    <w:name w:val="toc 5"/>
    <w:basedOn w:val="791"/>
    <w:next w:val="791"/>
    <w:uiPriority w:val="39"/>
    <w:unhideWhenUsed/>
    <w:qFormat/>
    <w:pPr>
      <w:ind w:left="1134"/>
      <w:spacing w:after="57"/>
    </w:pPr>
  </w:style>
  <w:style w:type="paragraph" w:styleId="810">
    <w:name w:val="toc 3"/>
    <w:basedOn w:val="791"/>
    <w:next w:val="791"/>
    <w:uiPriority w:val="39"/>
    <w:unhideWhenUsed/>
    <w:qFormat/>
    <w:pPr>
      <w:ind w:left="567"/>
      <w:spacing w:after="57"/>
    </w:pPr>
  </w:style>
  <w:style w:type="paragraph" w:styleId="811">
    <w:name w:val="toc 8"/>
    <w:basedOn w:val="791"/>
    <w:next w:val="791"/>
    <w:uiPriority w:val="39"/>
    <w:unhideWhenUsed/>
    <w:qFormat/>
    <w:pPr>
      <w:ind w:left="1984"/>
      <w:spacing w:after="57"/>
    </w:pPr>
  </w:style>
  <w:style w:type="paragraph" w:styleId="812">
    <w:name w:val="endnote text"/>
    <w:basedOn w:val="791"/>
    <w:link w:val="978"/>
    <w:uiPriority w:val="99"/>
    <w:semiHidden/>
    <w:unhideWhenUsed/>
    <w:qFormat/>
    <w:rPr>
      <w:sz w:val="20"/>
    </w:rPr>
  </w:style>
  <w:style w:type="paragraph" w:styleId="813">
    <w:name w:val="Footer"/>
    <w:basedOn w:val="791"/>
    <w:link w:val="851"/>
    <w:uiPriority w:val="99"/>
    <w:unhideWhenUsed/>
    <w:qFormat/>
    <w:pPr>
      <w:tabs>
        <w:tab w:val="center" w:pos="7143" w:leader="none"/>
        <w:tab w:val="right" w:pos="14287" w:leader="none"/>
      </w:tabs>
    </w:pPr>
  </w:style>
  <w:style w:type="paragraph" w:styleId="814">
    <w:name w:val="Header"/>
    <w:basedOn w:val="791"/>
    <w:link w:val="849"/>
    <w:uiPriority w:val="99"/>
    <w:unhideWhenUsed/>
    <w:qFormat/>
    <w:pPr>
      <w:tabs>
        <w:tab w:val="center" w:pos="7143" w:leader="none"/>
        <w:tab w:val="right" w:pos="14287" w:leader="none"/>
      </w:tabs>
    </w:pPr>
  </w:style>
  <w:style w:type="paragraph" w:styleId="815">
    <w:name w:val="toc 1"/>
    <w:basedOn w:val="791"/>
    <w:next w:val="791"/>
    <w:uiPriority w:val="39"/>
    <w:unhideWhenUsed/>
    <w:qFormat/>
    <w:pPr>
      <w:spacing w:after="57"/>
    </w:pPr>
  </w:style>
  <w:style w:type="paragraph" w:styleId="816">
    <w:name w:val="toc 4"/>
    <w:basedOn w:val="791"/>
    <w:next w:val="791"/>
    <w:uiPriority w:val="39"/>
    <w:unhideWhenUsed/>
    <w:qFormat/>
    <w:pPr>
      <w:ind w:left="850"/>
      <w:spacing w:after="57"/>
    </w:pPr>
  </w:style>
  <w:style w:type="paragraph" w:styleId="817">
    <w:name w:val="Subtitle"/>
    <w:basedOn w:val="791"/>
    <w:next w:val="791"/>
    <w:link w:val="844"/>
    <w:uiPriority w:val="11"/>
    <w:qFormat/>
    <w:pPr>
      <w:spacing w:before="200" w:after="200"/>
    </w:pPr>
    <w:rPr>
      <w:sz w:val="24"/>
      <w:szCs w:val="24"/>
    </w:rPr>
  </w:style>
  <w:style w:type="paragraph" w:styleId="818">
    <w:name w:val="footnote text"/>
    <w:basedOn w:val="791"/>
    <w:link w:val="977"/>
    <w:uiPriority w:val="99"/>
    <w:semiHidden/>
    <w:unhideWhenUsed/>
    <w:qFormat/>
    <w:pPr>
      <w:spacing w:after="40"/>
    </w:pPr>
    <w:rPr>
      <w:sz w:val="18"/>
    </w:rPr>
  </w:style>
  <w:style w:type="paragraph" w:styleId="819">
    <w:name w:val="toc 6"/>
    <w:basedOn w:val="791"/>
    <w:next w:val="791"/>
    <w:uiPriority w:val="39"/>
    <w:unhideWhenUsed/>
    <w:qFormat/>
    <w:pPr>
      <w:ind w:left="1417"/>
      <w:spacing w:after="57"/>
    </w:pPr>
  </w:style>
  <w:style w:type="paragraph" w:styleId="820">
    <w:name w:val="table of figures"/>
    <w:basedOn w:val="791"/>
    <w:next w:val="791"/>
    <w:uiPriority w:val="99"/>
    <w:unhideWhenUsed/>
    <w:qFormat/>
  </w:style>
  <w:style w:type="paragraph" w:styleId="821">
    <w:name w:val="toc 2"/>
    <w:basedOn w:val="791"/>
    <w:next w:val="791"/>
    <w:uiPriority w:val="39"/>
    <w:unhideWhenUsed/>
    <w:qFormat/>
    <w:pPr>
      <w:ind w:left="283"/>
      <w:spacing w:after="57"/>
    </w:pPr>
  </w:style>
  <w:style w:type="paragraph" w:styleId="822">
    <w:name w:val="toc 9"/>
    <w:basedOn w:val="791"/>
    <w:next w:val="791"/>
    <w:uiPriority w:val="39"/>
    <w:unhideWhenUsed/>
    <w:qFormat/>
    <w:pPr>
      <w:ind w:left="2268"/>
      <w:spacing w:after="57"/>
    </w:pPr>
  </w:style>
  <w:style w:type="paragraph" w:styleId="823">
    <w:name w:val="Title"/>
    <w:basedOn w:val="791"/>
    <w:next w:val="791"/>
    <w:link w:val="843"/>
    <w:uiPriority w:val="10"/>
    <w:qFormat/>
    <w:pPr>
      <w:contextualSpacing/>
      <w:spacing w:before="300" w:after="200"/>
    </w:pPr>
    <w:rPr>
      <w:sz w:val="48"/>
      <w:szCs w:val="48"/>
    </w:rPr>
  </w:style>
  <w:style w:type="paragraph" w:styleId="824">
    <w:name w:val="annotation subject"/>
    <w:basedOn w:val="806"/>
    <w:next w:val="806"/>
    <w:link w:val="1070"/>
    <w:uiPriority w:val="99"/>
    <w:semiHidden/>
    <w:unhideWhenUsed/>
    <w:qFormat/>
    <w:rPr>
      <w:b/>
      <w:bCs/>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themeColor="hyperlink"/>
      <w:u w:val="single"/>
      <w14:textFill>
        <w14:solidFill>
          <w14:schemeClr w14:val="hlink"/>
        </w14:solidFill>
      </w14:textFill>
    </w:rPr>
  </w:style>
  <w:style w:type="character" w:styleId="828">
    <w:name w:val="annotation reference"/>
    <w:basedOn w:val="801"/>
    <w:uiPriority w:val="99"/>
    <w:semiHidden/>
    <w:unhideWhenUsed/>
    <w:qFormat/>
    <w:rPr>
      <w:sz w:val="21"/>
      <w:szCs w:val="21"/>
    </w:rPr>
  </w:style>
  <w:style w:type="character" w:styleId="829">
    <w:name w:val="footnote reference"/>
    <w:uiPriority w:val="99"/>
    <w:unhideWhenUsed/>
    <w:qFormat/>
    <w:rPr>
      <w:vertAlign w:val="superscript"/>
    </w:rPr>
  </w:style>
  <w:style w:type="paragraph" w:styleId="830" w:customStyle="1">
    <w:name w:val="段"/>
    <w:next w:val="791"/>
    <w:uiPriority w:val="0"/>
    <w:qFormat/>
    <w:pPr>
      <w:ind w:firstLine="200"/>
      <w:jc w:val="both"/>
    </w:pPr>
    <w:rPr>
      <w:rFonts w:ascii="宋体" w:hAnsi="Times New Roman" w:eastAsia="Times New Roman" w:cs="Times New Roman"/>
      <w:sz w:val="21"/>
      <w:szCs w:val="22"/>
      <w:lang w:val="en-US" w:eastAsia="zh-CN" w:bidi="ar-SA"/>
    </w:rPr>
  </w:style>
  <w:style w:type="paragraph" w:styleId="831" w:customStyle="1">
    <w:name w:val="文本块1"/>
    <w:basedOn w:val="791"/>
    <w:uiPriority w:val="0"/>
    <w:qFormat/>
    <w:pPr>
      <w:ind w:left="1440" w:right="700"/>
      <w:spacing w:after="120"/>
    </w:pPr>
    <w:rPr>
      <w:rFonts w:ascii="Times New Roman" w:hAnsi="Times New Roman"/>
    </w:rPr>
  </w:style>
  <w:style w:type="character" w:styleId="832" w:customStyle="1">
    <w:name w:val="标题 1 字符1"/>
    <w:link w:val="792"/>
    <w:uiPriority w:val="9"/>
    <w:qFormat/>
    <w:rPr>
      <w:rFonts w:ascii="Arial" w:hAnsi="Arial" w:eastAsia="Arial" w:cs="Arial"/>
      <w:sz w:val="40"/>
      <w:szCs w:val="40"/>
    </w:rPr>
  </w:style>
  <w:style w:type="character" w:styleId="833" w:customStyle="1">
    <w:name w:val="标题 2 字符1"/>
    <w:link w:val="793"/>
    <w:uiPriority w:val="9"/>
    <w:qFormat/>
    <w:rPr>
      <w:rFonts w:ascii="Arial" w:hAnsi="Arial" w:eastAsia="Arial" w:cs="Arial"/>
      <w:sz w:val="34"/>
    </w:rPr>
  </w:style>
  <w:style w:type="character" w:styleId="834" w:customStyle="1">
    <w:name w:val="标题 3 字符1"/>
    <w:link w:val="794"/>
    <w:uiPriority w:val="9"/>
    <w:qFormat/>
    <w:rPr>
      <w:rFonts w:ascii="Arial" w:hAnsi="Arial" w:eastAsia="Arial" w:cs="Arial"/>
      <w:sz w:val="30"/>
      <w:szCs w:val="30"/>
    </w:rPr>
  </w:style>
  <w:style w:type="character" w:styleId="835" w:customStyle="1">
    <w:name w:val="标题 4 字符1"/>
    <w:link w:val="795"/>
    <w:uiPriority w:val="9"/>
    <w:qFormat/>
    <w:rPr>
      <w:rFonts w:ascii="Arial" w:hAnsi="Arial" w:eastAsia="Arial" w:cs="Arial"/>
      <w:b/>
      <w:bCs/>
      <w:sz w:val="26"/>
      <w:szCs w:val="26"/>
    </w:rPr>
  </w:style>
  <w:style w:type="character" w:styleId="836" w:customStyle="1">
    <w:name w:val="标题 5 字符1"/>
    <w:link w:val="796"/>
    <w:uiPriority w:val="9"/>
    <w:qFormat/>
    <w:rPr>
      <w:rFonts w:ascii="Arial" w:hAnsi="Arial" w:eastAsia="Arial" w:cs="Arial"/>
      <w:b/>
      <w:bCs/>
      <w:sz w:val="24"/>
      <w:szCs w:val="24"/>
    </w:rPr>
  </w:style>
  <w:style w:type="character" w:styleId="837" w:customStyle="1">
    <w:name w:val="标题 6 字符1"/>
    <w:link w:val="797"/>
    <w:uiPriority w:val="9"/>
    <w:qFormat/>
    <w:rPr>
      <w:rFonts w:ascii="Arial" w:hAnsi="Arial" w:eastAsia="Arial" w:cs="Arial"/>
      <w:b/>
      <w:bCs/>
      <w:sz w:val="22"/>
      <w:szCs w:val="22"/>
    </w:rPr>
  </w:style>
  <w:style w:type="character" w:styleId="838" w:customStyle="1">
    <w:name w:val="标题 7 字符1"/>
    <w:link w:val="798"/>
    <w:uiPriority w:val="9"/>
    <w:qFormat/>
    <w:rPr>
      <w:rFonts w:ascii="Arial" w:hAnsi="Arial" w:eastAsia="Arial" w:cs="Arial"/>
      <w:b/>
      <w:bCs/>
      <w:i/>
      <w:iCs/>
      <w:sz w:val="22"/>
      <w:szCs w:val="22"/>
    </w:rPr>
  </w:style>
  <w:style w:type="character" w:styleId="839" w:customStyle="1">
    <w:name w:val="标题 8 字符1"/>
    <w:link w:val="799"/>
    <w:uiPriority w:val="9"/>
    <w:qFormat/>
    <w:rPr>
      <w:rFonts w:ascii="Arial" w:hAnsi="Arial" w:eastAsia="Arial" w:cs="Arial"/>
      <w:i/>
      <w:iCs/>
      <w:sz w:val="22"/>
      <w:szCs w:val="22"/>
    </w:rPr>
  </w:style>
  <w:style w:type="character" w:styleId="840" w:customStyle="1">
    <w:name w:val="标题 9 字符1"/>
    <w:link w:val="800"/>
    <w:uiPriority w:val="9"/>
    <w:qFormat/>
    <w:rPr>
      <w:rFonts w:ascii="Arial" w:hAnsi="Arial" w:eastAsia="Arial" w:cs="Arial"/>
      <w:i/>
      <w:iCs/>
      <w:sz w:val="21"/>
      <w:szCs w:val="21"/>
    </w:rPr>
  </w:style>
  <w:style w:type="paragraph" w:styleId="841">
    <w:name w:val="List Paragraph"/>
    <w:basedOn w:val="791"/>
    <w:uiPriority w:val="34"/>
    <w:qFormat/>
    <w:pPr>
      <w:contextualSpacing/>
      <w:ind w:left="720"/>
    </w:pPr>
  </w:style>
  <w:style w:type="paragraph" w:styleId="842">
    <w:name w:val="No Spacing"/>
    <w:uiPriority w:val="1"/>
    <w:qFormat/>
    <w:rPr>
      <w:rFonts w:ascii="Times New Roman" w:hAnsi="Times New Roman" w:eastAsia="宋体" w:cs="Times New Roman"/>
      <w:lang w:val="en-US" w:eastAsia="zh-CN" w:bidi="ar-SA"/>
    </w:rPr>
  </w:style>
  <w:style w:type="character" w:styleId="843" w:customStyle="1">
    <w:name w:val="标题 字符"/>
    <w:link w:val="823"/>
    <w:uiPriority w:val="10"/>
    <w:qFormat/>
    <w:rPr>
      <w:sz w:val="48"/>
      <w:szCs w:val="48"/>
    </w:rPr>
  </w:style>
  <w:style w:type="character" w:styleId="844" w:customStyle="1">
    <w:name w:val="副标题 字符"/>
    <w:link w:val="817"/>
    <w:uiPriority w:val="11"/>
    <w:qFormat/>
    <w:rPr>
      <w:sz w:val="24"/>
      <w:szCs w:val="24"/>
    </w:rPr>
  </w:style>
  <w:style w:type="paragraph" w:styleId="845">
    <w:name w:val="Quote"/>
    <w:basedOn w:val="791"/>
    <w:next w:val="791"/>
    <w:link w:val="846"/>
    <w:uiPriority w:val="29"/>
    <w:qFormat/>
    <w:pPr>
      <w:ind w:left="720" w:right="720"/>
    </w:pPr>
    <w:rPr>
      <w:i/>
    </w:rPr>
  </w:style>
  <w:style w:type="character" w:styleId="846" w:customStyle="1">
    <w:name w:val="引用 字符"/>
    <w:link w:val="845"/>
    <w:uiPriority w:val="29"/>
    <w:qFormat/>
    <w:rPr>
      <w:i/>
    </w:rPr>
  </w:style>
  <w:style w:type="paragraph" w:styleId="847">
    <w:name w:val="Intense Quote"/>
    <w:basedOn w:val="791"/>
    <w:next w:val="791"/>
    <w:link w:val="8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8" w:customStyle="1">
    <w:name w:val="明显引用 字符"/>
    <w:link w:val="847"/>
    <w:uiPriority w:val="30"/>
    <w:qFormat/>
    <w:rPr>
      <w:i/>
    </w:rPr>
  </w:style>
  <w:style w:type="character" w:styleId="849" w:customStyle="1">
    <w:name w:val="页眉 字符1"/>
    <w:link w:val="814"/>
    <w:uiPriority w:val="99"/>
    <w:qFormat/>
  </w:style>
  <w:style w:type="character" w:styleId="850" w:customStyle="1">
    <w:name w:val="Footer Char"/>
    <w:uiPriority w:val="99"/>
    <w:qFormat/>
  </w:style>
  <w:style w:type="character" w:styleId="851" w:customStyle="1">
    <w:name w:val="页脚 字符1"/>
    <w:link w:val="813"/>
    <w:uiPriority w:val="99"/>
    <w:qFormat/>
  </w:style>
  <w:style w:type="table" w:styleId="8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7" w:customStyle="1">
    <w:name w:val="脚注文本 字符"/>
    <w:link w:val="818"/>
    <w:uiPriority w:val="99"/>
    <w:qFormat/>
    <w:rPr>
      <w:sz w:val="18"/>
    </w:rPr>
  </w:style>
  <w:style w:type="character" w:styleId="978" w:customStyle="1">
    <w:name w:val="尾注文本 字符"/>
    <w:link w:val="812"/>
    <w:uiPriority w:val="99"/>
    <w:qFormat/>
    <w:rPr>
      <w:sz w:val="20"/>
    </w:rPr>
  </w:style>
  <w:style w:type="paragraph" w:styleId="979" w:customStyle="1">
    <w:name w:val="TOC 标题1"/>
    <w:uiPriority w:val="39"/>
    <w:unhideWhenUsed/>
    <w:qFormat/>
    <w:rPr>
      <w:rFonts w:ascii="Times New Roman" w:hAnsi="Times New Roman" w:eastAsia="宋体" w:cs="Times New Roman"/>
      <w:lang w:val="en-US" w:eastAsia="zh-CN" w:bidi="ar-SA"/>
    </w:rPr>
  </w:style>
  <w:style w:type="paragraph" w:styleId="980" w:customStyle="1">
    <w:name w:val="标题 11"/>
    <w:basedOn w:val="791"/>
    <w:next w:val="791"/>
    <w:link w:val="991"/>
    <w:uiPriority w:val="9"/>
    <w:qFormat/>
    <w:pPr>
      <w:jc w:val="center"/>
      <w:keepNext/>
      <w:spacing w:before="120" w:after="120"/>
      <w:outlineLvl w:val="0"/>
    </w:pPr>
    <w:rPr>
      <w:rFonts w:ascii="楷体_GB2312" w:hAnsi="宋体"/>
      <w:b/>
      <w:sz w:val="44"/>
      <w:szCs w:val="28"/>
    </w:rPr>
  </w:style>
  <w:style w:type="paragraph" w:styleId="981" w:customStyle="1">
    <w:name w:val="标题 21"/>
    <w:basedOn w:val="791"/>
    <w:link w:val="992"/>
    <w:uiPriority w:val="0"/>
    <w:qFormat/>
    <w:pPr>
      <w:jc w:val="left"/>
      <w:keepLines/>
      <w:keepNext/>
      <w:spacing w:before="120" w:after="120"/>
      <w:outlineLvl w:val="1"/>
    </w:pPr>
    <w:rPr>
      <w:rFonts w:ascii="Arial" w:hAnsi="Arial"/>
      <w:b/>
      <w:bCs/>
      <w:sz w:val="28"/>
      <w:szCs w:val="44"/>
    </w:rPr>
  </w:style>
  <w:style w:type="paragraph" w:styleId="982" w:customStyle="1">
    <w:name w:val="标题 311"/>
    <w:basedOn w:val="791"/>
    <w:next w:val="791"/>
    <w:link w:val="993"/>
    <w:uiPriority w:val="9"/>
    <w:qFormat/>
    <w:pPr>
      <w:keepLines/>
      <w:keepNext/>
      <w:spacing w:before="260" w:after="260" w:line="415" w:lineRule="auto"/>
      <w:outlineLvl w:val="2"/>
    </w:pPr>
    <w:rPr>
      <w:b/>
      <w:bCs/>
      <w:sz w:val="32"/>
      <w:szCs w:val="32"/>
    </w:rPr>
  </w:style>
  <w:style w:type="paragraph" w:styleId="983" w:customStyle="1">
    <w:name w:val="标题 41"/>
    <w:basedOn w:val="791"/>
    <w:link w:val="994"/>
    <w:uiPriority w:val="9"/>
    <w:qFormat/>
    <w:pPr>
      <w:keepLines/>
      <w:keepNext/>
      <w:spacing w:before="280" w:after="290" w:line="376" w:lineRule="auto"/>
      <w:outlineLvl w:val="3"/>
    </w:pPr>
    <w:rPr>
      <w:rFonts w:ascii="Arial" w:hAnsi="Arial" w:eastAsia="黑体"/>
      <w:b/>
      <w:bCs/>
      <w:sz w:val="28"/>
      <w:szCs w:val="28"/>
    </w:rPr>
  </w:style>
  <w:style w:type="paragraph" w:styleId="984" w:customStyle="1">
    <w:name w:val="标题 51"/>
    <w:basedOn w:val="791"/>
    <w:link w:val="995"/>
    <w:uiPriority w:val="0"/>
    <w:qFormat/>
    <w:pPr>
      <w:keepNext/>
      <w:outlineLvl w:val="4"/>
    </w:pPr>
    <w:rPr>
      <w:rFonts w:ascii="宋体" w:hAnsi="宋体"/>
      <w:color w:val="000000"/>
      <w:sz w:val="28"/>
      <w:szCs w:val="28"/>
    </w:rPr>
  </w:style>
  <w:style w:type="paragraph" w:styleId="985" w:customStyle="1">
    <w:name w:val="标题 61"/>
    <w:basedOn w:val="791"/>
    <w:next w:val="791"/>
    <w:link w:val="996"/>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86" w:customStyle="1">
    <w:name w:val="标题 71"/>
    <w:basedOn w:val="791"/>
    <w:next w:val="791"/>
    <w:link w:val="997"/>
    <w:uiPriority w:val="0"/>
    <w:qFormat/>
    <w:pPr>
      <w:numPr>
        <w:ilvl w:val="6"/>
        <w:numId w:val="1"/>
      </w:numPr>
      <w:keepLines/>
      <w:keepNext/>
      <w:spacing w:before="240" w:after="64" w:line="319" w:lineRule="auto"/>
      <w:outlineLvl w:val="6"/>
    </w:pPr>
    <w:rPr>
      <w:b/>
      <w:bCs/>
      <w:sz w:val="24"/>
    </w:rPr>
  </w:style>
  <w:style w:type="paragraph" w:styleId="987" w:customStyle="1">
    <w:name w:val="标题 81"/>
    <w:basedOn w:val="791"/>
    <w:next w:val="791"/>
    <w:link w:val="998"/>
    <w:uiPriority w:val="0"/>
    <w:qFormat/>
    <w:pPr>
      <w:numPr>
        <w:ilvl w:val="7"/>
        <w:numId w:val="1"/>
      </w:numPr>
      <w:keepLines/>
      <w:keepNext/>
      <w:spacing w:before="240" w:after="64" w:line="319" w:lineRule="auto"/>
      <w:outlineLvl w:val="7"/>
    </w:pPr>
    <w:rPr>
      <w:rFonts w:ascii="Arial" w:hAnsi="Arial" w:eastAsia="黑体"/>
      <w:sz w:val="24"/>
    </w:rPr>
  </w:style>
  <w:style w:type="paragraph" w:styleId="988" w:customStyle="1">
    <w:name w:val="标题 91"/>
    <w:basedOn w:val="791"/>
    <w:next w:val="791"/>
    <w:link w:val="999"/>
    <w:uiPriority w:val="0"/>
    <w:qFormat/>
    <w:pPr>
      <w:numPr>
        <w:ilvl w:val="8"/>
        <w:numId w:val="1"/>
      </w:numPr>
      <w:keepLines/>
      <w:keepNext/>
      <w:spacing w:before="240" w:after="64" w:line="319" w:lineRule="auto"/>
      <w:outlineLvl w:val="8"/>
    </w:pPr>
    <w:rPr>
      <w:rFonts w:ascii="Arial" w:hAnsi="Arial" w:eastAsia="黑体"/>
      <w:szCs w:val="21"/>
    </w:rPr>
  </w:style>
  <w:style w:type="character" w:styleId="989" w:customStyle="1">
    <w:name w:val="默认段落字体13"/>
    <w:uiPriority w:val="1"/>
    <w:unhideWhenUsed/>
    <w:qFormat/>
  </w:style>
  <w:style w:type="table" w:styleId="990" w:customStyle="1">
    <w:name w:val="普通表格1"/>
    <w:uiPriority w:val="99"/>
    <w:unhideWhenUsed/>
    <w:qFormat/>
    <w:tblPr>
      <w:tblCellMar>
        <w:left w:w="0" w:type="dxa"/>
        <w:top w:w="0" w:type="dxa"/>
        <w:right w:w="0" w:type="dxa"/>
        <w:bottom w:w="0" w:type="dxa"/>
      </w:tblCellMar>
    </w:tblPr>
  </w:style>
  <w:style w:type="character" w:styleId="991" w:customStyle="1">
    <w:name w:val="标题 1 字符"/>
    <w:link w:val="980"/>
    <w:uiPriority w:val="9"/>
    <w:qFormat/>
    <w:rPr>
      <w:rFonts w:ascii="楷体_GB2312" w:hAnsi="宋体"/>
      <w:b/>
      <w:sz w:val="44"/>
      <w:szCs w:val="28"/>
    </w:rPr>
  </w:style>
  <w:style w:type="character" w:styleId="992" w:customStyle="1">
    <w:name w:val="标题 2 字符"/>
    <w:link w:val="981"/>
    <w:uiPriority w:val="0"/>
    <w:qFormat/>
    <w:rPr>
      <w:rFonts w:ascii="Arial" w:hAnsi="Arial"/>
      <w:b/>
      <w:bCs/>
      <w:sz w:val="28"/>
      <w:szCs w:val="44"/>
    </w:rPr>
  </w:style>
  <w:style w:type="character" w:styleId="993" w:customStyle="1">
    <w:name w:val="标题 3 字符"/>
    <w:link w:val="982"/>
    <w:uiPriority w:val="9"/>
    <w:qFormat/>
    <w:rPr>
      <w:b/>
      <w:bCs/>
      <w:sz w:val="32"/>
      <w:szCs w:val="32"/>
    </w:rPr>
  </w:style>
  <w:style w:type="character" w:styleId="994" w:customStyle="1">
    <w:name w:val="标题 4 字符"/>
    <w:link w:val="983"/>
    <w:uiPriority w:val="9"/>
    <w:qFormat/>
    <w:rPr>
      <w:rFonts w:ascii="Arial" w:hAnsi="Arial" w:eastAsia="黑体" w:cs="Arial"/>
      <w:b/>
      <w:bCs/>
      <w:sz w:val="28"/>
      <w:szCs w:val="28"/>
    </w:rPr>
  </w:style>
  <w:style w:type="character" w:styleId="995" w:customStyle="1">
    <w:name w:val="标题 5 字符"/>
    <w:link w:val="984"/>
    <w:uiPriority w:val="0"/>
    <w:qFormat/>
    <w:rPr>
      <w:rFonts w:ascii="宋体" w:hAnsi="宋体" w:cs="宋体"/>
      <w:color w:val="000000"/>
      <w:sz w:val="28"/>
      <w:szCs w:val="28"/>
    </w:rPr>
  </w:style>
  <w:style w:type="character" w:styleId="996" w:customStyle="1">
    <w:name w:val="标题 6 字符"/>
    <w:link w:val="985"/>
    <w:uiPriority w:val="0"/>
    <w:qFormat/>
    <w:rPr>
      <w:rFonts w:ascii="Arial" w:hAnsi="Arial" w:eastAsia="黑体"/>
      <w:b/>
      <w:bCs/>
      <w:sz w:val="24"/>
      <w:szCs w:val="24"/>
    </w:rPr>
  </w:style>
  <w:style w:type="character" w:styleId="997" w:customStyle="1">
    <w:name w:val="标题 7 字符"/>
    <w:link w:val="986"/>
    <w:uiPriority w:val="0"/>
    <w:qFormat/>
    <w:rPr>
      <w:b/>
      <w:bCs/>
      <w:sz w:val="24"/>
      <w:szCs w:val="24"/>
    </w:rPr>
  </w:style>
  <w:style w:type="character" w:styleId="998" w:customStyle="1">
    <w:name w:val="标题 8 字符"/>
    <w:link w:val="987"/>
    <w:uiPriority w:val="0"/>
    <w:qFormat/>
    <w:rPr>
      <w:rFonts w:ascii="Arial" w:hAnsi="Arial" w:eastAsia="黑体"/>
      <w:sz w:val="24"/>
      <w:szCs w:val="24"/>
    </w:rPr>
  </w:style>
  <w:style w:type="character" w:styleId="999" w:customStyle="1">
    <w:name w:val="标题 9 字符"/>
    <w:link w:val="988"/>
    <w:uiPriority w:val="0"/>
    <w:qFormat/>
    <w:rPr>
      <w:rFonts w:ascii="Arial" w:hAnsi="Arial" w:eastAsia="黑体"/>
      <w:sz w:val="21"/>
      <w:szCs w:val="21"/>
    </w:rPr>
  </w:style>
  <w:style w:type="paragraph" w:styleId="1000" w:customStyle="1">
    <w:name w:val="批注文字1"/>
    <w:basedOn w:val="791"/>
    <w:link w:val="1001"/>
    <w:uiPriority w:val="99"/>
    <w:unhideWhenUsed/>
    <w:qFormat/>
    <w:pPr>
      <w:jc w:val="left"/>
    </w:pPr>
  </w:style>
  <w:style w:type="character" w:styleId="1001" w:customStyle="1">
    <w:name w:val="批注文字 字符"/>
    <w:link w:val="1000"/>
    <w:uiPriority w:val="99"/>
    <w:qFormat/>
    <w:rPr>
      <w:rFonts w:ascii="Calibri" w:hAnsi="Calibri"/>
      <w:sz w:val="21"/>
      <w:szCs w:val="22"/>
    </w:rPr>
  </w:style>
  <w:style w:type="paragraph" w:styleId="1002" w:customStyle="1">
    <w:name w:val="正文文本1"/>
    <w:basedOn w:val="791"/>
    <w:next w:val="791"/>
    <w:uiPriority w:val="99"/>
    <w:unhideWhenUsed/>
    <w:qFormat/>
    <w:pPr>
      <w:ind w:firstLine="2560"/>
    </w:pPr>
  </w:style>
  <w:style w:type="paragraph" w:styleId="1003" w:customStyle="1">
    <w:name w:val="正文文本缩进11"/>
    <w:basedOn w:val="791"/>
    <w:next w:val="1004"/>
    <w:uiPriority w:val="0"/>
    <w:qFormat/>
    <w:pPr>
      <w:ind w:firstLine="425"/>
      <w:spacing w:line="360" w:lineRule="auto"/>
    </w:pPr>
    <w:rPr>
      <w:sz w:val="28"/>
    </w:rPr>
  </w:style>
  <w:style w:type="paragraph" w:styleId="1004" w:customStyle="1">
    <w:name w:val="寄信人地址11"/>
    <w:basedOn w:val="791"/>
    <w:uiPriority w:val="0"/>
    <w:qFormat/>
    <w:rPr>
      <w:rFonts w:ascii="Arial" w:hAnsi="Arial" w:cs="Arial"/>
      <w:szCs w:val="20"/>
    </w:rPr>
  </w:style>
  <w:style w:type="paragraph" w:styleId="1005" w:customStyle="1">
    <w:name w:val="文本块2"/>
    <w:basedOn w:val="791"/>
    <w:uiPriority w:val="0"/>
    <w:qFormat/>
    <w:pPr>
      <w:ind w:left="1440" w:right="700"/>
      <w:spacing w:after="120"/>
    </w:pPr>
    <w:rPr>
      <w:rFonts w:ascii="Times New Roman" w:hAnsi="Times New Roman"/>
    </w:rPr>
  </w:style>
  <w:style w:type="paragraph" w:styleId="1006" w:customStyle="1">
    <w:name w:val="批注框文本1"/>
    <w:basedOn w:val="791"/>
    <w:link w:val="1007"/>
    <w:uiPriority w:val="99"/>
    <w:unhideWhenUsed/>
    <w:qFormat/>
    <w:rPr>
      <w:sz w:val="18"/>
      <w:szCs w:val="18"/>
    </w:rPr>
  </w:style>
  <w:style w:type="character" w:styleId="1007" w:customStyle="1">
    <w:name w:val="批注框文本 字符"/>
    <w:link w:val="1006"/>
    <w:uiPriority w:val="99"/>
    <w:semiHidden/>
    <w:qFormat/>
    <w:rPr>
      <w:rFonts w:ascii="Calibri" w:hAnsi="Calibri"/>
      <w:sz w:val="18"/>
      <w:szCs w:val="18"/>
    </w:rPr>
  </w:style>
  <w:style w:type="paragraph" w:styleId="1008" w:customStyle="1">
    <w:name w:val="页脚1"/>
    <w:basedOn w:val="791"/>
    <w:link w:val="1009"/>
    <w:uiPriority w:val="99"/>
    <w:unhideWhenUsed/>
    <w:qFormat/>
    <w:pPr>
      <w:jc w:val="left"/>
      <w:tabs>
        <w:tab w:val="center" w:pos="4153" w:leader="none"/>
        <w:tab w:val="right" w:pos="8306" w:leader="none"/>
      </w:tabs>
    </w:pPr>
    <w:rPr>
      <w:sz w:val="18"/>
      <w:szCs w:val="18"/>
    </w:rPr>
  </w:style>
  <w:style w:type="character" w:styleId="1009" w:customStyle="1">
    <w:name w:val="页脚 字符"/>
    <w:link w:val="1008"/>
    <w:uiPriority w:val="99"/>
    <w:qFormat/>
    <w:rPr>
      <w:rFonts w:ascii="Calibri" w:hAnsi="Calibri"/>
      <w:sz w:val="18"/>
      <w:szCs w:val="18"/>
    </w:rPr>
  </w:style>
  <w:style w:type="paragraph" w:styleId="1010" w:customStyle="1">
    <w:name w:val="页眉1"/>
    <w:basedOn w:val="791"/>
    <w:link w:val="101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11" w:customStyle="1">
    <w:name w:val="页眉 字符"/>
    <w:link w:val="1010"/>
    <w:uiPriority w:val="99"/>
    <w:qFormat/>
    <w:rPr>
      <w:rFonts w:ascii="Calibri" w:hAnsi="Calibri"/>
      <w:sz w:val="18"/>
      <w:szCs w:val="18"/>
    </w:rPr>
  </w:style>
  <w:style w:type="paragraph" w:styleId="1012" w:customStyle="1">
    <w:name w:val="目录 11"/>
    <w:basedOn w:val="791"/>
    <w:next w:val="791"/>
    <w:uiPriority w:val="39"/>
    <w:unhideWhenUsed/>
    <w:qFormat/>
  </w:style>
  <w:style w:type="paragraph" w:styleId="1013" w:customStyle="1">
    <w:name w:val="目录 21"/>
    <w:basedOn w:val="791"/>
    <w:next w:val="791"/>
    <w:uiPriority w:val="39"/>
    <w:unhideWhenUsed/>
    <w:qFormat/>
    <w:pPr>
      <w:ind w:left="420"/>
    </w:pPr>
  </w:style>
  <w:style w:type="paragraph" w:styleId="1014" w:customStyle="1">
    <w:name w:val="普通(网站)1"/>
    <w:basedOn w:val="791"/>
    <w:uiPriority w:val="99"/>
    <w:qFormat/>
    <w:pPr>
      <w:jc w:val="left"/>
      <w:spacing w:beforeAutospacing="1" w:afterAutospacing="1"/>
    </w:pPr>
    <w:rPr>
      <w:sz w:val="24"/>
    </w:rPr>
  </w:style>
  <w:style w:type="paragraph" w:styleId="1015" w:customStyle="1">
    <w:name w:val="标题1"/>
    <w:basedOn w:val="791"/>
    <w:next w:val="791"/>
    <w:uiPriority w:val="0"/>
    <w:qFormat/>
    <w:pPr>
      <w:jc w:val="center"/>
      <w:spacing w:before="240" w:after="60"/>
      <w:outlineLvl w:val="0"/>
    </w:pPr>
    <w:rPr>
      <w:rFonts w:ascii="等线 Light" w:hAnsi="等线 Light"/>
      <w:b/>
      <w:bCs/>
      <w:sz w:val="32"/>
      <w:szCs w:val="32"/>
    </w:rPr>
  </w:style>
  <w:style w:type="paragraph" w:styleId="1016" w:customStyle="1">
    <w:name w:val="批注主题1"/>
    <w:basedOn w:val="1000"/>
    <w:next w:val="1000"/>
    <w:link w:val="1017"/>
    <w:uiPriority w:val="99"/>
    <w:unhideWhenUsed/>
    <w:qFormat/>
    <w:rPr>
      <w:b/>
      <w:bCs/>
    </w:rPr>
  </w:style>
  <w:style w:type="character" w:styleId="1017" w:customStyle="1">
    <w:name w:val="批注主题 字符"/>
    <w:link w:val="1016"/>
    <w:uiPriority w:val="99"/>
    <w:semiHidden/>
    <w:qFormat/>
    <w:rPr>
      <w:rFonts w:ascii="Calibri" w:hAnsi="Calibri"/>
      <w:b/>
      <w:bCs/>
      <w:sz w:val="21"/>
      <w:szCs w:val="22"/>
    </w:rPr>
  </w:style>
  <w:style w:type="paragraph" w:styleId="1018" w:customStyle="1">
    <w:name w:val="正文首行缩进1"/>
    <w:basedOn w:val="1002"/>
    <w:uiPriority w:val="99"/>
    <w:qFormat/>
    <w:pPr>
      <w:ind w:firstLine="200"/>
      <w:spacing w:line="360" w:lineRule="auto"/>
    </w:pPr>
    <w:rPr>
      <w:sz w:val="24"/>
    </w:rPr>
  </w:style>
  <w:style w:type="paragraph" w:styleId="1019" w:customStyle="1">
    <w:name w:val="正文首行缩进 21"/>
    <w:basedOn w:val="1003"/>
    <w:uiPriority w:val="99"/>
    <w:unhideWhenUsed/>
    <w:qFormat/>
    <w:pPr>
      <w:ind w:left="420" w:firstLine="420"/>
      <w:spacing w:after="120" w:line="240" w:lineRule="auto"/>
    </w:pPr>
    <w:rPr>
      <w:sz w:val="21"/>
    </w:rPr>
  </w:style>
  <w:style w:type="table" w:styleId="1020" w:customStyle="1">
    <w:name w:val="网格型1"/>
    <w:basedOn w:val="990"/>
    <w:uiPriority w:val="99"/>
    <w:qFormat/>
    <w:tblPr/>
  </w:style>
  <w:style w:type="character" w:styleId="1021" w:customStyle="1">
    <w:name w:val="要点1"/>
    <w:uiPriority w:val="22"/>
    <w:qFormat/>
    <w:rPr>
      <w:b/>
      <w:bCs/>
    </w:rPr>
  </w:style>
  <w:style w:type="character" w:styleId="1022" w:customStyle="1">
    <w:name w:val="超链接1"/>
    <w:uiPriority w:val="99"/>
    <w:unhideWhenUsed/>
    <w:qFormat/>
    <w:rPr>
      <w:color w:val="467886"/>
      <w:u w:val="single"/>
    </w:rPr>
  </w:style>
  <w:style w:type="character" w:styleId="1023" w:customStyle="1">
    <w:name w:val="批注引用1"/>
    <w:uiPriority w:val="99"/>
    <w:unhideWhenUsed/>
    <w:qFormat/>
    <w:rPr>
      <w:sz w:val="21"/>
      <w:szCs w:val="21"/>
    </w:rPr>
  </w:style>
  <w:style w:type="character" w:styleId="1024" w:customStyle="1">
    <w:name w:val="默认段落字体12"/>
    <w:uiPriority w:val="1"/>
    <w:unhideWhenUsed/>
    <w:qFormat/>
  </w:style>
  <w:style w:type="character" w:styleId="1025" w:customStyle="1">
    <w:name w:val="默认段落字体11"/>
    <w:uiPriority w:val="99"/>
    <w:qFormat/>
    <w:rPr>
      <w:rFonts w:ascii="Calibri" w:hAnsi="Calibri"/>
      <w:sz w:val="21"/>
      <w:szCs w:val="22"/>
      <w:lang w:val="en-US" w:eastAsia="zh-CN" w:bidi="ar-SA"/>
    </w:rPr>
  </w:style>
  <w:style w:type="character" w:styleId="1026" w:customStyle="1">
    <w:name w:val="默认段落字体1"/>
    <w:uiPriority w:val="0"/>
    <w:semiHidden/>
    <w:qFormat/>
    <w:rPr>
      <w:rFonts w:ascii="Calibri" w:hAnsi="Calibri"/>
      <w:sz w:val="21"/>
      <w:szCs w:val="22"/>
      <w:lang w:val="en-US" w:eastAsia="zh-CN" w:bidi="ar-SA"/>
    </w:rPr>
  </w:style>
  <w:style w:type="paragraph" w:styleId="1027" w:customStyle="1">
    <w:name w:val="Normal_0_0"/>
    <w:uiPriority w:val="0"/>
    <w:qFormat/>
    <w:rPr>
      <w:rFonts w:ascii="Times New Roman" w:hAnsi="Times New Roman" w:eastAsia="Times New Roman" w:cs="Times New Roman"/>
      <w:sz w:val="24"/>
      <w:szCs w:val="24"/>
      <w:lang w:val="en-US" w:eastAsia="zh-CN" w:bidi="ar-SA"/>
    </w:rPr>
  </w:style>
  <w:style w:type="paragraph" w:styleId="1028" w:customStyle="1">
    <w:name w:val="TOAHeading1"/>
    <w:basedOn w:val="791"/>
    <w:next w:val="791"/>
    <w:uiPriority w:val="0"/>
    <w:qFormat/>
    <w:pPr>
      <w:spacing w:before="120"/>
    </w:pPr>
    <w:rPr>
      <w:rFonts w:ascii="Arial" w:hAnsi="Arial"/>
      <w:sz w:val="24"/>
      <w:szCs w:val="20"/>
    </w:rPr>
  </w:style>
  <w:style w:type="paragraph" w:styleId="1029" w:customStyle="1">
    <w:name w:val="首行缩进_0_0"/>
    <w:basedOn w:val="1030"/>
    <w:uiPriority w:val="0"/>
    <w:qFormat/>
    <w:pPr>
      <w:ind w:firstLine="480"/>
      <w:spacing w:line="360" w:lineRule="auto"/>
    </w:pPr>
    <w:rPr>
      <w:rFonts w:ascii="宋体" w:hAnsi="宋体"/>
    </w:rPr>
  </w:style>
  <w:style w:type="paragraph" w:styleId="1030" w:customStyle="1">
    <w:name w:val="Normal_1"/>
    <w:next w:val="1029"/>
    <w:uiPriority w:val="0"/>
    <w:qFormat/>
    <w:rPr>
      <w:rFonts w:ascii="Times New Roman" w:hAnsi="Times New Roman" w:eastAsia="Times New Roman" w:cs="Times New Roman"/>
      <w:sz w:val="24"/>
      <w:szCs w:val="24"/>
      <w:lang w:val="en-US" w:eastAsia="zh-CN" w:bidi="ar-SA"/>
    </w:rPr>
  </w:style>
  <w:style w:type="paragraph" w:styleId="1031" w:customStyle="1">
    <w:name w:val="Normal_12"/>
    <w:next w:val="1032"/>
    <w:uiPriority w:val="0"/>
    <w:qFormat/>
    <w:pPr>
      <w:jc w:val="both"/>
      <w:widowControl w:val="off"/>
    </w:pPr>
    <w:rPr>
      <w:rFonts w:ascii="Times New Roman" w:hAnsi="Times New Roman" w:eastAsia="宋体" w:cs="Times New Roman"/>
      <w:sz w:val="21"/>
      <w:szCs w:val="24"/>
      <w:lang w:val="en-US" w:eastAsia="zh-CN" w:bidi="ar-SA"/>
    </w:rPr>
  </w:style>
  <w:style w:type="paragraph" w:styleId="1032" w:customStyle="1">
    <w:name w:val="首行缩进_0"/>
    <w:basedOn w:val="1033"/>
    <w:uiPriority w:val="0"/>
    <w:qFormat/>
    <w:pPr>
      <w:ind w:firstLine="480"/>
      <w:spacing w:line="360" w:lineRule="auto"/>
    </w:pPr>
    <w:rPr>
      <w:rFonts w:ascii="宋体" w:hAnsi="宋体"/>
    </w:rPr>
  </w:style>
  <w:style w:type="paragraph" w:styleId="1033" w:customStyle="1">
    <w:name w:val="Normal_0"/>
    <w:basedOn w:val="1030"/>
    <w:next w:val="1030"/>
    <w:uiPriority w:val="0"/>
    <w:qFormat/>
  </w:style>
  <w:style w:type="paragraph" w:styleId="1034" w:customStyle="1">
    <w:name w:val="修订1"/>
    <w:uiPriority w:val="99"/>
    <w:semiHidden/>
    <w:qFormat/>
    <w:rPr>
      <w:rFonts w:ascii="Calibri" w:hAnsi="Calibri" w:eastAsia="宋体" w:cs="Times New Roman"/>
      <w:sz w:val="21"/>
      <w:szCs w:val="22"/>
      <w:lang w:val="en-US" w:eastAsia="zh-CN" w:bidi="ar-SA"/>
    </w:rPr>
  </w:style>
  <w:style w:type="paragraph" w:styleId="1035"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1036" w:customStyle="1">
    <w:name w:val="Normal_0_3"/>
    <w:uiPriority w:val="0"/>
    <w:qFormat/>
    <w:rPr>
      <w:rFonts w:ascii="Times New Roman" w:hAnsi="Times New Roman" w:eastAsia="Times New Roman" w:cs="Times New Roman"/>
      <w:sz w:val="24"/>
      <w:szCs w:val="24"/>
      <w:lang w:val="en-US" w:eastAsia="zh-CN" w:bidi="ar-SA"/>
    </w:rPr>
  </w:style>
  <w:style w:type="paragraph" w:styleId="1037" w:customStyle="1">
    <w:name w:val="首行缩进_0_2"/>
    <w:basedOn w:val="1038"/>
    <w:uiPriority w:val="0"/>
    <w:qFormat/>
    <w:pPr>
      <w:ind w:firstLine="480"/>
      <w:spacing w:line="360" w:lineRule="auto"/>
    </w:pPr>
    <w:rPr>
      <w:rFonts w:ascii="宋体" w:hAnsi="宋体"/>
    </w:rPr>
  </w:style>
  <w:style w:type="paragraph" w:styleId="1038" w:customStyle="1">
    <w:name w:val="Normal_4"/>
    <w:next w:val="1037"/>
    <w:uiPriority w:val="0"/>
    <w:qFormat/>
    <w:rPr>
      <w:rFonts w:ascii="Times New Roman" w:hAnsi="Times New Roman" w:eastAsia="Times New Roman" w:cs="Times New Roman"/>
      <w:sz w:val="24"/>
      <w:szCs w:val="24"/>
      <w:lang w:val="en-US" w:eastAsia="zh-CN" w:bidi="ar-SA"/>
    </w:rPr>
  </w:style>
  <w:style w:type="paragraph" w:styleId="1039" w:customStyle="1">
    <w:name w:val="Normal_13"/>
    <w:next w:val="1032"/>
    <w:uiPriority w:val="0"/>
    <w:qFormat/>
    <w:rPr>
      <w:rFonts w:ascii="Times New Roman" w:hAnsi="Times New Roman" w:eastAsia="Times New Roman" w:cs="Times New Roman"/>
      <w:sz w:val="24"/>
      <w:szCs w:val="24"/>
      <w:lang w:val="en-US" w:eastAsia="zh-CN" w:bidi="ar-SA"/>
    </w:rPr>
  </w:style>
  <w:style w:type="paragraph" w:styleId="1040" w:customStyle="1">
    <w:name w:val="Normal_0_4"/>
    <w:uiPriority w:val="0"/>
    <w:qFormat/>
    <w:rPr>
      <w:rFonts w:ascii="Times New Roman" w:hAnsi="Times New Roman" w:eastAsia="Times New Roman" w:cs="Times New Roman"/>
      <w:sz w:val="24"/>
      <w:szCs w:val="24"/>
      <w:lang w:val="en-US" w:eastAsia="zh-CN" w:bidi="ar-SA"/>
    </w:rPr>
  </w:style>
  <w:style w:type="paragraph" w:styleId="1041" w:customStyle="1">
    <w:name w:val="无间隔1"/>
    <w:uiPriority w:val="1"/>
    <w:qFormat/>
    <w:pPr>
      <w:jc w:val="both"/>
      <w:widowControl w:val="off"/>
    </w:pPr>
    <w:rPr>
      <w:rFonts w:ascii="Calibri" w:hAnsi="Calibri" w:eastAsia="宋体" w:cs="Times New Roman"/>
      <w:sz w:val="21"/>
      <w:szCs w:val="21"/>
      <w:lang w:val="en-US" w:eastAsia="zh-CN" w:bidi="ar-SA"/>
    </w:rPr>
  </w:style>
  <w:style w:type="paragraph" w:styleId="1042" w:customStyle="1">
    <w:name w:val="Normal_5"/>
    <w:next w:val="1032"/>
    <w:uiPriority w:val="0"/>
    <w:qFormat/>
    <w:rPr>
      <w:rFonts w:ascii="Times New Roman" w:hAnsi="Times New Roman" w:eastAsia="Times New Roman" w:cs="Times New Roman"/>
      <w:sz w:val="24"/>
      <w:szCs w:val="24"/>
      <w:lang w:val="en-US" w:eastAsia="zh-CN" w:bidi="ar-SA"/>
    </w:rPr>
  </w:style>
  <w:style w:type="paragraph" w:styleId="1043" w:customStyle="1">
    <w:name w:val="Normal_0_5"/>
    <w:uiPriority w:val="0"/>
    <w:qFormat/>
    <w:rPr>
      <w:rFonts w:ascii="Times New Roman" w:hAnsi="Times New Roman" w:eastAsia="Times New Roman" w:cs="Times New Roman"/>
      <w:sz w:val="24"/>
      <w:szCs w:val="24"/>
      <w:lang w:val="en-US" w:eastAsia="zh-CN" w:bidi="ar-SA"/>
    </w:rPr>
  </w:style>
  <w:style w:type="paragraph" w:styleId="1044" w:customStyle="1">
    <w:name w:val="正文 A"/>
    <w:next w:val="830"/>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45" w:customStyle="1">
    <w:name w:val="Normal_18"/>
    <w:uiPriority w:val="0"/>
    <w:qFormat/>
    <w:rPr>
      <w:rFonts w:ascii="Times New Roman" w:hAnsi="Times New Roman" w:eastAsia="Times New Roman" w:cs="Times New Roman"/>
      <w:sz w:val="24"/>
      <w:szCs w:val="24"/>
      <w:lang w:val="en-US" w:eastAsia="zh-CN" w:bidi="ar-SA"/>
    </w:rPr>
  </w:style>
  <w:style w:type="paragraph" w:styleId="1046" w:customStyle="1">
    <w:name w:val="纯文本2"/>
    <w:basedOn w:val="791"/>
    <w:uiPriority w:val="0"/>
    <w:qFormat/>
    <w:pPr>
      <w:ind w:firstLine="200"/>
      <w:spacing w:line="360" w:lineRule="auto"/>
    </w:pPr>
    <w:rPr>
      <w:rFonts w:ascii="宋体" w:hAnsi="Courier New"/>
      <w:sz w:val="20"/>
      <w:szCs w:val="20"/>
    </w:rPr>
  </w:style>
  <w:style w:type="paragraph" w:styleId="1047" w:customStyle="1">
    <w:name w:val="标题 31"/>
    <w:basedOn w:val="791"/>
    <w:next w:val="791"/>
    <w:uiPriority w:val="9"/>
    <w:unhideWhenUsed/>
    <w:qFormat/>
    <w:pPr>
      <w:keepLines/>
      <w:keepNext/>
      <w:spacing w:before="320" w:after="200"/>
      <w:outlineLvl w:val="2"/>
    </w:pPr>
    <w:rPr>
      <w:rFonts w:ascii="Arial" w:hAnsi="Arial" w:eastAsia="Arial" w:cs="Arial"/>
      <w:sz w:val="30"/>
      <w:szCs w:val="30"/>
    </w:rPr>
  </w:style>
  <w:style w:type="paragraph" w:styleId="1048" w:customStyle="1">
    <w:name w:val="Normal_0_2"/>
    <w:uiPriority w:val="0"/>
    <w:qFormat/>
    <w:rPr>
      <w:rFonts w:ascii="Times New Roman" w:hAnsi="Times New Roman" w:eastAsia="Times New Roman" w:cs="Times New Roman"/>
      <w:sz w:val="24"/>
      <w:szCs w:val="24"/>
      <w:lang w:val="en-US" w:eastAsia="zh-CN" w:bidi="ar-SA"/>
    </w:rPr>
  </w:style>
  <w:style w:type="paragraph" w:styleId="1049" w:customStyle="1">
    <w:name w:val="Normal_15"/>
    <w:uiPriority w:val="0"/>
    <w:qFormat/>
    <w:rPr>
      <w:rFonts w:ascii="Times New Roman" w:hAnsi="Times New Roman" w:eastAsia="Times New Roman" w:cs="Times New Roman"/>
      <w:sz w:val="24"/>
      <w:szCs w:val="24"/>
      <w:lang w:val="en-US" w:eastAsia="zh-CN" w:bidi="ar-SA"/>
    </w:rPr>
  </w:style>
  <w:style w:type="paragraph" w:styleId="1050" w:customStyle="1">
    <w:name w:val="Normal_28"/>
    <w:uiPriority w:val="99"/>
    <w:qFormat/>
    <w:rPr>
      <w:rFonts w:ascii="Times New Roman" w:hAnsi="Times New Roman" w:eastAsia="宋体" w:cs="Times New Roman"/>
      <w:sz w:val="24"/>
      <w:szCs w:val="24"/>
      <w:lang w:val="en-US" w:eastAsia="zh-CN" w:bidi="ar-SA"/>
    </w:rPr>
  </w:style>
  <w:style w:type="paragraph" w:styleId="1051" w:customStyle="1">
    <w:name w:val="首行缩进"/>
    <w:basedOn w:val="791"/>
    <w:next w:val="791"/>
    <w:uiPriority w:val="0"/>
    <w:qFormat/>
    <w:pPr>
      <w:ind w:firstLine="480"/>
      <w:jc w:val="left"/>
      <w:spacing w:line="360" w:lineRule="auto"/>
    </w:pPr>
    <w:rPr>
      <w:rFonts w:ascii="宋体" w:hAnsi="宋体"/>
      <w:sz w:val="24"/>
    </w:rPr>
  </w:style>
  <w:style w:type="paragraph" w:styleId="1052" w:customStyle="1">
    <w:name w:val="列出段落"/>
    <w:basedOn w:val="791"/>
    <w:uiPriority w:val="34"/>
    <w:qFormat/>
    <w:pPr>
      <w:ind w:firstLine="420"/>
    </w:pPr>
  </w:style>
  <w:style w:type="paragraph" w:styleId="1053" w:customStyle="1">
    <w:name w:val="Normal_2"/>
    <w:next w:val="1054"/>
    <w:uiPriority w:val="0"/>
    <w:qFormat/>
    <w:rPr>
      <w:rFonts w:ascii="Times New Roman" w:hAnsi="Times New Roman" w:eastAsia="Times New Roman" w:cs="Times New Roman"/>
      <w:sz w:val="24"/>
      <w:szCs w:val="24"/>
      <w:lang w:val="en-US" w:eastAsia="zh-CN" w:bidi="ar-SA"/>
    </w:rPr>
  </w:style>
  <w:style w:type="paragraph" w:styleId="1054" w:customStyle="1">
    <w:name w:val="Heading 11"/>
    <w:basedOn w:val="1053"/>
    <w:next w:val="1053"/>
    <w:uiPriority w:val="0"/>
    <w:qFormat/>
    <w:pPr>
      <w:jc w:val="center"/>
      <w:keepNext/>
      <w:outlineLvl w:val="0"/>
    </w:pPr>
    <w:rPr>
      <w:rFonts w:ascii="楷体_GB2312" w:eastAsia="楷体_GB2312" w:cs="宋体"/>
      <w:sz w:val="28"/>
      <w:szCs w:val="28"/>
    </w:rPr>
  </w:style>
  <w:style w:type="paragraph" w:styleId="1055" w:customStyle="1">
    <w:name w:val="正文文本缩进1"/>
    <w:next w:val="1035"/>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1056" w:customStyle="1">
    <w:name w:val="正文（深信服科技）"/>
    <w:basedOn w:val="791"/>
    <w:uiPriority w:val="0"/>
    <w:qFormat/>
    <w:pPr>
      <w:ind w:firstLine="480"/>
      <w:spacing w:line="360" w:lineRule="auto"/>
      <w:widowControl/>
    </w:pPr>
    <w:rPr>
      <w:rFonts w:ascii="Times New Roman" w:hAnsi="Times New Roman"/>
      <w:sz w:val="24"/>
      <w:szCs w:val="24"/>
    </w:rPr>
  </w:style>
  <w:style w:type="paragraph" w:styleId="1057" w:customStyle="1">
    <w:name w:val="Normal_0_0_0"/>
    <w:uiPriority w:val="0"/>
    <w:qFormat/>
    <w:rPr>
      <w:rFonts w:ascii="Times New Roman" w:hAnsi="Times New Roman" w:eastAsia="Times New Roman" w:cs="Times New Roman"/>
      <w:sz w:val="24"/>
      <w:szCs w:val="24"/>
      <w:lang w:val="en-US" w:eastAsia="zh-CN" w:bidi="ar-SA"/>
    </w:rPr>
  </w:style>
  <w:style w:type="paragraph" w:styleId="1058" w:customStyle="1">
    <w:name w:val="Normal_17"/>
    <w:uiPriority w:val="0"/>
    <w:qFormat/>
    <w:rPr>
      <w:rFonts w:ascii="Times New Roman" w:hAnsi="Times New Roman" w:eastAsia="Times New Roman" w:cs="Times New Roman"/>
      <w:sz w:val="24"/>
      <w:szCs w:val="24"/>
      <w:lang w:val="en-US" w:eastAsia="zh-CN" w:bidi="ar-SA"/>
    </w:rPr>
  </w:style>
  <w:style w:type="paragraph" w:styleId="1059" w:customStyle="1">
    <w:name w:val="Normal_29"/>
    <w:uiPriority w:val="99"/>
    <w:qFormat/>
    <w:rPr>
      <w:rFonts w:ascii="Times New Roman" w:hAnsi="Times New Roman" w:eastAsia="宋体" w:cs="Times New Roman"/>
      <w:sz w:val="24"/>
      <w:szCs w:val="24"/>
      <w:lang w:val="en-US" w:eastAsia="zh-CN" w:bidi="ar-SA"/>
    </w:rPr>
  </w:style>
  <w:style w:type="paragraph" w:styleId="1060" w:customStyle="1">
    <w:name w:val="Normal_21"/>
    <w:uiPriority w:val="0"/>
    <w:qFormat/>
    <w:rPr>
      <w:rFonts w:ascii="Times New Roman" w:hAnsi="Times New Roman" w:eastAsia="Times New Roman" w:cs="Times New Roman"/>
      <w:sz w:val="24"/>
      <w:szCs w:val="24"/>
      <w:lang w:val="en-US" w:eastAsia="zh-CN" w:bidi="ar-SA"/>
    </w:rPr>
  </w:style>
  <w:style w:type="paragraph" w:styleId="1061" w:customStyle="1">
    <w:name w:val="Normal_18_0"/>
    <w:uiPriority w:val="0"/>
    <w:qFormat/>
    <w:rPr>
      <w:rFonts w:ascii="Times New Roman" w:hAnsi="Times New Roman" w:eastAsia="Times New Roman" w:cs="Times New Roman"/>
      <w:sz w:val="24"/>
      <w:szCs w:val="24"/>
      <w:lang w:val="en-US" w:eastAsia="zh-CN" w:bidi="ar-SA"/>
    </w:rPr>
  </w:style>
  <w:style w:type="paragraph" w:styleId="1062" w:customStyle="1">
    <w:name w:val="列表段落1"/>
    <w:basedOn w:val="791"/>
    <w:uiPriority w:val="0"/>
    <w:qFormat/>
    <w:pPr>
      <w:ind w:left="425" w:hanging="425"/>
      <w:spacing w:before="100" w:beforeAutospacing="1" w:after="100" w:afterAutospacing="1" w:line="440" w:lineRule="exact"/>
    </w:pPr>
    <w:rPr>
      <w:rFonts w:ascii="宋体" w:hAnsi="宋体" w:cs="微软雅黑"/>
    </w:rPr>
  </w:style>
  <w:style w:type="paragraph" w:styleId="1063" w:customStyle="1">
    <w:name w:val="正文文本11"/>
    <w:uiPriority w:val="99"/>
    <w:qFormat/>
    <w:pPr>
      <w:jc w:val="both"/>
      <w:widowControl w:val="off"/>
    </w:pPr>
    <w:rPr>
      <w:rFonts w:ascii="楷体_GB2312" w:hAnsi="宋体" w:eastAsia="楷体_GB2312" w:cs="Times New Roman"/>
      <w:sz w:val="28"/>
      <w:szCs w:val="28"/>
      <w:lang w:val="en-US" w:eastAsia="zh-CN" w:bidi="ar-SA"/>
    </w:rPr>
  </w:style>
  <w:style w:type="paragraph" w:styleId="1064" w:customStyle="1">
    <w:name w:val="正文文本111"/>
    <w:basedOn w:val="791"/>
    <w:next w:val="791"/>
    <w:uiPriority w:val="1"/>
    <w:qFormat/>
    <w:pPr>
      <w:spacing w:after="120"/>
    </w:pPr>
  </w:style>
  <w:style w:type="table" w:styleId="1065" w:customStyle="1">
    <w:name w:val="Table Normal"/>
    <w:uiPriority w:val="0"/>
    <w:semiHidden/>
    <w:unhideWhenUsed/>
    <w:qFormat/>
    <w:tblPr>
      <w:tblCellMar>
        <w:left w:w="0" w:type="dxa"/>
        <w:top w:w="0" w:type="dxa"/>
        <w:right w:w="0" w:type="dxa"/>
        <w:bottom w:w="0" w:type="dxa"/>
      </w:tblCellMar>
    </w:tblPr>
  </w:style>
  <w:style w:type="paragraph" w:styleId="1066" w:customStyle="1">
    <w:name w:val="Table Text"/>
    <w:basedOn w:val="791"/>
    <w:uiPriority w:val="0"/>
    <w:semiHidden/>
    <w:qFormat/>
    <w:rPr>
      <w:rFonts w:ascii="宋体" w:hAnsi="宋体" w:cs="宋体"/>
      <w:sz w:val="24"/>
      <w:szCs w:val="24"/>
      <w:lang w:eastAsia="en-US"/>
    </w:rPr>
  </w:style>
  <w:style w:type="character" w:styleId="1067" w:customStyle="1">
    <w:name w:val="font61"/>
    <w:uiPriority w:val="0"/>
    <w:qFormat/>
    <w:rPr>
      <w:rFonts w:hint="eastAsia" w:ascii="仿宋_GB2312" w:eastAsia="仿宋_GB2312" w:cs="仿宋_GB2312"/>
      <w:color w:val="000000"/>
      <w:sz w:val="20"/>
      <w:szCs w:val="20"/>
      <w:u w:val="none"/>
    </w:rPr>
  </w:style>
  <w:style w:type="paragraph" w:styleId="1068" w:customStyle="1">
    <w:name w:val="Revision"/>
    <w:hidden/>
    <w:uiPriority w:val="99"/>
    <w:unhideWhenUsed/>
    <w:qFormat/>
    <w:rPr>
      <w:rFonts w:ascii="Calibri" w:hAnsi="Calibri" w:eastAsia="宋体" w:cs="Times New Roman"/>
      <w:sz w:val="21"/>
      <w:szCs w:val="22"/>
      <w:lang w:val="en-US" w:eastAsia="zh-CN" w:bidi="ar-SA"/>
    </w:rPr>
  </w:style>
  <w:style w:type="character" w:styleId="1069" w:customStyle="1">
    <w:name w:val="批注文字 字符1"/>
    <w:basedOn w:val="801"/>
    <w:link w:val="806"/>
    <w:uiPriority w:val="99"/>
    <w:qFormat/>
    <w:rPr>
      <w:rFonts w:ascii="Calibri" w:hAnsi="Calibri"/>
      <w:sz w:val="21"/>
      <w:szCs w:val="22"/>
    </w:rPr>
  </w:style>
  <w:style w:type="character" w:styleId="1070" w:customStyle="1">
    <w:name w:val="批注主题 字符1"/>
    <w:basedOn w:val="1069"/>
    <w:link w:val="824"/>
    <w:uiPriority w:val="99"/>
    <w:semiHidden/>
    <w:qFormat/>
    <w:rPr>
      <w:rFonts w:ascii="Calibri" w:hAnsi="Calibri"/>
      <w:b/>
      <w:bCs/>
      <w:sz w:val="21"/>
      <w:szCs w:val="22"/>
    </w:rPr>
  </w:style>
  <w:style w:type="paragraph" w:styleId="1071" w:customStyle="1">
    <w:name w:val="Normal_22"/>
    <w:uiPriority w:val="0"/>
    <w:qFormat/>
    <w:rPr>
      <w:rFonts w:hint="default" w:ascii="Times New Roman" w:hAnsi="Times New Roman" w:eastAsia="Times New Roman" w:cs="Times New Roman"/>
      <w:sz w:val="24"/>
      <w:szCs w:val="24"/>
      <w:lang w:val="en-US" w:eastAsia="zh-CN" w:bidi="ar-SA"/>
    </w:rPr>
  </w:style>
  <w:style w:type="paragraph" w:styleId="1072" w:customStyle="1">
    <w:name w:val="Normal_23"/>
    <w:uiPriority w:val="0"/>
    <w:qFormat/>
    <w:rPr>
      <w:rFonts w:ascii="Times New Roman" w:hAnsi="Times New Roman" w:eastAsia="Times New Roman" w:cs="Times New Roman"/>
      <w:sz w:val="24"/>
      <w:szCs w:val="24"/>
      <w:lang w:val="en-US" w:eastAsia="zh-CN" w:bidi="ar-SA"/>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左潇潇</cp:lastModifiedBy>
  <cp:revision>9</cp:revision>
  <dcterms:created xsi:type="dcterms:W3CDTF">2026-06-09T17:18:00Z</dcterms:created>
  <dcterms:modified xsi:type="dcterms:W3CDTF">2026-06-25T07:58:14Z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eyJoZGlkIjoiYTg4Y2I3NWRiN2QwMjBlOGJlMDQxMTM0NzQ4ZjYwOWQiLCJ1c2VySWQiOiIxNjAzNzE3MzQ1In0=</vt:lpwstr>
  </property>
  <property fmtid="{D5CDD505-2E9C-101B-9397-08002B2CF9AE}" pid="3" name="KSOProductBuildVer">
    <vt:lpwstr>2052-12.1.0.26895</vt:lpwstr>
  </property>
  <property fmtid="{D5CDD505-2E9C-101B-9397-08002B2CF9AE}" pid="4" name="ICV">
    <vt:lpwstr>02254094DCBE49179C779FAEC07D545A_13</vt:lpwstr>
  </property>
</Properties>
</file>