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uto"/>
        <w:rPr>
          <w:color w:val="auto"/>
        </w:rPr>
        <w:pBdr>
          <w:top w:val="none" w:color="000000" w:sz="4" w:space="0"/>
          <w:left w:val="none" w:color="000000" w:sz="4" w:space="0"/>
          <w:bottom w:val="none" w:color="000000" w:sz="4" w:space="0"/>
          <w:right w:val="none" w:color="000000" w:sz="4" w:space="0"/>
        </w:pBdr>
      </w:pPr>
      <w:r>
        <w:rPr>
          <w:color w:val="auto"/>
        </w:rPr>
        <w:t xml:space="preserve"> </w:t>
      </w:r>
      <w:r>
        <w:rPr>
          <w:rFonts w:ascii="Arial" w:hAnsi="Arial" w:eastAsia="Arial" w:cs="Arial"/>
          <w:b/>
          <w:color w:val="auto"/>
          <w:sz w:val="84"/>
        </w:rPr>
        <w:t xml:space="preserve"> </w:t>
      </w:r>
      <w:r>
        <w:rPr>
          <w:color w:val="auto"/>
        </w:rPr>
      </w:r>
      <w:r/>
    </w:p>
    <w:p>
      <w:pPr>
        <w:ind w:left="0" w:right="0" w:firstLine="0"/>
        <w:jc w:val="center"/>
        <w:spacing w:before="120" w:after="120" w:line="360" w:lineRule="auto"/>
        <w:rPr>
          <w:rFonts w:ascii="Calibri" w:hAnsi="Calibri" w:eastAsia="Calibri" w:cs="Calibri"/>
          <w:color w:val="auto"/>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84"/>
          <w:highlight w:val="none"/>
        </w:rPr>
      </w:r>
      <w:r>
        <w:rPr>
          <w:color w:val="auto"/>
        </w:rPr>
      </w:r>
      <w:r/>
    </w:p>
    <w:p>
      <w:pPr>
        <w:ind w:left="0" w:right="0" w:firstLine="0"/>
        <w:jc w:val="center"/>
        <w:spacing w:before="120" w:after="120" w:line="360" w:lineRule="auto"/>
        <w:rPr>
          <w:rFonts w:ascii="SimHei" w:hAnsi="SimHei" w:eastAsia="SimHei" w:cs="SimHei"/>
          <w:b/>
          <w:bCs/>
          <w:color w:val="auto"/>
          <w:sz w:val="84"/>
          <w:szCs w:val="8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84"/>
          <w:highlight w:val="none"/>
        </w:rPr>
      </w:r>
      <w:r>
        <w:rPr>
          <w:color w:val="auto"/>
        </w:rPr>
      </w:r>
      <w:r/>
    </w:p>
    <w:p>
      <w:pPr>
        <w:ind w:left="0" w:right="0" w:firstLine="0"/>
        <w:jc w:val="left"/>
        <w:spacing w:before="120" w:after="120" w:line="360" w:lineRule="auto"/>
        <w:rPr>
          <w:rFonts w:ascii="SimHei" w:hAnsi="SimHei" w:eastAsia="SimHei" w:cs="SimHei"/>
          <w:b/>
          <w:bCs/>
          <w:color w:val="auto"/>
          <w:sz w:val="84"/>
          <w:szCs w:val="8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84"/>
        </w:rPr>
        <w:t xml:space="preserve">    招　标　文　件</w:t>
      </w:r>
      <w:r>
        <w:rPr>
          <w:color w:val="auto"/>
        </w:rPr>
      </w:r>
      <w:r/>
    </w:p>
    <w:p>
      <w:pPr>
        <w:ind w:left="0" w:right="0" w:firstLine="0"/>
        <w:jc w:val="center"/>
        <w:spacing w:before="120" w:after="120" w:line="360" w:lineRule="auto"/>
        <w:rPr>
          <w:rFonts w:ascii="Calibri" w:hAnsi="Calibri" w:eastAsia="Calibri" w:cs="Calibri"/>
          <w:color w:val="auto"/>
          <w:sz w:val="21"/>
          <w:szCs w:val="21"/>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84"/>
          <w:highlight w:val="none"/>
        </w:rPr>
      </w:r>
      <w:r>
        <w:rPr>
          <w:color w:val="auto"/>
        </w:rPr>
      </w:r>
      <w:r/>
    </w:p>
    <w:p>
      <w:pPr>
        <w:ind w:left="0" w:right="0" w:firstLine="0"/>
        <w:jc w:val="left"/>
        <w:spacing w:before="120" w:after="120" w:line="360" w:lineRule="auto"/>
        <w:rPr>
          <w:rFonts w:ascii="Arial" w:hAnsi="Arial" w:eastAsia="Arial" w:cs="Arial"/>
          <w:b/>
          <w:bCs/>
          <w:color w:val="auto"/>
          <w:sz w:val="84"/>
          <w:szCs w:val="84"/>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84"/>
        </w:rPr>
        <w:t xml:space="preserve"> </w:t>
      </w:r>
      <w:r>
        <w:rPr>
          <w:color w:val="auto"/>
        </w:rPr>
      </w:r>
      <w:r/>
    </w:p>
    <w:p>
      <w:pPr>
        <w:ind w:left="0" w:right="0" w:firstLine="0"/>
        <w:spacing w:before="120" w:after="120" w:line="360" w:lineRule="auto"/>
        <w:rPr>
          <w:rFonts w:ascii="SimSun" w:hAnsi="SimSun" w:eastAsia="SimSun" w:cs="SimSun"/>
          <w:b/>
          <w:bCs/>
          <w:color w:val="auto"/>
          <w:sz w:val="32"/>
          <w:szCs w:val="32"/>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auto"/>
          <w:sz w:val="32"/>
          <w:szCs w:val="32"/>
        </w:rPr>
        <w:t xml:space="preserve">   项目名称：</w:t>
      </w:r>
      <w:r>
        <w:rPr>
          <w:rFonts w:ascii="SimSun" w:hAnsi="SimSun" w:eastAsia="SimSun" w:cs="SimSun"/>
          <w:b/>
          <w:bCs/>
          <w:color w:val="auto"/>
          <w:sz w:val="32"/>
          <w:szCs w:val="32"/>
          <w:u w:val="single"/>
        </w:rPr>
        <w:t xml:space="preserve">海陵区政务服务中心弱电改造相关货物及服务采购</w:t>
      </w:r>
      <w:r>
        <w:rPr>
          <w:color w:val="auto"/>
        </w:rPr>
      </w:r>
      <w:r/>
    </w:p>
    <w:p>
      <w:pPr>
        <w:ind w:left="0" w:right="0" w:firstLine="0"/>
        <w:spacing w:before="120" w:after="120" w:line="360" w:lineRule="auto"/>
        <w:rPr>
          <w:color w:val="auto"/>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color w:val="auto"/>
          <w:sz w:val="32"/>
          <w:szCs w:val="32"/>
        </w:rPr>
        <w:t xml:space="preserve">   项目编号：</w:t>
      </w:r>
      <w:r>
        <w:rPr>
          <w:rFonts w:ascii="SimSun" w:hAnsi="SimSun" w:eastAsia="SimSun" w:cs="SimSun"/>
          <w:b/>
          <w:bCs/>
          <w:color w:val="auto"/>
          <w:sz w:val="32"/>
          <w:szCs w:val="32"/>
          <w:u w:val="single"/>
        </w:rPr>
        <w:t xml:space="preserve">JSZC-321202-JZCG-G2026-0004</w:t>
      </w:r>
      <w:r>
        <w:rPr>
          <w:color w:val="auto"/>
        </w:rPr>
      </w:r>
      <w:r/>
    </w:p>
    <w:p>
      <w:pPr>
        <w:ind w:left="2800" w:right="0" w:hanging="28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8"/>
        </w:rPr>
        <w:t xml:space="preserve">       </w:t>
      </w:r>
      <w:r>
        <w:rPr>
          <w:rFonts w:ascii="Times New Roman" w:hAnsi="Times New Roman" w:eastAsia="Times New Roman" w:cs="Times New Roman"/>
          <w:b/>
          <w:color w:val="auto"/>
          <w:sz w:val="28"/>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泰州市海陵区政务服务中心</w:t>
      </w:r>
      <w:r>
        <w:rPr>
          <w:color w:val="auto"/>
        </w:rPr>
      </w:r>
      <w:r/>
    </w:p>
    <w:p>
      <w:pPr>
        <w:ind w:left="0" w:right="0" w:firstLine="0"/>
        <w:jc w:val="center"/>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32"/>
        </w:rPr>
        <w:t xml:space="preserve">2026</w:t>
      </w:r>
      <w:r>
        <w:rPr>
          <w:rFonts w:ascii="SimSun" w:hAnsi="SimSun" w:eastAsia="SimSun" w:cs="SimSun"/>
          <w:b/>
          <w:color w:val="auto"/>
          <w:sz w:val="32"/>
        </w:rPr>
        <w:t xml:space="preserve">年6</w:t>
      </w:r>
      <w:r>
        <w:rPr>
          <w:rFonts w:ascii="SimSun" w:hAnsi="SimSun" w:eastAsia="SimSun" w:cs="SimSun"/>
          <w:b/>
          <w:color w:val="auto"/>
          <w:sz w:val="32"/>
        </w:rPr>
        <w:t xml:space="preserve">月24</w:t>
      </w:r>
      <w:r>
        <w:rPr>
          <w:rFonts w:ascii="SimSun" w:hAnsi="SimSun" w:eastAsia="SimSun" w:cs="SimSun"/>
          <w:b/>
          <w:color w:val="auto"/>
          <w:sz w:val="32"/>
        </w:rPr>
        <w:t xml:space="preserve">日</w:t>
      </w:r>
      <w:r>
        <w:rPr>
          <w:color w:val="auto"/>
        </w:rPr>
        <w:br w:type="page" w:clear="all"/>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44"/>
        </w:rPr>
        <w:t xml:space="preserve">总  目  录</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numPr>
          <w:ilvl w:val="0"/>
          <w:numId w:val="1"/>
        </w:numPr>
        <w:jc w:val="both"/>
        <w:spacing w:before="0" w:after="0" w:line="360" w:lineRule="auto"/>
        <w:tabs>
          <w:tab w:val="left" w:pos="1440" w:leader="none"/>
        </w:tabs>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6"/>
        </w:rPr>
        <w:t xml:space="preserve">投标邀请…………………………………… </w:t>
      </w:r>
      <w:r>
        <w:rPr>
          <w:color w:val="auto"/>
        </w:rPr>
      </w:r>
      <w:r/>
    </w:p>
    <w:p>
      <w:pPr>
        <w:numPr>
          <w:ilvl w:val="0"/>
          <w:numId w:val="1"/>
        </w:numPr>
        <w:jc w:val="both"/>
        <w:spacing w:before="0" w:after="0" w:line="360" w:lineRule="auto"/>
        <w:tabs>
          <w:tab w:val="left" w:pos="1440" w:leader="none"/>
        </w:tabs>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6"/>
        </w:rPr>
        <w:t xml:space="preserve">投标人须知…………………………………  </w:t>
      </w:r>
      <w:r>
        <w:rPr>
          <w:color w:val="auto"/>
        </w:rPr>
      </w:r>
      <w:r/>
    </w:p>
    <w:p>
      <w:pPr>
        <w:numPr>
          <w:ilvl w:val="0"/>
          <w:numId w:val="1"/>
        </w:numPr>
        <w:jc w:val="both"/>
        <w:spacing w:before="0" w:after="0" w:line="360" w:lineRule="auto"/>
        <w:tabs>
          <w:tab w:val="left" w:pos="1440" w:leader="none"/>
        </w:tabs>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6"/>
        </w:rPr>
        <w:t xml:space="preserve">合同文本……………………………………</w:t>
      </w:r>
      <w:r>
        <w:rPr>
          <w:color w:val="auto"/>
        </w:rPr>
      </w:r>
      <w:r/>
    </w:p>
    <w:p>
      <w:pPr>
        <w:numPr>
          <w:ilvl w:val="0"/>
          <w:numId w:val="1"/>
        </w:numPr>
        <w:jc w:val="both"/>
        <w:spacing w:before="0" w:after="0" w:line="360" w:lineRule="auto"/>
        <w:tabs>
          <w:tab w:val="left" w:pos="1440" w:leader="none"/>
        </w:tabs>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6"/>
        </w:rPr>
        <w:t xml:space="preserve">采购需求……………………………………</w:t>
      </w:r>
      <w:r>
        <w:rPr>
          <w:color w:val="auto"/>
        </w:rPr>
      </w:r>
      <w:r/>
    </w:p>
    <w:p>
      <w:pPr>
        <w:numPr>
          <w:ilvl w:val="0"/>
          <w:numId w:val="1"/>
        </w:numPr>
        <w:jc w:val="both"/>
        <w:spacing w:before="0" w:after="0" w:line="360" w:lineRule="auto"/>
        <w:tabs>
          <w:tab w:val="left" w:pos="1440" w:leader="none"/>
        </w:tabs>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6"/>
        </w:rPr>
        <w:t xml:space="preserve">评标方法与评标标准………………………</w:t>
      </w:r>
      <w:r>
        <w:rPr>
          <w:color w:val="auto"/>
        </w:rPr>
      </w:r>
      <w:r/>
    </w:p>
    <w:p>
      <w:pPr>
        <w:numPr>
          <w:ilvl w:val="0"/>
          <w:numId w:val="1"/>
        </w:numPr>
        <w:jc w:val="both"/>
        <w:spacing w:before="0" w:after="0" w:line="360" w:lineRule="auto"/>
        <w:tabs>
          <w:tab w:val="left" w:pos="1440" w:leader="none"/>
        </w:tabs>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6"/>
        </w:rPr>
        <w:t xml:space="preserve">投标文件格式………………………………</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r>
      <w:r>
        <w:rPr>
          <w:rFonts w:ascii="SimHei" w:hAnsi="SimHei" w:eastAsia="SimHei" w:cs="SimHei"/>
          <w:color w:val="auto"/>
          <w:sz w:val="44"/>
          <w:highlight w:val="none"/>
        </w:rPr>
        <w:br w:type="page" w:clear="all"/>
      </w:r>
      <w:r>
        <w:rPr>
          <w:color w:val="auto"/>
        </w:rPr>
      </w:r>
      <w:r/>
    </w:p>
    <w:p>
      <w:pPr>
        <w:ind w:lef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rPr>
        <w:t xml:space="preserve">第一章   投标邀请</w:t>
      </w:r>
      <w:r>
        <w:rPr>
          <w:color w:val="auto"/>
        </w:rPr>
      </w:r>
      <w:r/>
    </w:p>
    <w:p>
      <w:pPr>
        <w:ind w:left="1755"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rPr>
      </w:r>
      <w:r>
        <w:rPr>
          <w:color w:val="auto"/>
        </w:rPr>
      </w:r>
      <w:r/>
    </w:p>
    <w:p>
      <w:pPr>
        <w:ind w:left="0" w:right="0" w:firstLine="480"/>
        <w:jc w:val="both"/>
        <w:spacing w:before="0" w:after="0" w:line="360" w:lineRule="auto"/>
        <w:rPr>
          <w:rFonts w:ascii="SimSun" w:hAnsi="SimSun" w:eastAsia="SimSun" w:cs="SimSun"/>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受[</w:t>
      </w:r>
      <w:r>
        <w:rPr>
          <w:rFonts w:ascii="SimSun" w:hAnsi="SimSun" w:eastAsia="SimSun" w:cs="SimSun"/>
          <w:color w:val="auto"/>
          <w:sz w:val="24"/>
          <w:szCs w:val="24"/>
        </w:rPr>
        <w:t xml:space="preserve">泰州市海陵区数据局行政</w:t>
      </w:r>
      <w:r>
        <w:rPr>
          <w:rFonts w:ascii="SimSun" w:hAnsi="SimSun" w:eastAsia="SimSun" w:cs="SimSun"/>
          <w:color w:val="auto"/>
          <w:sz w:val="24"/>
          <w:szCs w:val="24"/>
        </w:rPr>
        <w:t xml:space="preserve">]的委托，泰州市海陵区政务服务中心就[</w:t>
      </w:r>
      <w:r>
        <w:rPr>
          <w:rFonts w:ascii="SimSun" w:hAnsi="SimSun" w:eastAsia="SimSun" w:cs="SimSun"/>
          <w:color w:val="auto"/>
          <w:sz w:val="24"/>
          <w:szCs w:val="24"/>
        </w:rPr>
        <w:t xml:space="preserve">海陵区政务服务中心弱电改造相关货物及服务采购</w:t>
      </w:r>
      <w:r>
        <w:rPr>
          <w:rFonts w:ascii="SimSun" w:hAnsi="SimSun" w:eastAsia="SimSun" w:cs="SimSun"/>
          <w:color w:val="auto"/>
          <w:sz w:val="24"/>
          <w:szCs w:val="24"/>
        </w:rPr>
        <w:t xml:space="preserve">]([</w:t>
      </w:r>
      <w:r>
        <w:rPr>
          <w:rFonts w:ascii="SimSun" w:hAnsi="SimSun" w:eastAsia="SimSun" w:cs="SimSun"/>
          <w:color w:val="auto"/>
          <w:sz w:val="24"/>
          <w:szCs w:val="24"/>
        </w:rPr>
        <w:t xml:space="preserve">JSZC-321202-JZCG-G2026-0004</w:t>
      </w:r>
      <w:r>
        <w:rPr>
          <w:rFonts w:ascii="SimSun" w:hAnsi="SimSun" w:eastAsia="SimSun" w:cs="SimSun"/>
          <w:color w:val="auto"/>
          <w:sz w:val="24"/>
          <w:szCs w:val="24"/>
        </w:rPr>
        <w:t xml:space="preserve">])项目进行公开招标采购，欢迎符合条件的供应商投标。</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highlight w:val="none"/>
        </w:rPr>
      </w:r>
      <w:r>
        <w:rPr>
          <w:color w:val="auto"/>
        </w:rPr>
      </w:r>
      <w:r/>
    </w:p>
    <w:p>
      <w:pPr>
        <w:ind w:left="0" w:right="0" w:firstLine="480"/>
        <w:jc w:val="both"/>
        <w:spacing w:before="0" w:after="0" w:line="360" w:lineRule="auto"/>
        <w:rPr>
          <w:color w:val="auto"/>
        </w:rPr>
        <w:pBdr>
          <w:top w:val="single" w:color="000000" w:sz="4" w:space="0"/>
          <w:left w:val="single" w:color="000000" w:sz="4" w:space="0"/>
          <w:bottom w:val="single" w:color="000000" w:sz="4" w:space="0"/>
          <w:right w:val="single" w:color="000000" w:sz="4" w:space="0"/>
        </w:pBdr>
      </w:pPr>
      <w:r>
        <w:rPr>
          <w:rFonts w:ascii="SimSun" w:hAnsi="SimSun" w:eastAsia="SimSun" w:cs="SimSun"/>
          <w:color w:val="auto"/>
          <w:sz w:val="24"/>
        </w:rPr>
        <w:t xml:space="preserve">项目概况</w:t>
      </w:r>
      <w:r>
        <w:rPr>
          <w:color w:val="auto"/>
        </w:rPr>
      </w:r>
      <w:r/>
    </w:p>
    <w:p>
      <w:pPr>
        <w:ind w:left="0" w:right="0" w:firstLine="480"/>
        <w:jc w:val="both"/>
        <w:spacing w:before="0" w:after="0" w:line="360" w:lineRule="auto"/>
        <w:rPr>
          <w:color w:val="auto"/>
        </w:rPr>
        <w:pBdr>
          <w:top w:val="single" w:color="000000" w:sz="4" w:space="0"/>
          <w:left w:val="single" w:color="000000" w:sz="4" w:space="0"/>
          <w:bottom w:val="single" w:color="000000" w:sz="4" w:space="0"/>
          <w:right w:val="single" w:color="000000" w:sz="4" w:space="0"/>
        </w:pBdr>
      </w:pPr>
      <w:r>
        <w:rPr>
          <w:rFonts w:ascii="SimSun" w:hAnsi="SimSun" w:eastAsia="SimSun" w:cs="SimSun"/>
          <w:color w:val="auto"/>
          <w:sz w:val="24"/>
          <w:szCs w:val="24"/>
          <w:u w:val="single"/>
        </w:rPr>
        <w:t xml:space="preserve"> (</w:t>
      </w:r>
      <w:r>
        <w:rPr>
          <w:rFonts w:ascii="SimSun" w:hAnsi="SimSun" w:eastAsia="SimSun" w:cs="SimSun"/>
          <w:color w:val="auto"/>
          <w:sz w:val="24"/>
          <w:szCs w:val="24"/>
          <w:u w:val="single"/>
        </w:rPr>
        <w:t xml:space="preserve">海陵区政务服务中心弱电改造相关货物及服务采购</w:t>
      </w:r>
      <w:r>
        <w:rPr>
          <w:rFonts w:ascii="SimSun" w:hAnsi="SimSun" w:eastAsia="SimSun" w:cs="SimSun"/>
          <w:color w:val="auto"/>
          <w:sz w:val="24"/>
          <w:szCs w:val="24"/>
          <w:u w:val="single"/>
        </w:rPr>
        <w:t xml:space="preserve">)</w:t>
      </w:r>
      <w:r>
        <w:rPr>
          <w:rFonts w:ascii="SimSun" w:hAnsi="SimSun" w:eastAsia="SimSun" w:cs="SimSun"/>
          <w:color w:val="auto"/>
          <w:sz w:val="24"/>
        </w:rPr>
        <w:t xml:space="preserve">招标项目的潜在投标人可在</w:t>
      </w:r>
      <w:r>
        <w:rPr>
          <w:rFonts w:ascii="SimSun" w:hAnsi="SimSun" w:eastAsia="SimSun" w:cs="SimSun"/>
          <w:color w:val="auto"/>
          <w:sz w:val="24"/>
          <w:u w:val="single"/>
        </w:rPr>
        <w:t xml:space="preserve">“江苏政府采购网”自行免费下载</w:t>
      </w:r>
      <w:r>
        <w:rPr>
          <w:rFonts w:ascii="SimSun" w:hAnsi="SimSun" w:eastAsia="SimSun" w:cs="SimSun"/>
          <w:color w:val="auto"/>
          <w:sz w:val="24"/>
        </w:rPr>
        <w:t xml:space="preserve">招标文件，并于</w:t>
      </w:r>
      <w:r>
        <w:rPr>
          <w:rFonts w:ascii="SimSun" w:hAnsi="SimSun" w:eastAsia="SimSun" w:cs="SimSun"/>
          <w:color w:val="auto"/>
          <w:sz w:val="24"/>
          <w:u w:val="single"/>
        </w:rPr>
        <w:t xml:space="preserve">2026年7月16日9点00分（</w:t>
      </w:r>
      <w:r>
        <w:rPr>
          <w:rFonts w:ascii="SimSun" w:hAnsi="SimSun" w:eastAsia="SimSun" w:cs="SimSun"/>
          <w:color w:val="auto"/>
          <w:sz w:val="24"/>
        </w:rPr>
        <w:t xml:space="preserve">北京时间）前递交投标文件。</w:t>
      </w:r>
      <w:r>
        <w:rPr>
          <w:color w:val="auto"/>
        </w:rPr>
      </w:r>
      <w:r/>
    </w:p>
    <w:p>
      <w:pPr>
        <w:ind w:left="0" w:right="0" w:firstLine="498"/>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一、项目基本情况</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1.项目编号：</w:t>
      </w:r>
      <w:r>
        <w:rPr>
          <w:rFonts w:ascii="SimSun" w:hAnsi="SimSun" w:eastAsia="SimSun" w:cs="SimSun"/>
          <w:color w:val="auto"/>
          <w:sz w:val="24"/>
          <w:szCs w:val="24"/>
        </w:rPr>
        <w:t xml:space="preserve">JSZC-321202-JZCG-G2026-0004</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2.项目名称：</w:t>
      </w:r>
      <w:r>
        <w:rPr>
          <w:rFonts w:ascii="SimSun" w:hAnsi="SimSun" w:eastAsia="SimSun" w:cs="SimSun"/>
          <w:color w:val="auto"/>
          <w:sz w:val="24"/>
          <w:szCs w:val="24"/>
        </w:rPr>
        <w:t xml:space="preserve">海陵区政务服务中心弱电改造相关货物及服务采购</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3.预算金额：245万元。</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4.最高限价：</w:t>
      </w:r>
      <w:r>
        <w:rPr>
          <w:rFonts w:ascii="SimSun" w:hAnsi="SimSun" w:eastAsia="SimSun" w:cs="SimSun"/>
          <w:color w:val="auto"/>
          <w:sz w:val="24"/>
          <w:szCs w:val="24"/>
        </w:rPr>
        <w:t xml:space="preserve">245</w:t>
      </w:r>
      <w:r>
        <w:rPr>
          <w:rFonts w:ascii="SimSun" w:hAnsi="SimSun" w:eastAsia="SimSun" w:cs="SimSun"/>
          <w:color w:val="auto"/>
          <w:sz w:val="24"/>
          <w:szCs w:val="24"/>
        </w:rPr>
        <w:t xml:space="preserve">万元。</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5.采购需求(简介)：</w:t>
      </w:r>
      <w:r>
        <w:rPr>
          <w:rFonts w:ascii="SimSun" w:hAnsi="SimSun" w:eastAsia="SimSun" w:cs="SimSun"/>
          <w:color w:val="auto"/>
          <w:sz w:val="24"/>
          <w:szCs w:val="24"/>
        </w:rPr>
        <w:t xml:space="preserve">现有区政务服务中心临时办事点（沈毅中学）利旧设备搬运至区政务服务中心原址（府前路</w:t>
      </w:r>
      <w:r>
        <w:rPr>
          <w:rFonts w:ascii="SimSun" w:hAnsi="SimSun" w:eastAsia="SimSun" w:cs="SimSun"/>
          <w:color w:val="auto"/>
          <w:sz w:val="24"/>
          <w:szCs w:val="24"/>
        </w:rPr>
        <w:t xml:space="preserve">3</w:t>
      </w:r>
      <w:r>
        <w:rPr>
          <w:rFonts w:ascii="SimSun" w:hAnsi="SimSun" w:eastAsia="SimSun" w:cs="SimSun"/>
          <w:color w:val="auto"/>
          <w:sz w:val="24"/>
          <w:szCs w:val="24"/>
        </w:rPr>
        <w:t xml:space="preserve">号）后，根据实际窗口人员工作需要，采购网络、监控、排队叫号系统相关的设施设备及原厂维保、各类其他设备维保、现场运维服务、设备搬迁、新设备及相关系统平台的适配、页面、叫号等调试工作。（如有需要，可至沈毅中学实地查看，预估工作量）</w:t>
      </w:r>
      <w:r>
        <w:rPr>
          <w:rFonts w:ascii="SimSun" w:hAnsi="SimSun" w:eastAsia="SimSun" w:cs="SimSun"/>
          <w:color w:val="auto"/>
          <w:sz w:val="24"/>
          <w:szCs w:val="24"/>
          <w14:ligatures w14:val="none"/>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r>
      <w:r>
        <w:rPr>
          <w:rFonts w:ascii="SimSun" w:hAnsi="SimSun" w:eastAsia="SimSun" w:cs="SimSun"/>
          <w:color w:val="auto"/>
          <w:sz w:val="24"/>
          <w:szCs w:val="24"/>
        </w:rPr>
        <w:t xml:space="preserve">（详细内容见本招标文件第四章）</w:t>
      </w:r>
      <w:r>
        <w:rPr>
          <w:rFonts w:ascii="SimSun" w:hAnsi="SimSun" w:eastAsia="SimSun" w:cs="SimSun"/>
          <w:color w:val="auto"/>
          <w:sz w:val="24"/>
          <w:szCs w:val="24"/>
          <w14:ligatures w14:val="none"/>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6.合同履行期限：</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r>
      <w:r>
        <w:rPr>
          <w:rFonts w:ascii="SimSun" w:hAnsi="SimSun" w:eastAsia="SimSun" w:cs="SimSun"/>
          <w:color w:val="auto"/>
          <w:sz w:val="24"/>
          <w:szCs w:val="24"/>
        </w:rPr>
        <w:t xml:space="preserve">（</w:t>
      </w:r>
      <w:r>
        <w:rPr>
          <w:rFonts w:ascii="SimSun" w:hAnsi="SimSun" w:eastAsia="SimSun" w:cs="SimSun"/>
          <w:color w:val="auto"/>
          <w:sz w:val="24"/>
          <w:szCs w:val="24"/>
        </w:rPr>
        <w:t xml:space="preserve">1</w:t>
      </w:r>
      <w:r>
        <w:rPr>
          <w:rFonts w:ascii="SimSun" w:hAnsi="SimSun" w:eastAsia="SimSun" w:cs="SimSun"/>
          <w:color w:val="auto"/>
          <w:sz w:val="24"/>
          <w:szCs w:val="24"/>
        </w:rPr>
        <w:t xml:space="preserve">）网络、监控、排队叫号系统相关的设施设备（货物）：合同盖章生效后及时实施（该项目所需建设及实施方案建议在</w:t>
      </w:r>
      <w:r>
        <w:rPr>
          <w:rFonts w:ascii="SimSun" w:hAnsi="SimSun" w:eastAsia="SimSun" w:cs="SimSun"/>
          <w:color w:val="auto"/>
          <w:sz w:val="24"/>
          <w:szCs w:val="24"/>
        </w:rPr>
        <w:t xml:space="preserve">1</w:t>
      </w:r>
      <w:r>
        <w:rPr>
          <w:rFonts w:ascii="SimSun" w:hAnsi="SimSun" w:eastAsia="SimSun" w:cs="SimSun"/>
          <w:color w:val="auto"/>
          <w:sz w:val="24"/>
          <w:szCs w:val="24"/>
        </w:rPr>
        <w:t xml:space="preserve">个月内制定、完善并及时实施，于</w:t>
      </w:r>
      <w:r>
        <w:rPr>
          <w:rFonts w:ascii="SimSun" w:hAnsi="SimSun" w:eastAsia="SimSun" w:cs="SimSun"/>
          <w:color w:val="auto"/>
          <w:sz w:val="24"/>
          <w:szCs w:val="24"/>
        </w:rPr>
        <w:t xml:space="preserve">9</w:t>
      </w:r>
      <w:r>
        <w:rPr>
          <w:rFonts w:ascii="SimSun" w:hAnsi="SimSun" w:eastAsia="SimSun" w:cs="SimSun"/>
          <w:color w:val="auto"/>
          <w:sz w:val="24"/>
          <w:szCs w:val="24"/>
        </w:rPr>
        <w:t xml:space="preserve">月底前完成安装调试及试运行工作）。</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w:t>
      </w:r>
      <w:r>
        <w:rPr>
          <w:rFonts w:ascii="SimSun" w:hAnsi="SimSun" w:eastAsia="SimSun" w:cs="SimSun"/>
          <w:color w:val="auto"/>
          <w:sz w:val="24"/>
          <w:szCs w:val="24"/>
        </w:rPr>
        <w:t xml:space="preserve">2</w:t>
      </w:r>
      <w:r>
        <w:rPr>
          <w:rFonts w:ascii="SimSun" w:hAnsi="SimSun" w:eastAsia="SimSun" w:cs="SimSun"/>
          <w:color w:val="auto"/>
          <w:sz w:val="24"/>
          <w:szCs w:val="24"/>
        </w:rPr>
        <w:t xml:space="preserve">）设施设备安装、适配、调试维保等相关的服务（服务）：期限为货物最终验收后三年。</w:t>
      </w:r>
      <w:r>
        <w:rPr>
          <w:rFonts w:ascii="SimSun" w:hAnsi="SimSun" w:eastAsia="SimSun" w:cs="SimSun"/>
          <w:color w:val="auto"/>
          <w:sz w:val="24"/>
          <w:szCs w:val="24"/>
          <w14:ligatures w14:val="none"/>
        </w:rPr>
      </w:r>
      <w:r/>
    </w:p>
    <w:p>
      <w:pPr>
        <w:ind w:left="0" w:right="0" w:firstLine="498"/>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二、申请人的资格要求</w:t>
      </w:r>
      <w:r>
        <w:rPr>
          <w:color w:val="auto"/>
        </w:rPr>
      </w:r>
      <w:r/>
    </w:p>
    <w:p>
      <w:pPr>
        <w:ind w:left="0" w:right="0" w:firstLine="56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（一）通用资格要求</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1.满足《中华人民共和国政府采购法》第二十二条规定，并提供下列材料：</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 法人或者其他组织的营业执照等证明文件，自然人的身份证明；</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1.2上一年度的财务状况报告（成立不满一年无需提供）；</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1.4具备履行合同所必需的设备和专业技术能力的书面声明；</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1.5参加政府采购活动前3年内在经营活动中没有重大违法记录的书面声明。</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w:t>
      </w:r>
      <w:r>
        <w:rPr>
          <w:rFonts w:ascii="SimSun" w:hAnsi="SimSun" w:eastAsia="SimSun" w:cs="SimSun"/>
          <w:color w:val="auto"/>
          <w:sz w:val="24"/>
          <w:szCs w:val="24"/>
        </w:rPr>
        <w:t xml:space="preserve">明材料）</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3.落实政府采购政策需满足的资格要求：无。</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4.联合体投标：本项目不接受联合体投标</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（二）本项目的特定资格要求：无。</w:t>
      </w:r>
      <w:r>
        <w:rPr>
          <w:color w:val="auto"/>
        </w:rPr>
      </w:r>
      <w:r/>
    </w:p>
    <w:p>
      <w:pPr>
        <w:ind w:left="0" w:right="0" w:firstLine="498"/>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三、获取招标文件</w:t>
      </w:r>
      <w:r>
        <w:rPr>
          <w:color w:val="auto"/>
        </w:rPr>
      </w:r>
      <w:r/>
    </w:p>
    <w:p>
      <w:pPr>
        <w:ind w:left="0" w:right="0" w:firstLine="5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1.时间：自招标文件公告发布之日起5个工作日。</w:t>
      </w:r>
      <w:r>
        <w:rPr>
          <w:color w:val="auto"/>
        </w:rPr>
      </w:r>
      <w:r/>
    </w:p>
    <w:p>
      <w:pPr>
        <w:ind w:left="0" w:right="0" w:firstLine="5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2.方式：在“江苏政府采购网”自行免费下载招标文件。</w:t>
      </w:r>
      <w:r>
        <w:rPr>
          <w:color w:val="auto"/>
        </w:rPr>
      </w:r>
      <w:r/>
    </w:p>
    <w:p>
      <w:pPr>
        <w:ind w:left="0" w:right="0" w:firstLine="498"/>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四、提交投标文件截止时间、开标时间和地点</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1.</w:t>
      </w:r>
      <w:r>
        <w:rPr>
          <w:rFonts w:ascii="SimSun" w:hAnsi="SimSun" w:eastAsia="SimSun" w:cs="SimSun"/>
          <w:color w:val="auto"/>
          <w:sz w:val="24"/>
          <w:szCs w:val="24"/>
        </w:rPr>
        <w:t xml:space="preserve">2026</w:t>
      </w:r>
      <w:r>
        <w:rPr>
          <w:rFonts w:ascii="SimSun" w:hAnsi="SimSun" w:eastAsia="SimSun" w:cs="SimSun"/>
          <w:color w:val="auto"/>
          <w:sz w:val="24"/>
          <w:szCs w:val="24"/>
        </w:rPr>
        <w:t xml:space="preserve">年7</w:t>
      </w:r>
      <w:r>
        <w:rPr>
          <w:rFonts w:ascii="SimSun" w:hAnsi="SimSun" w:eastAsia="SimSun" w:cs="SimSun"/>
          <w:color w:val="auto"/>
          <w:sz w:val="24"/>
          <w:szCs w:val="24"/>
        </w:rPr>
        <w:t xml:space="preserve">月</w:t>
      </w:r>
      <w:r>
        <w:rPr>
          <w:rFonts w:ascii="SimSun" w:hAnsi="SimSun" w:eastAsia="SimSun" w:cs="SimSun"/>
          <w:color w:val="auto"/>
          <w:sz w:val="24"/>
          <w:szCs w:val="24"/>
        </w:rPr>
        <w:t xml:space="preserve">16</w:t>
      </w:r>
      <w:r>
        <w:rPr>
          <w:rFonts w:ascii="SimSun" w:hAnsi="SimSun" w:eastAsia="SimSun" w:cs="SimSun"/>
          <w:color w:val="auto"/>
          <w:sz w:val="24"/>
          <w:szCs w:val="24"/>
        </w:rPr>
        <w:t xml:space="preserve">日9</w:t>
      </w:r>
      <w:r>
        <w:rPr>
          <w:rFonts w:ascii="SimSun" w:hAnsi="SimSun" w:eastAsia="SimSun" w:cs="SimSun"/>
          <w:color w:val="auto"/>
          <w:sz w:val="24"/>
          <w:szCs w:val="24"/>
        </w:rPr>
        <w:t xml:space="preserve">点00</w:t>
      </w:r>
      <w:r>
        <w:rPr>
          <w:rFonts w:ascii="SimSun" w:hAnsi="SimSun" w:eastAsia="SimSun" w:cs="SimSun"/>
          <w:color w:val="auto"/>
          <w:sz w:val="24"/>
          <w:szCs w:val="24"/>
        </w:rPr>
        <w:t xml:space="preserve">分（北京时间）。</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2.地点：“苏采云”政府采购交易系统网上开标大厅。</w:t>
      </w:r>
      <w:r>
        <w:rPr>
          <w:color w:val="auto"/>
        </w:rPr>
      </w:r>
      <w:r/>
    </w:p>
    <w:p>
      <w:pPr>
        <w:ind w:left="0" w:right="0" w:firstLine="498"/>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五、公告期限</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招标公告及招标文件公告期限为自本公告发布之日起5个工作日。</w:t>
      </w:r>
      <w:r>
        <w:rPr>
          <w:color w:val="auto"/>
        </w:rPr>
      </w:r>
      <w:r/>
    </w:p>
    <w:p>
      <w:pPr>
        <w:ind w:left="0" w:right="0" w:firstLine="498"/>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六、其他补充事宜</w:t>
      </w:r>
      <w:r>
        <w:rPr>
          <w:color w:val="auto"/>
        </w:rPr>
      </w:r>
      <w:r/>
    </w:p>
    <w:p>
      <w:pPr>
        <w:ind w:left="0" w:right="0" w:firstLine="482"/>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技术支持电话：0523-87633965、0523-86897512</w:t>
      </w:r>
      <w:r>
        <w:rPr>
          <w:color w:val="auto"/>
        </w:rPr>
      </w:r>
      <w:r/>
    </w:p>
    <w:p>
      <w:pPr>
        <w:ind w:left="0" w:right="0" w:firstLine="482"/>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客服QQ：709339244、1195486789 </w:t>
      </w:r>
      <w:r>
        <w:rPr>
          <w:color w:val="auto"/>
        </w:rPr>
      </w:r>
      <w:r/>
    </w:p>
    <w:p>
      <w:pPr>
        <w:ind w:left="0" w:right="0" w:firstLine="498"/>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七、本次招标联系方式</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1.采购人信息</w:t>
      </w:r>
      <w:r>
        <w:rPr>
          <w:color w:val="auto"/>
        </w:rPr>
      </w:r>
      <w:r/>
    </w:p>
    <w:p>
      <w:pPr>
        <w:ind w:left="0" w:right="0" w:firstLine="480"/>
        <w:spacing w:before="0" w:after="0" w:line="360" w:lineRule="auto"/>
        <w:rPr>
          <w:rFonts w:ascii="SimSun" w:hAnsi="SimSun" w:eastAsia="SimSun" w:cs="SimSun"/>
          <w:color w:val="auto"/>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名 称：</w:t>
      </w:r>
      <w:r>
        <w:rPr>
          <w:rFonts w:ascii="SimSun" w:hAnsi="SimSun" w:eastAsia="SimSun" w:cs="SimSun"/>
          <w:color w:val="auto"/>
          <w:sz w:val="24"/>
          <w:szCs w:val="24"/>
          <w:u w:val="single"/>
        </w:rPr>
        <w:t xml:space="preserve">泰州市海陵区数据局行政</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地 址：</w:t>
      </w:r>
      <w:r>
        <w:rPr>
          <w:rFonts w:ascii="SimSun" w:hAnsi="SimSun" w:eastAsia="SimSun" w:cs="SimSun"/>
          <w:color w:val="auto"/>
          <w:sz w:val="24"/>
          <w:u w:val="single"/>
        </w:rPr>
        <w:t xml:space="preserve">泰州市海陵区沈毅中学（海陵区政务服务中心临时办事点）</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联系人：</w:t>
      </w:r>
      <w:r>
        <w:rPr>
          <w:rFonts w:ascii="SimSun" w:hAnsi="SimSun" w:eastAsia="SimSun" w:cs="SimSun"/>
          <w:color w:val="auto"/>
          <w:sz w:val="24"/>
          <w:szCs w:val="24"/>
          <w:u w:val="single"/>
        </w:rPr>
        <w:t xml:space="preserve">顾先生</w:t>
      </w:r>
      <w:r>
        <w:rPr>
          <w:color w:val="auto"/>
        </w:rPr>
      </w:r>
      <w:r/>
    </w:p>
    <w:p>
      <w:pPr>
        <w:ind w:left="0" w:right="0" w:firstLine="480"/>
        <w:spacing w:before="0" w:after="0" w:line="360" w:lineRule="auto"/>
        <w:rPr>
          <w:rFonts w:ascii="SimSun" w:hAnsi="SimSun" w:eastAsia="SimSun" w:cs="SimSun"/>
          <w:color w:val="auto"/>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联系方式：</w:t>
      </w:r>
      <w:r>
        <w:rPr>
          <w:rFonts w:ascii="SimSun" w:hAnsi="SimSun" w:eastAsia="SimSun" w:cs="SimSun"/>
          <w:color w:val="auto"/>
          <w:sz w:val="24"/>
          <w:szCs w:val="24"/>
          <w:u w:val="single"/>
        </w:rPr>
        <w:t xml:space="preserve">0523-</w:t>
      </w:r>
      <w:r>
        <w:rPr>
          <w:rFonts w:ascii="SimSun" w:hAnsi="SimSun" w:eastAsia="SimSun" w:cs="SimSun"/>
          <w:color w:val="auto"/>
          <w:sz w:val="24"/>
          <w:szCs w:val="24"/>
          <w:u w:val="single"/>
        </w:rPr>
        <w:t xml:space="preserve">86242228</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2.泰州市海陵区政务服务中心信息</w:t>
      </w:r>
      <w:r>
        <w:rPr>
          <w:color w:val="auto"/>
        </w:rPr>
      </w:r>
      <w:r/>
    </w:p>
    <w:p>
      <w:pPr>
        <w:ind w:left="0" w:right="0" w:firstLine="7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地 址：</w:t>
      </w:r>
      <w:r>
        <w:rPr>
          <w:rFonts w:ascii="SimSun" w:hAnsi="SimSun" w:eastAsia="SimSun" w:cs="SimSun"/>
          <w:color w:val="auto"/>
          <w:sz w:val="24"/>
          <w:u w:val="single"/>
        </w:rPr>
        <w:t xml:space="preserve">泰州市海陵区沈毅中学（海陵区政务服务中心临时办事点）</w:t>
      </w:r>
      <w:r>
        <w:rPr>
          <w:color w:val="auto"/>
        </w:rPr>
      </w:r>
      <w:r/>
    </w:p>
    <w:p>
      <w:pPr>
        <w:ind w:left="0" w:right="0" w:firstLine="7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联系人：</w:t>
      </w:r>
      <w:r>
        <w:rPr>
          <w:rFonts w:ascii="SimSun" w:hAnsi="SimSun" w:eastAsia="SimSun" w:cs="SimSun"/>
          <w:color w:val="auto"/>
          <w:sz w:val="24"/>
          <w:u w:val="single"/>
        </w:rPr>
        <w:t xml:space="preserve">阚女士</w:t>
      </w:r>
      <w:r>
        <w:rPr>
          <w:color w:val="auto"/>
        </w:rPr>
      </w:r>
      <w:r/>
    </w:p>
    <w:p>
      <w:pPr>
        <w:ind w:left="0" w:right="0" w:firstLine="7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联系方式：</w:t>
      </w:r>
      <w:r>
        <w:rPr>
          <w:rFonts w:ascii="SimSun" w:hAnsi="SimSun" w:eastAsia="SimSun" w:cs="SimSun"/>
          <w:color w:val="auto"/>
          <w:sz w:val="24"/>
          <w:u w:val="single"/>
        </w:rPr>
        <w:t xml:space="preserve">0523-86242503</w:t>
      </w:r>
      <w:r>
        <w:rPr>
          <w:color w:val="auto"/>
        </w:rPr>
      </w:r>
      <w:r/>
    </w:p>
    <w:p>
      <w:pPr>
        <w:ind w:left="0" w:right="0" w:firstLine="498"/>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八、其他</w:t>
      </w:r>
      <w:r>
        <w:rPr>
          <w:color w:val="auto"/>
        </w:rPr>
      </w:r>
      <w:r/>
    </w:p>
    <w:p>
      <w:pPr>
        <w:ind w:left="0" w:right="0" w:firstLine="480"/>
        <w:jc w:val="both"/>
        <w:spacing w:before="0" w:after="0" w:line="360" w:lineRule="auto"/>
        <w:tabs>
          <w:tab w:val="left" w:pos="90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w:t>
      </w:r>
      <w:r>
        <w:rPr>
          <w:rFonts w:ascii="SimSun" w:hAnsi="SimSun" w:eastAsia="SimSun" w:cs="SimSun"/>
          <w:color w:val="auto"/>
          <w:sz w:val="24"/>
        </w:rPr>
        <w:t xml:space="preserve">633ce9.html。</w:t>
      </w:r>
      <w:r>
        <w:rPr>
          <w:color w:val="auto"/>
        </w:rPr>
      </w:r>
      <w:r/>
    </w:p>
    <w:p>
      <w:pPr>
        <w:ind w:left="0" w:right="0" w:firstLine="480"/>
        <w:jc w:val="both"/>
        <w:spacing w:before="0" w:after="0" w:line="360" w:lineRule="auto"/>
        <w:tabs>
          <w:tab w:val="left" w:pos="90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领取CA和办理电子签章（请至泰州市高港区泰州大道388号（原中国医药城会展服务中心W3馆西南角）公共资源服务中心一楼大厅6号窗口办理，具体联系方式见《苏采云系统供应商操作手册》（以下简称《操作手册》））、进行注册并按《操作手册》要求制作、上传电子响应文件。</w:t>
      </w:r>
      <w:r>
        <w:rPr>
          <w:color w:val="auto"/>
        </w:rPr>
      </w:r>
      <w:r/>
    </w:p>
    <w:p>
      <w:pPr>
        <w:ind w:left="0" w:right="0" w:firstLine="480"/>
        <w:jc w:val="both"/>
        <w:spacing w:before="0" w:after="0" w:line="360" w:lineRule="auto"/>
        <w:tabs>
          <w:tab w:val="left" w:pos="90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2.有关本次招标的事项若存在变动或修改，敬请及时关注泰州市海陵区政务服务中心在“江苏政府采购网”发布的更正公告。</w:t>
      </w:r>
      <w:r>
        <w:rPr>
          <w:color w:val="auto"/>
        </w:rPr>
      </w:r>
      <w:r/>
    </w:p>
    <w:p>
      <w:pPr>
        <w:ind w:left="0" w:right="0" w:firstLine="480"/>
        <w:jc w:val="both"/>
        <w:spacing w:before="0" w:after="0" w:line="360" w:lineRule="auto"/>
        <w:tabs>
          <w:tab w:val="left" w:pos="90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3.本次招标不收取投标保证金。</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840" w:firstLine="24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44"/>
        </w:rPr>
        <w:t xml:space="preserve">第二章  投标人须知</w:t>
      </w:r>
      <w:r>
        <w:rPr>
          <w:color w:val="auto"/>
        </w:rPr>
      </w:r>
      <w:r/>
    </w:p>
    <w:p>
      <w:pPr>
        <w:ind w:left="0" w:right="0" w:firstLine="498"/>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32"/>
        </w:rPr>
        <w:t xml:space="preserve"> </w:t>
      </w:r>
      <w:r>
        <w:rPr>
          <w:color w:val="auto"/>
        </w:rPr>
      </w:r>
      <w:r/>
    </w:p>
    <w:p>
      <w:pPr>
        <w:ind w:left="0" w:right="0" w:firstLine="498"/>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一、总则</w:t>
      </w:r>
      <w:r>
        <w:rPr>
          <w:color w:val="auto"/>
        </w:rPr>
      </w:r>
      <w:r/>
    </w:p>
    <w:p>
      <w:pPr>
        <w:ind w:left="0" w:right="0" w:firstLine="4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w:t>
      </w:r>
      <w:r>
        <w:rPr>
          <w:rFonts w:ascii="SimHei" w:hAnsi="SimHei" w:eastAsia="SimHei" w:cs="SimHei"/>
          <w:color w:val="auto"/>
          <w:sz w:val="28"/>
        </w:rPr>
        <w:t xml:space="preserve">、招标方式</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1.1本次招标采取公开招标方式，本招标文件仅适用于招标公告中所述项目。</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w:t>
      </w:r>
      <w:r>
        <w:rPr>
          <w:rFonts w:ascii="SimHei" w:hAnsi="SimHei" w:eastAsia="SimHei" w:cs="SimHei"/>
          <w:color w:val="auto"/>
          <w:sz w:val="28"/>
        </w:rPr>
        <w:t xml:space="preserve">、合格的投标人</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2.1满足招标公告中供应商的资格要求的规定。</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2.2 满足本文件实质性要求的规定。</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3</w:t>
      </w:r>
      <w:r>
        <w:rPr>
          <w:rFonts w:ascii="SimHei" w:hAnsi="SimHei" w:eastAsia="SimHei" w:cs="SimHei"/>
          <w:color w:val="auto"/>
          <w:sz w:val="28"/>
        </w:rPr>
        <w:t xml:space="preserve">、适用法律</w:t>
      </w:r>
      <w:r>
        <w:rPr>
          <w:color w:val="auto"/>
        </w:rPr>
      </w:r>
      <w:r/>
    </w:p>
    <w:p>
      <w:pPr>
        <w:ind w:left="0" w:right="0" w:firstLine="4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3.1本次招标及由此产生的合同受中华人民共和国有关的法律法规制约和保护。</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4</w:t>
      </w:r>
      <w:r>
        <w:rPr>
          <w:rFonts w:ascii="SimHei" w:hAnsi="SimHei" w:eastAsia="SimHei" w:cs="SimHei"/>
          <w:color w:val="auto"/>
          <w:sz w:val="28"/>
        </w:rPr>
        <w:t xml:space="preserve">、投标费用</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4.1投标人应自行承担所有与参加投标有关的费用，无论投标过程中的做法和结果如何，泰州市海陵区政务服务中心（以下简称服务中心）在任何情况下均无义务和责任承担这些费用。</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4.2本次招标服务中心和采购人不收取标书工本费与中标服务费。</w:t>
      </w:r>
      <w:r>
        <w:rPr>
          <w:color w:val="auto"/>
        </w:rPr>
      </w:r>
      <w:r/>
    </w:p>
    <w:p>
      <w:pPr>
        <w:ind w:left="0" w:right="0" w:firstLine="452"/>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5</w:t>
      </w:r>
      <w:r>
        <w:rPr>
          <w:rFonts w:ascii="SimHei" w:hAnsi="SimHei" w:eastAsia="SimHei" w:cs="SimHei"/>
          <w:b/>
          <w:color w:val="auto"/>
          <w:sz w:val="30"/>
        </w:rPr>
        <w:t xml:space="preserve">、</w:t>
      </w:r>
      <w:r>
        <w:rPr>
          <w:rFonts w:ascii="SimHei" w:hAnsi="SimHei" w:eastAsia="SimHei" w:cs="SimHei"/>
          <w:color w:val="auto"/>
          <w:sz w:val="28"/>
        </w:rPr>
        <w:t xml:space="preserve">招标文件的约束力</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5.1 投标人一旦参加本项目采购活动，即被认为接受了本招标文件的规定和约束。</w:t>
      </w:r>
      <w:r>
        <w:rPr>
          <w:color w:val="auto"/>
        </w:rPr>
      </w:r>
      <w:r/>
    </w:p>
    <w:p>
      <w:pPr>
        <w:ind w:left="0" w:right="0" w:firstLine="321"/>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二、招标文件</w:t>
      </w:r>
      <w:r>
        <w:rPr>
          <w:color w:val="auto"/>
        </w:rPr>
      </w:r>
      <w:r/>
    </w:p>
    <w:p>
      <w:pPr>
        <w:ind w:left="0" w:right="0" w:firstLine="4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6</w:t>
      </w:r>
      <w:r>
        <w:rPr>
          <w:rFonts w:ascii="SimHei" w:hAnsi="SimHei" w:eastAsia="SimHei" w:cs="SimHei"/>
          <w:color w:val="auto"/>
          <w:sz w:val="28"/>
        </w:rPr>
        <w:t xml:space="preserve">、招标文件构成</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6.1 招标文件由以下部分组成：</w:t>
      </w:r>
      <w:r>
        <w:rPr>
          <w:color w:val="auto"/>
        </w:rPr>
      </w:r>
      <w:r/>
    </w:p>
    <w:p>
      <w:pPr>
        <w:ind w:left="0" w:right="0" w:firstLine="36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（1）投标邀请</w:t>
      </w:r>
      <w:r>
        <w:rPr>
          <w:color w:val="auto"/>
        </w:rPr>
      </w:r>
      <w:r/>
    </w:p>
    <w:p>
      <w:pPr>
        <w:ind w:left="0" w:right="0" w:firstLine="36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（2）投标人须知</w:t>
      </w:r>
      <w:r>
        <w:rPr>
          <w:color w:val="auto"/>
        </w:rPr>
      </w:r>
      <w:r/>
    </w:p>
    <w:p>
      <w:pPr>
        <w:ind w:left="0" w:right="0" w:firstLine="36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（3）合同文本</w:t>
      </w:r>
      <w:r>
        <w:rPr>
          <w:color w:val="auto"/>
        </w:rPr>
      </w:r>
      <w:r/>
    </w:p>
    <w:p>
      <w:pPr>
        <w:ind w:left="0" w:right="0" w:firstLine="36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（4）采购需求</w:t>
      </w:r>
      <w:r>
        <w:rPr>
          <w:color w:val="auto"/>
        </w:rPr>
      </w:r>
      <w:r/>
    </w:p>
    <w:p>
      <w:pPr>
        <w:ind w:left="0" w:right="0" w:firstLine="36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（5）评标方法与评标标准</w:t>
      </w:r>
      <w:r>
        <w:rPr>
          <w:color w:val="auto"/>
        </w:rPr>
      </w:r>
      <w:r/>
    </w:p>
    <w:p>
      <w:pPr>
        <w:ind w:left="0" w:right="0" w:firstLine="36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（6）投标文件格式</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请仔细检查招标文件是否齐全，如有缺漏请立即与服务中心联系解决。</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r/>
    </w:p>
    <w:p>
      <w:pPr>
        <w:ind w:left="0" w:right="0" w:firstLine="56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7</w:t>
      </w:r>
      <w:r>
        <w:rPr>
          <w:rFonts w:ascii="SimHei" w:hAnsi="SimHei" w:eastAsia="SimHei" w:cs="SimHei"/>
          <w:color w:val="auto"/>
          <w:sz w:val="28"/>
        </w:rPr>
        <w:t xml:space="preserve">、招标文件的澄清</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7.1任何要求对招标文件进行澄清的投标人，应在投标截止期</w:t>
      </w:r>
      <w:r>
        <w:rPr>
          <w:rFonts w:ascii="SimSun" w:hAnsi="SimSun" w:eastAsia="SimSun" w:cs="SimSun"/>
          <w:b/>
          <w:color w:val="auto"/>
          <w:sz w:val="24"/>
        </w:rPr>
        <w:t xml:space="preserve">十日</w:t>
      </w:r>
      <w:r>
        <w:rPr>
          <w:rFonts w:ascii="SimSun" w:hAnsi="SimSun" w:eastAsia="SimSun" w:cs="SimSun"/>
          <w:color w:val="auto"/>
          <w:sz w:val="24"/>
        </w:rPr>
        <w:t xml:space="preserve">前按招标公告中的通讯地址，以书面形式通知服务中心。</w:t>
      </w:r>
      <w:r>
        <w:rPr>
          <w:color w:val="auto"/>
        </w:rPr>
      </w:r>
      <w:r/>
    </w:p>
    <w:p>
      <w:pPr>
        <w:ind w:left="0" w:right="0" w:firstLine="56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8</w:t>
      </w:r>
      <w:r>
        <w:rPr>
          <w:rFonts w:ascii="SimHei" w:hAnsi="SimHei" w:eastAsia="SimHei" w:cs="SimHei"/>
          <w:color w:val="auto"/>
          <w:sz w:val="28"/>
        </w:rPr>
        <w:t xml:space="preserve">、招标文件的修改</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8.1 在投标截止时间前，服务中心可以对招标文件进行修改。</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8.2 服务中心有权按照法定的要求推迟投标截止日期和开标日期。</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8.3招标文件的修改将在江苏政府采购网公布，补充文件将作为招标文件的组成部分，并对投标人具有约束力。</w:t>
      </w:r>
      <w:r>
        <w:rPr>
          <w:color w:val="auto"/>
        </w:rPr>
      </w:r>
      <w:r/>
    </w:p>
    <w:p>
      <w:pPr>
        <w:ind w:left="0" w:right="0" w:firstLine="482"/>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三、投标文件的编制</w:t>
      </w:r>
      <w:r>
        <w:rPr>
          <w:color w:val="auto"/>
        </w:rPr>
      </w:r>
      <w:r/>
    </w:p>
    <w:p>
      <w:pPr>
        <w:ind w:left="0" w:right="0" w:firstLine="56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9</w:t>
      </w:r>
      <w:r>
        <w:rPr>
          <w:rFonts w:ascii="SimHei" w:hAnsi="SimHei" w:eastAsia="SimHei" w:cs="SimHei"/>
          <w:color w:val="auto"/>
          <w:sz w:val="28"/>
        </w:rPr>
        <w:t xml:space="preserve">、投标文件的语言及度量衡单位</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9.1投标人提交的投标文件以及投标人与服务中心就有关投标的所有来往通知、函件和文件均应使用</w:t>
      </w:r>
      <w:r>
        <w:rPr>
          <w:rFonts w:ascii="SimSun" w:hAnsi="SimSun" w:eastAsia="SimSun" w:cs="SimSun"/>
          <w:b/>
          <w:color w:val="auto"/>
          <w:sz w:val="24"/>
        </w:rPr>
        <w:t xml:space="preserve">简体中文</w:t>
      </w:r>
      <w:r>
        <w:rPr>
          <w:rFonts w:ascii="SimSun" w:hAnsi="SimSun" w:eastAsia="SimSun" w:cs="SimSun"/>
          <w:color w:val="auto"/>
          <w:sz w:val="24"/>
        </w:rPr>
        <w:t xml:space="preserve">。</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9.2除技术性能另有规定外，投标文件所使用的度量衡单位，均须采用国家法定计量单位。</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10</w:t>
      </w:r>
      <w:r>
        <w:rPr>
          <w:rFonts w:ascii="SimHei" w:hAnsi="SimHei" w:eastAsia="SimHei" w:cs="SimHei"/>
          <w:color w:val="auto"/>
          <w:sz w:val="28"/>
        </w:rPr>
        <w:t xml:space="preserve">、投标文件构成</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10.1投标人编写的投标文件应包括资格证明文件、实质性要求响应及偏离表、投标分项报价表、技术要求响应及偏离表、商务要求响应及偏离表、其他证明文件、投标函、开标一览表等部分。</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10.2如标书制作工具中格式和内容与“江苏政府采购网”发布的招标文件不一致，请以“江苏政府采购网”发布的招标文件为准。</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11</w:t>
      </w:r>
      <w:r>
        <w:rPr>
          <w:rFonts w:ascii="SimHei" w:hAnsi="SimHei" w:eastAsia="SimHei" w:cs="SimHei"/>
          <w:color w:val="auto"/>
          <w:sz w:val="28"/>
        </w:rPr>
        <w:t xml:space="preserve">、证明投标人及投标标的符合招标文件规定的文件</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11.1投标人应按照招标文件要求提交证明文件，证明其及投标标的符合招标文件规定。</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11.2招标文件对证明文件无明确形式要求的，证明文件可以以文字资料、图纸和数据等形式提交。</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12</w:t>
      </w:r>
      <w:r>
        <w:rPr>
          <w:rFonts w:ascii="SimHei" w:hAnsi="SimHei" w:eastAsia="SimHei" w:cs="SimHei"/>
          <w:color w:val="auto"/>
          <w:sz w:val="28"/>
        </w:rPr>
        <w:t xml:space="preserve">、投标分项报价表</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12.1 投标人按照招标文件规定格式填报投标分项报价表。</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12.2投标货币。投标文件中的单价和总价无特殊规定的采用人民币报价，以元为单位标注。招标文件中另有规定的按规定执行。</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13</w:t>
      </w:r>
      <w:r>
        <w:rPr>
          <w:rFonts w:ascii="SimHei" w:hAnsi="SimHei" w:eastAsia="SimHei" w:cs="SimHei"/>
          <w:color w:val="auto"/>
          <w:sz w:val="28"/>
        </w:rPr>
        <w:t xml:space="preserve">、技术要求响应及偏离表、商务要求响应及偏离表</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13.1 投标人需对招标文件中的技术要求与商务要求逐项作出响应或偏离，并说明原因。</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13.2投标人需按照招标文件要求，在投标文件中提供与技术要求和商务要求相关的证明材料。</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14</w:t>
      </w:r>
      <w:r>
        <w:rPr>
          <w:rFonts w:ascii="SimHei" w:hAnsi="SimHei" w:eastAsia="SimHei" w:cs="SimHei"/>
          <w:color w:val="auto"/>
          <w:sz w:val="28"/>
        </w:rPr>
        <w:t xml:space="preserve">、服务承诺、培训计划、人员安排及其他</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14.1投标人需根据招标文件要求提供有关售后服务的管理制度，售后服务机构的分布情况，售后服务人员的数量、素质、技术水平及售后服务的反应能力等。</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14.2投标人需根据招标文件要求提供培训计划。</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14.3投标人需根据招标文件要求提供所投标的的主要组成部分、功能设计、实现思路及关键技术等。</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15</w:t>
      </w:r>
      <w:r>
        <w:rPr>
          <w:rFonts w:ascii="SimHei" w:hAnsi="SimHei" w:eastAsia="SimHei" w:cs="SimHei"/>
          <w:color w:val="auto"/>
          <w:sz w:val="28"/>
        </w:rPr>
        <w:t xml:space="preserve">、投标函和开标一览表</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15.1 投标人应按照招标文件中提供的格式完整、正确填写投标函、开标一览表。</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15.2对于采用货币报价的项目，开标一览表中的投标总报价应与投标分项报价表中的投标总报价一致，如不一致，不作为无效投标处理，但评标时按开标一览表中价格为准。</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16</w:t>
      </w:r>
      <w:r>
        <w:rPr>
          <w:rFonts w:ascii="SimHei" w:hAnsi="SimHei" w:eastAsia="SimHei" w:cs="SimHei"/>
          <w:color w:val="auto"/>
          <w:sz w:val="28"/>
        </w:rPr>
        <w:t xml:space="preserve">、投标有效期</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16.1投标有效期为服务中心规定的开标之日后</w:t>
      </w:r>
      <w:r>
        <w:rPr>
          <w:rFonts w:ascii="SimSun" w:hAnsi="SimSun" w:eastAsia="SimSun" w:cs="SimSun"/>
          <w:b/>
          <w:color w:val="auto"/>
          <w:sz w:val="24"/>
          <w:u w:val="single"/>
        </w:rPr>
        <w:t xml:space="preserve">六十（</w:t>
      </w:r>
      <w:r>
        <w:rPr>
          <w:rFonts w:ascii="FangSong" w:hAnsi="FangSong" w:eastAsia="FangSong" w:cs="FangSong"/>
          <w:b/>
          <w:color w:val="auto"/>
          <w:sz w:val="24"/>
          <w:u w:val="single"/>
        </w:rPr>
        <w:t xml:space="preserve">60</w:t>
      </w:r>
      <w:r>
        <w:rPr>
          <w:rFonts w:ascii="SimSun" w:hAnsi="SimSun" w:eastAsia="SimSun" w:cs="SimSun"/>
          <w:b/>
          <w:color w:val="auto"/>
          <w:sz w:val="24"/>
          <w:u w:val="single"/>
        </w:rPr>
        <w:t xml:space="preserve">）天</w:t>
      </w:r>
      <w:r>
        <w:rPr>
          <w:rFonts w:ascii="SimSun" w:hAnsi="SimSun" w:eastAsia="SimSun" w:cs="SimSun"/>
          <w:color w:val="auto"/>
          <w:sz w:val="24"/>
        </w:rPr>
        <w:t xml:space="preserve">。投标有效期比规定短的将被视为未实质性响应招标文件而予以拒绝。</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17</w:t>
      </w:r>
      <w:r>
        <w:rPr>
          <w:rFonts w:ascii="SimHei" w:hAnsi="SimHei" w:eastAsia="SimHei" w:cs="SimHei"/>
          <w:color w:val="auto"/>
          <w:sz w:val="28"/>
        </w:rPr>
        <w:t xml:space="preserve">、投标有效期的延长</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17.1在特殊情况下，服务中心于原投标有效期满之前，可向投标人提出延长投标有效期的要求。这种要求与答复均应采用书面形式。投标人可以拒绝服务中心的这一要求而放弃投标，同意延长投标有效期的投标人既不能要求也不允许修改其投标文件。受投标有效期约束的所有权利与义务均延长至新的有效期。</w:t>
      </w:r>
      <w:r>
        <w:rPr>
          <w:color w:val="auto"/>
        </w:rPr>
      </w:r>
      <w:r/>
    </w:p>
    <w:p>
      <w:pPr>
        <w:ind w:left="0" w:right="0" w:firstLine="0"/>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四、投标文件的递交</w:t>
      </w:r>
      <w:r>
        <w:rPr>
          <w:color w:val="auto"/>
        </w:rPr>
      </w:r>
      <w:r/>
    </w:p>
    <w:p>
      <w:pPr>
        <w:ind w:left="0" w:right="0" w:firstLine="4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18</w:t>
      </w:r>
      <w:r>
        <w:rPr>
          <w:rFonts w:ascii="SimHei" w:hAnsi="SimHei" w:eastAsia="SimHei" w:cs="SimHei"/>
          <w:color w:val="auto"/>
          <w:sz w:val="28"/>
        </w:rPr>
        <w:t xml:space="preserve">、电子投标文件的递交</w:t>
      </w:r>
      <w:r>
        <w:rPr>
          <w:color w:val="auto"/>
        </w:rPr>
      </w:r>
      <w:r/>
    </w:p>
    <w:p>
      <w:pPr>
        <w:ind w:left="525"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18.1投标人应当按照《操作手册》规定，在投标截止时间前制作并上传电子投标</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文件。</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19</w:t>
      </w:r>
      <w:r>
        <w:rPr>
          <w:rFonts w:ascii="SimHei" w:hAnsi="SimHei" w:eastAsia="SimHei" w:cs="SimHei"/>
          <w:color w:val="auto"/>
          <w:sz w:val="28"/>
        </w:rPr>
        <w:t xml:space="preserve">、投标截止日期</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19.1 投标人上传电子投标文件的时间不得迟于招标公告中规定的投标截止时间。</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投标人应充分考虑到网络环境、网络带宽等风险因素，如因投标人自身原因造成的电子投标文件上传不成功的按照本招标文件第二章第27.1.2条规定做无效投标处理。</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19.2 服务中心可以按照规定，通过修改招标文件酌情延长投标截止日期，在此情况下，投标人的所有权利和义务以及投标人受制的截止日期均应以延长后新的截止日期为准。</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20</w:t>
      </w:r>
      <w:r>
        <w:rPr>
          <w:rFonts w:ascii="SimHei" w:hAnsi="SimHei" w:eastAsia="SimHei" w:cs="SimHei"/>
          <w:color w:val="auto"/>
          <w:sz w:val="28"/>
        </w:rPr>
        <w:t xml:space="preserve">、投标文件的拒收</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20.1 服务中心拒绝接收在其规定的投标截止时间后上传的任何投标文件。</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21</w:t>
      </w:r>
      <w:r>
        <w:rPr>
          <w:rFonts w:ascii="SimHei" w:hAnsi="SimHei" w:eastAsia="SimHei" w:cs="SimHei"/>
          <w:color w:val="auto"/>
          <w:sz w:val="28"/>
        </w:rPr>
        <w:t xml:space="preserve">、投标文件的撤回和修改</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21.1投标文件的撤回</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21.1.1电子投标文件的撤回</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投标人可在投标截止时间前，撤回其电子投标文件，具体操作方法见《操作手册》。</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21.1.2 投标人撤回电子投标文件，则认为其不再参与本项目投标活动。</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21.2 投标文件的修改</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21.2.1投标人可在投标截止时间前，对其电子投标文件进行修改，具体操作方法见《操作手册》。</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21.2.2 在投标截止时间之后，投标人不得对其电子投标文件作任何修改。</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21.3在投标截止时间至招标文件中规定的投标有效期满之间的这段时间内，投标人不得撤回其投标。</w:t>
      </w:r>
      <w:r>
        <w:rPr>
          <w:color w:val="auto"/>
        </w:rPr>
      </w:r>
      <w:r/>
    </w:p>
    <w:p>
      <w:pPr>
        <w:ind w:left="0" w:right="0" w:firstLine="482"/>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五、开标与评标</w:t>
      </w:r>
      <w:r>
        <w:rPr>
          <w:color w:val="auto"/>
        </w:rPr>
      </w:r>
      <w:r/>
    </w:p>
    <w:p>
      <w:pPr>
        <w:ind w:left="0" w:right="0" w:firstLine="4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22</w:t>
      </w:r>
      <w:r>
        <w:rPr>
          <w:rFonts w:ascii="SimHei" w:hAnsi="SimHei" w:eastAsia="SimHei" w:cs="SimHei"/>
          <w:color w:val="auto"/>
          <w:sz w:val="28"/>
        </w:rPr>
        <w:t xml:space="preserve">、开标</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22.1服务中心将在招标公告中规定的时间和地点组织公开开标。投标人应当按照《操作手册》规定，参加开标活动和在苏采云系统规定的时间内对投标文件进行解密。</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22.2开标仪式由服务中心组织。苏采云系统将自动对项目进行开标，并宣布各投标人名称和投标价格。</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22.3投标人在开标过程中涉及到的投标文件解密、开标结果确认等工作，应按照《操作手册》规定执行。</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22.4投标人如果对开标过程和开标记录有疑义，应当根据《操作手册》规定提出，如苏采云系统中《开标记录表》宣布后5分钟内未提出的，视同认可开标结果。</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23</w:t>
      </w:r>
      <w:r>
        <w:rPr>
          <w:rFonts w:ascii="SimHei" w:hAnsi="SimHei" w:eastAsia="SimHei" w:cs="SimHei"/>
          <w:color w:val="auto"/>
          <w:sz w:val="28"/>
        </w:rPr>
        <w:t xml:space="preserve">、评标委员会</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rFonts w:ascii="SimSun" w:hAnsi="SimSun" w:eastAsia="SimSun" w:cs="SimSun"/>
          <w:color w:val="auto"/>
          <w:sz w:val="24"/>
        </w:rPr>
        <w:t xml:space="preserve"> 23.1开标后，服务中心将立即组织评标委员会（以下简称评委会）进行评标。</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rFonts w:ascii="SimSun" w:hAnsi="SimSun" w:eastAsia="SimSun" w:cs="SimSun"/>
          <w:color w:val="auto"/>
          <w:sz w:val="24"/>
        </w:rPr>
        <w:t xml:space="preserve"> 23.2评委会由采购人代表和有关技术、经济等方面的专家组成，且人员构成符合政府采购有关规定。</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rFonts w:ascii="SimSun" w:hAnsi="SimSun" w:eastAsia="SimSun" w:cs="SimSun"/>
          <w:color w:val="auto"/>
          <w:sz w:val="24"/>
        </w:rPr>
        <w:t xml:space="preserve"> 23.3评委会独立工作，负责评审所有投标文件并确定中标侯选人。</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24．评标过程的保密与公正</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24.1凡是与审查、澄清、评价和比较投标的有关资料以及授标建议等，采购人、评委、服务中心均不得向投标人或与评标无关的其他人员透露。</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24.2在评标过程中，投标人不得以任何行为影响评标过程，否则其投标文件将被作为无效投标文件。</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24.3服务中心和评标委员会不向未中标的投标人解释未中标原因，也不公布评标过程中的相关细节。</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24.4采用综合评分法的项目，未中标的投标人可于中标结果公告期限届满之日起通过苏采云系统查看自己的评审得分及排序情况。</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25</w:t>
      </w:r>
      <w:r>
        <w:rPr>
          <w:rFonts w:ascii="SimHei" w:hAnsi="SimHei" w:eastAsia="SimHei" w:cs="SimHei"/>
          <w:color w:val="auto"/>
          <w:sz w:val="28"/>
        </w:rPr>
        <w:t xml:space="preserve">．投标文件的澄清</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25.1评标期间，评委会对投标文件中含义不明确、同类问题表述不一致或者有明显文字和计算错误的内容 ，有权要求投标人作出必要的澄清、说明或者补正。</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投标人的澄清、说明或者补正不得超出投标文件的范围或者改变投标文件的实质性内容。</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评标委员会并非对每个投标人都做澄清要求。</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25.3接到评委会澄清、说明和补正要求的投标人如未按规定做出澄清、说明和补正，其风险由投标人自行承担。</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26</w:t>
      </w:r>
      <w:r>
        <w:rPr>
          <w:rFonts w:ascii="SimHei" w:hAnsi="SimHei" w:eastAsia="SimHei" w:cs="SimHei"/>
          <w:color w:val="auto"/>
          <w:sz w:val="28"/>
        </w:rPr>
        <w:t xml:space="preserve">、对投标文件的初审</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26.1投标文件初审分为资格审查和符合性审查。</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26.1.1资格审查：依据法律法规和招标文件的规定，由采购人对投标文件中的资格证明文件进行审查。资格审查的结论，采购人以书面形式向评委会进行反馈。</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采购人在进行资格性审查的同时，将在“信用中国”网站（www.creditchina.gov.cn）查询投标人的信用记录，以确定投标人是否具备投标资格,查询结果留存并归档。</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26.1.2符合性审查：依据招标文件的规定，由评委会从投标文件的有效性、完整性和对招标文件的响应程度进行审查，以确定是否对招标文件的实质性要求作出响应。</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26.1.3未通过资格审查或符合性审查的投标人，服务中心将在苏采云系统中告知未通过资格审查或符合性审查的原因，评审结束后，服务中心将不再告知未通过资格审查或符合性审查的原因。</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所谓重大偏离或保留是指与招标文件规定的实质性要求存在负偏离，或者在实质上与招标文件不一致，而且限制了合同中买方和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26.3如果投标文件实质上没有响应招标文件的要求，评委会将予以拒绝，投标人不得通过修改或撤销不合要求的偏离或保留而使其投标成为实质性响应的投标。</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26.4评委会将对确定为实质性响应的投标进行进一步审核，看其是否有计算上或累加上的算术错误，修正错误的原则如下：</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（1）投标文件中开标一览表内容与投标文件中相应内容不一致的，以开标一览表为准。</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（2）大写金额和小写金额不一致的，以大写金额为准。</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（3）单价金额小数点或者百分比有明显错位的，以开标一览表的总价为准，并修改单价。</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（4）总价金额与按单价汇总金额不一致的，以单价金额计算结果为准。</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同时出现两种以上错误的，按照前款规定的顺序修正。</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rPr>
      </w:r>
      <w:r/>
    </w:p>
    <w:p>
      <w:pPr>
        <w:ind w:left="0" w:right="0" w:firstLine="4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非单一产品采购项目，招标文件中将载明其中的核心产品。多家投标人提供的核心产品品牌相同的，按前两款规定处理。</w:t>
      </w:r>
      <w:r>
        <w:rPr>
          <w:color w:val="auto"/>
        </w:rPr>
      </w:r>
      <w:r/>
    </w:p>
    <w:p>
      <w:pPr>
        <w:ind w:left="0" w:right="0" w:firstLine="4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26.7投标人在开、评标全过程中应保持通讯畅通，及时登录苏采云系统查阅、答复相关信息，并安排专人与服务中心及评标委员会联系。</w:t>
      </w:r>
      <w:r>
        <w:rPr>
          <w:color w:val="auto"/>
        </w:rPr>
      </w:r>
      <w:r/>
    </w:p>
    <w:p>
      <w:pPr>
        <w:ind w:left="0" w:right="0" w:firstLine="42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27</w:t>
      </w:r>
      <w:r>
        <w:rPr>
          <w:rFonts w:ascii="SimHei" w:hAnsi="SimHei" w:eastAsia="SimHei" w:cs="SimHei"/>
          <w:color w:val="auto"/>
          <w:sz w:val="28"/>
        </w:rPr>
        <w:t xml:space="preserve">、无效投标条款和废标条款</w:t>
      </w:r>
      <w:r>
        <w:rPr>
          <w:color w:val="auto"/>
        </w:rPr>
      </w:r>
      <w:r/>
    </w:p>
    <w:p>
      <w:pPr>
        <w:ind w:left="479"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w:t>
      </w:r>
      <w:r>
        <w:rPr>
          <w:rFonts w:ascii="SimSun" w:hAnsi="SimSun" w:eastAsia="SimSun" w:cs="SimSun"/>
          <w:b/>
          <w:color w:val="auto"/>
          <w:sz w:val="24"/>
        </w:rPr>
        <w:t xml:space="preserve">无效投标条款</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27.1.1 投标人在苏采云系统规定的时间内未成功解密电子投标文件的。</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27.1.2 投标人未按照招标文件要求上传电子投标文件的。</w:t>
      </w:r>
      <w:r>
        <w:rPr>
          <w:color w:val="auto"/>
        </w:rPr>
      </w:r>
      <w:r/>
    </w:p>
    <w:p>
      <w:pPr>
        <w:ind w:left="479"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27.1.3 投标人同一分包提交两个（含两个）以上不同的投标报价的。</w:t>
      </w:r>
      <w:r>
        <w:rPr>
          <w:color w:val="auto"/>
        </w:rPr>
      </w:r>
      <w:r/>
    </w:p>
    <w:p>
      <w:pPr>
        <w:ind w:left="479"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27.1.4投标人不具备招标文件中规定资格要求的。</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27.1.5投标人的报价超过了采购预算或最高限价的。</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27.1.6未通过符合性审查的。</w:t>
      </w:r>
      <w:r>
        <w:rPr>
          <w:color w:val="auto"/>
        </w:rPr>
      </w:r>
      <w:r/>
    </w:p>
    <w:p>
      <w:pPr>
        <w:ind w:left="0" w:right="0" w:firstLine="360"/>
        <w:jc w:val="both"/>
        <w:spacing w:before="0" w:after="0" w:line="360" w:lineRule="auto"/>
        <w:rPr>
          <w:b/>
          <w:bCs/>
          <w:color w:val="auto"/>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27.1.7不符合招标文件中规定的实质性要求的（</w:t>
      </w:r>
      <w:r>
        <w:rPr>
          <w:rFonts w:ascii="SimSun" w:hAnsi="SimSun" w:eastAsia="SimSun" w:cs="SimSun"/>
          <w:b/>
          <w:bCs/>
          <w:i/>
          <w:color w:val="auto"/>
          <w:sz w:val="24"/>
          <w:u w:val="single"/>
        </w:rPr>
        <w:t xml:space="preserve">本招标文件中斜体且有下划线部分为实质性要求）。</w:t>
      </w:r>
      <w:r>
        <w:rPr>
          <w:b/>
          <w:bCs/>
          <w:color w:val="auto"/>
          <w:u w:val="single"/>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27.1.9  投标文件含有采购人不能接受的附加条件的。</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27.1.11本项目采购产品被财政部、国家发改委、生态环境部等列入“</w:t>
      </w:r>
      <w:r>
        <w:rPr>
          <w:rFonts w:ascii="SimSun" w:hAnsi="SimSun" w:eastAsia="SimSun" w:cs="SimSun"/>
          <w:color w:val="auto"/>
          <w:sz w:val="24"/>
          <w:u w:val="none"/>
        </w:rPr>
        <w:t xml:space="preserve">节能产品品目清</w:t>
      </w:r>
      <w:r>
        <w:rPr>
          <w:rFonts w:ascii="SimSun" w:hAnsi="SimSun" w:eastAsia="SimSun" w:cs="SimSun"/>
          <w:color w:val="auto"/>
          <w:sz w:val="24"/>
        </w:rPr>
        <w:t xml:space="preserve">单”、“</w:t>
      </w:r>
      <w:r>
        <w:rPr>
          <w:rFonts w:ascii="SimSun" w:hAnsi="SimSun" w:eastAsia="SimSun" w:cs="SimSun"/>
          <w:color w:val="auto"/>
          <w:sz w:val="24"/>
          <w:u w:val="none"/>
        </w:rPr>
        <w:t xml:space="preserve">环境标志产品品目清单</w:t>
      </w:r>
      <w:r>
        <w:rPr>
          <w:rFonts w:ascii="SimSun" w:hAnsi="SimSun" w:eastAsia="SimSun" w:cs="SimSun"/>
          <w:color w:val="auto"/>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27.1.12 投标文件未按照招标文件要求加盖CA电子公章的。</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27.1.13其他法律、法规及本招标文件规定的属无效投标的情形。</w:t>
      </w:r>
      <w:r>
        <w:rPr>
          <w:color w:val="auto"/>
        </w:rPr>
      </w:r>
      <w:r/>
    </w:p>
    <w:p>
      <w:pPr>
        <w:ind w:left="479"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27.2</w:t>
      </w:r>
      <w:r>
        <w:rPr>
          <w:rFonts w:ascii="SimSun" w:hAnsi="SimSun" w:eastAsia="SimSun" w:cs="SimSun"/>
          <w:b/>
          <w:color w:val="auto"/>
          <w:sz w:val="24"/>
        </w:rPr>
        <w:t xml:space="preserve">废标条款</w:t>
      </w:r>
      <w:r>
        <w:rPr>
          <w:color w:val="auto"/>
        </w:rPr>
      </w:r>
      <w:r/>
    </w:p>
    <w:p>
      <w:pPr>
        <w:ind w:left="479"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27.2.1符合专业条件的供应商或者对招标文件作实质响应的供应商不足三家的。27.2.2出现影响采购公正的违法、违规行为的。</w:t>
      </w:r>
      <w:r>
        <w:rPr>
          <w:color w:val="auto"/>
        </w:rPr>
      </w:r>
      <w:r/>
    </w:p>
    <w:p>
      <w:pPr>
        <w:ind w:left="479"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27.2.3因重大变故，采购任务取消的。</w:t>
      </w:r>
      <w:r>
        <w:rPr>
          <w:color w:val="auto"/>
        </w:rPr>
      </w:r>
      <w:r/>
    </w:p>
    <w:p>
      <w:pPr>
        <w:ind w:left="479"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27.2.4评标委员会认定招标文件存在歧义、重大缺陷导致评审工作无法进行。</w:t>
      </w:r>
      <w:r>
        <w:rPr>
          <w:color w:val="auto"/>
        </w:rPr>
      </w:r>
      <w:r/>
    </w:p>
    <w:p>
      <w:pPr>
        <w:ind w:left="479"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27.2.5 因苏采云系统系统故障原因造成开标不成功的。</w:t>
      </w:r>
      <w:r>
        <w:rPr>
          <w:color w:val="auto"/>
        </w:rPr>
      </w:r>
      <w:r/>
    </w:p>
    <w:p>
      <w:pPr>
        <w:ind w:left="479"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27.3 投标截止时间结束后参加投标的供应商不足三家的处理：</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27.3.1如出现投标截止时间结束后参加投标的供应商或者在评标期间对招标文件做出实质响应的供应商不足三家情况，按政府采购相关规定执行。</w:t>
      </w:r>
      <w:r>
        <w:rPr>
          <w:color w:val="auto"/>
        </w:rPr>
      </w:r>
      <w:r/>
    </w:p>
    <w:p>
      <w:pPr>
        <w:ind w:left="0" w:right="0" w:firstLine="482"/>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六、定标</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28、确定中标单位</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28.1中标候选人的选取原则和数量见招标文件第五章规定。 </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28.2 采购人应根据评委会推荐的中标候选人确定中标人。</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28.3服务中心将在“江苏政府采购网”发布中标公告，公告期限为1个工作日。</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28.4 若有充分证据证明，中标人出现下列情况之一的，一经查实，将被取消中标资格：</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28.4.1提供虚假材料谋取中标的。</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28.4.2向采购人、服务中心行贿或者提供其他不正当利益的。</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28.4.3属于本文件规定的无效条件，但在评标过程中又未被评委会发现的。</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28.4.4与采购人或者其他供应商恶意串通的。</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28.4.5采取不正当手段诋毁、排挤其他供应商的。</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u w:val="none"/>
        </w:rPr>
        <w:t xml:space="preserve">28.5.</w:t>
      </w:r>
      <w:r>
        <w:rPr>
          <w:rFonts w:ascii="SimSun" w:hAnsi="SimSun" w:eastAsia="SimSun" w:cs="SimSun"/>
          <w:color w:val="auto"/>
          <w:sz w:val="24"/>
        </w:rPr>
        <w:t xml:space="preserve">有下列情形之一的，视为投标人串通投标，投标无效：</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28.5.1不同投标人的投标文件由同一单位或者个人编制。</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28.5.2不同投标人委托同一单位或者个人办理投标事宜。</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28.5.3 不同投标人的投标文件载明的项目管理成员或者联系人员为同一人。</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28.5.4不同投标人的投标文件异常一致或者投标报价呈规律性差异。</w:t>
      </w:r>
      <w:r>
        <w:rPr>
          <w:color w:val="auto"/>
        </w:rPr>
      </w:r>
      <w:r/>
    </w:p>
    <w:p>
      <w:pPr>
        <w:ind w:left="0" w:right="0" w:firstLine="60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29、质疑处理</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29.1提出质疑的供应商应当是参与所质疑项目采购活动的供应商。潜在供应商依法获取其可质疑的采购文件的，可以对采购文件提出质疑。</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29.2供应商认为采购文件、采购过程和采购结果使自己的权益受到损害的，可以在知道或应知其权益受到损害之日起七个工作日内，以书面形式根据下述29.4条款的规定向</w:t>
      </w:r>
      <w:r>
        <w:rPr>
          <w:rFonts w:ascii="SimSun" w:hAnsi="SimSun" w:eastAsia="SimSun" w:cs="SimSun"/>
          <w:color w:val="auto"/>
          <w:sz w:val="24"/>
        </w:rPr>
        <w:t xml:space="preserve">采购人</w:t>
      </w:r>
      <w:r>
        <w:rPr>
          <w:rFonts w:ascii="SimSun" w:hAnsi="SimSun" w:eastAsia="SimSun" w:cs="SimSun"/>
          <w:color w:val="auto"/>
          <w:sz w:val="24"/>
        </w:rPr>
        <w:t xml:space="preserve">或</w:t>
      </w:r>
      <w:r>
        <w:rPr>
          <w:rFonts w:ascii="SimSun" w:hAnsi="SimSun" w:eastAsia="SimSun" w:cs="SimSun"/>
          <w:color w:val="auto"/>
          <w:sz w:val="24"/>
        </w:rPr>
        <w:t xml:space="preserve">服务中心提出质疑。上述应知其权益受到损害之日，是指：</w:t>
      </w:r>
      <w:r>
        <w:rPr>
          <w:color w:val="auto"/>
        </w:rPr>
      </w:r>
      <w:r/>
    </w:p>
    <w:p>
      <w:pPr>
        <w:ind w:left="0" w:right="0" w:firstLine="480"/>
        <w:jc w:val="left"/>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29.2.1对可以质疑的采购文件提出质疑的，为收到采购文件之日或者采购文件公告期限届满之日；</w:t>
        <w:br/>
      </w:r>
      <w:r>
        <w:rPr>
          <w:rFonts w:ascii="Times New Roman" w:hAnsi="Times New Roman" w:eastAsia="Times New Roman" w:cs="Times New Roman"/>
          <w:color w:val="auto"/>
          <w:sz w:val="24"/>
        </w:rPr>
        <w:t xml:space="preserve"> </w:t>
      </w:r>
      <w:r>
        <w:rPr>
          <w:rFonts w:ascii="SimSun" w:hAnsi="SimSun" w:eastAsia="SimSun" w:cs="SimSun"/>
          <w:color w:val="auto"/>
          <w:sz w:val="24"/>
        </w:rPr>
        <w:t xml:space="preserve">29.2.2对采购过程提出质疑的，为各采购程序环节结束之日；</w:t>
        <w:br/>
      </w:r>
      <w:r>
        <w:rPr>
          <w:rFonts w:ascii="Times New Roman" w:hAnsi="Times New Roman" w:eastAsia="Times New Roman" w:cs="Times New Roman"/>
          <w:color w:val="auto"/>
          <w:sz w:val="24"/>
        </w:rPr>
        <w:t xml:space="preserve"> </w:t>
      </w:r>
      <w:r>
        <w:rPr>
          <w:rFonts w:ascii="SimSun" w:hAnsi="SimSun" w:eastAsia="SimSun" w:cs="SimSun"/>
          <w:color w:val="auto"/>
          <w:sz w:val="24"/>
        </w:rPr>
        <w:t xml:space="preserve">29.2.3对中标或者成交结果提出质疑的，为中标或者成交结果公告期限届满之日。</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供应商应当在法定质疑期内一次性提出针对同一采购程序环节的质疑。供应商如在法定期限内对同一采购程序环节提出多次质疑的，</w:t>
      </w:r>
      <w:r>
        <w:rPr>
          <w:rFonts w:ascii="SimSun" w:hAnsi="SimSun" w:eastAsia="SimSun" w:cs="SimSun"/>
          <w:color w:val="auto"/>
          <w:sz w:val="24"/>
        </w:rPr>
        <w:t xml:space="preserve">采购人</w:t>
      </w:r>
      <w:r>
        <w:rPr>
          <w:rFonts w:ascii="SimSun" w:hAnsi="SimSun" w:eastAsia="SimSun" w:cs="SimSun"/>
          <w:color w:val="auto"/>
          <w:sz w:val="24"/>
        </w:rPr>
        <w:t xml:space="preserve">、</w:t>
      </w:r>
      <w:r>
        <w:rPr>
          <w:rFonts w:ascii="SimSun" w:hAnsi="SimSun" w:eastAsia="SimSun" w:cs="SimSun"/>
          <w:color w:val="auto"/>
          <w:sz w:val="24"/>
        </w:rPr>
        <w:t xml:space="preserve">服务中心将只对供应商第一次质疑作出答复。</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29.4</w:t>
      </w:r>
      <w:r>
        <w:rPr>
          <w:rFonts w:ascii="SimSun" w:hAnsi="SimSun" w:eastAsia="SimSun" w:cs="SimSun"/>
          <w:color w:val="auto"/>
          <w:sz w:val="24"/>
          <w:u w:val="none"/>
        </w:rPr>
        <w:t xml:space="preserve">供应商（含潜在供应商）对与本项目有关的所有询问、质疑均请向采购人提出，由采购人负责答复。</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采购人及服务中心只接收以纸质原件形式送达的质疑,建议供应商尽量通过邮寄方式提交质疑（采购人及服务中心不接受无快递运单号的快递）。</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采购人质疑接收人及联系方式见招标文件第一章。</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29.5 以下情形的质疑不予受理</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29.5.1 内容不符合《政府采购质疑和投诉办法》第十二条规定的质疑。</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29.5.2 超出政府采购法定期限的质疑。</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29.5.3 以传真、电子邮件等方式递交的非原件形式的质疑。</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29.5.4 未参加投标活动的供应商或在投标活动中自身权益未受到损害的供应商所提出的质疑。</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29.5.5供应商组成联合体参加投标，联合体中任何一方或多方未按要求签字、盖章、加盖公章的质疑。</w:t>
      </w:r>
      <w:r>
        <w:rPr>
          <w:color w:val="auto"/>
        </w:rPr>
      </w:r>
      <w:r/>
    </w:p>
    <w:p>
      <w:pPr>
        <w:ind w:left="0" w:right="0" w:firstLine="468"/>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29.6 供应商提出书面质疑必须有理、有据，不得捏造事实、提供虚假材料进行恶意质疑。否则，一经查实，服务中心有权依据政府采购的有关规定，报请政府采购监管部门对该供应商进行相应的行政处罚和记录该供应商的失信信息。</w:t>
      </w:r>
      <w:r>
        <w:rPr>
          <w:color w:val="auto"/>
        </w:rPr>
      </w:r>
      <w:r/>
    </w:p>
    <w:p>
      <w:pPr>
        <w:ind w:left="0" w:right="0" w:firstLine="60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30、中标通知书</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30.l中标结果确定后，服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30.2中标通知书将是合同的一个组成部分。对采购人和中标供应商均具有法律效力。中标通知书发出后，采购人改变中标结果的，或者中标供应商放弃中标项目的，应当依法承担法律责任。</w:t>
      </w:r>
      <w:r>
        <w:rPr>
          <w:color w:val="auto"/>
        </w:rPr>
      </w:r>
      <w:r/>
    </w:p>
    <w:p>
      <w:pPr>
        <w:ind w:left="0" w:right="0" w:firstLine="643"/>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七、授予合同</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31. 签订合同</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31.l成交供应商应当在成交通知书发出之日起三十日内，按照招标文件确定的事项与采购人签订政府采购合同。</w:t>
      </w:r>
      <w:r>
        <w:rPr>
          <w:rFonts w:ascii="SimSun" w:hAnsi="SimSun" w:eastAsia="SimSun" w:cs="SimSun"/>
          <w:color w:val="auto"/>
          <w:sz w:val="24"/>
          <w:szCs w:val="24"/>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31.2招标文件、成交供应商的响应文件及招标过程中有关澄清、承诺文件均应作为合同附件。</w:t>
      </w:r>
      <w:r>
        <w:rPr>
          <w:rFonts w:ascii="SimSun" w:hAnsi="SimSun" w:eastAsia="SimSun" w:cs="SimSun"/>
          <w:color w:val="auto"/>
          <w:sz w:val="24"/>
          <w:szCs w:val="24"/>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31.3 签订合同后，</w:t>
      </w:r>
      <w:r>
        <w:rPr>
          <w:rFonts w:ascii="SimSun" w:hAnsi="SimSun" w:eastAsia="SimSun" w:cs="SimSun"/>
          <w:color w:val="auto"/>
          <w:sz w:val="24"/>
          <w:szCs w:val="24"/>
        </w:rPr>
        <w:t xml:space="preserve">成交供应商不得将合同标的进行转包</w:t>
      </w:r>
      <w:r>
        <w:rPr>
          <w:rFonts w:ascii="SimSun" w:hAnsi="SimSun" w:eastAsia="SimSun" w:cs="SimSun"/>
          <w:color w:val="auto"/>
          <w:sz w:val="24"/>
          <w:szCs w:val="24"/>
        </w:rPr>
        <w:t xml:space="preserve">。</w:t>
      </w:r>
      <w:r>
        <w:rPr>
          <w:rFonts w:ascii="SimSun" w:hAnsi="SimSun" w:eastAsia="SimSun" w:cs="SimSun"/>
          <w:color w:val="auto"/>
          <w:sz w:val="24"/>
          <w:szCs w:val="24"/>
        </w:rPr>
        <w:t xml:space="preserve">未经采购人同意</w:t>
      </w:r>
      <w:r>
        <w:rPr>
          <w:rFonts w:ascii="SimSun" w:hAnsi="SimSun" w:eastAsia="SimSun" w:cs="SimSun"/>
          <w:color w:val="auto"/>
          <w:sz w:val="24"/>
          <w:szCs w:val="24"/>
        </w:rPr>
        <w:t xml:space="preserve">，</w:t>
      </w:r>
      <w:r>
        <w:rPr>
          <w:rFonts w:ascii="SimSun" w:hAnsi="SimSun" w:eastAsia="SimSun" w:cs="SimSun"/>
          <w:color w:val="auto"/>
          <w:sz w:val="24"/>
          <w:szCs w:val="24"/>
        </w:rPr>
        <w:t xml:space="preserve">成交供应商也不得采用分包形式履行合同,否则采购人有权终止合同。转包或分包造成采购人损失的，成交供应商应承担相应赔偿责任。</w:t>
      </w:r>
      <w:r>
        <w:rPr>
          <w:rFonts w:ascii="SimSun" w:hAnsi="SimSun" w:eastAsia="SimSun" w:cs="SimSun"/>
          <w:color w:val="auto"/>
          <w:sz w:val="24"/>
          <w:szCs w:val="24"/>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32、标的物的追加</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33、政府采购政策功能落实</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33.1政府采购线上合同信用融资政策</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33.2进口产品</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33.3中小企业、监狱企业及残疾人福利性单位</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33.3.1中小企业定义：</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w:t>
      </w:r>
      <w:r>
        <w:rPr>
          <w:rFonts w:ascii="SimSun" w:hAnsi="SimSun" w:eastAsia="SimSun" w:cs="SimSun"/>
          <w:color w:val="auto"/>
          <w:sz w:val="24"/>
          <w:szCs w:val="24"/>
        </w:rPr>
        <w:t xml:space="preserve">号）。</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33.3.2供应商提供的货物、工程或者服务符合下列情形的，享受中小企业扶持政策：</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33.3.2.1在货物采购项目中，货物由中小企业制造，即货物由中小企业生产且使用该中小企业商号或者注册商标；</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33.3.2.2在工程采购项目中，工程由中小企业承建，即工程施工单位为中小企业；</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33.3.2.3在服务采购项目中，服务由中小企业承接，即提供服务的人员为中小企业依照《中华人民共和国劳动合同法》订立劳动合同的从业人员。</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33.3.3在货物采购项目中，供应商提供的货物既有中小企业制造货物，也有大型企业制造货物的，不享受中小企业扶持政策。</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33.3.4以联合体形式参加政府采购活动，联合体各方均为中小企业的，联合体视同中小企业。其中，联合体各方均为小微企业的，联合体视同小微企业。</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33.3.6残疾人福利单位定义：享受政府采购支持政策的残疾人福利性单位应当同时满足以下条件：</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33.3.6.1安置的残疾人占本单位在职职工人数的比例不低于25%（含25%），并且安置的残疾人人数不少于10人（含10人）；</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33.3.6.2依法与安置的每位残疾人签订了一年以上（含一年）的劳动合同或服务协议；</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33.3.6.3为安置的每位残疾人按月足额缴纳了基本养老保险、基本医疗保险、失业保险、工伤保险和生育保险等社会保险费；</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33.3.6.4通过银行等金融机构向安置的每位残疾人，按月支付了不低于单位所在区县适用的经省级人民政府批准的月最低工资标准的工资；</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33.3.6.5提供本单位制造的货物、承担的工程或者服务（以下简称产品），或者提供其他残疾人福利性单位制造的货物（不包括使用非残疾人福利性单位注册商标的货物）；</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33.4政府采购节能产品、环境标志产品</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ascii="SimSun" w:hAnsi="SimSun" w:eastAsia="SimSun" w:cs="SimSun"/>
          <w:color w:val="auto"/>
          <w:sz w:val="24"/>
          <w:szCs w:val="24"/>
          <w:shd w:val="clear" w:color="ffffff" w:themeColor="background1" w:fill="ffffff" w:themeFill="background1"/>
        </w:rPr>
        <w:t xml:space="preserve">节能产品、环境标志产</w:t>
      </w:r>
      <w:r>
        <w:rPr>
          <w:rFonts w:ascii="SimSun" w:hAnsi="SimSun" w:eastAsia="SimSun" w:cs="SimSun"/>
          <w:color w:val="auto"/>
          <w:sz w:val="24"/>
          <w:szCs w:val="24"/>
        </w:rPr>
        <w:t xml:space="preserve">品品目清单以递交响应文件截止时已正式公布的最近一期信息为准，</w:t>
      </w:r>
      <w:r>
        <w:rPr>
          <w:rFonts w:ascii="SimSun" w:hAnsi="SimSun" w:eastAsia="SimSun" w:cs="SimSun"/>
          <w:b/>
          <w:i/>
          <w:color w:val="auto"/>
          <w:sz w:val="24"/>
          <w:u w:val="single"/>
        </w:rPr>
        <w:t xml:space="preserve">如属政府强制采购产品未提供认证证书的或认证证书提供不全的将视为未实质性响应采购要求。</w:t>
      </w:r>
      <w:r>
        <w:rPr>
          <w:rFonts w:ascii="SimSun" w:hAnsi="SimSun" w:eastAsia="SimSun" w:cs="SimSun"/>
          <w:color w:val="auto"/>
          <w:sz w:val="24"/>
          <w:szCs w:val="24"/>
        </w:rPr>
        <w:t xml:space="preserve">其他条件相同情况下，应当优先采购节能产品、环境标志产品。</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33.5绿色包装</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33.6政府采购创新产品</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采购人优先采购各级政府部门公开发布的有效期内的创新产品、创新服务、首台套、首购首用等《目录》的创新产品。</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33.7绿色数据中心政策</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auto"/>
          <w:sz w:val="24"/>
          <w:szCs w:val="24"/>
        </w:rPr>
        <w:t xml:space="preserve">涉及生产过程或检测时间长等原因，不能在验收过程中开展检测、认证的，可要求供应商在验收阶段提供相关检测报告、认证报告。</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33.8实施本国产品标准及相关政策</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1.本项目对采购本国产品给予政策支持。</w:t>
      </w:r>
      <w:r>
        <w:rPr>
          <w:rFonts w:ascii="SimSun" w:hAnsi="SimSun" w:eastAsia="SimSun" w:cs="SimSun"/>
          <w:color w:val="auto"/>
          <w:sz w:val="24"/>
          <w:szCs w:val="24"/>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SimSun" w:hAnsi="SimSun" w:eastAsia="SimSun" w:cs="SimSun"/>
          <w:color w:val="auto"/>
          <w:sz w:val="24"/>
          <w:szCs w:val="24"/>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SimSun" w:hAnsi="SimSun" w:eastAsia="SimSun" w:cs="SimSun"/>
          <w:color w:val="auto"/>
          <w:sz w:val="24"/>
          <w:szCs w:val="24"/>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ascii="SimSun" w:hAnsi="SimSun" w:eastAsia="SimSun" w:cs="SimSun"/>
          <w:color w:val="auto"/>
          <w:sz w:val="24"/>
          <w:szCs w:val="24"/>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33.9履约保证金政策</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确需收取履约保证金的，履约保证金的缴纳形式：</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如以履约保函（保险）形式缴纳履约保证金，供应商可通过政府采购电子履约保函（保险）平台（www.jsdzbh.com）在线申请履约保函（保险）。</w:t>
      </w:r>
      <w:r>
        <w:rPr>
          <w:color w:val="auto"/>
        </w:rPr>
      </w:r>
      <w:r/>
    </w:p>
    <w:p>
      <w:pPr>
        <w:ind w:left="0" w:right="0" w:firstLine="480"/>
        <w:jc w:val="both"/>
        <w:spacing w:before="0" w:after="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rPr>
        <w:t xml:space="preserve"> </w:t>
      </w:r>
      <w:r>
        <w:rPr>
          <w:color w:val="auto"/>
        </w:rPr>
      </w:r>
      <w:r/>
    </w:p>
    <w:p>
      <w:pPr>
        <w:ind w:left="301" w:right="0" w:firstLine="2218"/>
        <w:spacing w:before="0" w:after="29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rPr>
        <w:t xml:space="preserve">第三章  合同文本</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以下为中标后签定本项目合同的通用条款，中标人不得提出实质性的修改。</w:t>
      </w:r>
      <w:r>
        <w:rPr>
          <w:color w:val="auto"/>
        </w:rPr>
      </w:r>
      <w:r/>
    </w:p>
    <w:p>
      <w:pPr>
        <w:ind w:left="0" w:right="0" w:firstLine="0"/>
        <w:jc w:val="center"/>
        <w:spacing w:before="145" w:after="29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泰州市海陵区政府采购合同（货物）（合同编号）</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                  </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            </w:t>
      </w:r>
      <w:r>
        <w:rPr>
          <w:rFonts w:ascii="SimSun" w:hAnsi="SimSun" w:eastAsia="SimSun" w:cs="SimSun"/>
          <w:color w:val="auto"/>
          <w:sz w:val="24"/>
        </w:rPr>
        <w:t xml:space="preserve"> </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甲方：（买方）_________</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乙方：（卖方）_________</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rFonts w:ascii="SimSun" w:hAnsi="SimSun" w:eastAsia="SimSun" w:cs="SimSun"/>
          <w:color w:val="auto"/>
          <w:sz w:val="24"/>
        </w:rPr>
        <w:t xml:space="preserve">甲、乙双方</w:t>
      </w:r>
      <w:r>
        <w:rPr>
          <w:rFonts w:ascii="SimSun" w:hAnsi="SimSun" w:eastAsia="SimSun" w:cs="SimSun"/>
          <w:color w:val="auto"/>
          <w:sz w:val="24"/>
          <w:szCs w:val="24"/>
        </w:rPr>
        <w:t xml:space="preserve">根据泰州市海陵区政务服务中心</w:t>
      </w:r>
      <w:r>
        <w:rPr>
          <w:rFonts w:ascii="SimSun" w:hAnsi="SimSun" w:eastAsia="SimSun" w:cs="SimSun"/>
          <w:color w:val="auto"/>
          <w:sz w:val="24"/>
          <w:szCs w:val="24"/>
          <w:u w:val="single"/>
        </w:rPr>
        <w:t xml:space="preserve">         </w:t>
      </w:r>
      <w:r>
        <w:rPr>
          <w:rFonts w:ascii="SimSun" w:hAnsi="SimSun" w:eastAsia="SimSun" w:cs="SimSun"/>
          <w:color w:val="auto"/>
          <w:sz w:val="24"/>
          <w:szCs w:val="24"/>
        </w:rPr>
        <w:t xml:space="preserve">项目</w:t>
      </w:r>
      <w:r>
        <w:rPr>
          <w:rFonts w:ascii="SimSun" w:hAnsi="SimSun" w:eastAsia="SimSun" w:cs="SimSun"/>
          <w:color w:val="auto"/>
          <w:sz w:val="24"/>
          <w:szCs w:val="24"/>
        </w:rPr>
        <w:t xml:space="preserve">（项目编号：JSZC-320000-***）</w:t>
      </w:r>
      <w:r>
        <w:rPr>
          <w:rFonts w:ascii="SimSun" w:hAnsi="SimSun" w:eastAsia="SimSun" w:cs="SimSun"/>
          <w:color w:val="auto"/>
          <w:sz w:val="24"/>
          <w:szCs w:val="24"/>
        </w:rPr>
        <w:t xml:space="preserve">公开招标的结果，签署本</w:t>
      </w:r>
      <w:r>
        <w:rPr>
          <w:rFonts w:ascii="SimSun" w:hAnsi="SimSun" w:eastAsia="SimSun" w:cs="SimSun"/>
          <w:color w:val="auto"/>
          <w:sz w:val="24"/>
        </w:rPr>
        <w:t xml:space="preserve">合同。</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一、合同内容</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 标的名称：</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 标的质量：</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 标的数量（规模）：</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 履行时间（期限）：</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1.5 履行地点：</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1.6 履行方式：</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1.7 包装方式：</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二、合同金额</w:t>
      </w:r>
      <w:r>
        <w:rPr>
          <w:color w:val="auto"/>
        </w:rPr>
      </w:r>
      <w:r/>
    </w:p>
    <w:p>
      <w:pPr>
        <w:ind w:left="410" w:right="0" w:hanging="41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 本合同金额为（大写）：_______圆（___元）人民币或其他币种。</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三、技术资料</w:t>
      </w:r>
      <w:r>
        <w:rPr>
          <w:color w:val="auto"/>
        </w:rPr>
      </w:r>
      <w:r/>
    </w:p>
    <w:p>
      <w:pPr>
        <w:ind w:left="1"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3.1乙方应按招标文件规定的时间向甲方提供使用货物(包含与货物相关的服务)的有关技术资料。</w:t>
      </w:r>
      <w:r>
        <w:rPr>
          <w:color w:val="auto"/>
        </w:rPr>
      </w:r>
      <w:r/>
    </w:p>
    <w:p>
      <w:pPr>
        <w:ind w:left="1"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rPr>
      </w:r>
      <w:r/>
    </w:p>
    <w:p>
      <w:pPr>
        <w:ind w:left="412" w:right="0" w:hanging="412"/>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四、知识产权</w:t>
      </w:r>
      <w:r>
        <w:rPr>
          <w:color w:val="auto"/>
        </w:rPr>
      </w:r>
      <w:r/>
    </w:p>
    <w:p>
      <w:pPr>
        <w:ind w:left="2"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4.1</w:t>
      </w:r>
      <w:r>
        <w:rPr>
          <w:rFonts w:ascii="SimSun" w:hAnsi="SimSun" w:eastAsia="SimSun" w:cs="SimSun"/>
          <w:color w:val="auto"/>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五、产权担保</w:t>
      </w:r>
      <w:r>
        <w:rPr>
          <w:color w:val="auto"/>
        </w:rPr>
      </w:r>
      <w:r/>
    </w:p>
    <w:p>
      <w:pPr>
        <w:ind w:left="1"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5.1乙方保证所交付的货物（包含与货物相关的服务）的所有权完全属于乙方且无任何抵押、查封等产权瑕疵。</w:t>
      </w:r>
      <w:r>
        <w:rPr>
          <w:color w:val="auto"/>
        </w:rPr>
      </w:r>
      <w:r/>
    </w:p>
    <w:p>
      <w:pPr>
        <w:ind w:left="410" w:right="0" w:hanging="41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六、履约保证金</w:t>
      </w:r>
      <w:r>
        <w:rPr>
          <w:color w:val="auto"/>
        </w:rPr>
      </w:r>
      <w:r/>
    </w:p>
    <w:p>
      <w:pPr>
        <w:ind w:left="1" w:right="0" w:firstLine="0"/>
        <w:jc w:val="both"/>
        <w:spacing w:before="120" w:after="12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   </w:t>
      </w:r>
      <w:r>
        <w:rPr>
          <w:rFonts w:ascii="SimSun" w:hAnsi="SimSun" w:eastAsia="SimSun" w:cs="SimSun"/>
          <w:color w:val="auto"/>
          <w:sz w:val="24"/>
          <w:szCs w:val="24"/>
        </w:rPr>
        <w:t xml:space="preserve">履约保证金为合同总价款的</w:t>
      </w:r>
      <w:r>
        <w:rPr>
          <w:rFonts w:ascii="SimSun" w:hAnsi="SimSun" w:eastAsia="SimSun" w:cs="SimSun"/>
          <w:color w:val="auto"/>
          <w:sz w:val="24"/>
          <w:szCs w:val="24"/>
        </w:rPr>
        <w:t xml:space="preserve">10%</w:t>
      </w:r>
      <w:r>
        <w:rPr>
          <w:rFonts w:ascii="SimSun" w:hAnsi="SimSun" w:eastAsia="SimSun" w:cs="SimSun"/>
          <w:color w:val="auto"/>
          <w:sz w:val="24"/>
          <w:szCs w:val="24"/>
        </w:rPr>
        <w:t xml:space="preserve">，在货物最终验收合格且无违约情形存在后，凭有效票据</w:t>
      </w:r>
      <w:r>
        <w:rPr>
          <w:rFonts w:ascii="SimSun" w:hAnsi="SimSun" w:eastAsia="SimSun" w:cs="SimSun"/>
          <w:color w:val="auto"/>
          <w:sz w:val="24"/>
          <w:szCs w:val="24"/>
        </w:rPr>
        <w:t xml:space="preserve">30</w:t>
      </w:r>
      <w:r>
        <w:rPr>
          <w:rFonts w:ascii="SimSun" w:hAnsi="SimSun" w:eastAsia="SimSun" w:cs="SimSun"/>
          <w:color w:val="auto"/>
          <w:sz w:val="24"/>
          <w:szCs w:val="24"/>
        </w:rPr>
        <w:t xml:space="preserve">个工作日内原路返还。如无正当理由逾期退还履约保证金，采购人向供应商偿付逾期退还总额的千分之五（滞纳金）。如供应商未能履行合同规定的义务，采购人有权直接从履约保证金中取得相应补偿，并在退还时予以扣除。本项目支持鼓励使用履约保函。</w:t>
      </w:r>
      <w:r>
        <w:rPr>
          <w:rFonts w:ascii="SimSun" w:hAnsi="SimSun" w:eastAsia="SimSun" w:cs="SimSun"/>
          <w:color w:val="auto"/>
          <w:sz w:val="24"/>
          <w:szCs w:val="24"/>
        </w:rPr>
      </w:r>
      <w:r/>
    </w:p>
    <w:p>
      <w:pPr>
        <w:ind w:left="0" w:right="0" w:firstLine="0"/>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七、合同转包或分包</w:t>
      </w:r>
      <w:r>
        <w:rPr>
          <w:color w:val="auto"/>
        </w:rPr>
      </w:r>
      <w:r/>
    </w:p>
    <w:p>
      <w:pPr>
        <w:ind w:left="0" w:right="0" w:firstLine="0"/>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7.1乙方不得将合同标的转包给他人履行。</w:t>
      </w:r>
      <w:r>
        <w:rPr>
          <w:color w:val="auto"/>
        </w:rPr>
      </w:r>
      <w:r/>
    </w:p>
    <w:p>
      <w:pPr>
        <w:ind w:left="0" w:right="0" w:firstLine="0"/>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7.2乙方不得将合同标的分包给他人履行。</w:t>
      </w:r>
      <w:r>
        <w:rPr>
          <w:color w:val="auto"/>
        </w:rPr>
      </w:r>
      <w:r/>
    </w:p>
    <w:p>
      <w:pPr>
        <w:ind w:left="0" w:right="0" w:firstLine="0"/>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7.3乙方如有转包或未经甲方同意的分包行为，甲方有权给予终止合同。</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八、合同款项支付</w:t>
      </w:r>
      <w:r>
        <w:rPr>
          <w:color w:val="auto"/>
        </w:rPr>
      </w:r>
      <w:r/>
    </w:p>
    <w:p>
      <w:pPr>
        <w:ind w:left="0" w:right="0" w:firstLine="0"/>
        <w:jc w:val="both"/>
        <w:spacing w:before="145" w:after="145"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货物部分：合同盖章生效后，采购人支付货物总金额的</w:t>
      </w:r>
      <w:r>
        <w:rPr>
          <w:rFonts w:ascii="SimSun" w:hAnsi="SimSun" w:eastAsia="SimSun" w:cs="SimSun"/>
          <w:color w:val="auto"/>
          <w:sz w:val="24"/>
          <w:szCs w:val="24"/>
        </w:rPr>
        <w:t xml:space="preserve">30%</w:t>
      </w:r>
      <w:r>
        <w:rPr>
          <w:rFonts w:ascii="SimSun" w:hAnsi="SimSun" w:eastAsia="SimSun" w:cs="SimSun"/>
          <w:color w:val="auto"/>
          <w:sz w:val="24"/>
          <w:szCs w:val="24"/>
        </w:rPr>
        <w:t xml:space="preserve">作为预付款；待货物全部交付、安装调试且投入试运行满</w:t>
      </w:r>
      <w:r>
        <w:rPr>
          <w:rFonts w:ascii="SimSun" w:hAnsi="SimSun" w:eastAsia="SimSun" w:cs="SimSun"/>
          <w:color w:val="auto"/>
          <w:sz w:val="24"/>
          <w:szCs w:val="24"/>
        </w:rPr>
        <w:t xml:space="preserve">1</w:t>
      </w:r>
      <w:r>
        <w:rPr>
          <w:rFonts w:ascii="SimSun" w:hAnsi="SimSun" w:eastAsia="SimSun" w:cs="SimSun"/>
          <w:color w:val="auto"/>
          <w:sz w:val="24"/>
          <w:szCs w:val="24"/>
        </w:rPr>
        <w:t xml:space="preserve">个月后，</w:t>
      </w:r>
      <w:r>
        <w:rPr>
          <w:rFonts w:ascii="SimSun" w:hAnsi="SimSun" w:eastAsia="SimSun" w:cs="SimSun"/>
          <w:color w:val="auto"/>
          <w:sz w:val="24"/>
          <w:szCs w:val="24"/>
        </w:rPr>
        <w:t xml:space="preserve">启动初步验收，初步验收合格后，采购人支付货物总金额的40%；初步验收合格后满半年组织最终验收，最终验收合格后，</w:t>
      </w:r>
      <w:r>
        <w:rPr>
          <w:rFonts w:ascii="SimSun" w:hAnsi="SimSun" w:eastAsia="SimSun" w:cs="SimSun"/>
          <w:color w:val="auto"/>
          <w:sz w:val="24"/>
          <w:szCs w:val="24"/>
        </w:rPr>
        <w:t xml:space="preserve">采购人支付货物总金额的30</w:t>
      </w:r>
      <w:r>
        <w:rPr>
          <w:rFonts w:ascii="SimSun" w:hAnsi="SimSun" w:eastAsia="SimSun" w:cs="SimSun"/>
          <w:color w:val="auto"/>
          <w:sz w:val="24"/>
          <w:szCs w:val="24"/>
        </w:rPr>
        <w:t xml:space="preserve">%</w:t>
      </w:r>
      <w:r>
        <w:rPr>
          <w:rFonts w:ascii="SimSun" w:hAnsi="SimSun" w:eastAsia="SimSun" w:cs="SimSun"/>
          <w:color w:val="auto"/>
          <w:sz w:val="24"/>
          <w:szCs w:val="24"/>
        </w:rPr>
        <w:t xml:space="preserve">。</w:t>
      </w:r>
      <w:r>
        <w:rPr>
          <w:rFonts w:ascii="SimSun" w:hAnsi="SimSun" w:eastAsia="SimSun" w:cs="SimSun"/>
          <w:color w:val="auto"/>
          <w:sz w:val="24"/>
          <w:szCs w:val="24"/>
        </w:rPr>
      </w:r>
      <w:r/>
    </w:p>
    <w:p>
      <w:pPr>
        <w:ind w:left="0" w:right="0" w:firstLine="0"/>
        <w:jc w:val="both"/>
        <w:spacing w:before="145" w:after="145"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服务部分：合同盖章生效后，</w:t>
      </w:r>
      <w:r>
        <w:rPr>
          <w:rFonts w:ascii="SimSun" w:hAnsi="SimSun" w:eastAsia="SimSun" w:cs="SimSun"/>
          <w:color w:val="auto"/>
          <w:sz w:val="24"/>
          <w:szCs w:val="24"/>
        </w:rPr>
        <w:t xml:space="preserve">采购人支付服务总金额的31</w:t>
      </w:r>
      <w:r>
        <w:rPr>
          <w:rFonts w:ascii="SimSun" w:hAnsi="SimSun" w:eastAsia="SimSun" w:cs="SimSun"/>
          <w:color w:val="auto"/>
          <w:sz w:val="24"/>
          <w:szCs w:val="24"/>
        </w:rPr>
        <w:t xml:space="preserve">%</w:t>
      </w:r>
      <w:r>
        <w:rPr>
          <w:rFonts w:ascii="SimSun" w:hAnsi="SimSun" w:eastAsia="SimSun" w:cs="SimSun"/>
          <w:color w:val="auto"/>
          <w:sz w:val="24"/>
          <w:szCs w:val="24"/>
        </w:rPr>
        <w:t xml:space="preserve">作为预付款</w:t>
      </w:r>
      <w:r>
        <w:rPr>
          <w:rFonts w:ascii="SimSun" w:hAnsi="SimSun" w:eastAsia="SimSun" w:cs="SimSun"/>
          <w:color w:val="auto"/>
          <w:sz w:val="24"/>
          <w:szCs w:val="24"/>
        </w:rPr>
        <w:t xml:space="preserve">；待货物最终验收合格后进入项目维保服务期，</w:t>
      </w:r>
      <w:r>
        <w:rPr>
          <w:rFonts w:ascii="SimSun" w:hAnsi="SimSun" w:eastAsia="SimSun" w:cs="SimSun"/>
          <w:color w:val="auto"/>
          <w:sz w:val="24"/>
          <w:szCs w:val="24"/>
        </w:rPr>
        <w:t xml:space="preserve">对应的服务期限为</w:t>
      </w:r>
      <w:r>
        <w:rPr>
          <w:rFonts w:ascii="SimSun" w:hAnsi="SimSun" w:eastAsia="SimSun" w:cs="SimSun"/>
          <w:color w:val="auto"/>
          <w:sz w:val="24"/>
          <w:szCs w:val="24"/>
        </w:rPr>
        <w:t xml:space="preserve">3</w:t>
      </w:r>
      <w:r>
        <w:rPr>
          <w:rFonts w:ascii="SimSun" w:hAnsi="SimSun" w:eastAsia="SimSun" w:cs="SimSun"/>
          <w:color w:val="auto"/>
          <w:sz w:val="24"/>
          <w:szCs w:val="24"/>
        </w:rPr>
        <w:t xml:space="preserve">年，自最终验收合格之日起计算，每完成一个自然年度的维保服务工作后，支付服务总金额的23</w:t>
      </w:r>
      <w:r>
        <w:rPr>
          <w:rFonts w:ascii="SimSun" w:hAnsi="SimSun" w:eastAsia="SimSun" w:cs="SimSun"/>
          <w:color w:val="auto"/>
          <w:sz w:val="24"/>
          <w:szCs w:val="24"/>
        </w:rPr>
        <w:t xml:space="preserve">%</w:t>
      </w:r>
      <w:r>
        <w:rPr>
          <w:rFonts w:ascii="SimSun" w:hAnsi="SimSun" w:eastAsia="SimSun" w:cs="SimSun"/>
          <w:color w:val="auto"/>
          <w:sz w:val="24"/>
          <w:szCs w:val="24"/>
        </w:rPr>
        <w:t xml:space="preserve">。所有付款均以银行转账方式支付，项目通过验收并经采购人确认后，供应商提供合法有效发票，采购人收到发票后在</w:t>
      </w:r>
      <w:r>
        <w:rPr>
          <w:rFonts w:ascii="SimSun" w:hAnsi="SimSun" w:eastAsia="SimSun" w:cs="SimSun"/>
          <w:color w:val="auto"/>
          <w:sz w:val="24"/>
          <w:szCs w:val="24"/>
        </w:rPr>
        <w:t xml:space="preserve">10</w:t>
      </w:r>
      <w:r>
        <w:rPr>
          <w:rFonts w:ascii="SimSun" w:hAnsi="SimSun" w:eastAsia="SimSun" w:cs="SimSun"/>
          <w:color w:val="auto"/>
          <w:sz w:val="24"/>
          <w:szCs w:val="24"/>
        </w:rPr>
        <w:t xml:space="preserve">个工作日内予以支付。若因供应商原因导致验收延迟或不合格，采购人有权顺延付款时间，并按合同约定追究违约责任。</w:t>
      </w:r>
      <w:r>
        <w:rPr>
          <w:rFonts w:ascii="SimSun" w:hAnsi="SimSun" w:eastAsia="SimSun" w:cs="SimSun"/>
          <w:color w:val="auto"/>
          <w:sz w:val="24"/>
          <w:szCs w:val="24"/>
          <w14:ligatures w14:val="none"/>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8.2当采购数量与实际使用数量不一致时，乙方应根据实际使用量供货，合同的最终结算金额按实际使用量乘以成交单价进行计算。</w:t>
      </w:r>
      <w:r>
        <w:rPr>
          <w:color w:val="auto"/>
        </w:rPr>
      </w:r>
      <w:r/>
    </w:p>
    <w:p>
      <w:pPr>
        <w:ind w:left="0" w:right="0" w:firstLine="0"/>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九、税费</w:t>
      </w:r>
      <w:r>
        <w:rPr>
          <w:color w:val="auto"/>
        </w:rPr>
      </w:r>
      <w:r/>
    </w:p>
    <w:p>
      <w:pPr>
        <w:ind w:left="0" w:right="0" w:firstLine="0"/>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9.1本合同执行中相关的一切税费均由乙方负担。</w:t>
      </w:r>
      <w:r>
        <w:rPr>
          <w:color w:val="auto"/>
        </w:rPr>
      </w:r>
      <w:r/>
    </w:p>
    <w:p>
      <w:pPr>
        <w:ind w:left="412" w:right="0" w:hanging="412"/>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十、质量保修范围和保修期及售后服务</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10.1</w:t>
      </w:r>
      <w:r>
        <w:rPr>
          <w:rFonts w:ascii="Times New Roman" w:hAnsi="Times New Roman" w:eastAsia="Times New Roman" w:cs="Times New Roman"/>
          <w:color w:val="auto"/>
          <w:sz w:val="24"/>
        </w:rPr>
        <w:t xml:space="preserve"> </w:t>
      </w:r>
      <w:r>
        <w:rPr>
          <w:rFonts w:ascii="SimSun" w:hAnsi="SimSun" w:eastAsia="SimSun" w:cs="SimSun"/>
          <w:color w:val="auto"/>
          <w:sz w:val="24"/>
        </w:rPr>
        <w:t xml:space="preserve">乙方应按招标文件规定的货物性能、技术要求、质量标准向甲方提供未经使用的</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全新产品。</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10.2 乙方提供的货物在质量期内因货物本身的质量问题发生故障，乙方应负责免费更</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换。对达不到技术要求者，根据实际情况，经双方协商，可按以下办法处理：</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⑴更换：由乙方承担所发生的全部费用。</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⑵贬值处理：由甲乙双方合议定价。</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⑶退货处理：乙方应退还甲方支付的合同款，同时应承担该货物的直接费用（运输、保险、检验、货款利息及银行手续费等）。</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10.3 如在使用过程中发生质量问题，乙方在接到甲方通知后在_________小时内到达甲方现场。</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10.4 在质保期内，乙方应对货物出现的质量及安全问题负责处理解决并承担一切费用。</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10.5上述的货物免费保修期为</w:t>
      </w:r>
      <w:r>
        <w:rPr>
          <w:rFonts w:ascii="Times New Roman" w:hAnsi="Times New Roman" w:eastAsia="Times New Roman" w:cs="Times New Roman"/>
          <w:color w:val="auto"/>
          <w:sz w:val="24"/>
          <w:u w:val="single"/>
        </w:rPr>
        <w:t xml:space="preserve">     </w:t>
      </w:r>
      <w:r>
        <w:rPr>
          <w:rFonts w:ascii="SimSun" w:hAnsi="SimSun" w:eastAsia="SimSun" w:cs="SimSun"/>
          <w:color w:val="auto"/>
          <w:sz w:val="24"/>
        </w:rPr>
        <w:t xml:space="preserve">年（自最终验收合格之日起计），因人为因素出现</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的故障不在免费保修范围内。超过保修期的机器设备，终生维修，维修时只收部件成</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本费。</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十一、项目验收</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11.1 甲方依法组织履约验收工作。</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11.3 对于实际使用人和甲方分离的项目，甲方邀请实际使用人参与验收。</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11.4 如有必要，甲方邀请参加本项目的其他供应商或第三方专业机构及专家参与验收，相关意见将作为验收书的参考资料。</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十二、货物的包装、发运及运输</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12.1 乙方应在货物发运前对其进行满足运输距离、防潮、防震、防锈和防破损装卸等</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要求包装，以保证货物安全运达甲方指定地点。</w:t>
      </w:r>
      <w:r>
        <w:rPr>
          <w:rFonts w:ascii="SimSun" w:hAnsi="SimSun" w:eastAsia="SimSun" w:cs="SimSun"/>
          <w:b/>
          <w:color w:val="auto"/>
          <w:sz w:val="24"/>
        </w:rPr>
        <w:t xml:space="preserve">乙方对货物的包装应符合《商品包装</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政府采购需求标准（试行）》、《快递包装政府采购需求标准（试行）》的规定</w:t>
      </w:r>
      <w:r>
        <w:rPr>
          <w:rFonts w:ascii="SimSun" w:hAnsi="SimSun" w:eastAsia="SimSun" w:cs="SimSun"/>
          <w:color w:val="auto"/>
          <w:sz w:val="24"/>
        </w:rPr>
        <w:t xml:space="preserve">。</w:t>
      </w:r>
      <w:r>
        <w:rPr>
          <w:color w:val="auto"/>
        </w:rPr>
      </w:r>
      <w:r/>
    </w:p>
    <w:p>
      <w:pPr>
        <w:ind w:left="480" w:right="0" w:hanging="48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12.2 使用说明书、质量检验证明书、随配附件和工具以及清单一并附于货物内。</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12.3 乙方在货物发运手续办理完毕后24小时内或货到甲方48小时前通知甲方，以准</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备接货。</w:t>
      </w:r>
      <w:r>
        <w:rPr>
          <w:color w:val="auto"/>
        </w:rPr>
      </w:r>
      <w:r/>
    </w:p>
    <w:p>
      <w:pPr>
        <w:ind w:left="480" w:right="0" w:hanging="48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12.4 货物在交付甲方前发生的风险均由乙方负责。</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12.5 货物在规定的交付期限内由乙方送达甲方指定的地点视为交付，乙方同时需通知甲方货物已送达。</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十三、违约责任</w:t>
      </w:r>
      <w:r>
        <w:rPr>
          <w:color w:val="auto"/>
        </w:rPr>
      </w:r>
      <w:r/>
    </w:p>
    <w:p>
      <w:pPr>
        <w:ind w:left="410" w:right="0" w:hanging="41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13.1 甲方无正当理由拒收货物的，甲方向乙方偿付拒收货款总值</w:t>
      </w:r>
      <w:r>
        <w:rPr>
          <w:rFonts w:ascii="SimSun" w:hAnsi="SimSun" w:eastAsia="SimSun" w:cs="SimSun"/>
          <w:color w:val="auto"/>
          <w:sz w:val="24"/>
          <w:u w:val="single"/>
        </w:rPr>
        <w:t xml:space="preserve">    </w:t>
      </w:r>
      <w:r>
        <w:rPr>
          <w:rFonts w:ascii="SimSun" w:hAnsi="SimSun" w:eastAsia="SimSun" w:cs="SimSun"/>
          <w:color w:val="auto"/>
          <w:sz w:val="24"/>
        </w:rPr>
        <w:t xml:space="preserve">的违约金。</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13.2 甲方无故逾期验收和办理货款支付手续的,甲方应按逾期付款总额每日</w:t>
      </w:r>
      <w:r>
        <w:rPr>
          <w:rFonts w:ascii="SimSun" w:hAnsi="SimSun" w:eastAsia="SimSun" w:cs="SimSun"/>
          <w:color w:val="auto"/>
          <w:sz w:val="24"/>
          <w:u w:val="single"/>
        </w:rPr>
        <w:t xml:space="preserve">    </w:t>
      </w:r>
      <w:r>
        <w:rPr>
          <w:rFonts w:ascii="SimSun" w:hAnsi="SimSun" w:eastAsia="SimSun" w:cs="SimSun"/>
          <w:color w:val="auto"/>
          <w:sz w:val="24"/>
        </w:rPr>
        <w:t xml:space="preserve">向乙方支付违约金。</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SimSun" w:hAnsi="SimSun" w:eastAsia="SimSun" w:cs="SimSun"/>
          <w:color w:val="auto"/>
          <w:sz w:val="24"/>
          <w:u w:val="single"/>
        </w:rPr>
        <w:t xml:space="preserve">    </w:t>
      </w:r>
      <w:r>
        <w:rPr>
          <w:rFonts w:ascii="SimSun" w:hAnsi="SimSun" w:eastAsia="SimSun" w:cs="SimSun"/>
          <w:color w:val="auto"/>
          <w:sz w:val="24"/>
        </w:rPr>
        <w:t xml:space="preserve">的违约金，如造成甲方损失超过违约金的，超出部分由乙方继续承担赔偿责任。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13.4 乙方所交的货物品种、型号、规格、技术参数、质量不符合合同规定及招标文件</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规定标准的，甲方有权拒收该货物，乙方愿意更换货物但逾期交货的，按乙方逾期交</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货处理。乙方拒绝更换货物的，甲方可单方面解除合同。</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十四、不可抗力事件处理</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14.1 在合同有效期内，任何一方因不可抗力事件导致不能履行合同，则合同履行期可</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延长，其延长期与不可抗力影响期相同。</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14.2 不可抗力事件发生后，应立即通知对方，并寄送有关权威机构出具的证明。</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14.3 不可抗力事件延续120天以上，双方应通过友好协商，确定是否继续履行合同。</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十五、解决争议的方法</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15.1甲乙双方因合同签订、履行而发生的一切争议，应通过友好协商解决。如协商不</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成由甲方住所地人民法院管辖。</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十六、合同生效及其它</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16.1 合同经双方法定代表人或授权委托代表人签字并加盖单位公章后生效。</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16.2 本合同未尽事宜，遵照中华人民共和国现行法律法规有关条文执行。</w:t>
      </w:r>
      <w:r>
        <w:rPr>
          <w:color w:val="auto"/>
        </w:rPr>
      </w:r>
      <w:r/>
    </w:p>
    <w:p>
      <w:pPr>
        <w:ind w:left="480" w:right="0" w:hanging="48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16.3 本合同正本一式两份，具有同等法律效力，甲方、乙方各执一份。</w:t>
      </w:r>
      <w:r>
        <w:rPr>
          <w:color w:val="auto"/>
        </w:rPr>
      </w:r>
      <w:r/>
      <w:r>
        <w:rPr>
          <w:color w:val="auto"/>
        </w:rPr>
      </w:r>
      <w:r/>
      <w:r>
        <w:rPr>
          <w:color w:val="auto"/>
        </w:rPr>
      </w:r>
    </w:p>
    <w:p>
      <w:pPr>
        <w:ind w:left="480" w:right="0" w:hanging="48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450" w:right="0" w:hanging="24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甲方：                          乙方： </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地址：                          地址： </w:t>
      </w:r>
      <w:r>
        <w:rPr>
          <w:color w:val="auto"/>
        </w:rPr>
      </w:r>
      <w:r/>
    </w:p>
    <w:p>
      <w:pPr>
        <w:ind w:left="0" w:right="0" w:firstLine="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法定代表人或授权代表：          法定代表人或授权代表：</w:t>
      </w:r>
      <w:r>
        <w:rPr>
          <w:color w:val="auto"/>
        </w:rPr>
      </w:r>
      <w:r/>
    </w:p>
    <w:p>
      <w:pPr>
        <w:ind w:left="0" w:right="0" w:firstLine="240"/>
        <w:jc w:val="both"/>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联系电话：                      联系电话：         </w:t>
      </w:r>
      <w:r/>
      <w:r>
        <w:rPr>
          <w:rFonts w:ascii="SimSun" w:hAnsi="SimSun" w:eastAsia="SimSun" w:cs="SimSun"/>
          <w:color w:val="auto"/>
          <w:sz w:val="21"/>
        </w:rPr>
        <w:t xml:space="preserve">        </w:t>
      </w:r>
      <w:r>
        <w:rPr>
          <w:rFonts w:ascii="SimSun" w:hAnsi="SimSun" w:eastAsia="SimSun" w:cs="SimSun"/>
          <w:color w:val="auto"/>
          <w:sz w:val="24"/>
        </w:rPr>
        <w:t xml:space="preserve">   </w:t>
      </w:r>
      <w:r>
        <w:rPr>
          <w:color w:val="auto"/>
        </w:rPr>
      </w:r>
      <w:r/>
      <w:r>
        <w:rPr>
          <w:color w:val="auto"/>
        </w:rPr>
      </w:r>
      <w:r>
        <w:rPr>
          <w:color w:val="auto"/>
        </w:rPr>
      </w:r>
      <w:r/>
      <w:r>
        <w:rPr>
          <w:color w:val="auto"/>
        </w:rPr>
      </w:r>
    </w:p>
    <w:p>
      <w:pPr>
        <w:ind w:left="0" w:right="0" w:firstLine="0"/>
        <w:jc w:val="left"/>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签订日期：      年    月   日</w:t>
        <w:br w:type="page" w:clear="all"/>
      </w:r>
      <w:r>
        <w:rPr>
          <w:color w:val="auto"/>
        </w:rPr>
      </w:r>
      <w:r/>
    </w:p>
    <w:p>
      <w:pPr>
        <w:ind w:left="0" w:right="0" w:firstLine="0"/>
        <w:jc w:val="center"/>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rPr>
        <w:t xml:space="preserve"> 第四章 采购需求</w:t>
      </w:r>
      <w:r>
        <w:rPr>
          <w:rFonts w:ascii="Times New Roman" w:hAnsi="Times New Roman" w:eastAsia="Times New Roman" w:cs="Times New Roman"/>
          <w:color w:val="auto"/>
          <w:sz w:val="32"/>
        </w:rPr>
        <w:t xml:space="preserve"> </w:t>
      </w:r>
      <w:r>
        <w:rPr>
          <w:color w:val="auto"/>
        </w:rPr>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34"/>
        <w:gridCol w:w="559"/>
        <w:gridCol w:w="5818"/>
        <w:gridCol w:w="2443"/>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分包</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18"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采购标的</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对应中小企业划分标准所属行业</w:t>
            </w:r>
            <w:r>
              <w:rPr>
                <w:color w:val="auto"/>
              </w:rPr>
            </w:r>
            <w:r/>
          </w:p>
        </w:tc>
      </w:tr>
      <w:tr>
        <w:trPr>
          <w:trHeight w:val="4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vMerge w:val="restart"/>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8"/>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8"/>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18" w:type="dxa"/>
            <w:vAlign w:val="center"/>
            <w:textDirection w:val="lrTb"/>
            <w:noWrap w:val="false"/>
          </w:tcPr>
          <w:p>
            <w:pPr>
              <w:ind w:left="0" w:right="0" w:firstLine="0"/>
              <w:jc w:val="center"/>
              <w:spacing w:before="0" w:after="0" w:line="360" w:lineRule="auto"/>
              <w:tabs>
                <w:tab w:val="left" w:pos="2020"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网络、监控、排队叫号系统相关的设施设备</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工业</w:t>
            </w:r>
            <w:r>
              <w:rPr>
                <w:color w:val="auto"/>
              </w:rPr>
            </w:r>
            <w:r/>
          </w:p>
        </w:tc>
      </w:tr>
      <w:tr>
        <w:trPr>
          <w:trHeight w:val="45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8"/>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18" w:type="dxa"/>
            <w:vAlign w:val="center"/>
            <w:textDirection w:val="lrTb"/>
            <w:noWrap w:val="false"/>
          </w:tcPr>
          <w:p>
            <w:pPr>
              <w:ind w:left="0" w:right="0" w:firstLine="0"/>
              <w:jc w:val="center"/>
              <w:spacing w:before="0" w:after="0" w:line="360" w:lineRule="auto"/>
              <w:tabs>
                <w:tab w:val="left" w:pos="2020"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设施设备安装、适配、调试维保等相关的服务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软件和信息服务业</w:t>
            </w:r>
            <w:r>
              <w:rPr>
                <w:color w:val="auto"/>
              </w:rPr>
            </w:r>
            <w:r/>
          </w:p>
        </w:tc>
      </w:tr>
    </w:tbl>
    <w:p>
      <w:pPr>
        <w:ind w:left="0" w:right="0" w:firstLine="0"/>
        <w:spacing w:before="0" w:after="0" w:line="360" w:lineRule="auto"/>
        <w:rPr>
          <w:rFonts w:ascii="SimHei" w:hAnsi="SimHei" w:eastAsia="SimHei" w:cs="SimHei"/>
          <w:b/>
          <w:bCs/>
          <w:i/>
          <w:color w:val="auto"/>
          <w:sz w:val="32"/>
          <w:szCs w:val="32"/>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auto"/>
          <w:sz w:val="32"/>
          <w:u w:val="single"/>
        </w:rPr>
        <w:t xml:space="preserve">（斜体下划线部分为实质性要求，不得负偏离）</w:t>
      </w:r>
      <w:r>
        <w:rPr>
          <w:color w:val="auto"/>
        </w:rPr>
      </w:r>
      <w:r/>
    </w:p>
    <w:p>
      <w:pPr>
        <w:ind w:left="0" w:right="0" w:firstLine="0"/>
        <w:spacing w:before="0" w:after="0" w:line="360" w:lineRule="auto"/>
        <w:rPr>
          <w:rFonts w:ascii="SimHei" w:hAnsi="SimHei" w:eastAsia="SimHei" w:cs="SimHei"/>
          <w:color w:val="auto"/>
          <w:sz w:val="32"/>
          <w:szCs w:val="32"/>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rPr>
        <w:t xml:space="preserve">    一、需求概况</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rPr>
        <w:t xml:space="preserve">   </w:t>
      </w:r>
      <w:r>
        <w:rPr>
          <w:rFonts w:ascii="SimSun" w:hAnsi="SimSun" w:eastAsia="SimSun" w:cs="SimSun"/>
          <w:color w:val="auto"/>
          <w:sz w:val="24"/>
          <w:szCs w:val="24"/>
        </w:rPr>
        <w:t xml:space="preserve"> 1.</w:t>
      </w:r>
      <w:r>
        <w:rPr>
          <w:rFonts w:ascii="SimSun" w:hAnsi="SimSun" w:eastAsia="SimSun" w:cs="SimSun"/>
          <w:color w:val="auto"/>
          <w:sz w:val="24"/>
          <w:szCs w:val="24"/>
        </w:rPr>
        <w:t xml:space="preserve">项目简介：现有区政务服务中心临时办事点（沈毅中学）</w:t>
      </w:r>
      <w:r>
        <w:rPr>
          <w:rFonts w:ascii="SimSun" w:hAnsi="SimSun" w:eastAsia="SimSun" w:cs="SimSun"/>
          <w:color w:val="auto"/>
          <w:sz w:val="24"/>
          <w:szCs w:val="24"/>
        </w:rPr>
        <w:t xml:space="preserve">利旧设备搬运至区政务服务中心原址（府前路</w:t>
      </w:r>
      <w:r>
        <w:rPr>
          <w:rFonts w:ascii="SimSun" w:hAnsi="SimSun" w:eastAsia="SimSun" w:cs="SimSun"/>
          <w:color w:val="auto"/>
          <w:sz w:val="24"/>
          <w:szCs w:val="24"/>
        </w:rPr>
        <w:t xml:space="preserve">3</w:t>
      </w:r>
      <w:r>
        <w:rPr>
          <w:rFonts w:ascii="SimSun" w:hAnsi="SimSun" w:eastAsia="SimSun" w:cs="SimSun"/>
          <w:color w:val="auto"/>
          <w:sz w:val="24"/>
          <w:szCs w:val="24"/>
        </w:rPr>
        <w:t xml:space="preserve">号）后，根据实际窗口人员工作需要，采购网络、监控、排队叫号系统相关的设施设备及原厂维保、各类其他设备维保、现场运维服务、设备搬迁、新设备及相关系统平台的适配、页面、叫号等调试工作。（如有需要，可至沈毅中学实地查看，预估工作量）</w:t>
      </w:r>
      <w:r>
        <w:rPr>
          <w:color w:val="auto"/>
        </w:rPr>
      </w:r>
      <w:r/>
    </w:p>
    <w:p>
      <w:pPr>
        <w:ind w:left="0" w:right="0" w:firstLine="0"/>
        <w:jc w:val="both"/>
        <w:spacing w:before="120" w:after="12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      2.</w:t>
      </w:r>
      <w:r>
        <w:rPr>
          <w:rFonts w:ascii="SimSun" w:hAnsi="SimSun" w:eastAsia="SimSun" w:cs="SimSun"/>
          <w:color w:val="auto"/>
          <w:sz w:val="24"/>
          <w:szCs w:val="24"/>
        </w:rPr>
        <w:t xml:space="preserve">实施时间</w:t>
      </w:r>
      <w:r>
        <w:rPr>
          <w:rFonts w:ascii="SimSun" w:hAnsi="SimSun" w:eastAsia="SimSun" w:cs="SimSun"/>
          <w:color w:val="auto"/>
          <w:sz w:val="24"/>
          <w:szCs w:val="24"/>
        </w:rPr>
      </w:r>
      <w:r/>
    </w:p>
    <w:p>
      <w:pPr>
        <w:ind w:left="0" w:right="0" w:firstLine="0"/>
        <w:jc w:val="both"/>
        <w:spacing w:before="120" w:after="12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    （</w:t>
      </w:r>
      <w:r>
        <w:rPr>
          <w:rFonts w:ascii="SimSun" w:hAnsi="SimSun" w:eastAsia="SimSun" w:cs="SimSun"/>
          <w:color w:val="auto"/>
          <w:sz w:val="24"/>
          <w:szCs w:val="24"/>
        </w:rPr>
        <w:t xml:space="preserve">1</w:t>
      </w:r>
      <w:r>
        <w:rPr>
          <w:rFonts w:ascii="SimSun" w:hAnsi="SimSun" w:eastAsia="SimSun" w:cs="SimSun"/>
          <w:color w:val="auto"/>
          <w:sz w:val="24"/>
          <w:szCs w:val="24"/>
        </w:rPr>
        <w:t xml:space="preserve">）网络、监控、排队叫号系统相关的设施设备（货物）：合同盖章生效后及时实施（该项目所需建设及实施方案建议在</w:t>
      </w:r>
      <w:r>
        <w:rPr>
          <w:rFonts w:ascii="SimSun" w:hAnsi="SimSun" w:eastAsia="SimSun" w:cs="SimSun"/>
          <w:color w:val="auto"/>
          <w:sz w:val="24"/>
          <w:szCs w:val="24"/>
        </w:rPr>
        <w:t xml:space="preserve">1</w:t>
      </w:r>
      <w:r>
        <w:rPr>
          <w:rFonts w:ascii="SimSun" w:hAnsi="SimSun" w:eastAsia="SimSun" w:cs="SimSun"/>
          <w:color w:val="auto"/>
          <w:sz w:val="24"/>
          <w:szCs w:val="24"/>
        </w:rPr>
        <w:t xml:space="preserve">个月内制定、完善并及时实施，需于</w:t>
      </w:r>
      <w:r>
        <w:rPr>
          <w:rFonts w:ascii="SimSun" w:hAnsi="SimSun" w:eastAsia="SimSun" w:cs="SimSun"/>
          <w:color w:val="auto"/>
          <w:sz w:val="24"/>
          <w:szCs w:val="24"/>
        </w:rPr>
        <w:t xml:space="preserve">9</w:t>
      </w:r>
      <w:r>
        <w:rPr>
          <w:rFonts w:ascii="SimSun" w:hAnsi="SimSun" w:eastAsia="SimSun" w:cs="SimSun"/>
          <w:color w:val="auto"/>
          <w:sz w:val="24"/>
          <w:szCs w:val="24"/>
        </w:rPr>
        <w:t xml:space="preserve">月底前完成安装调试及试运行工作）。</w:t>
      </w:r>
      <w:r>
        <w:rPr>
          <w:rFonts w:ascii="SimSun" w:hAnsi="SimSun" w:eastAsia="SimSun" w:cs="SimSun"/>
          <w:color w:val="auto"/>
          <w:sz w:val="24"/>
          <w:szCs w:val="24"/>
        </w:rPr>
      </w:r>
      <w:r/>
    </w:p>
    <w:p>
      <w:pPr>
        <w:ind w:left="0" w:right="0" w:firstLine="0"/>
        <w:jc w:val="both"/>
        <w:spacing w:before="120" w:after="12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    （</w:t>
      </w:r>
      <w:r>
        <w:rPr>
          <w:rFonts w:ascii="SimSun" w:hAnsi="SimSun" w:eastAsia="SimSun" w:cs="SimSun"/>
          <w:color w:val="auto"/>
          <w:sz w:val="24"/>
          <w:szCs w:val="24"/>
        </w:rPr>
        <w:t xml:space="preserve">2</w:t>
      </w:r>
      <w:r>
        <w:rPr>
          <w:rFonts w:ascii="SimSun" w:hAnsi="SimSun" w:eastAsia="SimSun" w:cs="SimSun"/>
          <w:color w:val="auto"/>
          <w:sz w:val="24"/>
          <w:szCs w:val="24"/>
        </w:rPr>
        <w:t xml:space="preserve">）</w:t>
      </w:r>
      <w:r>
        <w:rPr>
          <w:rFonts w:ascii="SimSun" w:hAnsi="SimSun" w:eastAsia="SimSun" w:cs="SimSun"/>
          <w:color w:val="auto"/>
          <w:sz w:val="24"/>
          <w:szCs w:val="24"/>
        </w:rPr>
        <w:t xml:space="preserve">设备安装适配调试维保等相关服务</w:t>
      </w:r>
      <w:r>
        <w:rPr>
          <w:rFonts w:ascii="SimSun" w:hAnsi="SimSun" w:eastAsia="SimSun" w:cs="SimSun"/>
          <w:color w:val="auto"/>
          <w:sz w:val="24"/>
          <w:szCs w:val="24"/>
        </w:rPr>
        <w:t xml:space="preserve">（服务）：期限为货物最终验收后三年。</w:t>
      </w:r>
      <w:r>
        <w:rPr>
          <w:rFonts w:ascii="SimSun" w:hAnsi="SimSun" w:eastAsia="SimSun" w:cs="SimSun"/>
          <w:color w:val="auto"/>
          <w:sz w:val="24"/>
          <w:szCs w:val="24"/>
        </w:rPr>
      </w:r>
      <w:r/>
    </w:p>
    <w:p>
      <w:pPr>
        <w:ind w:left="0" w:right="0" w:firstLine="0"/>
        <w:jc w:val="both"/>
        <w:spacing w:before="120" w:after="12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    3.</w:t>
      </w:r>
      <w:r>
        <w:rPr>
          <w:rFonts w:ascii="SimSun" w:hAnsi="SimSun" w:eastAsia="SimSun" w:cs="SimSun"/>
          <w:color w:val="auto"/>
          <w:sz w:val="24"/>
          <w:szCs w:val="24"/>
        </w:rPr>
        <w:t xml:space="preserve">服务地点：区政务服务中心临时办事点（沈毅中学）与区政务服务中心原址（府前路</w:t>
      </w:r>
      <w:r>
        <w:rPr>
          <w:rFonts w:ascii="SimSun" w:hAnsi="SimSun" w:eastAsia="SimSun" w:cs="SimSun"/>
          <w:color w:val="auto"/>
          <w:sz w:val="24"/>
          <w:szCs w:val="24"/>
        </w:rPr>
        <w:t xml:space="preserve">3</w:t>
      </w:r>
      <w:r>
        <w:rPr>
          <w:rFonts w:ascii="SimSun" w:hAnsi="SimSun" w:eastAsia="SimSun" w:cs="SimSun"/>
          <w:color w:val="auto"/>
          <w:sz w:val="24"/>
          <w:szCs w:val="24"/>
        </w:rPr>
        <w:t xml:space="preserve">号）。</w:t>
      </w:r>
      <w:r>
        <w:rPr>
          <w:rFonts w:ascii="SimSun" w:hAnsi="SimSun" w:eastAsia="SimSun" w:cs="SimSun"/>
          <w:color w:val="auto"/>
          <w:sz w:val="24"/>
          <w:szCs w:val="24"/>
        </w:rPr>
      </w:r>
      <w:r/>
    </w:p>
    <w:p>
      <w:pPr>
        <w:ind w:left="0" w:right="0" w:firstLine="0"/>
        <w:jc w:val="both"/>
        <w:spacing w:before="0" w:after="145" w:line="360" w:lineRule="auto"/>
        <w:rPr>
          <w:rFonts w:ascii="SimSun" w:hAnsi="SimSun" w:eastAsia="SimSun" w:cs="SimSun"/>
          <w:b/>
          <w:bCs/>
          <w:i/>
          <w:color w:val="auto"/>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auto"/>
          <w:sz w:val="24"/>
          <w:szCs w:val="24"/>
          <w:u w:val="single"/>
        </w:rPr>
        <w:t xml:space="preserve">4.</w:t>
      </w:r>
      <w:r>
        <w:rPr>
          <w:rFonts w:ascii="SimSun" w:hAnsi="SimSun" w:eastAsia="SimSun" w:cs="SimSun"/>
          <w:b/>
          <w:bCs/>
          <w:i/>
          <w:iCs/>
          <w:color w:val="auto"/>
          <w:sz w:val="24"/>
          <w:szCs w:val="24"/>
          <w:u w:val="single"/>
        </w:rPr>
        <w:t xml:space="preserve">货物最高限价为208</w:t>
      </w:r>
      <w:r>
        <w:rPr>
          <w:rFonts w:ascii="SimSun" w:hAnsi="SimSun" w:eastAsia="SimSun" w:cs="SimSun"/>
          <w:b/>
          <w:bCs/>
          <w:i/>
          <w:iCs/>
          <w:color w:val="auto"/>
          <w:sz w:val="24"/>
          <w:szCs w:val="24"/>
          <w:u w:val="single"/>
        </w:rPr>
        <w:t xml:space="preserve">万元；服务最高限价为</w:t>
      </w:r>
      <w:r>
        <w:rPr>
          <w:rFonts w:ascii="SimSun" w:hAnsi="SimSun" w:eastAsia="SimSun" w:cs="SimSun"/>
          <w:b/>
          <w:bCs/>
          <w:i/>
          <w:iCs/>
          <w:color w:val="auto"/>
          <w:sz w:val="24"/>
          <w:szCs w:val="24"/>
          <w:u w:val="single"/>
        </w:rPr>
        <w:t xml:space="preserve">37</w:t>
      </w:r>
      <w:r>
        <w:rPr>
          <w:rFonts w:ascii="SimSun" w:hAnsi="SimSun" w:eastAsia="SimSun" w:cs="SimSun"/>
          <w:b/>
          <w:bCs/>
          <w:i/>
          <w:iCs/>
          <w:color w:val="auto"/>
          <w:sz w:val="24"/>
          <w:szCs w:val="24"/>
          <w:u w:val="single"/>
        </w:rPr>
        <w:t xml:space="preserve">万元。</w:t>
      </w:r>
      <w:r>
        <w:rPr>
          <w:color w:val="auto"/>
          <w:sz w:val="24"/>
          <w:szCs w:val="24"/>
          <w:highlight w:val="none"/>
        </w:rPr>
        <w:t xml:space="preserve">请供应商在本项目中分两部分（货物、服务）报价</w:t>
      </w:r>
      <w:r>
        <w:t xml:space="preserve">。</w:t>
      </w:r>
      <w:r>
        <w:rPr>
          <w:rFonts w:ascii="SimSun" w:hAnsi="SimSun" w:eastAsia="SimSun" w:cs="SimSun"/>
          <w:b/>
          <w:bCs/>
          <w:i/>
          <w:color w:val="auto"/>
          <w:sz w:val="24"/>
          <w:szCs w:val="24"/>
          <w:u w:val="single"/>
        </w:rPr>
      </w:r>
      <w:r/>
    </w:p>
    <w:p>
      <w:pPr>
        <w:ind w:left="0" w:right="0" w:firstLine="0"/>
        <w:jc w:val="both"/>
        <w:spacing w:before="0" w:after="0" w:line="276"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rPr>
        <w:t xml:space="preserve">二、技术参数</w:t>
      </w:r>
      <w:r>
        <w:rPr>
          <w:color w:val="auto"/>
        </w:rPr>
      </w:r>
      <w:r/>
    </w:p>
    <w:p>
      <w:pPr>
        <w:ind w:left="0" w:right="0" w:firstLine="0"/>
        <w:jc w:val="both"/>
        <w:spacing w:before="120" w:after="120" w:line="360" w:lineRule="auto"/>
        <w:rPr>
          <w:rFonts w:ascii="SimSun" w:hAnsi="SimSun" w:eastAsia="SimSun" w:cs="SimSun"/>
          <w:color w:val="auto"/>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szCs w:val="24"/>
        </w:rPr>
        <w:t xml:space="preserve">    若投标人提供的货物和服务同采购人提出的项目需求说明中的技术、商务要求不同的，必须在《商务要求响应及偏离表》和《技术要求响应及偏离表》上明示，如不明示的视同完全响应。</w:t>
      </w:r>
      <w:r>
        <w:rPr>
          <w:color w:val="auto"/>
        </w:rPr>
        <w:br w:type="page" w:clear="all"/>
      </w:r>
      <w:r>
        <w:rPr>
          <w:rFonts w:ascii="SimSun" w:hAnsi="SimSun" w:eastAsia="SimSun" w:cs="SimSun"/>
          <w:color w:val="auto"/>
          <w:sz w:val="24"/>
          <w:szCs w:val="24"/>
          <w14:ligatures w14:val="none"/>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 </w:t>
      </w:r>
      <w:r>
        <w:rPr>
          <w:color w:val="auto"/>
        </w:rPr>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1069"/>
        <w:gridCol w:w="5953"/>
        <w:gridCol w:w="425"/>
        <w:gridCol w:w="567"/>
        <w:gridCol w:w="1276"/>
      </w:tblGrid>
      <w:tr>
        <w:trPr>
          <w:trHeight w:val="11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产品</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名称</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品牌型号（技术参数）</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单位</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数量</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rFonts w:ascii="SimHei" w:hAnsi="SimHei" w:eastAsia="SimHei" w:cs="SimHei"/>
                <w:b/>
                <w:bCs/>
                <w:color w:val="auto"/>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b/>
                <w:bCs/>
                <w:color w:val="auto"/>
                <w:sz w:val="24"/>
              </w:rPr>
              <w:t xml:space="preserve">是否为</w:t>
            </w:r>
            <w:r>
              <w:rPr>
                <w:color w:val="auto"/>
              </w:rP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bCs/>
                <w:color w:val="auto"/>
                <w:sz w:val="24"/>
              </w:rPr>
              <w:t xml:space="preserve">核心产品</w:t>
            </w:r>
            <w:r/>
            <w:r/>
          </w:p>
        </w:tc>
      </w:tr>
      <w:tr>
        <w:trPr>
          <w:trHeight w:val="69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（一）网络设备</w:t>
            </w:r>
            <w:r>
              <w:rPr>
                <w:color w:val="auto"/>
              </w:rPr>
            </w:r>
            <w:r/>
          </w:p>
        </w:tc>
      </w:tr>
      <w:tr>
        <w:trPr>
          <w:trHeight w:val="1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核心交换机</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top"/>
            <w:textDirection w:val="lrTb"/>
            <w:noWrap w:val="false"/>
          </w:tcPr>
          <w:p>
            <w:pPr>
              <w:ind w:left="0" w:right="0" w:firstLine="0"/>
              <w:spacing w:before="0" w:after="0" w:line="360" w:lineRule="auto"/>
              <w:rPr>
                <w:rFonts w:ascii="FangSong" w:hAnsi="FangSong" w:eastAsia="FangSong" w:cs="FangSong"/>
                <w:b/>
                <w:bCs/>
                <w:i/>
                <w:color w:val="auto"/>
                <w:sz w:val="24"/>
                <w:szCs w:val="24"/>
                <w:u w:val="single"/>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b/>
                <w:i/>
                <w:color w:val="auto"/>
                <w:sz w:val="24"/>
                <w:u w:val="single"/>
              </w:rPr>
              <w:t xml:space="preserve">硬件主要参数需求：采用正交交换架构，模块化设计，支持灵活插卡，提供独立业务插槽</w:t>
            </w:r>
            <w:r>
              <w:rPr>
                <w:rFonts w:ascii="Times New Roman" w:hAnsi="Times New Roman" w:eastAsia="Times New Roman" w:cs="Times New Roman"/>
                <w:b/>
                <w:i/>
                <w:color w:val="auto"/>
                <w:sz w:val="24"/>
                <w:u w:val="single"/>
              </w:rPr>
              <w:t xml:space="preserve">≥8</w:t>
            </w:r>
            <w:r>
              <w:rPr>
                <w:rFonts w:ascii="FangSong" w:hAnsi="FangSong" w:eastAsia="FangSong" w:cs="FangSong"/>
                <w:b/>
                <w:i/>
                <w:color w:val="auto"/>
                <w:sz w:val="24"/>
                <w:u w:val="single"/>
              </w:rPr>
              <w:t xml:space="preserve">个；千兆</w:t>
            </w:r>
            <w:r>
              <w:rPr>
                <w:rFonts w:ascii="Times New Roman" w:hAnsi="Times New Roman" w:eastAsia="Times New Roman" w:cs="Times New Roman"/>
                <w:b/>
                <w:i/>
                <w:color w:val="auto"/>
                <w:sz w:val="24"/>
                <w:u w:val="single"/>
              </w:rPr>
              <w:t xml:space="preserve">SFP</w:t>
            </w:r>
            <w:r>
              <w:rPr>
                <w:rFonts w:ascii="FangSong" w:hAnsi="FangSong" w:eastAsia="FangSong" w:cs="FangSong"/>
                <w:b/>
                <w:i/>
                <w:color w:val="auto"/>
                <w:sz w:val="24"/>
                <w:u w:val="single"/>
              </w:rPr>
              <w:t xml:space="preserve">光接口</w:t>
            </w:r>
            <w:r>
              <w:rPr>
                <w:rFonts w:ascii="Times New Roman" w:hAnsi="Times New Roman" w:eastAsia="Times New Roman" w:cs="Times New Roman"/>
                <w:b/>
                <w:i/>
                <w:color w:val="auto"/>
                <w:sz w:val="24"/>
                <w:u w:val="single"/>
              </w:rPr>
              <w:t xml:space="preserve">≥48</w:t>
            </w:r>
            <w:r>
              <w:rPr>
                <w:rFonts w:ascii="FangSong" w:hAnsi="FangSong" w:eastAsia="FangSong" w:cs="FangSong"/>
                <w:b/>
                <w:i/>
                <w:color w:val="auto"/>
                <w:sz w:val="24"/>
                <w:u w:val="single"/>
              </w:rPr>
              <w:t xml:space="preserve">个，万兆</w:t>
            </w:r>
            <w:r>
              <w:rPr>
                <w:rFonts w:ascii="Times New Roman" w:hAnsi="Times New Roman" w:eastAsia="Times New Roman" w:cs="Times New Roman"/>
                <w:b/>
                <w:i/>
                <w:color w:val="auto"/>
                <w:sz w:val="24"/>
                <w:u w:val="single"/>
              </w:rPr>
              <w:t xml:space="preserve">SFP+</w:t>
            </w:r>
            <w:r>
              <w:rPr>
                <w:rFonts w:ascii="FangSong" w:hAnsi="FangSong" w:eastAsia="FangSong" w:cs="FangSong"/>
                <w:b/>
                <w:i/>
                <w:color w:val="auto"/>
                <w:sz w:val="24"/>
                <w:u w:val="single"/>
              </w:rPr>
              <w:t xml:space="preserve">光接口</w:t>
            </w:r>
            <w:r>
              <w:rPr>
                <w:rFonts w:ascii="Times New Roman" w:hAnsi="Times New Roman" w:eastAsia="Times New Roman" w:cs="Times New Roman"/>
                <w:b/>
                <w:i/>
                <w:color w:val="auto"/>
                <w:sz w:val="24"/>
                <w:u w:val="single"/>
              </w:rPr>
              <w:t xml:space="preserve">≥10</w:t>
            </w:r>
            <w:r>
              <w:rPr>
                <w:rFonts w:ascii="FangSong" w:hAnsi="FangSong" w:eastAsia="FangSong" w:cs="FangSong"/>
                <w:b/>
                <w:i/>
                <w:color w:val="auto"/>
                <w:sz w:val="24"/>
                <w:u w:val="single"/>
              </w:rPr>
              <w:t xml:space="preserve">个；交换容量</w:t>
            </w:r>
            <w:r>
              <w:rPr>
                <w:rFonts w:ascii="Times New Roman" w:hAnsi="Times New Roman" w:eastAsia="Times New Roman" w:cs="Times New Roman"/>
                <w:b/>
                <w:i/>
                <w:color w:val="auto"/>
                <w:sz w:val="24"/>
                <w:u w:val="single"/>
              </w:rPr>
              <w:t xml:space="preserve">≥120Tbps</w:t>
            </w:r>
            <w:r>
              <w:rPr>
                <w:rFonts w:ascii="FangSong" w:hAnsi="FangSong" w:eastAsia="FangSong" w:cs="FangSong"/>
                <w:b/>
                <w:i/>
                <w:color w:val="auto"/>
                <w:sz w:val="24"/>
                <w:u w:val="single"/>
              </w:rPr>
              <w:t xml:space="preserve">，转发性能</w:t>
            </w:r>
            <w:r>
              <w:rPr>
                <w:rFonts w:ascii="Times New Roman" w:hAnsi="Times New Roman" w:eastAsia="Times New Roman" w:cs="Times New Roman"/>
                <w:b/>
                <w:i/>
                <w:color w:val="auto"/>
                <w:sz w:val="24"/>
                <w:u w:val="single"/>
              </w:rPr>
              <w:t xml:space="preserve">≥35000Mpps</w:t>
            </w:r>
            <w:r>
              <w:rPr>
                <w:rFonts w:ascii="FangSong" w:hAnsi="FangSong" w:eastAsia="FangSong" w:cs="FangSong"/>
                <w:b/>
                <w:i/>
                <w:color w:val="auto"/>
                <w:sz w:val="24"/>
                <w:u w:val="single"/>
              </w:rPr>
              <w:t xml:space="preserve">；支持静态路由、等价路由、策略路由；支持</w:t>
            </w:r>
            <w:r>
              <w:rPr>
                <w:rFonts w:ascii="Times New Roman" w:hAnsi="Times New Roman" w:eastAsia="Times New Roman" w:cs="Times New Roman"/>
                <w:b/>
                <w:i/>
                <w:color w:val="auto"/>
                <w:sz w:val="24"/>
                <w:u w:val="single"/>
              </w:rPr>
              <w:t xml:space="preserve">OSPF</w:t>
            </w:r>
            <w:r>
              <w:rPr>
                <w:rFonts w:ascii="FangSong" w:hAnsi="FangSong" w:eastAsia="FangSong" w:cs="FangSong"/>
                <w:b/>
                <w:i/>
                <w:color w:val="auto"/>
                <w:sz w:val="24"/>
                <w:u w:val="single"/>
              </w:rPr>
              <w:t xml:space="preserve">、</w:t>
            </w:r>
            <w:r>
              <w:rPr>
                <w:rFonts w:ascii="Times New Roman" w:hAnsi="Times New Roman" w:eastAsia="Times New Roman" w:cs="Times New Roman"/>
                <w:b/>
                <w:i/>
                <w:color w:val="auto"/>
                <w:sz w:val="24"/>
                <w:u w:val="single"/>
              </w:rPr>
              <w:t xml:space="preserve">RIPv1/v2</w:t>
            </w:r>
            <w:r>
              <w:rPr>
                <w:rFonts w:ascii="FangSong" w:hAnsi="FangSong" w:eastAsia="FangSong" w:cs="FangSong"/>
                <w:b/>
                <w:i/>
                <w:color w:val="auto"/>
                <w:sz w:val="24"/>
                <w:u w:val="single"/>
              </w:rPr>
              <w:t xml:space="preserve">、</w:t>
            </w:r>
            <w:r>
              <w:rPr>
                <w:rFonts w:ascii="Times New Roman" w:hAnsi="Times New Roman" w:eastAsia="Times New Roman" w:cs="Times New Roman"/>
                <w:b/>
                <w:i/>
                <w:color w:val="auto"/>
                <w:sz w:val="24"/>
                <w:u w:val="single"/>
              </w:rPr>
              <w:t xml:space="preserve">BGPv4</w:t>
            </w:r>
            <w:r>
              <w:rPr>
                <w:rFonts w:ascii="FangSong" w:hAnsi="FangSong" w:eastAsia="FangSong" w:cs="FangSong"/>
                <w:b/>
                <w:i/>
                <w:color w:val="auto"/>
                <w:sz w:val="24"/>
                <w:u w:val="single"/>
              </w:rPr>
              <w:t xml:space="preserve">、</w:t>
            </w:r>
            <w:r>
              <w:rPr>
                <w:rFonts w:ascii="Times New Roman" w:hAnsi="Times New Roman" w:eastAsia="Times New Roman" w:cs="Times New Roman"/>
                <w:b/>
                <w:i/>
                <w:color w:val="auto"/>
                <w:sz w:val="24"/>
                <w:u w:val="single"/>
              </w:rPr>
              <w:t xml:space="preserve">BGP4+</w:t>
            </w:r>
            <w:r>
              <w:rPr>
                <w:rFonts w:ascii="FangSong" w:hAnsi="FangSong" w:eastAsia="FangSong" w:cs="FangSong"/>
                <w:b/>
                <w:i/>
                <w:color w:val="auto"/>
                <w:sz w:val="24"/>
                <w:u w:val="single"/>
              </w:rPr>
              <w:t xml:space="preserve">、</w:t>
            </w:r>
            <w:r>
              <w:rPr>
                <w:rFonts w:ascii="Times New Roman" w:hAnsi="Times New Roman" w:eastAsia="Times New Roman" w:cs="Times New Roman"/>
                <w:b/>
                <w:i/>
                <w:color w:val="auto"/>
                <w:sz w:val="24"/>
                <w:u w:val="single"/>
              </w:rPr>
              <w:t xml:space="preserve">IS-IS</w:t>
            </w:r>
            <w:r>
              <w:rPr>
                <w:rFonts w:ascii="FangSong" w:hAnsi="FangSong" w:eastAsia="FangSong" w:cs="FangSong"/>
                <w:b/>
                <w:i/>
                <w:color w:val="auto"/>
                <w:sz w:val="24"/>
                <w:u w:val="single"/>
              </w:rPr>
              <w:t xml:space="preserve">等路由协议；单台实配要求：配置冗余电源模块（货物交付时须随货物提供由具备</w:t>
            </w:r>
            <w:r>
              <w:rPr>
                <w:rFonts w:ascii="Times New Roman" w:hAnsi="Times New Roman" w:eastAsia="Times New Roman" w:cs="Times New Roman"/>
                <w:b/>
                <w:i/>
                <w:color w:val="auto"/>
                <w:sz w:val="24"/>
                <w:u w:val="single"/>
              </w:rPr>
              <w:t xml:space="preserve">CMA</w:t>
            </w:r>
            <w:r>
              <w:rPr>
                <w:rFonts w:ascii="FangSong" w:hAnsi="FangSong" w:eastAsia="FangSong" w:cs="FangSong"/>
                <w:b/>
                <w:i/>
                <w:color w:val="auto"/>
                <w:sz w:val="24"/>
                <w:u w:val="single"/>
              </w:rPr>
              <w:t xml:space="preserve">或</w:t>
            </w:r>
            <w:r>
              <w:rPr>
                <w:rFonts w:ascii="Times New Roman" w:hAnsi="Times New Roman" w:eastAsia="Times New Roman" w:cs="Times New Roman"/>
                <w:b/>
                <w:i/>
                <w:color w:val="auto"/>
                <w:sz w:val="24"/>
                <w:u w:val="single"/>
              </w:rPr>
              <w:t xml:space="preserve">CNAS</w:t>
            </w:r>
            <w:r>
              <w:rPr>
                <w:rFonts w:ascii="FangSong" w:hAnsi="FangSong" w:eastAsia="FangSong" w:cs="FangSong"/>
                <w:b/>
                <w:i/>
                <w:color w:val="auto"/>
                <w:sz w:val="24"/>
                <w:u w:val="single"/>
              </w:rPr>
              <w:t xml:space="preserve">资质的第三方检测机构</w:t>
            </w:r>
            <w:r>
              <w:rPr>
                <w:rFonts w:ascii="FangSong" w:hAnsi="FangSong" w:eastAsia="FangSong" w:cs="FangSong"/>
                <w:b/>
                <w:bCs/>
                <w:i/>
                <w:iCs/>
                <w:color w:val="auto"/>
                <w:sz w:val="24"/>
                <w:szCs w:val="24"/>
                <w:u w:val="single"/>
              </w:rPr>
              <w:t xml:space="preserve">出具的合格检验报告复印件并加盖供应商公章）。</w:t>
            </w:r>
            <w:r>
              <w:rPr>
                <w:rFonts w:ascii="FangSong" w:hAnsi="FangSong" w:eastAsia="FangSong" w:cs="FangSong"/>
                <w:b/>
                <w:bCs/>
                <w:i/>
                <w:iCs/>
                <w:color w:val="auto"/>
                <w:sz w:val="24"/>
                <w:szCs w:val="24"/>
                <w:u w:val="single"/>
              </w:rPr>
              <w:t xml:space="preserve">（投标时需提供官方产品彩页</w:t>
            </w:r>
            <w:r>
              <w:rPr>
                <w:rFonts w:ascii="FangSong" w:hAnsi="FangSong" w:eastAsia="FangSong" w:cs="FangSong"/>
                <w:b/>
                <w:bCs/>
                <w:i/>
                <w:iCs/>
                <w:color w:val="auto"/>
                <w:sz w:val="24"/>
                <w:szCs w:val="24"/>
                <w:u w:val="single"/>
              </w:rPr>
              <w:t xml:space="preserve">/</w:t>
            </w:r>
            <w:r>
              <w:rPr>
                <w:rFonts w:ascii="FangSong" w:hAnsi="FangSong" w:eastAsia="FangSong" w:cs="FangSong"/>
                <w:b/>
                <w:bCs/>
                <w:i/>
                <w:iCs/>
                <w:color w:val="auto"/>
                <w:sz w:val="24"/>
                <w:szCs w:val="24"/>
                <w:u w:val="single"/>
              </w:rPr>
              <w:t xml:space="preserve">数据手册</w:t>
            </w:r>
            <w:r>
              <w:rPr>
                <w:rFonts w:ascii="FangSong" w:hAnsi="FangSong" w:eastAsia="FangSong" w:cs="FangSong"/>
                <w:b/>
                <w:bCs/>
                <w:i/>
                <w:iCs/>
                <w:color w:val="auto"/>
                <w:sz w:val="24"/>
                <w:szCs w:val="24"/>
                <w:u w:val="single"/>
              </w:rPr>
              <w:t xml:space="preserve">/</w:t>
            </w:r>
            <w:r>
              <w:rPr>
                <w:rFonts w:ascii="FangSong" w:hAnsi="FangSong" w:eastAsia="FangSong" w:cs="FangSong"/>
                <w:b/>
                <w:bCs/>
                <w:i/>
                <w:iCs/>
                <w:color w:val="auto"/>
                <w:sz w:val="24"/>
                <w:szCs w:val="24"/>
                <w:u w:val="single"/>
              </w:rPr>
              <w:t xml:space="preserve">功能截图等相关佐证资料）</w:t>
            </w:r>
            <w:r>
              <w:rPr>
                <w:rFonts w:ascii="FangSong" w:hAnsi="FangSong" w:eastAsia="FangSong" w:cs="FangSong"/>
                <w:b/>
                <w:bCs/>
                <w:i/>
                <w:iCs/>
                <w:color w:val="auto"/>
                <w:sz w:val="24"/>
                <w:szCs w:val="24"/>
                <w:u w:val="single"/>
              </w:rPr>
            </w:r>
            <w:r>
              <w:rPr>
                <w:rFonts w:ascii="FangSong" w:hAnsi="FangSong" w:eastAsia="FangSong" w:cs="FangSong"/>
                <w:b/>
                <w:bCs/>
                <w:i/>
                <w:iCs/>
                <w:color w:val="auto"/>
                <w:sz w:val="24"/>
                <w:szCs w:val="24"/>
                <w:u w:val="singl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是</w:t>
            </w:r>
            <w:r>
              <w:rPr>
                <w:color w:val="auto"/>
              </w:rPr>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汇聚交换机</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top"/>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i/>
                <w:color w:val="auto"/>
                <w:sz w:val="24"/>
                <w:u w:val="single"/>
              </w:rPr>
              <w:t xml:space="preserve">硬件主要参数需求：固化</w:t>
            </w:r>
            <w:r>
              <w:rPr>
                <w:rFonts w:ascii="Times New Roman" w:hAnsi="Times New Roman" w:eastAsia="Times New Roman" w:cs="Times New Roman"/>
                <w:b/>
                <w:i/>
                <w:color w:val="auto"/>
                <w:sz w:val="24"/>
                <w:u w:val="single"/>
              </w:rPr>
              <w:t xml:space="preserve">100/1000Mbps SFP</w:t>
            </w:r>
            <w:r>
              <w:rPr>
                <w:rFonts w:ascii="FangSong" w:hAnsi="FangSong" w:eastAsia="FangSong" w:cs="FangSong"/>
                <w:b/>
                <w:i/>
                <w:color w:val="auto"/>
                <w:sz w:val="24"/>
                <w:u w:val="single"/>
              </w:rPr>
              <w:t xml:space="preserve">光口</w:t>
            </w:r>
            <w:r>
              <w:rPr>
                <w:rFonts w:ascii="Times New Roman" w:hAnsi="Times New Roman" w:eastAsia="Times New Roman" w:cs="Times New Roman"/>
                <w:b/>
                <w:i/>
                <w:color w:val="auto"/>
                <w:sz w:val="24"/>
                <w:u w:val="single"/>
              </w:rPr>
              <w:t xml:space="preserve">≥28</w:t>
            </w:r>
            <w:r>
              <w:rPr>
                <w:rFonts w:ascii="FangSong" w:hAnsi="FangSong" w:eastAsia="FangSong" w:cs="FangSong"/>
                <w:b/>
                <w:i/>
                <w:color w:val="auto"/>
                <w:sz w:val="24"/>
                <w:u w:val="single"/>
              </w:rPr>
              <w:t xml:space="preserve">，复用的</w:t>
            </w:r>
            <w:r>
              <w:rPr>
                <w:rFonts w:ascii="Times New Roman" w:hAnsi="Times New Roman" w:eastAsia="Times New Roman" w:cs="Times New Roman"/>
                <w:b/>
                <w:i/>
                <w:color w:val="auto"/>
                <w:sz w:val="24"/>
                <w:u w:val="single"/>
              </w:rPr>
              <w:t xml:space="preserve">10/100/1000Mbps</w:t>
            </w:r>
            <w:r>
              <w:rPr>
                <w:rFonts w:ascii="FangSong" w:hAnsi="FangSong" w:eastAsia="FangSong" w:cs="FangSong"/>
                <w:b/>
                <w:i/>
                <w:color w:val="auto"/>
                <w:sz w:val="24"/>
                <w:u w:val="single"/>
              </w:rPr>
              <w:t xml:space="preserve">电口</w:t>
            </w:r>
            <w:r>
              <w:rPr>
                <w:rFonts w:ascii="Times New Roman" w:hAnsi="Times New Roman" w:eastAsia="Times New Roman" w:cs="Times New Roman"/>
                <w:b/>
                <w:i/>
                <w:color w:val="auto"/>
                <w:sz w:val="24"/>
                <w:u w:val="single"/>
              </w:rPr>
              <w:t xml:space="preserve">≥8</w:t>
            </w:r>
            <w:r>
              <w:rPr>
                <w:rFonts w:ascii="FangSong" w:hAnsi="FangSong" w:eastAsia="FangSong" w:cs="FangSong"/>
                <w:b/>
                <w:i/>
                <w:color w:val="auto"/>
                <w:sz w:val="24"/>
                <w:u w:val="single"/>
              </w:rPr>
              <w:t xml:space="preserve">，固化</w:t>
            </w:r>
            <w:r>
              <w:rPr>
                <w:rFonts w:ascii="Times New Roman" w:hAnsi="Times New Roman" w:eastAsia="Times New Roman" w:cs="Times New Roman"/>
                <w:b/>
                <w:i/>
                <w:color w:val="auto"/>
                <w:sz w:val="24"/>
                <w:u w:val="single"/>
              </w:rPr>
              <w:t xml:space="preserve">1G/10G SFP+</w:t>
            </w:r>
            <w:r>
              <w:rPr>
                <w:rFonts w:ascii="FangSong" w:hAnsi="FangSong" w:eastAsia="FangSong" w:cs="FangSong"/>
                <w:b/>
                <w:i/>
                <w:color w:val="auto"/>
                <w:sz w:val="24"/>
                <w:u w:val="single"/>
              </w:rPr>
              <w:t xml:space="preserve">光接口</w:t>
            </w:r>
            <w:r>
              <w:rPr>
                <w:rFonts w:ascii="Times New Roman" w:hAnsi="Times New Roman" w:eastAsia="Times New Roman" w:cs="Times New Roman"/>
                <w:b/>
                <w:i/>
                <w:color w:val="auto"/>
                <w:sz w:val="24"/>
                <w:u w:val="single"/>
              </w:rPr>
              <w:t xml:space="preserve">≥4</w:t>
            </w:r>
            <w:r>
              <w:rPr>
                <w:rFonts w:ascii="FangSong" w:hAnsi="FangSong" w:eastAsia="FangSong" w:cs="FangSong"/>
                <w:b/>
                <w:i/>
                <w:color w:val="auto"/>
                <w:sz w:val="24"/>
                <w:u w:val="single"/>
              </w:rPr>
              <w:t xml:space="preserve">个，设备可提供</w:t>
            </w:r>
            <w:r>
              <w:rPr>
                <w:rFonts w:ascii="Times New Roman" w:hAnsi="Times New Roman" w:eastAsia="Times New Roman" w:cs="Times New Roman"/>
                <w:b/>
                <w:i/>
                <w:color w:val="auto"/>
                <w:sz w:val="24"/>
                <w:u w:val="single"/>
              </w:rPr>
              <w:t xml:space="preserve">2</w:t>
            </w:r>
            <w:r>
              <w:rPr>
                <w:rFonts w:ascii="FangSong" w:hAnsi="FangSong" w:eastAsia="FangSong" w:cs="FangSong"/>
                <w:b/>
                <w:i/>
                <w:color w:val="auto"/>
                <w:sz w:val="24"/>
                <w:u w:val="single"/>
              </w:rPr>
              <w:t xml:space="preserve">个扩展槽；交换容量</w:t>
            </w:r>
            <w:r>
              <w:rPr>
                <w:rFonts w:ascii="Times New Roman" w:hAnsi="Times New Roman" w:eastAsia="Times New Roman" w:cs="Times New Roman"/>
                <w:b/>
                <w:i/>
                <w:color w:val="auto"/>
                <w:sz w:val="24"/>
                <w:u w:val="single"/>
              </w:rPr>
              <w:t xml:space="preserve">≥2.5Tbps</w:t>
            </w:r>
            <w:r>
              <w:rPr>
                <w:rFonts w:ascii="FangSong" w:hAnsi="FangSong" w:eastAsia="FangSong" w:cs="FangSong"/>
                <w:b/>
                <w:i/>
                <w:color w:val="auto"/>
                <w:sz w:val="24"/>
                <w:u w:val="single"/>
              </w:rPr>
              <w:t xml:space="preserve">，包转发率</w:t>
            </w:r>
            <w:r>
              <w:rPr>
                <w:rFonts w:ascii="Times New Roman" w:hAnsi="Times New Roman" w:eastAsia="Times New Roman" w:cs="Times New Roman"/>
                <w:b/>
                <w:i/>
                <w:color w:val="auto"/>
                <w:sz w:val="24"/>
                <w:u w:val="single"/>
              </w:rPr>
              <w:t xml:space="preserve">≥700Mpps</w:t>
            </w:r>
            <w:r>
              <w:rPr>
                <w:rFonts w:ascii="FangSong" w:hAnsi="FangSong" w:eastAsia="FangSong" w:cs="FangSong"/>
                <w:b/>
                <w:i/>
                <w:color w:val="auto"/>
                <w:sz w:val="24"/>
                <w:u w:val="single"/>
              </w:rPr>
              <w:t xml:space="preserve">；支持</w:t>
            </w:r>
            <w:r>
              <w:rPr>
                <w:rFonts w:ascii="Times New Roman" w:hAnsi="Times New Roman" w:eastAsia="Times New Roman" w:cs="Times New Roman"/>
                <w:b/>
                <w:i/>
                <w:color w:val="auto"/>
                <w:sz w:val="24"/>
                <w:u w:val="single"/>
              </w:rPr>
              <w:t xml:space="preserve">RIP</w:t>
            </w:r>
            <w:r>
              <w:rPr>
                <w:rFonts w:ascii="FangSong" w:hAnsi="FangSong" w:eastAsia="FangSong" w:cs="FangSong"/>
                <w:b/>
                <w:i/>
                <w:color w:val="auto"/>
                <w:sz w:val="24"/>
                <w:u w:val="single"/>
              </w:rPr>
              <w:t xml:space="preserve">、</w:t>
            </w:r>
            <w:r>
              <w:rPr>
                <w:rFonts w:ascii="Times New Roman" w:hAnsi="Times New Roman" w:eastAsia="Times New Roman" w:cs="Times New Roman"/>
                <w:b/>
                <w:i/>
                <w:color w:val="auto"/>
                <w:sz w:val="24"/>
                <w:u w:val="single"/>
              </w:rPr>
              <w:t xml:space="preserve">OSPF</w:t>
            </w:r>
            <w:r>
              <w:rPr>
                <w:rFonts w:ascii="FangSong" w:hAnsi="FangSong" w:eastAsia="FangSong" w:cs="FangSong"/>
                <w:b/>
                <w:i/>
                <w:color w:val="auto"/>
                <w:sz w:val="24"/>
                <w:u w:val="single"/>
              </w:rPr>
              <w:t xml:space="preserve">、</w:t>
            </w:r>
            <w:r>
              <w:rPr>
                <w:rFonts w:ascii="Times New Roman" w:hAnsi="Times New Roman" w:eastAsia="Times New Roman" w:cs="Times New Roman"/>
                <w:b/>
                <w:i/>
                <w:color w:val="auto"/>
                <w:sz w:val="24"/>
                <w:u w:val="single"/>
              </w:rPr>
              <w:t xml:space="preserve">BGP</w:t>
            </w:r>
            <w:r>
              <w:rPr>
                <w:rFonts w:ascii="FangSong" w:hAnsi="FangSong" w:eastAsia="FangSong" w:cs="FangSong"/>
                <w:b/>
                <w:i/>
                <w:color w:val="auto"/>
                <w:sz w:val="24"/>
                <w:u w:val="single"/>
              </w:rPr>
              <w:t xml:space="preserve">、</w:t>
            </w:r>
            <w:r>
              <w:rPr>
                <w:rFonts w:ascii="Times New Roman" w:hAnsi="Times New Roman" w:eastAsia="Times New Roman" w:cs="Times New Roman"/>
                <w:b/>
                <w:i/>
                <w:color w:val="auto"/>
                <w:sz w:val="24"/>
                <w:u w:val="single"/>
              </w:rPr>
              <w:t xml:space="preserve">RIPng</w:t>
            </w:r>
            <w:r>
              <w:rPr>
                <w:rFonts w:ascii="FangSong" w:hAnsi="FangSong" w:eastAsia="FangSong" w:cs="FangSong"/>
                <w:b/>
                <w:i/>
                <w:color w:val="auto"/>
                <w:sz w:val="24"/>
                <w:u w:val="single"/>
              </w:rPr>
              <w:t xml:space="preserve">、</w:t>
            </w:r>
            <w:r>
              <w:rPr>
                <w:rFonts w:ascii="Times New Roman" w:hAnsi="Times New Roman" w:eastAsia="Times New Roman" w:cs="Times New Roman"/>
                <w:b/>
                <w:i/>
                <w:color w:val="auto"/>
                <w:sz w:val="24"/>
                <w:u w:val="single"/>
              </w:rPr>
              <w:t xml:space="preserve">OSPFv3</w:t>
            </w:r>
            <w:r>
              <w:rPr>
                <w:rFonts w:ascii="FangSong" w:hAnsi="FangSong" w:eastAsia="FangSong" w:cs="FangSong"/>
                <w:b/>
                <w:i/>
                <w:color w:val="auto"/>
                <w:sz w:val="24"/>
                <w:u w:val="single"/>
              </w:rPr>
              <w:t xml:space="preserve">、</w:t>
            </w:r>
            <w:r>
              <w:rPr>
                <w:rFonts w:ascii="Times New Roman" w:hAnsi="Times New Roman" w:eastAsia="Times New Roman" w:cs="Times New Roman"/>
                <w:b/>
                <w:i/>
                <w:color w:val="auto"/>
                <w:sz w:val="24"/>
                <w:u w:val="single"/>
              </w:rPr>
              <w:t xml:space="preserve">BGP4+</w:t>
            </w:r>
            <w:r>
              <w:rPr>
                <w:rFonts w:ascii="FangSong" w:hAnsi="FangSong" w:eastAsia="FangSong" w:cs="FangSong"/>
                <w:b/>
                <w:i/>
                <w:color w:val="auto"/>
                <w:sz w:val="24"/>
                <w:u w:val="single"/>
              </w:rPr>
              <w:t xml:space="preserve">；单台实配：配置冗余电源模块（货物交付时须随货物提供由具备</w:t>
            </w:r>
            <w:r>
              <w:rPr>
                <w:rFonts w:ascii="Times New Roman" w:hAnsi="Times New Roman" w:eastAsia="Times New Roman" w:cs="Times New Roman"/>
                <w:b/>
                <w:i/>
                <w:color w:val="auto"/>
                <w:sz w:val="24"/>
                <w:u w:val="single"/>
              </w:rPr>
              <w:t xml:space="preserve">CMA</w:t>
            </w:r>
            <w:r>
              <w:rPr>
                <w:rFonts w:ascii="FangSong" w:hAnsi="FangSong" w:eastAsia="FangSong" w:cs="FangSong"/>
                <w:b/>
                <w:i/>
                <w:color w:val="auto"/>
                <w:sz w:val="24"/>
                <w:u w:val="single"/>
              </w:rPr>
              <w:t xml:space="preserve">或</w:t>
            </w:r>
            <w:r>
              <w:rPr>
                <w:rFonts w:ascii="Times New Roman" w:hAnsi="Times New Roman" w:eastAsia="Times New Roman" w:cs="Times New Roman"/>
                <w:b/>
                <w:i/>
                <w:color w:val="auto"/>
                <w:sz w:val="24"/>
                <w:u w:val="single"/>
              </w:rPr>
              <w:t xml:space="preserve">CNAS</w:t>
            </w:r>
            <w:r>
              <w:rPr>
                <w:rFonts w:ascii="FangSong" w:hAnsi="FangSong" w:eastAsia="FangSong" w:cs="FangSong"/>
                <w:b/>
                <w:i/>
                <w:color w:val="auto"/>
                <w:sz w:val="24"/>
                <w:u w:val="single"/>
              </w:rPr>
              <w:t xml:space="preserve">资质的第三方检测机构出具的合格检验报告复印件并加盖供应商公章）。（投标时需提供官方产品彩页</w:t>
            </w:r>
            <w:r>
              <w:rPr>
                <w:rFonts w:ascii="Times New Roman" w:hAnsi="Times New Roman" w:eastAsia="Times New Roman" w:cs="Times New Roman"/>
                <w:b/>
                <w:i/>
                <w:color w:val="auto"/>
                <w:sz w:val="24"/>
                <w:u w:val="single"/>
              </w:rPr>
              <w:t xml:space="preserve">/</w:t>
            </w:r>
            <w:r>
              <w:rPr>
                <w:rFonts w:ascii="FangSong" w:hAnsi="FangSong" w:eastAsia="FangSong" w:cs="FangSong"/>
                <w:b/>
                <w:i/>
                <w:color w:val="auto"/>
                <w:sz w:val="24"/>
                <w:u w:val="single"/>
              </w:rPr>
              <w:t xml:space="preserve">数据手册</w:t>
            </w:r>
            <w:r>
              <w:rPr>
                <w:rFonts w:ascii="Times New Roman" w:hAnsi="Times New Roman" w:eastAsia="Times New Roman" w:cs="Times New Roman"/>
                <w:b/>
                <w:i/>
                <w:color w:val="auto"/>
                <w:sz w:val="24"/>
                <w:u w:val="single"/>
              </w:rPr>
              <w:t xml:space="preserve">/</w:t>
            </w:r>
            <w:r>
              <w:rPr>
                <w:rFonts w:ascii="FangSong" w:hAnsi="FangSong" w:eastAsia="FangSong" w:cs="FangSong"/>
                <w:b/>
                <w:i/>
                <w:color w:val="auto"/>
                <w:sz w:val="24"/>
                <w:u w:val="single"/>
              </w:rPr>
              <w:t xml:space="preserve">功能截图等相关佐证资料）</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9</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是</w:t>
            </w:r>
            <w:r>
              <w:rPr>
                <w:color w:val="auto"/>
              </w:rPr>
            </w:r>
            <w:r/>
          </w:p>
        </w:tc>
      </w:tr>
      <w:tr>
        <w:trPr>
          <w:trHeight w:val="1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接入交换机</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top"/>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i/>
                <w:color w:val="auto"/>
                <w:sz w:val="24"/>
                <w:u w:val="single"/>
              </w:rPr>
              <w:t xml:space="preserve">硬件主要参数需求：交换容量</w:t>
            </w:r>
            <w:r>
              <w:rPr>
                <w:rFonts w:ascii="Times New Roman" w:hAnsi="Times New Roman" w:eastAsia="Times New Roman" w:cs="Times New Roman"/>
                <w:b/>
                <w:i/>
                <w:color w:val="auto"/>
                <w:sz w:val="24"/>
                <w:u w:val="single"/>
              </w:rPr>
              <w:t xml:space="preserve">≥650Gbps</w:t>
            </w:r>
            <w:r>
              <w:rPr>
                <w:rFonts w:ascii="FangSong" w:hAnsi="FangSong" w:eastAsia="FangSong" w:cs="FangSong"/>
                <w:b/>
                <w:i/>
                <w:color w:val="auto"/>
                <w:sz w:val="24"/>
                <w:u w:val="single"/>
              </w:rPr>
              <w:t xml:space="preserve">，转发性能</w:t>
            </w:r>
            <w:r>
              <w:rPr>
                <w:rFonts w:ascii="Times New Roman" w:hAnsi="Times New Roman" w:eastAsia="Times New Roman" w:cs="Times New Roman"/>
                <w:b/>
                <w:i/>
                <w:color w:val="auto"/>
                <w:sz w:val="24"/>
                <w:u w:val="single"/>
              </w:rPr>
              <w:t xml:space="preserve">≥200Mpps</w:t>
            </w:r>
            <w:r>
              <w:rPr>
                <w:rFonts w:ascii="FangSong" w:hAnsi="FangSong" w:eastAsia="FangSong" w:cs="FangSong"/>
                <w:b/>
                <w:i/>
                <w:color w:val="auto"/>
                <w:sz w:val="24"/>
                <w:u w:val="single"/>
              </w:rPr>
              <w:t xml:space="preserve">；固化</w:t>
            </w:r>
            <w:r>
              <w:rPr>
                <w:rFonts w:ascii="Times New Roman" w:hAnsi="Times New Roman" w:eastAsia="Times New Roman" w:cs="Times New Roman"/>
                <w:b/>
                <w:i/>
                <w:color w:val="auto"/>
                <w:sz w:val="24"/>
                <w:u w:val="single"/>
              </w:rPr>
              <w:t xml:space="preserve">10/100/1000M</w:t>
            </w:r>
            <w:r>
              <w:rPr>
                <w:rFonts w:ascii="FangSong" w:hAnsi="FangSong" w:eastAsia="FangSong" w:cs="FangSong"/>
                <w:b/>
                <w:i/>
                <w:color w:val="auto"/>
                <w:sz w:val="24"/>
                <w:u w:val="single"/>
              </w:rPr>
              <w:t xml:space="preserve">自适应以太网端口</w:t>
            </w:r>
            <w:r>
              <w:rPr>
                <w:rFonts w:ascii="Times New Roman" w:hAnsi="Times New Roman" w:eastAsia="Times New Roman" w:cs="Times New Roman"/>
                <w:b/>
                <w:i/>
                <w:color w:val="auto"/>
                <w:sz w:val="24"/>
                <w:u w:val="single"/>
              </w:rPr>
              <w:t xml:space="preserve">≥48</w:t>
            </w:r>
            <w:r>
              <w:rPr>
                <w:rFonts w:ascii="FangSong" w:hAnsi="FangSong" w:eastAsia="FangSong" w:cs="FangSong"/>
                <w:b/>
                <w:i/>
                <w:color w:val="auto"/>
                <w:sz w:val="24"/>
                <w:u w:val="single"/>
              </w:rPr>
              <w:t xml:space="preserve">个，固化</w:t>
            </w:r>
            <w:r>
              <w:rPr>
                <w:rFonts w:ascii="Times New Roman" w:hAnsi="Times New Roman" w:eastAsia="Times New Roman" w:cs="Times New Roman"/>
                <w:b/>
                <w:i/>
                <w:color w:val="auto"/>
                <w:sz w:val="24"/>
                <w:u w:val="single"/>
              </w:rPr>
              <w:t xml:space="preserve">1G/10G</w:t>
            </w:r>
            <w:r>
              <w:rPr>
                <w:rFonts w:ascii="FangSong" w:hAnsi="FangSong" w:eastAsia="FangSong" w:cs="FangSong"/>
                <w:b/>
                <w:i/>
                <w:color w:val="auto"/>
                <w:sz w:val="24"/>
                <w:u w:val="single"/>
              </w:rPr>
              <w:t xml:space="preserve">光接口</w:t>
            </w:r>
            <w:r>
              <w:rPr>
                <w:rFonts w:ascii="Times New Roman" w:hAnsi="Times New Roman" w:eastAsia="Times New Roman" w:cs="Times New Roman"/>
                <w:b/>
                <w:i/>
                <w:color w:val="auto"/>
                <w:sz w:val="24"/>
                <w:u w:val="single"/>
              </w:rPr>
              <w:t xml:space="preserve">≥4</w:t>
            </w:r>
            <w:r>
              <w:rPr>
                <w:rFonts w:ascii="FangSong" w:hAnsi="FangSong" w:eastAsia="FangSong" w:cs="FangSong"/>
                <w:b/>
                <w:i/>
                <w:color w:val="auto"/>
                <w:sz w:val="24"/>
                <w:u w:val="single"/>
              </w:rPr>
              <w:t xml:space="preserve">个；支持</w:t>
            </w:r>
            <w:r>
              <w:rPr>
                <w:rFonts w:ascii="Times New Roman" w:hAnsi="Times New Roman" w:eastAsia="Times New Roman" w:cs="Times New Roman"/>
                <w:b/>
                <w:i/>
                <w:color w:val="auto"/>
                <w:sz w:val="24"/>
                <w:u w:val="single"/>
              </w:rPr>
              <w:t xml:space="preserve">IPv4</w:t>
            </w:r>
            <w:r>
              <w:rPr>
                <w:rFonts w:ascii="FangSong" w:hAnsi="FangSong" w:eastAsia="FangSong" w:cs="FangSong"/>
                <w:b/>
                <w:i/>
                <w:color w:val="auto"/>
                <w:sz w:val="24"/>
                <w:u w:val="single"/>
              </w:rPr>
              <w:t xml:space="preserve">和</w:t>
            </w:r>
            <w:r>
              <w:rPr>
                <w:rFonts w:ascii="Times New Roman" w:hAnsi="Times New Roman" w:eastAsia="Times New Roman" w:cs="Times New Roman"/>
                <w:b/>
                <w:i/>
                <w:color w:val="auto"/>
                <w:sz w:val="24"/>
                <w:u w:val="single"/>
              </w:rPr>
              <w:t xml:space="preserve">IPv6</w:t>
            </w:r>
            <w:r>
              <w:rPr>
                <w:rFonts w:ascii="FangSong" w:hAnsi="FangSong" w:eastAsia="FangSong" w:cs="FangSong"/>
                <w:b/>
                <w:i/>
                <w:color w:val="auto"/>
                <w:sz w:val="24"/>
                <w:u w:val="single"/>
              </w:rPr>
              <w:t xml:space="preserve">的静态路由、</w:t>
            </w:r>
            <w:r>
              <w:rPr>
                <w:rFonts w:ascii="Times New Roman" w:hAnsi="Times New Roman" w:eastAsia="Times New Roman" w:cs="Times New Roman"/>
                <w:b/>
                <w:i/>
                <w:color w:val="auto"/>
                <w:sz w:val="24"/>
                <w:u w:val="single"/>
              </w:rPr>
              <w:t xml:space="preserve">RIP/RIPng</w:t>
            </w:r>
            <w:r>
              <w:rPr>
                <w:rFonts w:ascii="FangSong" w:hAnsi="FangSong" w:eastAsia="FangSong" w:cs="FangSong"/>
                <w:b/>
                <w:i/>
                <w:color w:val="auto"/>
                <w:sz w:val="24"/>
                <w:u w:val="single"/>
              </w:rPr>
              <w:t xml:space="preserve">、</w:t>
            </w:r>
            <w:r>
              <w:rPr>
                <w:rFonts w:ascii="Times New Roman" w:hAnsi="Times New Roman" w:eastAsia="Times New Roman" w:cs="Times New Roman"/>
                <w:b/>
                <w:i/>
                <w:color w:val="auto"/>
                <w:sz w:val="24"/>
                <w:u w:val="single"/>
              </w:rPr>
              <w:t xml:space="preserve">OSPFv2/OSPFv3</w:t>
            </w:r>
            <w:r>
              <w:rPr>
                <w:rFonts w:ascii="FangSong" w:hAnsi="FangSong" w:eastAsia="FangSong" w:cs="FangSong"/>
                <w:b/>
                <w:i/>
                <w:color w:val="auto"/>
                <w:sz w:val="24"/>
                <w:u w:val="single"/>
              </w:rPr>
              <w:t xml:space="preserve">等三层路由协议。</w:t>
            </w:r>
            <w:r>
              <w:rPr>
                <w:rFonts w:ascii="FangSong" w:hAnsi="FangSong" w:eastAsia="FangSong" w:cs="FangSong"/>
                <w:b/>
                <w:bCs/>
                <w:i/>
                <w:iCs/>
                <w:color w:val="auto"/>
                <w:sz w:val="24"/>
                <w:szCs w:val="24"/>
                <w:u w:val="single"/>
              </w:rPr>
              <w:t xml:space="preserve">（货物交付时须随货物提供由具备</w:t>
            </w:r>
            <w:r>
              <w:rPr>
                <w:rFonts w:ascii="FangSong" w:hAnsi="FangSong" w:eastAsia="FangSong" w:cs="FangSong"/>
                <w:b/>
                <w:bCs/>
                <w:i/>
                <w:iCs/>
                <w:color w:val="auto"/>
                <w:sz w:val="24"/>
                <w:szCs w:val="24"/>
                <w:u w:val="single"/>
              </w:rPr>
              <w:t xml:space="preserve">CMA</w:t>
            </w:r>
            <w:r>
              <w:rPr>
                <w:rFonts w:ascii="FangSong" w:hAnsi="FangSong" w:eastAsia="FangSong" w:cs="FangSong"/>
                <w:b/>
                <w:bCs/>
                <w:i/>
                <w:iCs/>
                <w:color w:val="auto"/>
                <w:sz w:val="24"/>
                <w:szCs w:val="24"/>
                <w:u w:val="single"/>
              </w:rPr>
              <w:t xml:space="preserve">或</w:t>
            </w:r>
            <w:r>
              <w:rPr>
                <w:rFonts w:ascii="FangSong" w:hAnsi="FangSong" w:eastAsia="FangSong" w:cs="FangSong"/>
                <w:b/>
                <w:bCs/>
                <w:i/>
                <w:iCs/>
                <w:color w:val="auto"/>
                <w:sz w:val="24"/>
                <w:szCs w:val="24"/>
                <w:u w:val="single"/>
              </w:rPr>
              <w:t xml:space="preserve">C</w:t>
            </w:r>
            <w:r>
              <w:rPr>
                <w:rFonts w:ascii="FangSong" w:hAnsi="FangSong" w:eastAsia="FangSong" w:cs="FangSong"/>
                <w:b/>
                <w:bCs/>
                <w:i/>
                <w:iCs/>
                <w:color w:val="auto"/>
                <w:sz w:val="24"/>
                <w:szCs w:val="24"/>
                <w:u w:val="single"/>
              </w:rPr>
              <w:t xml:space="preserve">NA</w:t>
            </w:r>
            <w:r>
              <w:rPr>
                <w:rFonts w:ascii="Times New Roman" w:hAnsi="Times New Roman" w:eastAsia="Times New Roman" w:cs="Times New Roman"/>
                <w:b/>
                <w:i/>
                <w:color w:val="auto"/>
                <w:sz w:val="24"/>
                <w:u w:val="single"/>
              </w:rPr>
              <w:t xml:space="preserve">S</w:t>
            </w:r>
            <w:r>
              <w:rPr>
                <w:rFonts w:ascii="FangSong" w:hAnsi="FangSong" w:eastAsia="FangSong" w:cs="FangSong"/>
                <w:b/>
                <w:i/>
                <w:color w:val="auto"/>
                <w:sz w:val="24"/>
                <w:u w:val="single"/>
              </w:rPr>
              <w:t xml:space="preserve">资质的第三方检测机构出具的合格检验报告复印件并加盖供应商公章）。（投标时需提供官方产品彩页</w:t>
            </w:r>
            <w:r>
              <w:rPr>
                <w:rFonts w:ascii="Times New Roman" w:hAnsi="Times New Roman" w:eastAsia="Times New Roman" w:cs="Times New Roman"/>
                <w:b/>
                <w:i/>
                <w:color w:val="auto"/>
                <w:sz w:val="24"/>
                <w:u w:val="single"/>
              </w:rPr>
              <w:t xml:space="preserve">/</w:t>
            </w:r>
            <w:r>
              <w:rPr>
                <w:rFonts w:ascii="FangSong" w:hAnsi="FangSong" w:eastAsia="FangSong" w:cs="FangSong"/>
                <w:b/>
                <w:i/>
                <w:color w:val="auto"/>
                <w:sz w:val="24"/>
                <w:u w:val="single"/>
              </w:rPr>
              <w:t xml:space="preserve">数据手册</w:t>
            </w:r>
            <w:r>
              <w:rPr>
                <w:rFonts w:ascii="Times New Roman" w:hAnsi="Times New Roman" w:eastAsia="Times New Roman" w:cs="Times New Roman"/>
                <w:b/>
                <w:i/>
                <w:color w:val="auto"/>
                <w:sz w:val="24"/>
                <w:u w:val="single"/>
              </w:rPr>
              <w:t xml:space="preserve">/</w:t>
            </w:r>
            <w:r>
              <w:rPr>
                <w:rFonts w:ascii="FangSong" w:hAnsi="FangSong" w:eastAsia="FangSong" w:cs="FangSong"/>
                <w:b/>
                <w:i/>
                <w:color w:val="auto"/>
                <w:sz w:val="24"/>
                <w:u w:val="single"/>
              </w:rPr>
              <w:t xml:space="preserve">功能截图等相关佐证资料）</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48</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是</w:t>
            </w:r>
            <w:r>
              <w:rPr>
                <w:color w:val="auto"/>
              </w:rPr>
            </w:r>
            <w:r/>
          </w:p>
        </w:tc>
      </w:tr>
      <w:tr>
        <w:trPr>
          <w:trHeight w:val="10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网络安全隔离网闸</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top"/>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i/>
                <w:color w:val="auto"/>
                <w:sz w:val="24"/>
                <w:u w:val="single"/>
              </w:rPr>
              <w:t xml:space="preserve">1.</w:t>
            </w:r>
            <w:r>
              <w:rPr>
                <w:rFonts w:ascii="FangSong" w:hAnsi="FangSong" w:eastAsia="FangSong" w:cs="FangSong"/>
                <w:b/>
                <w:i/>
                <w:color w:val="auto"/>
                <w:sz w:val="24"/>
                <w:u w:val="single"/>
              </w:rPr>
              <w:t xml:space="preserve">硬件主要参数需求：标准</w:t>
            </w:r>
            <w:r>
              <w:rPr>
                <w:rFonts w:ascii="Times New Roman" w:hAnsi="Times New Roman" w:eastAsia="Times New Roman" w:cs="Times New Roman"/>
                <w:b/>
                <w:i/>
                <w:color w:val="auto"/>
                <w:sz w:val="24"/>
                <w:u w:val="single"/>
              </w:rPr>
              <w:t xml:space="preserve">2U</w:t>
            </w:r>
            <w:r>
              <w:rPr>
                <w:rFonts w:ascii="FangSong" w:hAnsi="FangSong" w:eastAsia="FangSong" w:cs="FangSong"/>
                <w:b/>
                <w:i/>
                <w:color w:val="auto"/>
                <w:sz w:val="24"/>
                <w:u w:val="single"/>
              </w:rPr>
              <w:t xml:space="preserve">机架式设备，配置内、外端机双侧液晶屏（实时显示设备运行状况）；内端机</w:t>
            </w:r>
            <w:r>
              <w:rPr>
                <w:rFonts w:ascii="Times New Roman" w:hAnsi="Times New Roman" w:eastAsia="Times New Roman" w:cs="Times New Roman"/>
                <w:b/>
                <w:i/>
                <w:color w:val="auto"/>
                <w:sz w:val="24"/>
                <w:u w:val="single"/>
              </w:rPr>
              <w:t xml:space="preserve">≥6</w:t>
            </w:r>
            <w:r>
              <w:rPr>
                <w:rFonts w:ascii="FangSong" w:hAnsi="FangSong" w:eastAsia="FangSong" w:cs="FangSong"/>
                <w:b/>
                <w:i/>
                <w:color w:val="auto"/>
                <w:sz w:val="24"/>
                <w:u w:val="single"/>
              </w:rPr>
              <w:t xml:space="preserve">个千兆电接口（含</w:t>
            </w:r>
            <w:r>
              <w:rPr>
                <w:rFonts w:ascii="Times New Roman" w:hAnsi="Times New Roman" w:eastAsia="Times New Roman" w:cs="Times New Roman"/>
                <w:b/>
                <w:i/>
                <w:color w:val="auto"/>
                <w:sz w:val="24"/>
                <w:u w:val="single"/>
              </w:rPr>
              <w:t xml:space="preserve">1</w:t>
            </w:r>
            <w:r>
              <w:rPr>
                <w:rFonts w:ascii="FangSong" w:hAnsi="FangSong" w:eastAsia="FangSong" w:cs="FangSong"/>
                <w:b/>
                <w:i/>
                <w:color w:val="auto"/>
                <w:sz w:val="24"/>
                <w:u w:val="single"/>
              </w:rPr>
              <w:t xml:space="preserve">个管理口、</w:t>
            </w:r>
            <w:r>
              <w:rPr>
                <w:rFonts w:ascii="Times New Roman" w:hAnsi="Times New Roman" w:eastAsia="Times New Roman" w:cs="Times New Roman"/>
                <w:b/>
                <w:i/>
                <w:color w:val="auto"/>
                <w:sz w:val="24"/>
                <w:u w:val="single"/>
              </w:rPr>
              <w:t xml:space="preserve">1</w:t>
            </w:r>
            <w:r>
              <w:rPr>
                <w:rFonts w:ascii="FangSong" w:hAnsi="FangSong" w:eastAsia="FangSong" w:cs="FangSong"/>
                <w:b/>
                <w:i/>
                <w:color w:val="auto"/>
                <w:sz w:val="24"/>
                <w:u w:val="single"/>
              </w:rPr>
              <w:t xml:space="preserve">个</w:t>
            </w:r>
            <w:r>
              <w:rPr>
                <w:rFonts w:ascii="Times New Roman" w:hAnsi="Times New Roman" w:eastAsia="Times New Roman" w:cs="Times New Roman"/>
                <w:b/>
                <w:i/>
                <w:color w:val="auto"/>
                <w:sz w:val="24"/>
                <w:u w:val="single"/>
              </w:rPr>
              <w:t xml:space="preserve">HA</w:t>
            </w:r>
            <w:r>
              <w:rPr>
                <w:rFonts w:ascii="FangSong" w:hAnsi="FangSong" w:eastAsia="FangSong" w:cs="FangSong"/>
                <w:b/>
                <w:i/>
                <w:color w:val="auto"/>
                <w:sz w:val="24"/>
                <w:u w:val="single"/>
              </w:rPr>
              <w:t xml:space="preserve">口），</w:t>
            </w:r>
            <w:r>
              <w:rPr>
                <w:rFonts w:ascii="Times New Roman" w:hAnsi="Times New Roman" w:eastAsia="Times New Roman" w:cs="Times New Roman"/>
                <w:b/>
                <w:i/>
                <w:color w:val="auto"/>
                <w:sz w:val="24"/>
                <w:u w:val="single"/>
              </w:rPr>
              <w:t xml:space="preserve">≥1</w:t>
            </w:r>
            <w:r>
              <w:rPr>
                <w:rFonts w:ascii="FangSong" w:hAnsi="FangSong" w:eastAsia="FangSong" w:cs="FangSong"/>
                <w:b/>
                <w:i/>
                <w:color w:val="auto"/>
                <w:sz w:val="24"/>
                <w:u w:val="single"/>
              </w:rPr>
              <w:t xml:space="preserve">个接口扩展槽位；外端机</w:t>
            </w:r>
            <w:r>
              <w:rPr>
                <w:rFonts w:ascii="Times New Roman" w:hAnsi="Times New Roman" w:eastAsia="Times New Roman" w:cs="Times New Roman"/>
                <w:b/>
                <w:i/>
                <w:color w:val="auto"/>
                <w:sz w:val="24"/>
                <w:u w:val="single"/>
              </w:rPr>
              <w:t xml:space="preserve">≥6</w:t>
            </w:r>
            <w:r>
              <w:rPr>
                <w:rFonts w:ascii="FangSong" w:hAnsi="FangSong" w:eastAsia="FangSong" w:cs="FangSong"/>
                <w:b/>
                <w:i/>
                <w:color w:val="auto"/>
                <w:sz w:val="24"/>
                <w:u w:val="single"/>
              </w:rPr>
              <w:t xml:space="preserve">个千兆电接口（含</w:t>
            </w:r>
            <w:r>
              <w:rPr>
                <w:rFonts w:ascii="Times New Roman" w:hAnsi="Times New Roman" w:eastAsia="Times New Roman" w:cs="Times New Roman"/>
                <w:b/>
                <w:i/>
                <w:color w:val="auto"/>
                <w:sz w:val="24"/>
                <w:u w:val="single"/>
              </w:rPr>
              <w:t xml:space="preserve">1</w:t>
            </w:r>
            <w:r>
              <w:rPr>
                <w:rFonts w:ascii="FangSong" w:hAnsi="FangSong" w:eastAsia="FangSong" w:cs="FangSong"/>
                <w:b/>
                <w:i/>
                <w:color w:val="auto"/>
                <w:sz w:val="24"/>
                <w:u w:val="single"/>
              </w:rPr>
              <w:t xml:space="preserve">个管理口、</w:t>
            </w:r>
            <w:r>
              <w:rPr>
                <w:rFonts w:ascii="Times New Roman" w:hAnsi="Times New Roman" w:eastAsia="Times New Roman" w:cs="Times New Roman"/>
                <w:b/>
                <w:i/>
                <w:color w:val="auto"/>
                <w:sz w:val="24"/>
                <w:u w:val="single"/>
              </w:rPr>
              <w:t xml:space="preserve">1</w:t>
            </w:r>
            <w:r>
              <w:rPr>
                <w:rFonts w:ascii="FangSong" w:hAnsi="FangSong" w:eastAsia="FangSong" w:cs="FangSong"/>
                <w:b/>
                <w:i/>
                <w:color w:val="auto"/>
                <w:sz w:val="24"/>
                <w:u w:val="single"/>
              </w:rPr>
              <w:t xml:space="preserve">个</w:t>
            </w:r>
            <w:r>
              <w:rPr>
                <w:rFonts w:ascii="Times New Roman" w:hAnsi="Times New Roman" w:eastAsia="Times New Roman" w:cs="Times New Roman"/>
                <w:b/>
                <w:i/>
                <w:color w:val="auto"/>
                <w:sz w:val="24"/>
                <w:u w:val="single"/>
              </w:rPr>
              <w:t xml:space="preserve">HA</w:t>
            </w:r>
            <w:r>
              <w:rPr>
                <w:rFonts w:ascii="FangSong" w:hAnsi="FangSong" w:eastAsia="FangSong" w:cs="FangSong"/>
                <w:b/>
                <w:i/>
                <w:color w:val="auto"/>
                <w:sz w:val="24"/>
                <w:u w:val="single"/>
              </w:rPr>
              <w:t xml:space="preserve">口），</w:t>
            </w:r>
            <w:r>
              <w:rPr>
                <w:rFonts w:ascii="Times New Roman" w:hAnsi="Times New Roman" w:eastAsia="Times New Roman" w:cs="Times New Roman"/>
                <w:b/>
                <w:i/>
                <w:color w:val="auto"/>
                <w:sz w:val="24"/>
                <w:u w:val="single"/>
              </w:rPr>
              <w:t xml:space="preserve">≥1</w:t>
            </w:r>
            <w:r>
              <w:rPr>
                <w:rFonts w:ascii="FangSong" w:hAnsi="FangSong" w:eastAsia="FangSong" w:cs="FangSong"/>
                <w:b/>
                <w:i/>
                <w:color w:val="auto"/>
                <w:sz w:val="24"/>
                <w:u w:val="single"/>
              </w:rPr>
              <w:t xml:space="preserve">个接口扩展槽位，支持基于状态检测的主备双机热备。（货物交付时须随货物提供由具备</w:t>
            </w:r>
            <w:r>
              <w:rPr>
                <w:rFonts w:ascii="Times New Roman" w:hAnsi="Times New Roman" w:eastAsia="Times New Roman" w:cs="Times New Roman"/>
                <w:b/>
                <w:i/>
                <w:color w:val="auto"/>
                <w:sz w:val="24"/>
                <w:u w:val="single"/>
              </w:rPr>
              <w:t xml:space="preserve">CMA</w:t>
            </w:r>
            <w:r>
              <w:rPr>
                <w:rFonts w:ascii="FangSong" w:hAnsi="FangSong" w:eastAsia="FangSong" w:cs="FangSong"/>
                <w:b/>
                <w:i/>
                <w:color w:val="auto"/>
                <w:sz w:val="24"/>
                <w:u w:val="single"/>
              </w:rPr>
              <w:t xml:space="preserve">或</w:t>
            </w:r>
            <w:r>
              <w:rPr>
                <w:rFonts w:ascii="Times New Roman" w:hAnsi="Times New Roman" w:eastAsia="Times New Roman" w:cs="Times New Roman"/>
                <w:b/>
                <w:i/>
                <w:color w:val="auto"/>
                <w:sz w:val="24"/>
                <w:u w:val="single"/>
              </w:rPr>
              <w:t xml:space="preserve">CNAS</w:t>
            </w:r>
            <w:r>
              <w:rPr>
                <w:rFonts w:ascii="FangSong" w:hAnsi="FangSong" w:eastAsia="FangSong" w:cs="FangSong"/>
                <w:b/>
                <w:i/>
                <w:color w:val="auto"/>
                <w:sz w:val="24"/>
                <w:u w:val="single"/>
              </w:rPr>
              <w:t xml:space="preserve">资质的第三方检测机构出具的合格检验报告复印件并加盖供应商公章）。（投标时需提供官方产品彩页</w:t>
            </w:r>
            <w:r>
              <w:rPr>
                <w:rFonts w:ascii="Times New Roman" w:hAnsi="Times New Roman" w:eastAsia="Times New Roman" w:cs="Times New Roman"/>
                <w:b/>
                <w:i/>
                <w:color w:val="auto"/>
                <w:sz w:val="24"/>
                <w:u w:val="single"/>
              </w:rPr>
              <w:t xml:space="preserve">/</w:t>
            </w:r>
            <w:r>
              <w:rPr>
                <w:rFonts w:ascii="FangSong" w:hAnsi="FangSong" w:eastAsia="FangSong" w:cs="FangSong"/>
                <w:b/>
                <w:i/>
                <w:color w:val="auto"/>
                <w:sz w:val="24"/>
                <w:u w:val="single"/>
              </w:rPr>
              <w:t xml:space="preserve">数据手册</w:t>
            </w:r>
            <w:r>
              <w:rPr>
                <w:rFonts w:ascii="Times New Roman" w:hAnsi="Times New Roman" w:eastAsia="Times New Roman" w:cs="Times New Roman"/>
                <w:b/>
                <w:i/>
                <w:color w:val="auto"/>
                <w:sz w:val="24"/>
                <w:u w:val="single"/>
              </w:rPr>
              <w:t xml:space="preserve">/</w:t>
            </w:r>
            <w:r>
              <w:rPr>
                <w:rFonts w:ascii="FangSong" w:hAnsi="FangSong" w:eastAsia="FangSong" w:cs="FangSong"/>
                <w:b/>
                <w:i/>
                <w:color w:val="auto"/>
                <w:sz w:val="24"/>
                <w:u w:val="single"/>
              </w:rPr>
              <w:t xml:space="preserve">功能截图等相关佐证资料）</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网络吞吐量：</w:t>
            </w:r>
            <w:r>
              <w:rPr>
                <w:rFonts w:ascii="Times New Roman" w:hAnsi="Times New Roman" w:eastAsia="Times New Roman" w:cs="Times New Roman"/>
                <w:b/>
                <w:color w:val="auto"/>
                <w:sz w:val="24"/>
              </w:rPr>
              <w:t xml:space="preserve">≥600Mbps</w:t>
            </w:r>
            <w:r>
              <w:rPr>
                <w:rFonts w:ascii="FangSong" w:hAnsi="FangSong" w:eastAsia="FangSong" w:cs="FangSong"/>
                <w:b/>
                <w:color w:val="auto"/>
                <w:sz w:val="24"/>
              </w:rPr>
              <w:t xml:space="preserve">；并发连接数：</w:t>
            </w:r>
            <w:r>
              <w:rPr>
                <w:rFonts w:ascii="Times New Roman" w:hAnsi="Times New Roman" w:eastAsia="Times New Roman" w:cs="Times New Roman"/>
                <w:b/>
                <w:color w:val="auto"/>
                <w:sz w:val="24"/>
              </w:rPr>
              <w:t xml:space="preserve">≥60</w:t>
            </w:r>
            <w:r>
              <w:rPr>
                <w:rFonts w:ascii="FangSong" w:hAnsi="FangSong" w:eastAsia="FangSong" w:cs="FangSong"/>
                <w:b/>
                <w:color w:val="auto"/>
                <w:sz w:val="24"/>
              </w:rPr>
              <w:t xml:space="preserve">万；延时：</w:t>
            </w:r>
            <w:r>
              <w:rPr>
                <w:rFonts w:ascii="Times New Roman" w:hAnsi="Times New Roman" w:eastAsia="Times New Roman" w:cs="Times New Roman"/>
                <w:b/>
                <w:color w:val="auto"/>
                <w:sz w:val="24"/>
              </w:rPr>
              <w:t xml:space="preserve">&lt;3ms</w:t>
            </w:r>
            <w:r>
              <w:rPr>
                <w:rFonts w:ascii="FangSong" w:hAnsi="FangSong" w:eastAsia="FangSong" w:cs="FangSong"/>
                <w:b/>
                <w:color w:val="auto"/>
                <w:sz w:val="24"/>
              </w:rPr>
              <w:t xml:space="preserve">；内外端机各</w:t>
            </w:r>
            <w:r>
              <w:rPr>
                <w:rFonts w:ascii="Times New Roman" w:hAnsi="Times New Roman" w:eastAsia="Times New Roman" w:cs="Times New Roman"/>
                <w:b/>
                <w:color w:val="auto"/>
                <w:sz w:val="24"/>
              </w:rPr>
              <w:t xml:space="preserve">≥8G</w:t>
            </w:r>
            <w:r>
              <w:rPr>
                <w:rFonts w:ascii="FangSong" w:hAnsi="FangSong" w:eastAsia="FangSong" w:cs="FangSong"/>
                <w:b/>
                <w:color w:val="auto"/>
                <w:sz w:val="24"/>
              </w:rPr>
              <w:t xml:space="preserve">内存。</w:t>
            </w:r>
            <w:r>
              <w:rPr>
                <w:rFonts w:ascii="Times New Roman" w:hAnsi="Times New Roman" w:eastAsia="Times New Roman" w:cs="Times New Roman"/>
                <w:b/>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3.▲IPv4</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IPv6</w:t>
            </w:r>
            <w:r>
              <w:rPr>
                <w:rFonts w:ascii="FangSong" w:hAnsi="FangSong" w:eastAsia="FangSong" w:cs="FangSong"/>
                <w:b/>
                <w:color w:val="auto"/>
                <w:sz w:val="24"/>
              </w:rPr>
              <w:t xml:space="preserve">双协议栈：支持</w:t>
            </w:r>
            <w:r>
              <w:rPr>
                <w:rFonts w:ascii="Times New Roman" w:hAnsi="Times New Roman" w:eastAsia="Times New Roman" w:cs="Times New Roman"/>
                <w:b/>
                <w:color w:val="auto"/>
                <w:sz w:val="24"/>
              </w:rPr>
              <w:t xml:space="preserve">IPv4</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IPv6</w:t>
            </w:r>
            <w:r>
              <w:rPr>
                <w:rFonts w:ascii="FangSong" w:hAnsi="FangSong" w:eastAsia="FangSong" w:cs="FangSong"/>
                <w:b/>
                <w:color w:val="auto"/>
                <w:sz w:val="24"/>
              </w:rPr>
              <w:t xml:space="preserve">双协议栈，适用</w:t>
            </w:r>
            <w:r>
              <w:rPr>
                <w:rFonts w:ascii="Times New Roman" w:hAnsi="Times New Roman" w:eastAsia="Times New Roman" w:cs="Times New Roman"/>
                <w:b/>
                <w:color w:val="auto"/>
                <w:sz w:val="24"/>
              </w:rPr>
              <w:t xml:space="preserve">v4-&gt;v6</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v6-&gt;v4</w:t>
            </w:r>
            <w:r>
              <w:rPr>
                <w:rFonts w:ascii="FangSong" w:hAnsi="FangSong" w:eastAsia="FangSong" w:cs="FangSong"/>
                <w:b/>
                <w:color w:val="auto"/>
                <w:sz w:val="24"/>
              </w:rPr>
              <w:t xml:space="preserve">等多种应用场景；设备采用内外端机为</w:t>
            </w:r>
            <w:r>
              <w:rPr>
                <w:rFonts w:ascii="Times New Roman" w:hAnsi="Times New Roman" w:eastAsia="Times New Roman" w:cs="Times New Roman"/>
                <w:b/>
                <w:color w:val="auto"/>
                <w:sz w:val="24"/>
              </w:rPr>
              <w:t xml:space="preserve">TCP/IP</w:t>
            </w:r>
            <w:r>
              <w:rPr>
                <w:rFonts w:ascii="FangSong" w:hAnsi="FangSong" w:eastAsia="FangSong" w:cs="FangSong"/>
                <w:b/>
                <w:color w:val="auto"/>
                <w:sz w:val="24"/>
              </w:rPr>
              <w:t xml:space="preserve">网络协议的终点，阻断</w:t>
            </w:r>
            <w:r>
              <w:rPr>
                <w:rFonts w:ascii="Times New Roman" w:hAnsi="Times New Roman" w:eastAsia="Times New Roman" w:cs="Times New Roman"/>
                <w:b/>
                <w:color w:val="auto"/>
                <w:sz w:val="24"/>
              </w:rPr>
              <w:t xml:space="preserve">TCP/IP</w:t>
            </w:r>
            <w:r>
              <w:rPr>
                <w:rFonts w:ascii="FangSong" w:hAnsi="FangSong" w:eastAsia="FangSong" w:cs="FangSong"/>
                <w:b/>
                <w:color w:val="auto"/>
                <w:sz w:val="24"/>
              </w:rPr>
              <w:t xml:space="preserve">协议的直接贯通，采用专用硬件和专用协议进行连接，不可编程。</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是</w:t>
            </w:r>
            <w:r>
              <w:rPr>
                <w:color w:val="auto"/>
              </w:rPr>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AC</w:t>
            </w:r>
            <w:r>
              <w:rPr>
                <w:rFonts w:ascii="FangSong" w:hAnsi="FangSong" w:eastAsia="FangSong" w:cs="FangSong"/>
                <w:color w:val="auto"/>
                <w:sz w:val="24"/>
              </w:rPr>
              <w:t xml:space="preserve">管理器</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top"/>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硬件主要参数需求：固化千兆电口数量</w:t>
            </w:r>
            <w:r>
              <w:rPr>
                <w:rFonts w:ascii="Times New Roman" w:hAnsi="Times New Roman" w:eastAsia="Times New Roman" w:cs="Times New Roman"/>
                <w:b/>
                <w:color w:val="auto"/>
                <w:sz w:val="24"/>
              </w:rPr>
              <w:t xml:space="preserve">≥4</w:t>
            </w:r>
            <w:r>
              <w:rPr>
                <w:rFonts w:ascii="FangSong" w:hAnsi="FangSong" w:eastAsia="FangSong" w:cs="FangSong"/>
                <w:b/>
                <w:color w:val="auto"/>
                <w:sz w:val="24"/>
              </w:rPr>
              <w:t xml:space="preserve">个；固化</w:t>
            </w:r>
            <w:r>
              <w:rPr>
                <w:rFonts w:ascii="Times New Roman" w:hAnsi="Times New Roman" w:eastAsia="Times New Roman" w:cs="Times New Roman"/>
                <w:b/>
                <w:color w:val="auto"/>
                <w:sz w:val="24"/>
              </w:rPr>
              <w:t xml:space="preserve">2.5</w:t>
            </w:r>
            <w:r>
              <w:rPr>
                <w:rFonts w:ascii="FangSong" w:hAnsi="FangSong" w:eastAsia="FangSong" w:cs="FangSong"/>
                <w:b/>
                <w:color w:val="auto"/>
                <w:sz w:val="24"/>
              </w:rPr>
              <w:t xml:space="preserve">千兆电口数量</w:t>
            </w:r>
            <w:r>
              <w:rPr>
                <w:rFonts w:ascii="Times New Roman" w:hAnsi="Times New Roman" w:eastAsia="Times New Roman" w:cs="Times New Roman"/>
                <w:b/>
                <w:color w:val="auto"/>
                <w:sz w:val="24"/>
              </w:rPr>
              <w:t xml:space="preserve">≥4</w:t>
            </w:r>
            <w:r>
              <w:rPr>
                <w:rFonts w:ascii="FangSong" w:hAnsi="FangSong" w:eastAsia="FangSong" w:cs="FangSong"/>
                <w:b/>
                <w:color w:val="auto"/>
                <w:sz w:val="24"/>
              </w:rPr>
              <w:t xml:space="preserve">个；固化万兆光口数量</w:t>
            </w: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最大整机网络吞吐</w:t>
            </w:r>
            <w:r>
              <w:rPr>
                <w:rFonts w:ascii="Times New Roman" w:hAnsi="Times New Roman" w:eastAsia="Times New Roman" w:cs="Times New Roman"/>
                <w:color w:val="auto"/>
                <w:sz w:val="24"/>
              </w:rPr>
              <w:t xml:space="preserve">≥3Gbps</w:t>
            </w:r>
            <w:r>
              <w:rPr>
                <w:rFonts w:ascii="FangSong" w:hAnsi="FangSong" w:eastAsia="FangSong" w:cs="FangSong"/>
                <w:color w:val="auto"/>
                <w:sz w:val="24"/>
              </w:rPr>
              <w:t xml:space="preserve">，最大并发连接</w:t>
            </w:r>
            <w:r>
              <w:rPr>
                <w:rFonts w:ascii="Times New Roman" w:hAnsi="Times New Roman" w:eastAsia="Times New Roman" w:cs="Times New Roman"/>
                <w:color w:val="auto"/>
                <w:sz w:val="24"/>
              </w:rPr>
              <w:t xml:space="preserve">≥50</w:t>
            </w:r>
            <w:r>
              <w:rPr>
                <w:rFonts w:ascii="FangSong" w:hAnsi="FangSong" w:eastAsia="FangSong" w:cs="FangSong"/>
                <w:color w:val="auto"/>
                <w:sz w:val="24"/>
              </w:rPr>
              <w:t xml:space="preserve">万，每秒最大新建连接</w:t>
            </w:r>
            <w:r>
              <w:rPr>
                <w:rFonts w:ascii="Times New Roman" w:hAnsi="Times New Roman" w:eastAsia="Times New Roman" w:cs="Times New Roman"/>
                <w:color w:val="auto"/>
                <w:sz w:val="24"/>
              </w:rPr>
              <w:t xml:space="preserve">≥8</w:t>
            </w:r>
            <w:r>
              <w:rPr>
                <w:rFonts w:ascii="FangSong" w:hAnsi="FangSong" w:eastAsia="FangSong" w:cs="FangSong"/>
                <w:color w:val="auto"/>
                <w:sz w:val="24"/>
              </w:rPr>
              <w:t xml:space="preserve">万。实配要求：配置</w:t>
            </w:r>
            <w:r>
              <w:rPr>
                <w:rFonts w:ascii="Times New Roman" w:hAnsi="Times New Roman" w:eastAsia="Times New Roman" w:cs="Times New Roman"/>
                <w:color w:val="auto"/>
                <w:sz w:val="24"/>
              </w:rPr>
              <w:t xml:space="preserve">AP</w:t>
            </w:r>
            <w:r>
              <w:rPr>
                <w:rFonts w:ascii="FangSong" w:hAnsi="FangSong" w:eastAsia="FangSong" w:cs="FangSong"/>
                <w:color w:val="auto"/>
                <w:sz w:val="24"/>
              </w:rPr>
              <w:t xml:space="preserve">授权</w:t>
            </w:r>
            <w:r>
              <w:rPr>
                <w:rFonts w:ascii="Times New Roman" w:hAnsi="Times New Roman" w:eastAsia="Times New Roman" w:cs="Times New Roman"/>
                <w:color w:val="auto"/>
                <w:sz w:val="24"/>
              </w:rPr>
              <w:t xml:space="preserve">≥96</w:t>
            </w:r>
            <w:r>
              <w:rPr>
                <w:rFonts w:ascii="FangSong" w:hAnsi="FangSong" w:eastAsia="FangSong" w:cs="FangSong"/>
                <w:color w:val="auto"/>
                <w:sz w:val="24"/>
              </w:rPr>
              <w:t xml:space="preserve">个，提供</w:t>
            </w:r>
            <w:r>
              <w:rPr>
                <w:rFonts w:ascii="Times New Roman" w:hAnsi="Times New Roman" w:eastAsia="Times New Roman" w:cs="Times New Roman"/>
                <w:color w:val="auto"/>
                <w:sz w:val="24"/>
              </w:rPr>
              <w:t xml:space="preserve">≥200</w:t>
            </w:r>
            <w:r>
              <w:rPr>
                <w:rFonts w:ascii="FangSong" w:hAnsi="FangSong" w:eastAsia="FangSong" w:cs="FangSong"/>
                <w:color w:val="auto"/>
                <w:sz w:val="24"/>
              </w:rPr>
              <w:t xml:space="preserve">个</w:t>
            </w:r>
            <w:r>
              <w:rPr>
                <w:rFonts w:ascii="Times New Roman" w:hAnsi="Times New Roman" w:eastAsia="Times New Roman" w:cs="Times New Roman"/>
                <w:color w:val="auto"/>
                <w:sz w:val="24"/>
              </w:rPr>
              <w:t xml:space="preserve">SSLVPN</w:t>
            </w:r>
            <w:r>
              <w:rPr>
                <w:rFonts w:ascii="FangSong" w:hAnsi="FangSong" w:eastAsia="FangSong" w:cs="FangSong"/>
                <w:color w:val="auto"/>
                <w:sz w:val="24"/>
              </w:rPr>
              <w:t xml:space="preserve">授权。</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吸顶式无线</w:t>
            </w:r>
            <w:r>
              <w:rPr>
                <w:rFonts w:ascii="Times New Roman" w:hAnsi="Times New Roman" w:eastAsia="Times New Roman" w:cs="Times New Roman"/>
                <w:color w:val="auto"/>
                <w:sz w:val="24"/>
              </w:rPr>
              <w:t xml:space="preserve">AP</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top"/>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硬件主要参数需求：支持</w:t>
            </w:r>
            <w:r>
              <w:rPr>
                <w:rFonts w:ascii="Times New Roman" w:hAnsi="Times New Roman" w:eastAsia="Times New Roman" w:cs="Times New Roman"/>
                <w:b/>
                <w:color w:val="auto"/>
                <w:sz w:val="24"/>
              </w:rPr>
              <w:t xml:space="preserve">802.11ax</w:t>
            </w:r>
            <w:r>
              <w:rPr>
                <w:rFonts w:ascii="FangSong" w:hAnsi="FangSong" w:eastAsia="FangSong" w:cs="FangSong"/>
                <w:b/>
                <w:color w:val="auto"/>
                <w:sz w:val="24"/>
              </w:rPr>
              <w:t xml:space="preserve">标准；采用双射频设计，整机空间流</w:t>
            </w:r>
            <w:r>
              <w:rPr>
                <w:rFonts w:ascii="Times New Roman" w:hAnsi="Times New Roman" w:eastAsia="Times New Roman" w:cs="Times New Roman"/>
                <w:b/>
                <w:color w:val="auto"/>
                <w:sz w:val="24"/>
              </w:rPr>
              <w:t xml:space="preserve">≥4</w:t>
            </w:r>
            <w:r>
              <w:rPr>
                <w:rFonts w:ascii="FangSong" w:hAnsi="FangSong" w:eastAsia="FangSong" w:cs="FangSong"/>
                <w:b/>
                <w:color w:val="auto"/>
                <w:sz w:val="24"/>
              </w:rPr>
              <w:t xml:space="preserve">条；整机最大无线速率</w:t>
            </w:r>
            <w:r>
              <w:rPr>
                <w:rFonts w:ascii="Times New Roman" w:hAnsi="Times New Roman" w:eastAsia="Times New Roman" w:cs="Times New Roman"/>
                <w:b/>
                <w:color w:val="auto"/>
                <w:sz w:val="24"/>
              </w:rPr>
              <w:t xml:space="preserve">≥2.975Gbps</w:t>
            </w:r>
            <w:r>
              <w:rPr>
                <w:rFonts w:ascii="FangSong" w:hAnsi="FangSong" w:eastAsia="FangSong" w:cs="FangSong"/>
                <w:b/>
                <w:color w:val="auto"/>
                <w:sz w:val="24"/>
              </w:rPr>
              <w:t xml:space="preserve">；支持</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1G</w:t>
            </w:r>
            <w:r>
              <w:rPr>
                <w:rFonts w:ascii="FangSong" w:hAnsi="FangSong" w:eastAsia="FangSong" w:cs="FangSong"/>
                <w:b/>
                <w:color w:val="auto"/>
                <w:sz w:val="24"/>
              </w:rPr>
              <w:t xml:space="preserve">以太网电口、</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2.5GSFP</w:t>
            </w:r>
            <w:r>
              <w:rPr>
                <w:rFonts w:ascii="FangSong" w:hAnsi="FangSong" w:eastAsia="FangSong" w:cs="FangSong"/>
                <w:b/>
                <w:color w:val="auto"/>
                <w:sz w:val="24"/>
              </w:rPr>
              <w:t xml:space="preserve">光口。</w:t>
              <w:br/>
            </w:r>
            <w:r>
              <w:rPr>
                <w:rFonts w:ascii="Times New Roman" w:hAnsi="Times New Roman" w:eastAsia="Times New Roman" w:cs="Times New Roman"/>
                <w:color w:val="auto"/>
                <w:sz w:val="24"/>
              </w:rPr>
              <w:t xml:space="preserve"> 2.</w:t>
            </w:r>
            <w:r>
              <w:rPr>
                <w:rFonts w:ascii="FangSong" w:hAnsi="FangSong" w:eastAsia="FangSong" w:cs="FangSong"/>
                <w:color w:val="auto"/>
                <w:sz w:val="24"/>
              </w:rPr>
              <w:t xml:space="preserve">其他需求：为保证无线网络运行稳定，需提供分析网络运行情况的功能，平台支持设备稳定度、信号覆盖度、关联稳定度、在线体验、网络饱和度、用户活跃度查询功能，投标时需提供软件功能界面截图证明；为保证设备的稳定性与兼容性，要求所投设备与无线控制器为同一品牌。</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40</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7</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千兆</w:t>
            </w:r>
            <w:r>
              <w:rPr>
                <w:rFonts w:ascii="Times New Roman" w:hAnsi="Times New Roman" w:eastAsia="Times New Roman" w:cs="Times New Roman"/>
                <w:color w:val="auto"/>
                <w:sz w:val="24"/>
              </w:rPr>
              <w:t xml:space="preserve">8</w:t>
            </w:r>
            <w:r>
              <w:rPr>
                <w:rFonts w:ascii="FangSong" w:hAnsi="FangSong" w:eastAsia="FangSong" w:cs="FangSong"/>
                <w:color w:val="auto"/>
                <w:sz w:val="24"/>
              </w:rPr>
              <w:t xml:space="preserve">口</w:t>
            </w:r>
            <w:r>
              <w:rPr>
                <w:rFonts w:ascii="Times New Roman" w:hAnsi="Times New Roman" w:eastAsia="Times New Roman" w:cs="Times New Roman"/>
                <w:color w:val="auto"/>
                <w:sz w:val="24"/>
              </w:rPr>
              <w:t xml:space="preserve">POE</w:t>
            </w:r>
            <w:r>
              <w:rPr>
                <w:rFonts w:ascii="FangSong" w:hAnsi="FangSong" w:eastAsia="FangSong" w:cs="FangSong"/>
                <w:color w:val="auto"/>
                <w:sz w:val="24"/>
              </w:rPr>
              <w:t xml:space="preserve">交换机</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top"/>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硬件主要参数需求：固化</w:t>
            </w:r>
            <w:r>
              <w:rPr>
                <w:rFonts w:ascii="Times New Roman" w:hAnsi="Times New Roman" w:eastAsia="Times New Roman" w:cs="Times New Roman"/>
                <w:b/>
                <w:color w:val="auto"/>
                <w:sz w:val="24"/>
              </w:rPr>
              <w:t xml:space="preserve">10/100/1000M</w:t>
            </w:r>
            <w:r>
              <w:rPr>
                <w:rFonts w:ascii="FangSong" w:hAnsi="FangSong" w:eastAsia="FangSong" w:cs="FangSong"/>
                <w:b/>
                <w:color w:val="auto"/>
                <w:sz w:val="24"/>
              </w:rPr>
              <w:t xml:space="preserve">自适应以太网电接口</w:t>
            </w:r>
            <w:r>
              <w:rPr>
                <w:rFonts w:ascii="Times New Roman" w:hAnsi="Times New Roman" w:eastAsia="Times New Roman" w:cs="Times New Roman"/>
                <w:b/>
                <w:color w:val="auto"/>
                <w:sz w:val="24"/>
              </w:rPr>
              <w:t xml:space="preserve">≥10</w:t>
            </w:r>
            <w:r>
              <w:rPr>
                <w:rFonts w:ascii="FangSong" w:hAnsi="FangSong" w:eastAsia="FangSong" w:cs="FangSong"/>
                <w:b/>
                <w:color w:val="auto"/>
                <w:sz w:val="24"/>
              </w:rPr>
              <w:t xml:space="preserve">个，千兆</w:t>
            </w:r>
            <w:r>
              <w:rPr>
                <w:rFonts w:ascii="Times New Roman" w:hAnsi="Times New Roman" w:eastAsia="Times New Roman" w:cs="Times New Roman"/>
                <w:b/>
                <w:color w:val="auto"/>
                <w:sz w:val="24"/>
              </w:rPr>
              <w:t xml:space="preserve">/2.5</w:t>
            </w:r>
            <w:r>
              <w:rPr>
                <w:rFonts w:ascii="FangSong" w:hAnsi="FangSong" w:eastAsia="FangSong" w:cs="FangSong"/>
                <w:b/>
                <w:color w:val="auto"/>
                <w:sz w:val="24"/>
              </w:rPr>
              <w:t xml:space="preserve">千兆</w:t>
            </w:r>
            <w:r>
              <w:rPr>
                <w:rFonts w:ascii="Times New Roman" w:hAnsi="Times New Roman" w:eastAsia="Times New Roman" w:cs="Times New Roman"/>
                <w:b/>
                <w:color w:val="auto"/>
                <w:sz w:val="24"/>
              </w:rPr>
              <w:t xml:space="preserve">SFP</w:t>
            </w:r>
            <w:r>
              <w:rPr>
                <w:rFonts w:ascii="FangSong" w:hAnsi="FangSong" w:eastAsia="FangSong" w:cs="FangSong"/>
                <w:b/>
                <w:color w:val="auto"/>
                <w:sz w:val="24"/>
              </w:rPr>
              <w:t xml:space="preserve">光接口</w:t>
            </w: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个；交换容量</w:t>
            </w:r>
            <w:r>
              <w:rPr>
                <w:rFonts w:ascii="Times New Roman" w:hAnsi="Times New Roman" w:eastAsia="Times New Roman" w:cs="Times New Roman"/>
                <w:b/>
                <w:color w:val="auto"/>
                <w:sz w:val="24"/>
              </w:rPr>
              <w:t xml:space="preserve">≥300Gbps</w:t>
            </w:r>
            <w:r>
              <w:rPr>
                <w:rFonts w:ascii="FangSong" w:hAnsi="FangSong" w:eastAsia="FangSong" w:cs="FangSong"/>
                <w:b/>
                <w:color w:val="auto"/>
                <w:sz w:val="24"/>
              </w:rPr>
              <w:t xml:space="preserve">，包转发率</w:t>
            </w:r>
            <w:r>
              <w:rPr>
                <w:rFonts w:ascii="Times New Roman" w:hAnsi="Times New Roman" w:eastAsia="Times New Roman" w:cs="Times New Roman"/>
                <w:b/>
                <w:color w:val="auto"/>
                <w:sz w:val="24"/>
              </w:rPr>
              <w:t xml:space="preserve">≥100Mpps</w:t>
            </w:r>
            <w:r>
              <w:rPr>
                <w:rFonts w:ascii="FangSong" w:hAnsi="FangSong" w:eastAsia="FangSong" w:cs="FangSong"/>
                <w:b/>
                <w:color w:val="auto"/>
                <w:sz w:val="24"/>
              </w:rPr>
              <w:t xml:space="preserve">。</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支持</w:t>
            </w:r>
            <w:r>
              <w:rPr>
                <w:rFonts w:ascii="Times New Roman" w:hAnsi="Times New Roman" w:eastAsia="Times New Roman" w:cs="Times New Roman"/>
                <w:b/>
                <w:color w:val="auto"/>
                <w:sz w:val="24"/>
              </w:rPr>
              <w:t xml:space="preserve">IEEE802.3af</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PoE</w:t>
            </w:r>
            <w:r>
              <w:rPr>
                <w:rFonts w:ascii="FangSong" w:hAnsi="FangSong" w:eastAsia="FangSong" w:cs="FangSong"/>
                <w:b/>
                <w:color w:val="auto"/>
                <w:sz w:val="24"/>
              </w:rPr>
              <w:t xml:space="preserve">）和</w:t>
            </w:r>
            <w:r>
              <w:rPr>
                <w:rFonts w:ascii="Times New Roman" w:hAnsi="Times New Roman" w:eastAsia="Times New Roman" w:cs="Times New Roman"/>
                <w:b/>
                <w:color w:val="auto"/>
                <w:sz w:val="24"/>
              </w:rPr>
              <w:t xml:space="preserve">802.3at</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PoE+</w:t>
            </w:r>
            <w:r>
              <w:rPr>
                <w:rFonts w:ascii="FangSong" w:hAnsi="FangSong" w:eastAsia="FangSong" w:cs="FangSong"/>
                <w:b/>
                <w:color w:val="auto"/>
                <w:sz w:val="24"/>
              </w:rPr>
              <w:t xml:space="preserve">）标准，同时支持</w:t>
            </w:r>
            <w:r>
              <w:rPr>
                <w:rFonts w:ascii="Times New Roman" w:hAnsi="Times New Roman" w:eastAsia="Times New Roman" w:cs="Times New Roman"/>
                <w:b/>
                <w:color w:val="auto"/>
                <w:sz w:val="24"/>
              </w:rPr>
              <w:t xml:space="preserve">PoE</w:t>
            </w:r>
            <w:r>
              <w:rPr>
                <w:rFonts w:ascii="FangSong" w:hAnsi="FangSong" w:eastAsia="FangSong" w:cs="FangSong"/>
                <w:b/>
                <w:color w:val="auto"/>
                <w:sz w:val="24"/>
              </w:rPr>
              <w:t xml:space="preserve">供电的端口数</w:t>
            </w:r>
            <w:r>
              <w:rPr>
                <w:rFonts w:ascii="Times New Roman" w:hAnsi="Times New Roman" w:eastAsia="Times New Roman" w:cs="Times New Roman"/>
                <w:b/>
                <w:color w:val="auto"/>
                <w:sz w:val="24"/>
              </w:rPr>
              <w:t xml:space="preserve">≥8</w:t>
            </w:r>
            <w:r>
              <w:rPr>
                <w:rFonts w:ascii="FangSong" w:hAnsi="FangSong" w:eastAsia="FangSong" w:cs="FangSong"/>
                <w:b/>
                <w:color w:val="auto"/>
                <w:sz w:val="24"/>
              </w:rPr>
              <w:t xml:space="preserve">个；支持</w:t>
            </w:r>
            <w:r>
              <w:rPr>
                <w:rFonts w:ascii="Times New Roman" w:hAnsi="Times New Roman" w:eastAsia="Times New Roman" w:cs="Times New Roman"/>
                <w:b/>
                <w:color w:val="auto"/>
                <w:sz w:val="24"/>
              </w:rPr>
              <w:t xml:space="preserve">SNMP</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CLI</w:t>
            </w:r>
            <w:r>
              <w:rPr>
                <w:rFonts w:ascii="FangSong" w:hAnsi="FangSong" w:eastAsia="FangSong" w:cs="FangSong"/>
                <w:b/>
                <w:color w:val="auto"/>
                <w:sz w:val="24"/>
              </w:rPr>
              <w:t xml:space="preserve">（可通过</w:t>
            </w:r>
            <w:r>
              <w:rPr>
                <w:rFonts w:ascii="Times New Roman" w:hAnsi="Times New Roman" w:eastAsia="Times New Roman" w:cs="Times New Roman"/>
                <w:b/>
                <w:color w:val="auto"/>
                <w:sz w:val="24"/>
              </w:rPr>
              <w:t xml:space="preserve">Telnet</w:t>
            </w:r>
            <w:r>
              <w:rPr>
                <w:rFonts w:ascii="FangSong" w:hAnsi="FangSong" w:eastAsia="FangSong" w:cs="FangSong"/>
                <w:b/>
                <w:color w:val="auto"/>
                <w:sz w:val="24"/>
              </w:rPr>
              <w:t xml:space="preserve">或</w:t>
            </w:r>
            <w:r>
              <w:rPr>
                <w:rFonts w:ascii="Times New Roman" w:hAnsi="Times New Roman" w:eastAsia="Times New Roman" w:cs="Times New Roman"/>
                <w:b/>
                <w:color w:val="auto"/>
                <w:sz w:val="24"/>
              </w:rPr>
              <w:t xml:space="preserve">Console</w:t>
            </w:r>
            <w:r>
              <w:rPr>
                <w:rFonts w:ascii="FangSong" w:hAnsi="FangSong" w:eastAsia="FangSong" w:cs="FangSong"/>
                <w:b/>
                <w:color w:val="auto"/>
                <w:sz w:val="24"/>
              </w:rPr>
              <w:t xml:space="preserve">口登录）、</w:t>
            </w:r>
            <w:r>
              <w:rPr>
                <w:rFonts w:ascii="Times New Roman" w:hAnsi="Times New Roman" w:eastAsia="Times New Roman" w:cs="Times New Roman"/>
                <w:b/>
                <w:color w:val="auto"/>
                <w:sz w:val="24"/>
              </w:rPr>
              <w:t xml:space="preserve">RMON</w:t>
            </w:r>
            <w:r>
              <w:rPr>
                <w:rFonts w:ascii="FangSong" w:hAnsi="FangSong" w:eastAsia="FangSong" w:cs="FangSong"/>
                <w:b/>
                <w:color w:val="auto"/>
                <w:sz w:val="24"/>
              </w:rPr>
              <w:t xml:space="preserve">等多种网络管理方式。</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24</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highlight w:val="none"/>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8</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千兆光模块</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w:t>
            </w:r>
            <w:r>
              <w:rPr>
                <w:rFonts w:ascii="FangSong" w:hAnsi="FangSong" w:eastAsia="FangSong" w:cs="FangSong"/>
                <w:b/>
                <w:color w:val="auto"/>
                <w:sz w:val="24"/>
              </w:rPr>
              <w:t xml:space="preserve">为交换机原厂原配，千兆单模</w:t>
            </w:r>
            <w:r>
              <w:rPr>
                <w:rFonts w:ascii="Times New Roman" w:hAnsi="Times New Roman" w:eastAsia="Times New Roman" w:cs="Times New Roman"/>
                <w:b/>
                <w:color w:val="auto"/>
                <w:sz w:val="24"/>
              </w:rPr>
              <w:t xml:space="preserve">SFP</w:t>
            </w:r>
            <w:r>
              <w:rPr>
                <w:rFonts w:ascii="FangSong" w:hAnsi="FangSong" w:eastAsia="FangSong" w:cs="FangSong"/>
                <w:b/>
                <w:color w:val="auto"/>
                <w:sz w:val="24"/>
              </w:rPr>
              <w:t xml:space="preserve">光模块，中心波长</w:t>
            </w:r>
            <w:r>
              <w:rPr>
                <w:rFonts w:ascii="Times New Roman" w:hAnsi="Times New Roman" w:eastAsia="Times New Roman" w:cs="Times New Roman"/>
                <w:b/>
                <w:color w:val="auto"/>
                <w:sz w:val="24"/>
              </w:rPr>
              <w:t xml:space="preserve">1310nm</w:t>
            </w:r>
            <w:r>
              <w:rPr>
                <w:rFonts w:ascii="FangSong" w:hAnsi="FangSong" w:eastAsia="FangSong" w:cs="FangSong"/>
                <w:b/>
                <w:color w:val="auto"/>
                <w:sz w:val="24"/>
              </w:rPr>
              <w:t xml:space="preserve">，最大传输距离</w:t>
            </w:r>
            <w:r>
              <w:rPr>
                <w:rFonts w:ascii="Times New Roman" w:hAnsi="Times New Roman" w:eastAsia="Times New Roman" w:cs="Times New Roman"/>
                <w:b/>
                <w:color w:val="auto"/>
                <w:sz w:val="24"/>
              </w:rPr>
              <w:t xml:space="preserve">≥10km</w:t>
            </w:r>
            <w:r>
              <w:rPr>
                <w:rFonts w:ascii="FangSong" w:hAnsi="FangSong" w:eastAsia="FangSong" w:cs="FangSong"/>
                <w:b/>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只</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200</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9</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辅助材料</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包含各类光纤跳线、网络跳线、光纤适配器、电源分配单元（</w:t>
            </w:r>
            <w:r>
              <w:rPr>
                <w:rFonts w:ascii="Times New Roman" w:hAnsi="Times New Roman" w:eastAsia="Times New Roman" w:cs="Times New Roman"/>
                <w:color w:val="auto"/>
                <w:sz w:val="24"/>
              </w:rPr>
              <w:t xml:space="preserve">PDU</w:t>
            </w:r>
            <w:r>
              <w:rPr>
                <w:rFonts w:ascii="FangSong" w:hAnsi="FangSong" w:eastAsia="FangSong" w:cs="FangSong"/>
                <w:color w:val="auto"/>
                <w:sz w:val="24"/>
              </w:rPr>
              <w:t xml:space="preserve">）、插线板等安装及连接所需辅材</w:t>
            </w:r>
            <w:r>
              <w:rPr>
                <w:rFonts w:ascii="FangSong" w:hAnsi="FangSong" w:eastAsia="FangSong" w:cs="FangSong"/>
                <w:color w:val="auto"/>
                <w:sz w:val="24"/>
              </w:rPr>
              <w:t xml:space="preserve">（建议现场勘查沟通，确认需求量）</w:t>
            </w:r>
            <w:r>
              <w:rPr>
                <w:rFonts w:ascii="FangSong" w:hAnsi="FangSong" w:eastAsia="FangSong" w:cs="FangSong"/>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项</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（二）监控设备</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半球摄像机（</w:t>
            </w:r>
            <w:r>
              <w:rPr>
                <w:rFonts w:ascii="Times New Roman" w:hAnsi="Times New Roman" w:eastAsia="Times New Roman" w:cs="Times New Roman"/>
                <w:color w:val="auto"/>
                <w:sz w:val="24"/>
              </w:rPr>
              <w:t xml:space="preserve">poe</w:t>
            </w:r>
            <w:r>
              <w:rPr>
                <w:rFonts w:ascii="FangSong" w:hAnsi="FangSong" w:eastAsia="FangSong" w:cs="FangSong"/>
                <w:color w:val="auto"/>
                <w:sz w:val="24"/>
              </w:rPr>
              <w:t xml:space="preserve">带拾音）</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硬件主要参数需求：支持输出分辨率</w:t>
            </w:r>
            <w:r>
              <w:rPr>
                <w:rFonts w:ascii="Times New Roman" w:hAnsi="Times New Roman" w:eastAsia="Times New Roman" w:cs="Times New Roman"/>
                <w:b/>
                <w:color w:val="auto"/>
                <w:sz w:val="24"/>
              </w:rPr>
              <w:t xml:space="preserve">≥2560×1440</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2K</w:t>
            </w:r>
            <w:r>
              <w:rPr>
                <w:rFonts w:ascii="FangSong" w:hAnsi="FangSong" w:eastAsia="FangSong" w:cs="FangSong"/>
                <w:b/>
                <w:color w:val="auto"/>
                <w:sz w:val="24"/>
              </w:rPr>
              <w:t xml:space="preserve">）；最低照度彩色模式</w:t>
            </w:r>
            <w:r>
              <w:rPr>
                <w:rFonts w:ascii="Times New Roman" w:hAnsi="Times New Roman" w:eastAsia="Times New Roman" w:cs="Times New Roman"/>
                <w:b/>
                <w:color w:val="auto"/>
                <w:sz w:val="24"/>
              </w:rPr>
              <w:t xml:space="preserve">≤0.005lx</w:t>
            </w:r>
            <w:r>
              <w:rPr>
                <w:rFonts w:ascii="FangSong" w:hAnsi="FangSong" w:eastAsia="FangSong" w:cs="FangSong"/>
                <w:b/>
                <w:color w:val="auto"/>
                <w:sz w:val="24"/>
              </w:rPr>
              <w:t xml:space="preserve">；支持红外补光，补光距离</w:t>
            </w:r>
            <w:r>
              <w:rPr>
                <w:rFonts w:ascii="Times New Roman" w:hAnsi="Times New Roman" w:eastAsia="Times New Roman" w:cs="Times New Roman"/>
                <w:b/>
                <w:color w:val="auto"/>
                <w:sz w:val="24"/>
              </w:rPr>
              <w:t xml:space="preserve">≥30</w:t>
            </w:r>
            <w:r>
              <w:rPr>
                <w:rFonts w:ascii="FangSong" w:hAnsi="FangSong" w:eastAsia="FangSong" w:cs="FangSong"/>
                <w:b/>
                <w:color w:val="auto"/>
                <w:sz w:val="24"/>
              </w:rPr>
              <w:t xml:space="preserve">米，夜间可识别</w:t>
            </w:r>
            <w:r>
              <w:rPr>
                <w:rFonts w:ascii="Times New Roman" w:hAnsi="Times New Roman" w:eastAsia="Times New Roman" w:cs="Times New Roman"/>
                <w:b/>
                <w:color w:val="auto"/>
                <w:sz w:val="24"/>
              </w:rPr>
              <w:t xml:space="preserve">30</w:t>
            </w:r>
            <w:r>
              <w:rPr>
                <w:rFonts w:ascii="FangSong" w:hAnsi="FangSong" w:eastAsia="FangSong" w:cs="FangSong"/>
                <w:b/>
                <w:color w:val="auto"/>
                <w:sz w:val="24"/>
              </w:rPr>
              <w:t xml:space="preserve">米处人体轮廓；</w:t>
            </w:r>
            <w:r>
              <w:rPr>
                <w:rFonts w:ascii="Times New Roman" w:hAnsi="Times New Roman" w:eastAsia="Times New Roman" w:cs="Times New Roman"/>
                <w:b/>
                <w:color w:val="auto"/>
                <w:sz w:val="24"/>
              </w:rPr>
              <w:t xml:space="preserve">≥</w:t>
            </w:r>
            <w:r>
              <w:rPr>
                <w:rFonts w:ascii="FangSong" w:hAnsi="FangSong" w:eastAsia="FangSong" w:cs="FangSong"/>
                <w:b/>
                <w:color w:val="auto"/>
                <w:sz w:val="24"/>
              </w:rPr>
              <w:t xml:space="preserve">内置</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个麦克风，</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RJ45</w:t>
            </w:r>
            <w:r>
              <w:rPr>
                <w:rFonts w:ascii="FangSong" w:hAnsi="FangSong" w:eastAsia="FangSong" w:cs="FangSong"/>
                <w:b/>
                <w:color w:val="auto"/>
                <w:sz w:val="24"/>
              </w:rPr>
              <w:t xml:space="preserve">网络接口（支持</w:t>
            </w:r>
            <w:r>
              <w:rPr>
                <w:rFonts w:ascii="Times New Roman" w:hAnsi="Times New Roman" w:eastAsia="Times New Roman" w:cs="Times New Roman"/>
                <w:b/>
                <w:color w:val="auto"/>
                <w:sz w:val="24"/>
              </w:rPr>
              <w:t xml:space="preserve">PoE</w:t>
            </w:r>
            <w:r>
              <w:rPr>
                <w:rFonts w:ascii="FangSong" w:hAnsi="FangSong" w:eastAsia="FangSong" w:cs="FangSong"/>
                <w:b/>
                <w:color w:val="auto"/>
                <w:sz w:val="24"/>
              </w:rPr>
              <w:t xml:space="preserve">供电），</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个音频输入接口、</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个音频输出接口、</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个报警输入接口、</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个报警输出接口（货物交付时须随货物提供公安部或国家认可的权威检测机构有效检测报告）。</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同一场景相同图像质量下设备在</w:t>
            </w:r>
            <w:r>
              <w:rPr>
                <w:rFonts w:ascii="Times New Roman" w:hAnsi="Times New Roman" w:eastAsia="Times New Roman" w:cs="Times New Roman"/>
                <w:b/>
                <w:color w:val="auto"/>
                <w:sz w:val="24"/>
              </w:rPr>
              <w:t xml:space="preserve">H.264/H.265</w:t>
            </w:r>
            <w:r>
              <w:rPr>
                <w:rFonts w:ascii="FangSong" w:hAnsi="FangSong" w:eastAsia="FangSong" w:cs="FangSong"/>
                <w:b/>
                <w:color w:val="auto"/>
                <w:sz w:val="24"/>
              </w:rPr>
              <w:t xml:space="preserve">编码方式时，开启智能编码功能和不开启智能编码相比，码率节约</w:t>
            </w:r>
            <w:r>
              <w:rPr>
                <w:rFonts w:ascii="Times New Roman" w:hAnsi="Times New Roman" w:eastAsia="Times New Roman" w:cs="Times New Roman"/>
                <w:b/>
                <w:color w:val="auto"/>
                <w:sz w:val="24"/>
              </w:rPr>
              <w:t xml:space="preserve">≥50%</w:t>
            </w:r>
            <w:r>
              <w:rPr>
                <w:rFonts w:ascii="FangSong" w:hAnsi="FangSong" w:eastAsia="FangSong" w:cs="FangSong"/>
                <w:b/>
                <w:color w:val="auto"/>
                <w:sz w:val="24"/>
              </w:rPr>
              <w:t xml:space="preserve">；支持不低于</w:t>
            </w:r>
            <w:r>
              <w:rPr>
                <w:rFonts w:ascii="Times New Roman" w:hAnsi="Times New Roman" w:eastAsia="Times New Roman" w:cs="Times New Roman"/>
                <w:b/>
                <w:color w:val="auto"/>
                <w:sz w:val="24"/>
              </w:rPr>
              <w:t xml:space="preserve">IP66</w:t>
            </w:r>
            <w:r>
              <w:rPr>
                <w:rFonts w:ascii="FangSong" w:hAnsi="FangSong" w:eastAsia="FangSong" w:cs="FangSong"/>
                <w:b/>
                <w:color w:val="auto"/>
                <w:sz w:val="24"/>
              </w:rPr>
              <w:t xml:space="preserve">防尘防水；支持不低于</w:t>
            </w:r>
            <w:r>
              <w:rPr>
                <w:rFonts w:ascii="Times New Roman" w:hAnsi="Times New Roman" w:eastAsia="Times New Roman" w:cs="Times New Roman"/>
                <w:b/>
                <w:color w:val="auto"/>
                <w:sz w:val="24"/>
              </w:rPr>
              <w:t xml:space="preserve">IK10</w:t>
            </w:r>
            <w:r>
              <w:rPr>
                <w:rFonts w:ascii="FangSong" w:hAnsi="FangSong" w:eastAsia="FangSong" w:cs="FangSong"/>
                <w:b/>
                <w:color w:val="auto"/>
                <w:sz w:val="24"/>
              </w:rPr>
              <w:t xml:space="preserve">机械碰撞防护等级（货物交付时须随货物提供公安部或国家认可的权威检测机构有效检测报告）。</w:t>
              <w:br/>
            </w:r>
            <w:r>
              <w:rPr>
                <w:rFonts w:ascii="Times New Roman" w:hAnsi="Times New Roman" w:eastAsia="Times New Roman" w:cs="Times New Roman"/>
                <w:color w:val="auto"/>
                <w:sz w:val="24"/>
              </w:rPr>
              <w:t xml:space="preserve">3.</w:t>
            </w:r>
            <w:r>
              <w:rPr>
                <w:rFonts w:ascii="FangSong" w:hAnsi="FangSong" w:eastAsia="FangSong" w:cs="FangSong"/>
                <w:color w:val="auto"/>
                <w:sz w:val="24"/>
              </w:rPr>
              <w:t xml:space="preserve">须与利旧设备适配。</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70</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桌面拾音器</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w:t>
            </w:r>
            <w:r>
              <w:rPr>
                <w:rFonts w:ascii="FangSong" w:hAnsi="FangSong" w:eastAsia="FangSong" w:cs="FangSong"/>
                <w:b/>
                <w:color w:val="auto"/>
                <w:sz w:val="24"/>
              </w:rPr>
              <w:t xml:space="preserve">拾音器音频参数需求：输出应清晰、连续，无异常音量突变或断续，能有效采集现场语音及凿、锯、砸等动作声音，典型频率响应曲线应至少覆盖</w:t>
            </w:r>
            <w:r>
              <w:rPr>
                <w:rFonts w:ascii="Times New Roman" w:hAnsi="Times New Roman" w:eastAsia="Times New Roman" w:cs="Times New Roman"/>
                <w:b/>
                <w:color w:val="auto"/>
                <w:sz w:val="24"/>
              </w:rPr>
              <w:t xml:space="preserve">100Hz</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12000Hz</w:t>
            </w:r>
            <w:r>
              <w:rPr>
                <w:rFonts w:ascii="FangSong" w:hAnsi="FangSong" w:eastAsia="FangSong" w:cs="FangSong"/>
                <w:b/>
                <w:color w:val="auto"/>
                <w:sz w:val="24"/>
              </w:rPr>
              <w:t xml:space="preserve">频率范围，频率范围内典型频率响应相对于</w:t>
            </w:r>
            <w:r>
              <w:rPr>
                <w:rFonts w:ascii="Times New Roman" w:hAnsi="Times New Roman" w:eastAsia="Times New Roman" w:cs="Times New Roman"/>
                <w:b/>
                <w:color w:val="auto"/>
                <w:sz w:val="24"/>
              </w:rPr>
              <w:t xml:space="preserve">1kHz</w:t>
            </w:r>
            <w:r>
              <w:rPr>
                <w:rFonts w:ascii="FangSong" w:hAnsi="FangSong" w:eastAsia="FangSong" w:cs="FangSong"/>
                <w:b/>
                <w:color w:val="auto"/>
                <w:sz w:val="24"/>
              </w:rPr>
              <w:t xml:space="preserve">典型频率响应的偏离应不大于</w:t>
            </w:r>
            <w:r>
              <w:rPr>
                <w:rFonts w:ascii="Times New Roman" w:hAnsi="Times New Roman" w:eastAsia="Times New Roman" w:cs="Times New Roman"/>
                <w:b/>
                <w:color w:val="auto"/>
                <w:sz w:val="24"/>
              </w:rPr>
              <w:t xml:space="preserve">±5dB</w:t>
            </w:r>
            <w:r>
              <w:rPr>
                <w:rFonts w:ascii="FangSong" w:hAnsi="FangSong" w:eastAsia="FangSong" w:cs="FangSong"/>
                <w:b/>
                <w:color w:val="auto"/>
                <w:sz w:val="24"/>
              </w:rPr>
              <w:t xml:space="preserve">，若灵敏度可调，其自由场灵敏度级调节范围应不小于</w:t>
            </w:r>
            <w:r>
              <w:rPr>
                <w:rFonts w:ascii="Times New Roman" w:hAnsi="Times New Roman" w:eastAsia="Times New Roman" w:cs="Times New Roman"/>
                <w:b/>
                <w:color w:val="auto"/>
                <w:sz w:val="24"/>
              </w:rPr>
              <w:t xml:space="preserve">30dB</w:t>
            </w:r>
            <w:r>
              <w:rPr>
                <w:rFonts w:ascii="FangSong" w:hAnsi="FangSong" w:eastAsia="FangSong" w:cs="FangSong"/>
                <w:b/>
                <w:color w:val="auto"/>
                <w:sz w:val="24"/>
              </w:rPr>
              <w:t xml:space="preserve">（货物交付时须随货物提供公安部或国家认可的权威检测机构有效检测报告）。</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70</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半球摄像机（</w:t>
            </w:r>
            <w:r>
              <w:rPr>
                <w:rFonts w:ascii="Times New Roman" w:hAnsi="Times New Roman" w:eastAsia="Times New Roman" w:cs="Times New Roman"/>
                <w:color w:val="auto"/>
                <w:sz w:val="24"/>
              </w:rPr>
              <w:t xml:space="preserve">poe</w:t>
            </w:r>
            <w:r>
              <w:rPr>
                <w:rFonts w:ascii="FangSong" w:hAnsi="FangSong" w:eastAsia="FangSong" w:cs="FangSong"/>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硬件主要参数需求：支持输出分辨率</w:t>
            </w:r>
            <w:r>
              <w:rPr>
                <w:rFonts w:ascii="Times New Roman" w:hAnsi="Times New Roman" w:eastAsia="Times New Roman" w:cs="Times New Roman"/>
                <w:b/>
                <w:color w:val="auto"/>
                <w:sz w:val="24"/>
              </w:rPr>
              <w:t xml:space="preserve">≥2560x1440</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2K</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@25fps</w:t>
            </w:r>
            <w:r>
              <w:rPr>
                <w:rFonts w:ascii="FangSong" w:hAnsi="FangSong" w:eastAsia="FangSong" w:cs="FangSong"/>
                <w:b/>
                <w:color w:val="auto"/>
                <w:sz w:val="24"/>
              </w:rPr>
              <w:t xml:space="preserve">下码率</w:t>
            </w:r>
            <w:r>
              <w:rPr>
                <w:rFonts w:ascii="Times New Roman" w:hAnsi="Times New Roman" w:eastAsia="Times New Roman" w:cs="Times New Roman"/>
                <w:b/>
                <w:color w:val="auto"/>
                <w:sz w:val="24"/>
              </w:rPr>
              <w:t xml:space="preserve">≥2Mbps</w:t>
            </w:r>
            <w:r>
              <w:rPr>
                <w:rFonts w:ascii="FangSong" w:hAnsi="FangSong" w:eastAsia="FangSong" w:cs="FangSong"/>
                <w:b/>
                <w:color w:val="auto"/>
                <w:sz w:val="24"/>
              </w:rPr>
              <w:t xml:space="preserve">，图像中心水平清晰度</w:t>
            </w:r>
            <w:r>
              <w:rPr>
                <w:rFonts w:ascii="Times New Roman" w:hAnsi="Times New Roman" w:eastAsia="Times New Roman" w:cs="Times New Roman"/>
                <w:b/>
                <w:color w:val="auto"/>
                <w:sz w:val="24"/>
              </w:rPr>
              <w:t xml:space="preserve">≥1400TVL</w:t>
            </w:r>
            <w:r>
              <w:rPr>
                <w:rFonts w:ascii="FangSong" w:hAnsi="FangSong" w:eastAsia="FangSong" w:cs="FangSong"/>
                <w:b/>
                <w:color w:val="auto"/>
                <w:sz w:val="24"/>
              </w:rPr>
              <w:t xml:space="preserve">；内置集成</w:t>
            </w:r>
            <w:r>
              <w:rPr>
                <w:rFonts w:ascii="Times New Roman" w:hAnsi="Times New Roman" w:eastAsia="Times New Roman" w:cs="Times New Roman"/>
                <w:b/>
                <w:color w:val="auto"/>
                <w:sz w:val="24"/>
              </w:rPr>
              <w:t xml:space="preserve">CPU</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GPU</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NPU</w:t>
            </w:r>
            <w:r>
              <w:rPr>
                <w:rFonts w:ascii="FangSong" w:hAnsi="FangSong" w:eastAsia="FangSong" w:cs="FangSong"/>
                <w:b/>
                <w:color w:val="auto"/>
                <w:sz w:val="24"/>
              </w:rPr>
              <w:t xml:space="preserve">的芯片。</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支持智能分析功能；支持补光，光灯应具有均匀的光斑分布，为椭圆形形状，无明显波纹、圆环、麻点、条纹或不规则亮斑，补光距离</w:t>
            </w:r>
            <w:r>
              <w:rPr>
                <w:rFonts w:ascii="Times New Roman" w:hAnsi="Times New Roman" w:eastAsia="Times New Roman" w:cs="Times New Roman"/>
                <w:b/>
                <w:color w:val="auto"/>
                <w:sz w:val="24"/>
              </w:rPr>
              <w:t xml:space="preserve">≥30</w:t>
            </w:r>
            <w:r>
              <w:rPr>
                <w:rFonts w:ascii="FangSong" w:hAnsi="FangSong" w:eastAsia="FangSong" w:cs="FangSong"/>
                <w:b/>
                <w:color w:val="auto"/>
                <w:sz w:val="24"/>
              </w:rPr>
              <w:t xml:space="preserve">米，可识别距样机</w:t>
            </w:r>
            <w:r>
              <w:rPr>
                <w:rFonts w:ascii="Times New Roman" w:hAnsi="Times New Roman" w:eastAsia="Times New Roman" w:cs="Times New Roman"/>
                <w:b/>
                <w:color w:val="auto"/>
                <w:sz w:val="24"/>
              </w:rPr>
              <w:t xml:space="preserve">30m</w:t>
            </w:r>
            <w:r>
              <w:rPr>
                <w:rFonts w:ascii="FangSong" w:hAnsi="FangSong" w:eastAsia="FangSong" w:cs="FangSong"/>
                <w:b/>
                <w:color w:val="auto"/>
                <w:sz w:val="24"/>
              </w:rPr>
              <w:t xml:space="preserve">处人体轮廓（货物交付时须随货物提供公安部或国家认可的权威检测机构有效检测报告）。</w:t>
              <w:br/>
            </w:r>
            <w:r>
              <w:rPr>
                <w:rFonts w:ascii="Times New Roman" w:hAnsi="Times New Roman" w:eastAsia="Times New Roman" w:cs="Times New Roman"/>
                <w:color w:val="auto"/>
                <w:sz w:val="24"/>
              </w:rPr>
              <w:t xml:space="preserve">3.</w:t>
            </w:r>
            <w:r>
              <w:rPr>
                <w:rFonts w:ascii="FangSong" w:hAnsi="FangSong" w:eastAsia="FangSong" w:cs="FangSong"/>
                <w:color w:val="auto"/>
                <w:sz w:val="24"/>
              </w:rPr>
              <w:t xml:space="preserve">须与利旧设备适配。</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60</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枪型摄像机（</w:t>
            </w:r>
            <w:r>
              <w:rPr>
                <w:rFonts w:ascii="Times New Roman" w:hAnsi="Times New Roman" w:eastAsia="Times New Roman" w:cs="Times New Roman"/>
                <w:color w:val="auto"/>
                <w:sz w:val="24"/>
              </w:rPr>
              <w:t xml:space="preserve">poe</w:t>
            </w:r>
            <w:r>
              <w:rPr>
                <w:rFonts w:ascii="FangSong" w:hAnsi="FangSong" w:eastAsia="FangSong" w:cs="FangSong"/>
                <w:color w:val="auto"/>
                <w:sz w:val="24"/>
              </w:rPr>
              <w:t xml:space="preserve">）（含支架）</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硬件主要参数需求：支持输出图像分辨率不低于</w:t>
            </w:r>
            <w:r>
              <w:rPr>
                <w:rFonts w:ascii="Times New Roman" w:hAnsi="Times New Roman" w:eastAsia="Times New Roman" w:cs="Times New Roman"/>
                <w:b/>
                <w:color w:val="auto"/>
                <w:sz w:val="24"/>
              </w:rPr>
              <w:t xml:space="preserve">2688x1520</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2K</w:t>
            </w:r>
            <w:r>
              <w:rPr>
                <w:rFonts w:ascii="FangSong" w:hAnsi="FangSong" w:eastAsia="FangSong" w:cs="FangSong"/>
                <w:b/>
                <w:color w:val="auto"/>
                <w:sz w:val="24"/>
              </w:rPr>
              <w:t xml:space="preserve">）；内置集成</w:t>
            </w:r>
            <w:r>
              <w:rPr>
                <w:rFonts w:ascii="Times New Roman" w:hAnsi="Times New Roman" w:eastAsia="Times New Roman" w:cs="Times New Roman"/>
                <w:b/>
                <w:color w:val="auto"/>
                <w:sz w:val="24"/>
              </w:rPr>
              <w:t xml:space="preserve">CPU</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GPU</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NPU</w:t>
            </w:r>
            <w:r>
              <w:rPr>
                <w:rFonts w:ascii="FangSong" w:hAnsi="FangSong" w:eastAsia="FangSong" w:cs="FangSong"/>
                <w:b/>
                <w:color w:val="auto"/>
                <w:sz w:val="24"/>
              </w:rPr>
              <w:t xml:space="preserve">的芯片，支持智能分析功能；</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支持补光，补光灯应具有均匀的光斑分布，无明显波纹、圆环、麻点、条纹或不规则亮斑（货物交付时须随货物提供公安部或国家认可的权威检测机构有效检测报告）。</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15</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汇聚交换机</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w:t>
            </w:r>
            <w:r>
              <w:rPr>
                <w:rFonts w:ascii="Times New Roman" w:hAnsi="Times New Roman" w:eastAsia="Times New Roman" w:cs="Times New Roman"/>
                <w:b/>
                <w:color w:val="auto"/>
                <w:sz w:val="24"/>
              </w:rPr>
              <w:t xml:space="preserve">1U</w:t>
            </w:r>
            <w:r>
              <w:rPr>
                <w:rFonts w:ascii="FangSong" w:hAnsi="FangSong" w:eastAsia="FangSong" w:cs="FangSong"/>
                <w:b/>
                <w:color w:val="auto"/>
                <w:sz w:val="24"/>
              </w:rPr>
              <w:t xml:space="preserve">机架设备，支持</w:t>
            </w:r>
            <w:r>
              <w:rPr>
                <w:rFonts w:ascii="Times New Roman" w:hAnsi="Times New Roman" w:eastAsia="Times New Roman" w:cs="Times New Roman"/>
                <w:b/>
                <w:color w:val="auto"/>
                <w:sz w:val="24"/>
              </w:rPr>
              <w:t xml:space="preserve">10/100/1000M</w:t>
            </w:r>
            <w:r>
              <w:rPr>
                <w:rFonts w:ascii="FangSong" w:hAnsi="FangSong" w:eastAsia="FangSong" w:cs="FangSong"/>
                <w:b/>
                <w:color w:val="auto"/>
                <w:sz w:val="24"/>
              </w:rPr>
              <w:t xml:space="preserve">自适应电接口</w:t>
            </w:r>
            <w:r>
              <w:rPr>
                <w:rFonts w:ascii="Times New Roman" w:hAnsi="Times New Roman" w:eastAsia="Times New Roman" w:cs="Times New Roman"/>
                <w:b/>
                <w:color w:val="auto"/>
                <w:sz w:val="24"/>
              </w:rPr>
              <w:t xml:space="preserve">≥24</w:t>
            </w:r>
            <w:r>
              <w:rPr>
                <w:rFonts w:ascii="FangSong" w:hAnsi="FangSong" w:eastAsia="FangSong" w:cs="FangSong"/>
                <w:b/>
                <w:color w:val="auto"/>
                <w:sz w:val="24"/>
              </w:rPr>
              <w:t xml:space="preserve">个，万兆</w:t>
            </w:r>
            <w:r>
              <w:rPr>
                <w:rFonts w:ascii="Times New Roman" w:hAnsi="Times New Roman" w:eastAsia="Times New Roman" w:cs="Times New Roman"/>
                <w:b/>
                <w:color w:val="auto"/>
                <w:sz w:val="24"/>
              </w:rPr>
              <w:t xml:space="preserve">SFP+</w:t>
            </w:r>
            <w:r>
              <w:rPr>
                <w:rFonts w:ascii="FangSong" w:hAnsi="FangSong" w:eastAsia="FangSong" w:cs="FangSong"/>
                <w:b/>
                <w:color w:val="auto"/>
                <w:sz w:val="24"/>
              </w:rPr>
              <w:t xml:space="preserve">光接口</w:t>
            </w:r>
            <w:r>
              <w:rPr>
                <w:rFonts w:ascii="Times New Roman" w:hAnsi="Times New Roman" w:eastAsia="Times New Roman" w:cs="Times New Roman"/>
                <w:b/>
                <w:color w:val="auto"/>
                <w:sz w:val="24"/>
              </w:rPr>
              <w:t xml:space="preserve">≥4</w:t>
            </w:r>
            <w:r>
              <w:rPr>
                <w:rFonts w:ascii="FangSong" w:hAnsi="FangSong" w:eastAsia="FangSong" w:cs="FangSong"/>
                <w:b/>
                <w:color w:val="auto"/>
                <w:sz w:val="24"/>
              </w:rPr>
              <w:t xml:space="preserve">个，复用的千兆电接口</w:t>
            </w:r>
            <w:r>
              <w:rPr>
                <w:rFonts w:ascii="Times New Roman" w:hAnsi="Times New Roman" w:eastAsia="Times New Roman" w:cs="Times New Roman"/>
                <w:b/>
                <w:color w:val="auto"/>
                <w:sz w:val="24"/>
              </w:rPr>
              <w:t xml:space="preserve">≥8</w:t>
            </w:r>
            <w:r>
              <w:rPr>
                <w:rFonts w:ascii="FangSong" w:hAnsi="FangSong" w:eastAsia="FangSong" w:cs="FangSong"/>
                <w:b/>
                <w:color w:val="auto"/>
                <w:sz w:val="24"/>
              </w:rPr>
              <w:t xml:space="preserve">个。</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交换容量</w:t>
            </w:r>
            <w:r>
              <w:rPr>
                <w:rFonts w:ascii="Times New Roman" w:hAnsi="Times New Roman" w:eastAsia="Times New Roman" w:cs="Times New Roman"/>
                <w:b/>
                <w:color w:val="auto"/>
                <w:sz w:val="24"/>
              </w:rPr>
              <w:t xml:space="preserve">≥550Gbps</w:t>
            </w:r>
            <w:r>
              <w:rPr>
                <w:rFonts w:ascii="FangSong" w:hAnsi="FangSong" w:eastAsia="FangSong" w:cs="FangSong"/>
                <w:b/>
                <w:color w:val="auto"/>
                <w:sz w:val="24"/>
              </w:rPr>
              <w:t xml:space="preserve">，包转发率</w:t>
            </w:r>
            <w:r>
              <w:rPr>
                <w:rFonts w:ascii="Times New Roman" w:hAnsi="Times New Roman" w:eastAsia="Times New Roman" w:cs="Times New Roman"/>
                <w:b/>
                <w:color w:val="auto"/>
                <w:sz w:val="24"/>
              </w:rPr>
              <w:t xml:space="preserve">≥130Mpps</w:t>
            </w:r>
            <w:r>
              <w:rPr>
                <w:rFonts w:ascii="FangSong" w:hAnsi="FangSong" w:eastAsia="FangSong" w:cs="FangSong"/>
                <w:b/>
                <w:color w:val="auto"/>
                <w:sz w:val="24"/>
              </w:rPr>
              <w:t xml:space="preserve">；支持</w:t>
            </w:r>
            <w:r>
              <w:rPr>
                <w:rFonts w:ascii="Times New Roman" w:hAnsi="Times New Roman" w:eastAsia="Times New Roman" w:cs="Times New Roman"/>
                <w:b/>
                <w:color w:val="auto"/>
                <w:sz w:val="24"/>
              </w:rPr>
              <w:t xml:space="preserve">IPv4/IPv6</w:t>
            </w:r>
            <w:r>
              <w:rPr>
                <w:rFonts w:ascii="FangSong" w:hAnsi="FangSong" w:eastAsia="FangSong" w:cs="FangSong"/>
                <w:b/>
                <w:color w:val="auto"/>
                <w:sz w:val="24"/>
              </w:rPr>
              <w:t xml:space="preserve">静态路由、</w:t>
            </w:r>
            <w:r>
              <w:rPr>
                <w:rFonts w:ascii="Times New Roman" w:hAnsi="Times New Roman" w:eastAsia="Times New Roman" w:cs="Times New Roman"/>
                <w:b/>
                <w:color w:val="auto"/>
                <w:sz w:val="24"/>
              </w:rPr>
              <w:t xml:space="preserve">RIPng</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OSPFv2</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OSPFv3</w:t>
            </w:r>
            <w:r>
              <w:rPr>
                <w:rFonts w:ascii="FangSong" w:hAnsi="FangSong" w:eastAsia="FangSong" w:cs="FangSong"/>
                <w:b/>
                <w:color w:val="auto"/>
                <w:sz w:val="24"/>
              </w:rPr>
              <w:t xml:space="preserve">路由协议。</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24</w:t>
            </w:r>
            <w:r>
              <w:rPr>
                <w:rFonts w:ascii="FangSong" w:hAnsi="FangSong" w:eastAsia="FangSong" w:cs="FangSong"/>
                <w:color w:val="auto"/>
                <w:sz w:val="24"/>
              </w:rPr>
              <w:t xml:space="preserve">口</w:t>
            </w:r>
            <w:r>
              <w:rPr>
                <w:rFonts w:ascii="Times New Roman" w:hAnsi="Times New Roman" w:eastAsia="Times New Roman" w:cs="Times New Roman"/>
                <w:color w:val="auto"/>
                <w:sz w:val="24"/>
              </w:rPr>
              <w:t xml:space="preserve">POE</w:t>
            </w:r>
            <w:r>
              <w:rPr>
                <w:rFonts w:ascii="FangSong" w:hAnsi="FangSong" w:eastAsia="FangSong" w:cs="FangSong"/>
                <w:color w:val="auto"/>
                <w:sz w:val="24"/>
              </w:rPr>
              <w:t xml:space="preserve">交换机</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w:t>
            </w:r>
            <w:r>
              <w:rPr>
                <w:rFonts w:ascii="Times New Roman" w:hAnsi="Times New Roman" w:eastAsia="Times New Roman" w:cs="Times New Roman"/>
                <w:b/>
                <w:color w:val="auto"/>
                <w:sz w:val="24"/>
              </w:rPr>
              <w:t xml:space="preserve">1U</w:t>
            </w:r>
            <w:r>
              <w:rPr>
                <w:rFonts w:ascii="FangSong" w:hAnsi="FangSong" w:eastAsia="FangSong" w:cs="FangSong"/>
                <w:b/>
                <w:color w:val="auto"/>
                <w:sz w:val="24"/>
              </w:rPr>
              <w:t xml:space="preserve">机架设备，固化千兆电接口</w:t>
            </w:r>
            <w:r>
              <w:rPr>
                <w:rFonts w:ascii="Times New Roman" w:hAnsi="Times New Roman" w:eastAsia="Times New Roman" w:cs="Times New Roman"/>
                <w:b/>
                <w:color w:val="auto"/>
                <w:sz w:val="24"/>
              </w:rPr>
              <w:t xml:space="preserve">≥24</w:t>
            </w:r>
            <w:r>
              <w:rPr>
                <w:rFonts w:ascii="FangSong" w:hAnsi="FangSong" w:eastAsia="FangSong" w:cs="FangSong"/>
                <w:b/>
                <w:color w:val="auto"/>
                <w:sz w:val="24"/>
              </w:rPr>
              <w:t xml:space="preserve">个，千兆</w:t>
            </w:r>
            <w:r>
              <w:rPr>
                <w:rFonts w:ascii="Times New Roman" w:hAnsi="Times New Roman" w:eastAsia="Times New Roman" w:cs="Times New Roman"/>
                <w:b/>
                <w:color w:val="auto"/>
                <w:sz w:val="24"/>
              </w:rPr>
              <w:t xml:space="preserve">SFP</w:t>
            </w:r>
            <w:r>
              <w:rPr>
                <w:rFonts w:ascii="FangSong" w:hAnsi="FangSong" w:eastAsia="FangSong" w:cs="FangSong"/>
                <w:b/>
                <w:color w:val="auto"/>
                <w:sz w:val="24"/>
              </w:rPr>
              <w:t xml:space="preserve">光接口</w:t>
            </w:r>
            <w:r>
              <w:rPr>
                <w:rFonts w:ascii="Times New Roman" w:hAnsi="Times New Roman" w:eastAsia="Times New Roman" w:cs="Times New Roman"/>
                <w:b/>
                <w:color w:val="auto"/>
                <w:sz w:val="24"/>
              </w:rPr>
              <w:t xml:space="preserve">≥4</w:t>
            </w:r>
            <w:r>
              <w:rPr>
                <w:rFonts w:ascii="FangSong" w:hAnsi="FangSong" w:eastAsia="FangSong" w:cs="FangSong"/>
                <w:b/>
                <w:color w:val="auto"/>
                <w:sz w:val="24"/>
              </w:rPr>
              <w:t xml:space="preserve">个。</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交换容量</w:t>
            </w:r>
            <w:r>
              <w:rPr>
                <w:rFonts w:ascii="Times New Roman" w:hAnsi="Times New Roman" w:eastAsia="Times New Roman" w:cs="Times New Roman"/>
                <w:b/>
                <w:color w:val="auto"/>
                <w:sz w:val="24"/>
              </w:rPr>
              <w:t xml:space="preserve">≥650Gbps</w:t>
            </w:r>
            <w:r>
              <w:rPr>
                <w:rFonts w:ascii="FangSong" w:hAnsi="FangSong" w:eastAsia="FangSong" w:cs="FangSong"/>
                <w:b/>
                <w:color w:val="auto"/>
                <w:sz w:val="24"/>
              </w:rPr>
              <w:t xml:space="preserve">，包转发率</w:t>
            </w:r>
            <w:r>
              <w:rPr>
                <w:rFonts w:ascii="Times New Roman" w:hAnsi="Times New Roman" w:eastAsia="Times New Roman" w:cs="Times New Roman"/>
                <w:b/>
                <w:color w:val="auto"/>
                <w:sz w:val="24"/>
              </w:rPr>
              <w:t xml:space="preserve">≥150Mpps</w:t>
            </w:r>
            <w:r>
              <w:rPr>
                <w:rFonts w:ascii="FangSong" w:hAnsi="FangSong" w:eastAsia="FangSong" w:cs="FangSong"/>
                <w:b/>
                <w:color w:val="auto"/>
                <w:sz w:val="24"/>
              </w:rPr>
              <w:t xml:space="preserve">，提供官网截图和链接；支持</w:t>
            </w:r>
            <w:r>
              <w:rPr>
                <w:rFonts w:ascii="Times New Roman" w:hAnsi="Times New Roman" w:eastAsia="Times New Roman" w:cs="Times New Roman"/>
                <w:b/>
                <w:color w:val="auto"/>
                <w:sz w:val="24"/>
              </w:rPr>
              <w:t xml:space="preserve">PoE/PoE+</w:t>
            </w:r>
            <w:r>
              <w:rPr>
                <w:rFonts w:ascii="FangSong" w:hAnsi="FangSong" w:eastAsia="FangSong" w:cs="FangSong"/>
                <w:b/>
                <w:color w:val="auto"/>
                <w:sz w:val="24"/>
              </w:rPr>
              <w:t xml:space="preserve">，整机最大</w:t>
            </w:r>
            <w:r>
              <w:rPr>
                <w:rFonts w:ascii="Times New Roman" w:hAnsi="Times New Roman" w:eastAsia="Times New Roman" w:cs="Times New Roman"/>
                <w:b/>
                <w:color w:val="auto"/>
                <w:sz w:val="24"/>
              </w:rPr>
              <w:t xml:space="preserve">PoE</w:t>
            </w:r>
            <w:r>
              <w:rPr>
                <w:rFonts w:ascii="FangSong" w:hAnsi="FangSong" w:eastAsia="FangSong" w:cs="FangSong"/>
                <w:b/>
                <w:color w:val="auto"/>
                <w:sz w:val="24"/>
              </w:rPr>
              <w:t xml:space="preserve">供电功率</w:t>
            </w:r>
            <w:r>
              <w:rPr>
                <w:rFonts w:ascii="Times New Roman" w:hAnsi="Times New Roman" w:eastAsia="Times New Roman" w:cs="Times New Roman"/>
                <w:b/>
                <w:color w:val="auto"/>
                <w:sz w:val="24"/>
              </w:rPr>
              <w:t xml:space="preserve">370W</w:t>
            </w:r>
            <w:r>
              <w:rPr>
                <w:rFonts w:ascii="FangSong" w:hAnsi="FangSong" w:eastAsia="FangSong" w:cs="FangSong"/>
                <w:b/>
                <w:color w:val="auto"/>
                <w:sz w:val="24"/>
              </w:rPr>
              <w:t xml:space="preserve">，单端口最大</w:t>
            </w:r>
            <w:r>
              <w:rPr>
                <w:rFonts w:ascii="Times New Roman" w:hAnsi="Times New Roman" w:eastAsia="Times New Roman" w:cs="Times New Roman"/>
                <w:b/>
                <w:color w:val="auto"/>
                <w:sz w:val="24"/>
              </w:rPr>
              <w:t xml:space="preserve">PoE</w:t>
            </w:r>
            <w:r>
              <w:rPr>
                <w:rFonts w:ascii="FangSong" w:hAnsi="FangSong" w:eastAsia="FangSong" w:cs="FangSong"/>
                <w:b/>
                <w:color w:val="auto"/>
                <w:sz w:val="24"/>
              </w:rPr>
              <w:t xml:space="preserve">供电功率</w:t>
            </w:r>
            <w:r>
              <w:rPr>
                <w:rFonts w:ascii="Times New Roman" w:hAnsi="Times New Roman" w:eastAsia="Times New Roman" w:cs="Times New Roman"/>
                <w:b/>
                <w:color w:val="auto"/>
                <w:sz w:val="24"/>
              </w:rPr>
              <w:t xml:space="preserve">30W</w:t>
            </w:r>
            <w:r>
              <w:rPr>
                <w:rFonts w:ascii="FangSong" w:hAnsi="FangSong" w:eastAsia="FangSong" w:cs="FangSong"/>
                <w:b/>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10</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7</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存储</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i/>
                <w:color w:val="auto"/>
                <w:sz w:val="24"/>
                <w:u w:val="single"/>
              </w:rPr>
              <w:t xml:space="preserve">1.</w:t>
            </w:r>
            <w:r>
              <w:rPr>
                <w:rFonts w:ascii="FangSong" w:hAnsi="FangSong" w:eastAsia="FangSong" w:cs="FangSong"/>
                <w:b/>
                <w:i/>
                <w:color w:val="auto"/>
                <w:sz w:val="24"/>
                <w:u w:val="single"/>
              </w:rPr>
              <w:t xml:space="preserve">硬件主要参数需求：</w:t>
            </w:r>
            <w:r>
              <w:rPr>
                <w:rFonts w:ascii="Times New Roman" w:hAnsi="Times New Roman" w:eastAsia="Times New Roman" w:cs="Times New Roman"/>
                <w:b/>
                <w:i/>
                <w:color w:val="auto"/>
                <w:sz w:val="24"/>
                <w:u w:val="single"/>
              </w:rPr>
              <w:t xml:space="preserve">4U</w:t>
            </w:r>
            <w:r>
              <w:rPr>
                <w:rFonts w:ascii="FangSong" w:hAnsi="FangSong" w:eastAsia="FangSong" w:cs="FangSong"/>
                <w:b/>
                <w:i/>
                <w:color w:val="auto"/>
                <w:sz w:val="24"/>
                <w:u w:val="single"/>
              </w:rPr>
              <w:t xml:space="preserve">机架式网络存储设备（包含硬盘，存储容量</w:t>
            </w:r>
            <w:r>
              <w:rPr>
                <w:rFonts w:ascii="Times New Roman" w:hAnsi="Times New Roman" w:eastAsia="Times New Roman" w:cs="Times New Roman"/>
                <w:b/>
                <w:i/>
                <w:color w:val="auto"/>
                <w:sz w:val="24"/>
                <w:u w:val="single"/>
              </w:rPr>
              <w:t xml:space="preserve">≥480T</w:t>
            </w:r>
            <w:r>
              <w:rPr>
                <w:rFonts w:ascii="FangSong" w:hAnsi="FangSong" w:eastAsia="FangSong" w:cs="FangSong"/>
                <w:b/>
                <w:i/>
                <w:color w:val="auto"/>
                <w:sz w:val="24"/>
                <w:u w:val="single"/>
              </w:rPr>
              <w:t xml:space="preserve">），配置</w:t>
            </w:r>
            <w:r>
              <w:rPr>
                <w:rFonts w:ascii="Times New Roman" w:hAnsi="Times New Roman" w:eastAsia="Times New Roman" w:cs="Times New Roman"/>
                <w:b/>
                <w:i/>
                <w:color w:val="auto"/>
                <w:sz w:val="24"/>
                <w:u w:val="single"/>
              </w:rPr>
              <w:t xml:space="preserve">1+1</w:t>
            </w:r>
            <w:r>
              <w:rPr>
                <w:rFonts w:ascii="FangSong" w:hAnsi="FangSong" w:eastAsia="FangSong" w:cs="FangSong"/>
                <w:b/>
                <w:i/>
                <w:color w:val="auto"/>
                <w:sz w:val="24"/>
                <w:u w:val="single"/>
              </w:rPr>
              <w:t xml:space="preserve">冗余电源、冗余风扇，支持</w:t>
            </w:r>
            <w:r>
              <w:rPr>
                <w:rFonts w:ascii="Times New Roman" w:hAnsi="Times New Roman" w:eastAsia="Times New Roman" w:cs="Times New Roman"/>
                <w:b/>
                <w:i/>
                <w:color w:val="auto"/>
                <w:sz w:val="24"/>
                <w:u w:val="single"/>
              </w:rPr>
              <w:t xml:space="preserve">7×24</w:t>
            </w:r>
            <w:r>
              <w:rPr>
                <w:rFonts w:ascii="FangSong" w:hAnsi="FangSong" w:eastAsia="FangSong" w:cs="FangSong"/>
                <w:b/>
                <w:i/>
                <w:color w:val="auto"/>
                <w:sz w:val="24"/>
                <w:u w:val="single"/>
              </w:rPr>
              <w:t xml:space="preserve">小时稳定运行；</w:t>
            </w:r>
            <w:r>
              <w:rPr>
                <w:rFonts w:ascii="Times New Roman" w:hAnsi="Times New Roman" w:eastAsia="Times New Roman" w:cs="Times New Roman"/>
                <w:b/>
                <w:i/>
                <w:color w:val="auto"/>
                <w:sz w:val="24"/>
                <w:u w:val="single"/>
              </w:rPr>
              <w:t xml:space="preserve">≥1</w:t>
            </w:r>
            <w:r>
              <w:rPr>
                <w:rFonts w:ascii="FangSong" w:hAnsi="FangSong" w:eastAsia="FangSong" w:cs="FangSong"/>
                <w:b/>
                <w:i/>
                <w:color w:val="auto"/>
                <w:sz w:val="24"/>
                <w:u w:val="single"/>
              </w:rPr>
              <w:t xml:space="preserve">颗</w:t>
            </w:r>
            <w:r>
              <w:rPr>
                <w:rFonts w:ascii="Times New Roman" w:hAnsi="Times New Roman" w:eastAsia="Times New Roman" w:cs="Times New Roman"/>
                <w:b/>
                <w:i/>
                <w:color w:val="auto"/>
                <w:sz w:val="24"/>
                <w:u w:val="single"/>
              </w:rPr>
              <w:t xml:space="preserve">64</w:t>
            </w:r>
            <w:r>
              <w:rPr>
                <w:rFonts w:ascii="FangSong" w:hAnsi="FangSong" w:eastAsia="FangSong" w:cs="FangSong"/>
                <w:b/>
                <w:i/>
                <w:color w:val="auto"/>
                <w:sz w:val="24"/>
                <w:u w:val="single"/>
              </w:rPr>
              <w:t xml:space="preserve">位</w:t>
            </w:r>
            <w:r>
              <w:rPr>
                <w:rFonts w:ascii="Times New Roman" w:hAnsi="Times New Roman" w:eastAsia="Times New Roman" w:cs="Times New Roman"/>
                <w:b/>
                <w:i/>
                <w:color w:val="auto"/>
                <w:sz w:val="24"/>
                <w:u w:val="single"/>
              </w:rPr>
              <w:t xml:space="preserve">8</w:t>
            </w:r>
            <w:r>
              <w:rPr>
                <w:rFonts w:ascii="FangSong" w:hAnsi="FangSong" w:eastAsia="FangSong" w:cs="FangSong"/>
                <w:b/>
                <w:i/>
                <w:color w:val="auto"/>
                <w:sz w:val="24"/>
                <w:u w:val="single"/>
              </w:rPr>
              <w:t xml:space="preserve">核处理器（主频</w:t>
            </w:r>
            <w:r>
              <w:rPr>
                <w:rFonts w:ascii="Times New Roman" w:hAnsi="Times New Roman" w:eastAsia="Times New Roman" w:cs="Times New Roman"/>
                <w:b/>
                <w:i/>
                <w:color w:val="auto"/>
                <w:sz w:val="24"/>
                <w:u w:val="single"/>
              </w:rPr>
              <w:t xml:space="preserve">≥2.5GHz</w:t>
            </w:r>
            <w:r>
              <w:rPr>
                <w:rFonts w:ascii="FangSong" w:hAnsi="FangSong" w:eastAsia="FangSong" w:cs="FangSong"/>
                <w:b/>
                <w:i/>
                <w:color w:val="auto"/>
                <w:sz w:val="24"/>
                <w:u w:val="single"/>
              </w:rPr>
              <w:t xml:space="preserve">）；系统内存</w:t>
            </w:r>
            <w:r>
              <w:rPr>
                <w:rFonts w:ascii="Times New Roman" w:hAnsi="Times New Roman" w:eastAsia="Times New Roman" w:cs="Times New Roman"/>
                <w:b/>
                <w:i/>
                <w:color w:val="auto"/>
                <w:sz w:val="24"/>
                <w:u w:val="single"/>
              </w:rPr>
              <w:t xml:space="preserve">≥16GB</w:t>
            </w:r>
            <w:r>
              <w:rPr>
                <w:rFonts w:ascii="FangSong" w:hAnsi="FangSong" w:eastAsia="FangSong" w:cs="FangSong"/>
                <w:b/>
                <w:i/>
                <w:color w:val="auto"/>
                <w:sz w:val="24"/>
                <w:u w:val="single"/>
              </w:rPr>
              <w:t xml:space="preserve">（可扩展至</w:t>
            </w:r>
            <w:r>
              <w:rPr>
                <w:rFonts w:ascii="Times New Roman" w:hAnsi="Times New Roman" w:eastAsia="Times New Roman" w:cs="Times New Roman"/>
                <w:b/>
                <w:i/>
                <w:color w:val="auto"/>
                <w:sz w:val="24"/>
                <w:u w:val="single"/>
              </w:rPr>
              <w:t xml:space="preserve">64GB</w:t>
            </w:r>
            <w:r>
              <w:rPr>
                <w:rFonts w:ascii="FangSong" w:hAnsi="FangSong" w:eastAsia="FangSong" w:cs="FangSong"/>
                <w:b/>
                <w:i/>
                <w:color w:val="auto"/>
                <w:sz w:val="24"/>
                <w:u w:val="single"/>
              </w:rPr>
              <w:t xml:space="preserve">）；系统盘</w:t>
            </w:r>
            <w:r>
              <w:rPr>
                <w:rFonts w:ascii="Times New Roman" w:hAnsi="Times New Roman" w:eastAsia="Times New Roman" w:cs="Times New Roman"/>
                <w:b/>
                <w:i/>
                <w:color w:val="auto"/>
                <w:sz w:val="24"/>
                <w:u w:val="single"/>
              </w:rPr>
              <w:t xml:space="preserve">≥1</w:t>
            </w:r>
            <w:r>
              <w:rPr>
                <w:rFonts w:ascii="FangSong" w:hAnsi="FangSong" w:eastAsia="FangSong" w:cs="FangSong"/>
                <w:b/>
                <w:i/>
                <w:color w:val="auto"/>
                <w:sz w:val="24"/>
                <w:u w:val="single"/>
              </w:rPr>
              <w:t xml:space="preserve">块</w:t>
            </w:r>
            <w:r>
              <w:rPr>
                <w:rFonts w:ascii="Times New Roman" w:hAnsi="Times New Roman" w:eastAsia="Times New Roman" w:cs="Times New Roman"/>
                <w:b/>
                <w:i/>
                <w:color w:val="auto"/>
                <w:sz w:val="24"/>
                <w:u w:val="single"/>
              </w:rPr>
              <w:t xml:space="preserve">240GB SSD</w:t>
            </w:r>
            <w:r>
              <w:rPr>
                <w:rFonts w:ascii="FangSong" w:hAnsi="FangSong" w:eastAsia="FangSong" w:cs="FangSong"/>
                <w:b/>
                <w:i/>
                <w:color w:val="auto"/>
                <w:sz w:val="24"/>
                <w:u w:val="single"/>
              </w:rPr>
              <w:t xml:space="preserve">；数据缓存盘</w:t>
            </w:r>
            <w:r>
              <w:rPr>
                <w:rFonts w:ascii="Times New Roman" w:hAnsi="Times New Roman" w:eastAsia="Times New Roman" w:cs="Times New Roman"/>
                <w:b/>
                <w:i/>
                <w:color w:val="auto"/>
                <w:sz w:val="24"/>
                <w:u w:val="single"/>
              </w:rPr>
              <w:t xml:space="preserve">≥1</w:t>
            </w:r>
            <w:r>
              <w:rPr>
                <w:rFonts w:ascii="FangSong" w:hAnsi="FangSong" w:eastAsia="FangSong" w:cs="FangSong"/>
                <w:b/>
                <w:i/>
                <w:color w:val="auto"/>
                <w:sz w:val="24"/>
                <w:u w:val="single"/>
              </w:rPr>
              <w:t xml:space="preserve">块</w:t>
            </w:r>
            <w:r>
              <w:rPr>
                <w:rFonts w:ascii="Times New Roman" w:hAnsi="Times New Roman" w:eastAsia="Times New Roman" w:cs="Times New Roman"/>
                <w:b/>
                <w:i/>
                <w:color w:val="auto"/>
                <w:sz w:val="24"/>
                <w:u w:val="single"/>
              </w:rPr>
              <w:t xml:space="preserve">480GB SSD</w:t>
            </w:r>
            <w:r>
              <w:rPr>
                <w:rFonts w:ascii="FangSong" w:hAnsi="FangSong" w:eastAsia="FangSong" w:cs="FangSong"/>
                <w:b/>
                <w:i/>
                <w:color w:val="auto"/>
                <w:sz w:val="24"/>
                <w:u w:val="single"/>
              </w:rPr>
              <w:t xml:space="preserve">。（投标时需提供官方产品彩页</w:t>
            </w:r>
            <w:r>
              <w:rPr>
                <w:rFonts w:ascii="Times New Roman" w:hAnsi="Times New Roman" w:eastAsia="Times New Roman" w:cs="Times New Roman"/>
                <w:b/>
                <w:i/>
                <w:color w:val="auto"/>
                <w:sz w:val="24"/>
                <w:u w:val="single"/>
              </w:rPr>
              <w:t xml:space="preserve">/</w:t>
            </w:r>
            <w:r>
              <w:rPr>
                <w:rFonts w:ascii="FangSong" w:hAnsi="FangSong" w:eastAsia="FangSong" w:cs="FangSong"/>
                <w:b/>
                <w:i/>
                <w:color w:val="auto"/>
                <w:sz w:val="24"/>
                <w:u w:val="single"/>
              </w:rPr>
              <w:t xml:space="preserve">数据手册</w:t>
            </w:r>
            <w:r>
              <w:rPr>
                <w:rFonts w:ascii="Times New Roman" w:hAnsi="Times New Roman" w:eastAsia="Times New Roman" w:cs="Times New Roman"/>
                <w:b/>
                <w:i/>
                <w:color w:val="auto"/>
                <w:sz w:val="24"/>
                <w:u w:val="single"/>
              </w:rPr>
              <w:t xml:space="preserve">/</w:t>
            </w:r>
            <w:r>
              <w:rPr>
                <w:rFonts w:ascii="FangSong" w:hAnsi="FangSong" w:eastAsia="FangSong" w:cs="FangSong"/>
                <w:b/>
                <w:i/>
                <w:color w:val="auto"/>
                <w:sz w:val="24"/>
                <w:u w:val="single"/>
              </w:rPr>
              <w:t xml:space="preserve">功能截图等相关佐证资料）</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支持</w:t>
            </w:r>
            <w:r>
              <w:rPr>
                <w:rFonts w:ascii="Times New Roman" w:hAnsi="Times New Roman" w:eastAsia="Times New Roman" w:cs="Times New Roman"/>
                <w:b/>
                <w:color w:val="auto"/>
                <w:sz w:val="24"/>
              </w:rPr>
              <w:t xml:space="preserve">SATA</w:t>
            </w:r>
            <w:r>
              <w:rPr>
                <w:rFonts w:ascii="FangSong" w:hAnsi="FangSong" w:eastAsia="FangSong" w:cs="FangSong"/>
                <w:b/>
                <w:color w:val="auto"/>
                <w:sz w:val="24"/>
              </w:rPr>
              <w:t xml:space="preserve">硬盘热插拔；网络接口</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个万兆数据网口，</w:t>
            </w: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个千兆数据网口，</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个千兆管理口；其他接口：</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COM</w:t>
            </w:r>
            <w:r>
              <w:rPr>
                <w:rFonts w:ascii="FangSong" w:hAnsi="FangSong" w:eastAsia="FangSong" w:cs="FangSong"/>
                <w:b/>
                <w:color w:val="auto"/>
                <w:sz w:val="24"/>
              </w:rPr>
              <w:t xml:space="preserve">口、</w:t>
            </w: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USB 2.0</w:t>
            </w:r>
            <w:r>
              <w:rPr>
                <w:rFonts w:ascii="FangSong" w:hAnsi="FangSong" w:eastAsia="FangSong" w:cs="FangSong"/>
                <w:b/>
                <w:color w:val="auto"/>
                <w:sz w:val="24"/>
              </w:rPr>
              <w:t xml:space="preserve">接口、</w:t>
            </w: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USB 3.0</w:t>
            </w:r>
            <w:r>
              <w:rPr>
                <w:rFonts w:ascii="FangSong" w:hAnsi="FangSong" w:eastAsia="FangSong" w:cs="FangSong"/>
                <w:b/>
                <w:color w:val="auto"/>
                <w:sz w:val="24"/>
              </w:rPr>
              <w:t xml:space="preserve">接口、</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VGA</w:t>
            </w:r>
            <w:r>
              <w:rPr>
                <w:rFonts w:ascii="FangSong" w:hAnsi="FangSong" w:eastAsia="FangSong" w:cs="FangSong"/>
                <w:b/>
                <w:color w:val="auto"/>
                <w:sz w:val="24"/>
              </w:rPr>
              <w:t xml:space="preserve">接口、</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HDMI</w:t>
            </w:r>
            <w:r>
              <w:rPr>
                <w:rFonts w:ascii="FangSong" w:hAnsi="FangSong" w:eastAsia="FangSong" w:cs="FangSong"/>
                <w:b/>
                <w:color w:val="auto"/>
                <w:sz w:val="24"/>
              </w:rPr>
              <w:t xml:space="preserve">接口；支持</w:t>
            </w:r>
            <w:r>
              <w:rPr>
                <w:rFonts w:ascii="Times New Roman" w:hAnsi="Times New Roman" w:eastAsia="Times New Roman" w:cs="Times New Roman"/>
                <w:b/>
                <w:color w:val="auto"/>
                <w:sz w:val="24"/>
              </w:rPr>
              <w:t xml:space="preserve">PCI-E3.0</w:t>
            </w:r>
            <w:r>
              <w:rPr>
                <w:rFonts w:ascii="FangSong" w:hAnsi="FangSong" w:eastAsia="FangSong" w:cs="FangSong"/>
                <w:b/>
                <w:color w:val="auto"/>
                <w:sz w:val="24"/>
              </w:rPr>
              <w:t xml:space="preserve">插槽，采用可热插拔</w:t>
            </w:r>
            <w:r>
              <w:rPr>
                <w:rFonts w:ascii="Times New Roman" w:hAnsi="Times New Roman" w:eastAsia="Times New Roman" w:cs="Times New Roman"/>
                <w:b/>
                <w:color w:val="auto"/>
                <w:sz w:val="24"/>
              </w:rPr>
              <w:t xml:space="preserve">1+1AC220V</w:t>
            </w:r>
            <w:r>
              <w:rPr>
                <w:rFonts w:ascii="FangSong" w:hAnsi="FangSong" w:eastAsia="FangSong" w:cs="FangSong"/>
                <w:b/>
                <w:color w:val="auto"/>
                <w:sz w:val="24"/>
              </w:rPr>
              <w:t xml:space="preserve">电源，整机电源：</w:t>
            </w:r>
            <w:r>
              <w:rPr>
                <w:rFonts w:ascii="Times New Roman" w:hAnsi="Times New Roman" w:eastAsia="Times New Roman" w:cs="Times New Roman"/>
                <w:b/>
                <w:color w:val="auto"/>
                <w:sz w:val="24"/>
              </w:rPr>
              <w:t xml:space="preserve">≥550W</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1+1</w:t>
            </w:r>
            <w:r>
              <w:rPr>
                <w:rFonts w:ascii="FangSong" w:hAnsi="FangSong" w:eastAsia="FangSong" w:cs="FangSong"/>
                <w:b/>
                <w:color w:val="auto"/>
                <w:sz w:val="24"/>
              </w:rPr>
              <w:t xml:space="preserve">冗余电源；</w:t>
              <w:br/>
            </w:r>
            <w:r>
              <w:rPr>
                <w:rFonts w:ascii="Times New Roman" w:hAnsi="Times New Roman" w:eastAsia="Times New Roman" w:cs="Times New Roman"/>
                <w:color w:val="auto"/>
                <w:sz w:val="24"/>
              </w:rPr>
              <w:t xml:space="preserve">3.</w:t>
            </w:r>
            <w:r>
              <w:rPr>
                <w:rFonts w:ascii="FangSong" w:hAnsi="FangSong" w:eastAsia="FangSong" w:cs="FangSong"/>
                <w:color w:val="auto"/>
                <w:sz w:val="24"/>
              </w:rPr>
              <w:t xml:space="preserve">其他需求：设备应支持对接入的智能摄像机、结构化相机、抓拍机等设备上传的图片中的人、车、非机动车及其附属物等目标进行多模态特征提取与关联检索；支持以自然语言描述进行图像检索（以文搜图）；内置搜索引擎，支持开放式语义检索，可查找人、车、非机动车及附属物等目标；提供独立的以文搜图应用界面，默认支持全通道录像检索，并可自定义通道和时间范围；支持按相似度、时间、通道对检索结果进行排序和筛选；界面应以图形和文字方式展示高频搜索词，并支持自由组合，如人的上衣</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下装颜色、随身物品、性别；车的颜色、类型、品牌；支持用户自定义高频词分组（不少于</w:t>
            </w:r>
            <w:r>
              <w:rPr>
                <w:rFonts w:ascii="Times New Roman" w:hAnsi="Times New Roman" w:eastAsia="Times New Roman" w:cs="Times New Roman"/>
                <w:color w:val="auto"/>
                <w:sz w:val="24"/>
              </w:rPr>
              <w:t xml:space="preserve">8</w:t>
            </w:r>
            <w:r>
              <w:rPr>
                <w:rFonts w:ascii="FangSong" w:hAnsi="FangSong" w:eastAsia="FangSong" w:cs="FangSong"/>
                <w:color w:val="auto"/>
                <w:sz w:val="24"/>
              </w:rPr>
              <w:t xml:space="preserve">组），组内可添加词汇，选择后能自动组合成搜索语句；支持保存最近至少</w:t>
            </w:r>
            <w:r>
              <w:rPr>
                <w:rFonts w:ascii="Times New Roman" w:hAnsi="Times New Roman" w:eastAsia="Times New Roman" w:cs="Times New Roman"/>
                <w:color w:val="auto"/>
                <w:sz w:val="24"/>
              </w:rPr>
              <w:t xml:space="preserve">10</w:t>
            </w:r>
            <w:r>
              <w:rPr>
                <w:rFonts w:ascii="FangSong" w:hAnsi="FangSong" w:eastAsia="FangSong" w:cs="FangSong"/>
                <w:color w:val="auto"/>
                <w:sz w:val="24"/>
              </w:rPr>
              <w:t xml:space="preserve">条历史搜索记录，点击可直接重复检索；检索结果按相似度排序，支持一键关联到原始录像片段及以图搜图功能，进行二次精准检索和跨通道轨迹还原。</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是</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8</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机柜</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服务器机柜</w:t>
            </w:r>
            <w:r>
              <w:rPr>
                <w:rFonts w:ascii="Times New Roman" w:hAnsi="Times New Roman" w:eastAsia="Times New Roman" w:cs="Times New Roman"/>
                <w:color w:val="auto"/>
                <w:sz w:val="24"/>
              </w:rPr>
              <w:t xml:space="preserve">42U</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（三）日常管理及排队叫号等系统相关设备</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LED</w:t>
            </w:r>
            <w:r>
              <w:rPr>
                <w:rFonts w:ascii="FangSong" w:hAnsi="FangSong" w:eastAsia="FangSong" w:cs="FangSong"/>
                <w:color w:val="auto"/>
                <w:sz w:val="24"/>
              </w:rPr>
              <w:t xml:space="preserve">屏</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（窗口上方）</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硬件主要参数需求：像素构成</w:t>
            </w:r>
            <w:r>
              <w:rPr>
                <w:rFonts w:ascii="Times New Roman" w:hAnsi="Times New Roman" w:eastAsia="Times New Roman" w:cs="Times New Roman"/>
                <w:b/>
                <w:color w:val="auto"/>
                <w:sz w:val="24"/>
              </w:rPr>
              <w:t xml:space="preserve">1R1G</w:t>
            </w:r>
            <w:r>
              <w:rPr>
                <w:rFonts w:ascii="FangSong" w:hAnsi="FangSong" w:eastAsia="FangSong" w:cs="FangSong"/>
                <w:b/>
                <w:color w:val="auto"/>
                <w:sz w:val="24"/>
              </w:rPr>
              <w:t xml:space="preserve">，像素点间距</w:t>
            </w:r>
            <w:r>
              <w:rPr>
                <w:rFonts w:ascii="Times New Roman" w:hAnsi="Times New Roman" w:eastAsia="Times New Roman" w:cs="Times New Roman"/>
                <w:b/>
                <w:color w:val="auto"/>
                <w:sz w:val="24"/>
              </w:rPr>
              <w:t xml:space="preserve">≤4.75mm</w:t>
            </w:r>
            <w:r>
              <w:rPr>
                <w:rFonts w:ascii="FangSong" w:hAnsi="FangSong" w:eastAsia="FangSong" w:cs="FangSong"/>
                <w:b/>
                <w:color w:val="auto"/>
                <w:sz w:val="24"/>
              </w:rPr>
              <w:t xml:space="preserve">；长</w:t>
            </w:r>
            <w:r>
              <w:rPr>
                <w:rFonts w:ascii="Times New Roman" w:hAnsi="Times New Roman" w:eastAsia="Times New Roman" w:cs="Times New Roman"/>
                <w:b/>
                <w:color w:val="auto"/>
                <w:sz w:val="24"/>
              </w:rPr>
              <w:t xml:space="preserve">950mm±50mm</w:t>
            </w:r>
            <w:r>
              <w:rPr>
                <w:rFonts w:ascii="FangSong" w:hAnsi="FangSong" w:eastAsia="FangSong" w:cs="FangSong"/>
                <w:b/>
                <w:color w:val="auto"/>
                <w:sz w:val="24"/>
              </w:rPr>
              <w:t xml:space="preserve">、高</w:t>
            </w:r>
            <w:r>
              <w:rPr>
                <w:rFonts w:ascii="Times New Roman" w:hAnsi="Times New Roman" w:eastAsia="Times New Roman" w:cs="Times New Roman"/>
                <w:b/>
                <w:color w:val="auto"/>
                <w:sz w:val="24"/>
              </w:rPr>
              <w:t xml:space="preserve">500mm±50mm</w:t>
            </w:r>
            <w:r>
              <w:rPr>
                <w:rFonts w:ascii="FangSong" w:hAnsi="FangSong" w:eastAsia="FangSong" w:cs="FangSong"/>
                <w:b/>
                <w:color w:val="auto"/>
                <w:sz w:val="24"/>
              </w:rPr>
              <w:t xml:space="preserve">。</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须适配排队叫号系统。</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个</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161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是</w:t>
            </w:r>
            <w:r>
              <w:rPr>
                <w:color w:val="auto"/>
              </w:rPr>
            </w:r>
            <w:r/>
          </w:p>
        </w:tc>
      </w:tr>
      <w:tr>
        <w:trPr>
          <w:trHeight w:val="2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综</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合</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屏</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颗</w:t>
            </w:r>
            <w:r>
              <w:rPr>
                <w:rFonts w:ascii="Times New Roman" w:hAnsi="Times New Roman" w:eastAsia="Times New Roman" w:cs="Times New Roman"/>
                <w:b/>
                <w:color w:val="auto"/>
                <w:sz w:val="24"/>
              </w:rPr>
              <w:t xml:space="preserve">64</w:t>
            </w:r>
            <w:r>
              <w:rPr>
                <w:rFonts w:ascii="FangSong" w:hAnsi="FangSong" w:eastAsia="FangSong" w:cs="FangSong"/>
                <w:b/>
                <w:color w:val="auto"/>
                <w:sz w:val="24"/>
              </w:rPr>
              <w:t xml:space="preserve">位多核处理器（主频</w:t>
            </w:r>
            <w:r>
              <w:rPr>
                <w:rFonts w:ascii="Times New Roman" w:hAnsi="Times New Roman" w:eastAsia="Times New Roman" w:cs="Times New Roman"/>
                <w:b/>
                <w:color w:val="auto"/>
                <w:sz w:val="24"/>
              </w:rPr>
              <w:t xml:space="preserve">≥2.5GHz</w:t>
            </w:r>
            <w:r>
              <w:rPr>
                <w:rFonts w:ascii="FangSong" w:hAnsi="FangSong" w:eastAsia="FangSong" w:cs="FangSong"/>
                <w:b/>
                <w:color w:val="auto"/>
                <w:sz w:val="24"/>
              </w:rPr>
              <w:t xml:space="preserve">），内存</w:t>
            </w:r>
            <w:r>
              <w:rPr>
                <w:rFonts w:ascii="Times New Roman" w:hAnsi="Times New Roman" w:eastAsia="Times New Roman" w:cs="Times New Roman"/>
                <w:b/>
                <w:color w:val="auto"/>
                <w:sz w:val="24"/>
              </w:rPr>
              <w:t xml:space="preserve">≥2GB</w:t>
            </w:r>
            <w:r>
              <w:rPr>
                <w:rFonts w:ascii="FangSong" w:hAnsi="FangSong" w:eastAsia="FangSong" w:cs="FangSong"/>
                <w:b/>
                <w:color w:val="auto"/>
                <w:sz w:val="24"/>
              </w:rPr>
              <w:t xml:space="preserve">，内置存储</w:t>
            </w:r>
            <w:r>
              <w:rPr>
                <w:rFonts w:ascii="Times New Roman" w:hAnsi="Times New Roman" w:eastAsia="Times New Roman" w:cs="Times New Roman"/>
                <w:b/>
                <w:color w:val="auto"/>
                <w:sz w:val="24"/>
              </w:rPr>
              <w:t xml:space="preserve">NAND FLASH≥8GB</w:t>
            </w:r>
            <w:r>
              <w:rPr>
                <w:rFonts w:ascii="FangSong" w:hAnsi="FangSong" w:eastAsia="FangSong" w:cs="FangSong"/>
                <w:b/>
                <w:color w:val="auto"/>
                <w:sz w:val="24"/>
              </w:rPr>
              <w:t xml:space="preserve">，最高支持</w:t>
            </w:r>
            <w:r>
              <w:rPr>
                <w:rFonts w:ascii="Times New Roman" w:hAnsi="Times New Roman" w:eastAsia="Times New Roman" w:cs="Times New Roman"/>
                <w:b/>
                <w:color w:val="auto"/>
                <w:sz w:val="24"/>
              </w:rPr>
              <w:t xml:space="preserve">1080P</w:t>
            </w:r>
            <w:r>
              <w:rPr>
                <w:rFonts w:ascii="FangSong" w:hAnsi="FangSong" w:eastAsia="FangSong" w:cs="FangSong"/>
                <w:b/>
                <w:color w:val="auto"/>
                <w:sz w:val="24"/>
              </w:rPr>
              <w:t xml:space="preserve">视频解码，操作系统为</w:t>
            </w:r>
            <w:r>
              <w:rPr>
                <w:rFonts w:ascii="Times New Roman" w:hAnsi="Times New Roman" w:eastAsia="Times New Roman" w:cs="Times New Roman"/>
                <w:b/>
                <w:color w:val="auto"/>
                <w:sz w:val="24"/>
              </w:rPr>
              <w:t xml:space="preserve">≥Android 15.0</w:t>
            </w:r>
            <w:r>
              <w:rPr>
                <w:rFonts w:ascii="FangSong" w:hAnsi="FangSong" w:eastAsia="FangSong" w:cs="FangSong"/>
                <w:b/>
                <w:color w:val="auto"/>
                <w:sz w:val="24"/>
              </w:rPr>
              <w:t xml:space="preserve">（支持服务期内免费更新）。</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2.▲55</w:t>
            </w:r>
            <w:r>
              <w:rPr>
                <w:rFonts w:ascii="FangSong" w:hAnsi="FangSong" w:eastAsia="FangSong" w:cs="FangSong"/>
                <w:b/>
                <w:color w:val="auto"/>
                <w:sz w:val="24"/>
              </w:rPr>
              <w:t xml:space="preserve">寸</w:t>
            </w:r>
            <w:r>
              <w:rPr>
                <w:rFonts w:ascii="Times New Roman" w:hAnsi="Times New Roman" w:eastAsia="Times New Roman" w:cs="Times New Roman"/>
                <w:b/>
                <w:color w:val="auto"/>
                <w:sz w:val="24"/>
              </w:rPr>
              <w:t xml:space="preserve">LED</w:t>
            </w:r>
            <w:r>
              <w:rPr>
                <w:rFonts w:ascii="FangSong" w:hAnsi="FangSong" w:eastAsia="FangSong" w:cs="FangSong"/>
                <w:b/>
                <w:color w:val="auto"/>
                <w:sz w:val="24"/>
              </w:rPr>
              <w:t xml:space="preserve">液晶屏，画面比例</w:t>
            </w:r>
            <w:r>
              <w:rPr>
                <w:rFonts w:ascii="Times New Roman" w:hAnsi="Times New Roman" w:eastAsia="Times New Roman" w:cs="Times New Roman"/>
                <w:b/>
                <w:color w:val="auto"/>
                <w:sz w:val="24"/>
              </w:rPr>
              <w:t xml:space="preserve">16</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9</w:t>
            </w:r>
            <w:r>
              <w:rPr>
                <w:rFonts w:ascii="FangSong" w:hAnsi="FangSong" w:eastAsia="FangSong" w:cs="FangSong"/>
                <w:b/>
                <w:color w:val="auto"/>
                <w:sz w:val="24"/>
              </w:rPr>
              <w:t xml:space="preserve">，最佳物理分辨率：</w:t>
            </w:r>
            <w:r>
              <w:rPr>
                <w:rFonts w:ascii="Times New Roman" w:hAnsi="Times New Roman" w:eastAsia="Times New Roman" w:cs="Times New Roman"/>
                <w:b/>
                <w:color w:val="auto"/>
                <w:sz w:val="24"/>
              </w:rPr>
              <w:t xml:space="preserve">1920*1080</w:t>
            </w:r>
            <w:r>
              <w:rPr>
                <w:rFonts w:ascii="FangSong" w:hAnsi="FangSong" w:eastAsia="FangSong" w:cs="FangSong"/>
                <w:b/>
                <w:color w:val="auto"/>
                <w:sz w:val="24"/>
              </w:rPr>
              <w:t xml:space="preserve">，亮度</w:t>
            </w:r>
            <w:r>
              <w:rPr>
                <w:rFonts w:ascii="Times New Roman" w:hAnsi="Times New Roman" w:eastAsia="Times New Roman" w:cs="Times New Roman"/>
                <w:b/>
                <w:color w:val="auto"/>
                <w:sz w:val="24"/>
              </w:rPr>
              <w:t xml:space="preserve">≥350cd/</w:t>
            </w:r>
            <w:r>
              <w:rPr>
                <w:rFonts w:ascii="FangSong" w:hAnsi="FangSong" w:eastAsia="FangSong" w:cs="FangSong"/>
                <w:b/>
                <w:color w:val="auto"/>
                <w:sz w:val="24"/>
              </w:rPr>
              <w:t xml:space="preserve">㎡，对比度</w:t>
            </w:r>
            <w:r>
              <w:rPr>
                <w:rFonts w:ascii="Times New Roman" w:hAnsi="Times New Roman" w:eastAsia="Times New Roman" w:cs="Times New Roman"/>
                <w:b/>
                <w:color w:val="auto"/>
                <w:sz w:val="24"/>
              </w:rPr>
              <w:t xml:space="preserve">≥1500:1</w:t>
            </w:r>
            <w:r>
              <w:rPr>
                <w:rFonts w:ascii="FangSong" w:hAnsi="FangSong" w:eastAsia="FangSong" w:cs="FangSong"/>
                <w:b/>
                <w:color w:val="auto"/>
                <w:sz w:val="24"/>
              </w:rPr>
              <w:t xml:space="preserve">，可视角度（水平</w:t>
            </w:r>
            <w:r>
              <w:rPr>
                <w:rFonts w:ascii="Times New Roman" w:hAnsi="Times New Roman" w:eastAsia="Times New Roman" w:cs="Times New Roman"/>
                <w:b/>
                <w:color w:val="auto"/>
                <w:sz w:val="24"/>
              </w:rPr>
              <w:t xml:space="preserve">/</w:t>
            </w:r>
            <w:r>
              <w:rPr>
                <w:rFonts w:ascii="FangSong" w:hAnsi="FangSong" w:eastAsia="FangSong" w:cs="FangSong"/>
                <w:b/>
                <w:color w:val="auto"/>
                <w:sz w:val="24"/>
              </w:rPr>
              <w:t xml:space="preserve">垂直）</w:t>
            </w:r>
            <w:r>
              <w:rPr>
                <w:rFonts w:ascii="Times New Roman" w:hAnsi="Times New Roman" w:eastAsia="Times New Roman" w:cs="Times New Roman"/>
                <w:b/>
                <w:color w:val="auto"/>
                <w:sz w:val="24"/>
              </w:rPr>
              <w:t xml:space="preserve">≥178°</w:t>
            </w:r>
            <w:r>
              <w:rPr>
                <w:rFonts w:ascii="FangSong" w:hAnsi="FangSong" w:eastAsia="FangSong" w:cs="FangSong"/>
                <w:b/>
                <w:color w:val="auto"/>
                <w:sz w:val="24"/>
              </w:rPr>
              <w:t xml:space="preserve">，响应时间</w:t>
            </w:r>
            <w:r>
              <w:rPr>
                <w:rFonts w:ascii="Times New Roman" w:hAnsi="Times New Roman" w:eastAsia="Times New Roman" w:cs="Times New Roman"/>
                <w:b/>
                <w:color w:val="auto"/>
                <w:sz w:val="24"/>
              </w:rPr>
              <w:t xml:space="preserve">≤8ms</w:t>
            </w:r>
            <w:r>
              <w:rPr>
                <w:rFonts w:ascii="FangSong" w:hAnsi="FangSong" w:eastAsia="FangSong" w:cs="FangSong"/>
                <w:b/>
                <w:color w:val="auto"/>
                <w:sz w:val="24"/>
              </w:rPr>
              <w:t xml:space="preserve">。</w:t>
              <w:br/>
            </w:r>
            <w:r>
              <w:rPr>
                <w:rFonts w:ascii="Times New Roman" w:hAnsi="Times New Roman" w:eastAsia="Times New Roman" w:cs="Times New Roman"/>
                <w:color w:val="auto"/>
                <w:sz w:val="24"/>
              </w:rPr>
              <w:t xml:space="preserve">3.</w:t>
            </w:r>
            <w:r>
              <w:rPr>
                <w:rFonts w:ascii="FangSong" w:hAnsi="FangSong" w:eastAsia="FangSong" w:cs="FangSong"/>
                <w:color w:val="auto"/>
                <w:sz w:val="24"/>
              </w:rPr>
              <w:t xml:space="preserve">须适配排队叫号系统。</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20</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是</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好差评平板</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硬件主要参数需求：运行内存</w:t>
            </w:r>
            <w:r>
              <w:rPr>
                <w:rFonts w:ascii="Times New Roman" w:hAnsi="Times New Roman" w:eastAsia="Times New Roman" w:cs="Times New Roman"/>
                <w:b/>
                <w:color w:val="auto"/>
                <w:sz w:val="24"/>
              </w:rPr>
              <w:t xml:space="preserve">≥8GB</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w:t>
            </w:r>
            <w:r>
              <w:rPr>
                <w:rFonts w:ascii="FangSong" w:hAnsi="FangSong" w:eastAsia="FangSong" w:cs="FangSong"/>
                <w:b/>
                <w:color w:val="auto"/>
                <w:sz w:val="24"/>
              </w:rPr>
              <w:t xml:space="preserve">板载</w:t>
            </w:r>
            <w:r>
              <w:rPr>
                <w:rFonts w:ascii="Times New Roman" w:hAnsi="Times New Roman" w:eastAsia="Times New Roman" w:cs="Times New Roman"/>
                <w:b/>
                <w:color w:val="auto"/>
                <w:sz w:val="24"/>
              </w:rPr>
              <w:t xml:space="preserve">LPDDR4X/5</w:t>
            </w:r>
            <w:r>
              <w:rPr>
                <w:rFonts w:ascii="FangSong" w:hAnsi="FangSong" w:eastAsia="FangSong" w:cs="FangSong"/>
                <w:b/>
                <w:color w:val="auto"/>
                <w:sz w:val="24"/>
              </w:rPr>
              <w:t xml:space="preserve">，不接受虚拟扩展</w:t>
            </w:r>
            <w:r>
              <w:rPr>
                <w:rFonts w:ascii="Times New Roman" w:hAnsi="Times New Roman" w:eastAsia="Times New Roman" w:cs="Times New Roman"/>
                <w:b/>
                <w:color w:val="auto"/>
                <w:sz w:val="24"/>
              </w:rPr>
              <w:t xml:space="preserve">/</w:t>
            </w:r>
            <w:r>
              <w:rPr>
                <w:rFonts w:ascii="FangSong" w:hAnsi="FangSong" w:eastAsia="FangSong" w:cs="FangSong"/>
                <w:b/>
                <w:color w:val="auto"/>
                <w:sz w:val="24"/>
              </w:rPr>
              <w:t xml:space="preserve">软件扩容）；机身存储</w:t>
            </w:r>
            <w:r>
              <w:rPr>
                <w:rFonts w:ascii="Times New Roman" w:hAnsi="Times New Roman" w:eastAsia="Times New Roman" w:cs="Times New Roman"/>
                <w:b/>
                <w:color w:val="auto"/>
                <w:sz w:val="24"/>
              </w:rPr>
              <w:t xml:space="preserve">≥128GB</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≥UFS 3.1</w:t>
            </w:r>
            <w:r>
              <w:rPr>
                <w:rFonts w:ascii="FangSong" w:hAnsi="FangSong" w:eastAsia="FangSong" w:cs="FangSong"/>
                <w:b/>
                <w:color w:val="auto"/>
                <w:sz w:val="24"/>
              </w:rPr>
              <w:t xml:space="preserve">，不接受</w:t>
            </w:r>
            <w:r>
              <w:rPr>
                <w:rFonts w:ascii="Times New Roman" w:hAnsi="Times New Roman" w:eastAsia="Times New Roman" w:cs="Times New Roman"/>
                <w:b/>
                <w:color w:val="auto"/>
                <w:sz w:val="24"/>
              </w:rPr>
              <w:t xml:space="preserve">eMMC</w:t>
            </w:r>
            <w:r>
              <w:rPr>
                <w:rFonts w:ascii="FangSong" w:hAnsi="FangSong" w:eastAsia="FangSong" w:cs="FangSong"/>
                <w:b/>
                <w:color w:val="auto"/>
                <w:sz w:val="24"/>
              </w:rPr>
              <w:t xml:space="preserve">）（货物交付时须提供官网规格截图或制造商公开发布的技术白皮书佐证）；</w:t>
            </w:r>
            <w:r>
              <w:rPr>
                <w:rFonts w:ascii="Times New Roman" w:hAnsi="Times New Roman" w:eastAsia="Times New Roman" w:cs="Times New Roman"/>
                <w:b/>
                <w:color w:val="auto"/>
                <w:sz w:val="24"/>
              </w:rPr>
              <w:t xml:space="preserve">≥8</w:t>
            </w:r>
            <w:r>
              <w:rPr>
                <w:rFonts w:ascii="FangSong" w:hAnsi="FangSong" w:eastAsia="FangSong" w:cs="FangSong"/>
                <w:b/>
                <w:color w:val="auto"/>
                <w:sz w:val="24"/>
              </w:rPr>
              <w:t xml:space="preserve">核处理器，</w:t>
            </w:r>
            <w:r>
              <w:rPr>
                <w:rFonts w:ascii="Times New Roman" w:hAnsi="Times New Roman" w:eastAsia="Times New Roman" w:cs="Times New Roman"/>
                <w:b/>
                <w:color w:val="auto"/>
                <w:sz w:val="24"/>
              </w:rPr>
              <w:t xml:space="preserve">CPU</w:t>
            </w:r>
            <w:r>
              <w:rPr>
                <w:rFonts w:ascii="FangSong" w:hAnsi="FangSong" w:eastAsia="FangSong" w:cs="FangSong"/>
                <w:b/>
                <w:color w:val="auto"/>
                <w:sz w:val="24"/>
              </w:rPr>
              <w:t xml:space="preserve">单核主频</w:t>
            </w:r>
            <w:r>
              <w:rPr>
                <w:rFonts w:ascii="Times New Roman" w:hAnsi="Times New Roman" w:eastAsia="Times New Roman" w:cs="Times New Roman"/>
                <w:b/>
                <w:color w:val="auto"/>
                <w:sz w:val="24"/>
              </w:rPr>
              <w:t xml:space="preserve">≥2.3GHz</w:t>
            </w:r>
            <w:r>
              <w:rPr>
                <w:rFonts w:ascii="FangSong" w:hAnsi="FangSong" w:eastAsia="FangSong" w:cs="FangSong"/>
                <w:b/>
                <w:color w:val="auto"/>
                <w:sz w:val="24"/>
              </w:rPr>
              <w:t xml:space="preserve">。</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屏幕尺寸</w:t>
            </w:r>
            <w:r>
              <w:rPr>
                <w:rFonts w:ascii="Times New Roman" w:hAnsi="Times New Roman" w:eastAsia="Times New Roman" w:cs="Times New Roman"/>
                <w:b/>
                <w:color w:val="auto"/>
                <w:sz w:val="24"/>
              </w:rPr>
              <w:t xml:space="preserve">≥11</w:t>
            </w:r>
            <w:r>
              <w:rPr>
                <w:rFonts w:ascii="FangSong" w:hAnsi="FangSong" w:eastAsia="FangSong" w:cs="FangSong"/>
                <w:b/>
                <w:color w:val="auto"/>
                <w:sz w:val="24"/>
              </w:rPr>
              <w:t xml:space="preserve">英寸；分辨率</w:t>
            </w:r>
            <w:r>
              <w:rPr>
                <w:rFonts w:ascii="Times New Roman" w:hAnsi="Times New Roman" w:eastAsia="Times New Roman" w:cs="Times New Roman"/>
                <w:b/>
                <w:color w:val="auto"/>
                <w:sz w:val="24"/>
              </w:rPr>
              <w:t xml:space="preserve">≥2800×1800</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2.8K</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≥270 ppi</w:t>
            </w:r>
            <w:r>
              <w:rPr>
                <w:rFonts w:ascii="FangSong" w:hAnsi="FangSong" w:eastAsia="FangSong" w:cs="FangSong"/>
                <w:b/>
                <w:color w:val="auto"/>
                <w:sz w:val="24"/>
              </w:rPr>
              <w:t xml:space="preserve">；典型</w:t>
            </w:r>
            <w:r>
              <w:rPr>
                <w:rFonts w:ascii="Times New Roman" w:hAnsi="Times New Roman" w:eastAsia="Times New Roman" w:cs="Times New Roman"/>
                <w:b/>
                <w:color w:val="auto"/>
                <w:sz w:val="24"/>
              </w:rPr>
              <w:t xml:space="preserve">≥ 400cd/</w:t>
            </w:r>
            <w:r>
              <w:rPr>
                <w:rFonts w:ascii="FangSong" w:hAnsi="FangSong" w:eastAsia="FangSong" w:cs="FangSong"/>
                <w:b/>
                <w:color w:val="auto"/>
                <w:sz w:val="24"/>
              </w:rPr>
              <w:t xml:space="preserve">㎡且支持高亮度模式</w:t>
            </w:r>
            <w:r>
              <w:rPr>
                <w:rFonts w:ascii="Times New Roman" w:hAnsi="Times New Roman" w:eastAsia="Times New Roman" w:cs="Times New Roman"/>
                <w:b/>
                <w:color w:val="auto"/>
                <w:sz w:val="24"/>
              </w:rPr>
              <w:t xml:space="preserve">(HBM) ≥ 600cd/</w:t>
            </w:r>
            <w:r>
              <w:rPr>
                <w:rFonts w:ascii="FangSong" w:hAnsi="FangSong" w:eastAsia="FangSong" w:cs="FangSong"/>
                <w:b/>
                <w:color w:val="auto"/>
                <w:sz w:val="24"/>
              </w:rPr>
              <w:t xml:space="preserve">㎡或峰值亮度</w:t>
            </w:r>
            <w:r>
              <w:rPr>
                <w:rFonts w:ascii="Times New Roman" w:hAnsi="Times New Roman" w:eastAsia="Times New Roman" w:cs="Times New Roman"/>
                <w:b/>
                <w:color w:val="auto"/>
                <w:sz w:val="24"/>
              </w:rPr>
              <w:t xml:space="preserve"> ≥ 800cd/</w:t>
            </w:r>
            <w:r>
              <w:rPr>
                <w:rFonts w:ascii="FangSong" w:hAnsi="FangSong" w:eastAsia="FangSong" w:cs="FangSong"/>
                <w:b/>
                <w:color w:val="auto"/>
                <w:sz w:val="24"/>
              </w:rPr>
              <w:t xml:space="preserve">㎡；操作系统（</w:t>
            </w:r>
            <w:r>
              <w:rPr>
                <w:rFonts w:ascii="Times New Roman" w:hAnsi="Times New Roman" w:eastAsia="Times New Roman" w:cs="Times New Roman"/>
                <w:b/>
                <w:color w:val="auto"/>
                <w:sz w:val="24"/>
              </w:rPr>
              <w:t xml:space="preserve">≥Android 15.0</w:t>
            </w:r>
            <w:r>
              <w:rPr>
                <w:rFonts w:ascii="FangSong" w:hAnsi="FangSong" w:eastAsia="FangSong" w:cs="FangSong"/>
                <w:b/>
                <w:color w:val="auto"/>
                <w:sz w:val="24"/>
              </w:rPr>
              <w:t xml:space="preserve">或</w:t>
            </w:r>
            <w:r>
              <w:rPr>
                <w:rFonts w:ascii="Times New Roman" w:hAnsi="Times New Roman" w:eastAsia="Times New Roman" w:cs="Times New Roman"/>
                <w:b/>
                <w:color w:val="auto"/>
                <w:sz w:val="24"/>
              </w:rPr>
              <w:t xml:space="preserve">HarmonyOS 4.0</w:t>
            </w:r>
            <w:r>
              <w:rPr>
                <w:rFonts w:ascii="FangSong" w:hAnsi="FangSong" w:eastAsia="FangSong" w:cs="FangSong"/>
                <w:b/>
                <w:color w:val="auto"/>
                <w:sz w:val="24"/>
              </w:rPr>
              <w:t xml:space="preserve">）；</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3. ▲</w:t>
            </w:r>
            <w:r>
              <w:rPr>
                <w:rFonts w:ascii="FangSong" w:hAnsi="FangSong" w:eastAsia="FangSong" w:cs="FangSong"/>
                <w:b/>
                <w:color w:val="auto"/>
                <w:sz w:val="24"/>
              </w:rPr>
              <w:t xml:space="preserve">支持长期稳定安全更新；</w:t>
            </w:r>
            <w:r>
              <w:rPr>
                <w:rFonts w:ascii="Times New Roman" w:hAnsi="Times New Roman" w:eastAsia="Times New Roman" w:cs="Times New Roman"/>
                <w:b/>
                <w:color w:val="auto"/>
                <w:sz w:val="24"/>
              </w:rPr>
              <w:t xml:space="preserve">≥Wi-Fi 6</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802.11ax</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2.4+5GHz</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w:t>
            </w:r>
            <w:r>
              <w:rPr>
                <w:rFonts w:ascii="FangSong" w:hAnsi="FangSong" w:eastAsia="FangSong" w:cs="FangSong"/>
                <w:b/>
                <w:color w:val="auto"/>
                <w:sz w:val="24"/>
              </w:rPr>
              <w:t xml:space="preserve">蓝牙</w:t>
            </w:r>
            <w:r>
              <w:rPr>
                <w:rFonts w:ascii="Times New Roman" w:hAnsi="Times New Roman" w:eastAsia="Times New Roman" w:cs="Times New Roman"/>
                <w:b/>
                <w:color w:val="auto"/>
                <w:sz w:val="24"/>
              </w:rPr>
              <w:t xml:space="preserve">5.2</w:t>
            </w:r>
            <w:r>
              <w:rPr>
                <w:rFonts w:ascii="FangSong" w:hAnsi="FangSong" w:eastAsia="FangSong" w:cs="FangSong"/>
                <w:b/>
                <w:color w:val="auto"/>
                <w:sz w:val="24"/>
              </w:rPr>
              <w:t xml:space="preserve">。（货物交付时须提供制造商官网上公布的技术规格页</w:t>
            </w:r>
            <w:r>
              <w:rPr>
                <w:rFonts w:ascii="Times New Roman" w:hAnsi="Times New Roman" w:eastAsia="Times New Roman" w:cs="Times New Roman"/>
                <w:b/>
                <w:color w:val="auto"/>
                <w:sz w:val="24"/>
              </w:rPr>
              <w:t xml:space="preserve">/</w:t>
            </w:r>
            <w:r>
              <w:rPr>
                <w:rFonts w:ascii="FangSong" w:hAnsi="FangSong" w:eastAsia="FangSong" w:cs="FangSong"/>
                <w:b/>
                <w:color w:val="auto"/>
                <w:sz w:val="24"/>
              </w:rPr>
              <w:t xml:space="preserve">白皮书截图佐证及系统更新支持周期承诺或公告，</w:t>
            </w:r>
            <w:r>
              <w:rPr>
                <w:rFonts w:ascii="Times New Roman" w:hAnsi="Times New Roman" w:eastAsia="Times New Roman" w:cs="Times New Roman"/>
                <w:b/>
                <w:color w:val="auto"/>
                <w:sz w:val="24"/>
              </w:rPr>
              <w:t xml:space="preserve">≥3</w:t>
            </w:r>
            <w:r>
              <w:rPr>
                <w:rFonts w:ascii="FangSong" w:hAnsi="FangSong" w:eastAsia="FangSong" w:cs="FangSong"/>
                <w:b/>
                <w:color w:val="auto"/>
                <w:sz w:val="24"/>
              </w:rPr>
              <w:t xml:space="preserve">年安全补丁）</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w:t>
            </w:r>
            <w:r>
              <w:rPr>
                <w:rFonts w:ascii="FangSong" w:hAnsi="FangSong" w:eastAsia="FangSong" w:cs="FangSong"/>
                <w:color w:val="auto"/>
                <w:sz w:val="24"/>
              </w:rPr>
              <w:t xml:space="preserve">须适配现有好差评系统。</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120</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是</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考勤机</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屏幕尺寸</w:t>
            </w:r>
            <w:r>
              <w:rPr>
                <w:rFonts w:ascii="Times New Roman" w:hAnsi="Times New Roman" w:eastAsia="Times New Roman" w:cs="Times New Roman"/>
                <w:color w:val="auto"/>
                <w:sz w:val="24"/>
              </w:rPr>
              <w:t xml:space="preserve">≥5</w:t>
            </w:r>
            <w:r>
              <w:rPr>
                <w:rFonts w:ascii="FangSong" w:hAnsi="FangSong" w:eastAsia="FangSong" w:cs="FangSong"/>
                <w:color w:val="auto"/>
                <w:sz w:val="24"/>
              </w:rPr>
              <w:t xml:space="preserve">英寸；支持双目活体检测。</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须适配现有考勤系统设备。</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门禁系统</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Times New Roman" w:hAnsi="Times New Roman" w:eastAsia="Times New Roman" w:cs="Times New Roman"/>
                <w:b/>
                <w:color w:val="auto"/>
                <w:sz w:val="24"/>
                <w:u w:val="none"/>
              </w:rPr>
              <w:t xml:space="preserve">▲</w:t>
            </w:r>
            <w:r>
              <w:rPr>
                <w:rFonts w:ascii="FangSong" w:hAnsi="FangSong" w:eastAsia="FangSong" w:cs="FangSong"/>
                <w:b/>
                <w:color w:val="auto"/>
                <w:sz w:val="24"/>
              </w:rPr>
              <w:t xml:space="preserve">硬件主要参数需求：设备应采用嵌入式操作系统；前面板防破坏能力应满足</w:t>
            </w:r>
            <w:r>
              <w:rPr>
                <w:rFonts w:ascii="Times New Roman" w:hAnsi="Times New Roman" w:eastAsia="Times New Roman" w:cs="Times New Roman"/>
                <w:b/>
                <w:color w:val="auto"/>
                <w:sz w:val="24"/>
              </w:rPr>
              <w:t xml:space="preserve">IK07</w:t>
            </w:r>
            <w:r>
              <w:rPr>
                <w:rFonts w:ascii="FangSong" w:hAnsi="FangSong" w:eastAsia="FangSong" w:cs="FangSong"/>
                <w:b/>
                <w:color w:val="auto"/>
                <w:sz w:val="24"/>
              </w:rPr>
              <w:t xml:space="preserve">的要求；结构后壳防破坏能力应满足</w:t>
            </w:r>
            <w:r>
              <w:rPr>
                <w:rFonts w:ascii="Times New Roman" w:hAnsi="Times New Roman" w:eastAsia="Times New Roman" w:cs="Times New Roman"/>
                <w:b/>
                <w:color w:val="auto"/>
                <w:sz w:val="24"/>
              </w:rPr>
              <w:t xml:space="preserve">IK10</w:t>
            </w:r>
            <w:r>
              <w:rPr>
                <w:rFonts w:ascii="FangSong" w:hAnsi="FangSong" w:eastAsia="FangSong" w:cs="FangSong"/>
                <w:b/>
                <w:color w:val="auto"/>
                <w:sz w:val="24"/>
              </w:rPr>
              <w:t xml:space="preserve">的要求；防水等级应大于</w:t>
            </w:r>
            <w:r>
              <w:rPr>
                <w:rFonts w:ascii="Times New Roman" w:hAnsi="Times New Roman" w:eastAsia="Times New Roman" w:cs="Times New Roman"/>
                <w:b/>
                <w:color w:val="auto"/>
                <w:sz w:val="24"/>
              </w:rPr>
              <w:t xml:space="preserve">IP65</w:t>
            </w:r>
            <w:r>
              <w:rPr>
                <w:rFonts w:ascii="FangSong" w:hAnsi="FangSong" w:eastAsia="FangSong" w:cs="FangSong"/>
                <w:b/>
                <w:color w:val="auto"/>
                <w:sz w:val="24"/>
              </w:rPr>
              <w:t xml:space="preserve">；应支持选择嵌入式、壁挂、桌面、立式、人员通道安装；</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10/100/1000M</w:t>
            </w:r>
            <w:r>
              <w:rPr>
                <w:rFonts w:ascii="FangSong" w:hAnsi="FangSong" w:eastAsia="FangSong" w:cs="FangSong"/>
                <w:b/>
                <w:color w:val="auto"/>
                <w:sz w:val="24"/>
              </w:rPr>
              <w:t xml:space="preserve">自适应</w:t>
            </w:r>
            <w:r>
              <w:rPr>
                <w:rFonts w:ascii="Times New Roman" w:hAnsi="Times New Roman" w:eastAsia="Times New Roman" w:cs="Times New Roman"/>
                <w:b/>
                <w:color w:val="auto"/>
                <w:sz w:val="24"/>
              </w:rPr>
              <w:t xml:space="preserve">RJ45</w:t>
            </w:r>
            <w:r>
              <w:rPr>
                <w:rFonts w:ascii="FangSong" w:hAnsi="FangSong" w:eastAsia="FangSong" w:cs="FangSong"/>
                <w:b/>
                <w:color w:val="auto"/>
                <w:sz w:val="24"/>
              </w:rPr>
              <w:t xml:space="preserve">网口；</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RS-485</w:t>
            </w:r>
            <w:r>
              <w:rPr>
                <w:rFonts w:ascii="FangSong" w:hAnsi="FangSong" w:eastAsia="FangSong" w:cs="FangSong"/>
                <w:b/>
                <w:color w:val="auto"/>
                <w:sz w:val="24"/>
              </w:rPr>
              <w:t xml:space="preserve">接口；</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个韦根输入</w:t>
            </w:r>
            <w:r>
              <w:rPr>
                <w:rFonts w:ascii="Times New Roman" w:hAnsi="Times New Roman" w:eastAsia="Times New Roman" w:cs="Times New Roman"/>
                <w:b/>
                <w:color w:val="auto"/>
                <w:sz w:val="24"/>
              </w:rPr>
              <w:t xml:space="preserve">/</w:t>
            </w:r>
            <w:r>
              <w:rPr>
                <w:rFonts w:ascii="FangSong" w:hAnsi="FangSong" w:eastAsia="FangSong" w:cs="FangSong"/>
                <w:b/>
                <w:color w:val="auto"/>
                <w:sz w:val="24"/>
              </w:rPr>
              <w:t xml:space="preserve">输出接口（可配置）；</w:t>
            </w: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USB</w:t>
            </w:r>
            <w:r>
              <w:rPr>
                <w:rFonts w:ascii="FangSong" w:hAnsi="FangSong" w:eastAsia="FangSong" w:cs="FangSong"/>
                <w:b/>
                <w:color w:val="auto"/>
                <w:sz w:val="24"/>
              </w:rPr>
              <w:t xml:space="preserve">接口（至少包含</w:t>
            </w:r>
            <w:r>
              <w:rPr>
                <w:rFonts w:ascii="Times New Roman" w:hAnsi="Times New Roman" w:eastAsia="Times New Roman" w:cs="Times New Roman"/>
                <w:b/>
                <w:color w:val="auto"/>
                <w:sz w:val="24"/>
              </w:rPr>
              <w:t xml:space="preserve">Type-C</w:t>
            </w:r>
            <w:r>
              <w:rPr>
                <w:rFonts w:ascii="FangSong" w:hAnsi="FangSong" w:eastAsia="FangSong" w:cs="FangSong"/>
                <w:b/>
                <w:color w:val="auto"/>
                <w:sz w:val="24"/>
              </w:rPr>
              <w:t xml:space="preserve">和</w:t>
            </w:r>
            <w:r>
              <w:rPr>
                <w:rFonts w:ascii="Times New Roman" w:hAnsi="Times New Roman" w:eastAsia="Times New Roman" w:cs="Times New Roman"/>
                <w:b/>
                <w:color w:val="auto"/>
                <w:sz w:val="24"/>
              </w:rPr>
              <w:t xml:space="preserve">MicroUSB</w:t>
            </w:r>
            <w:r>
              <w:rPr>
                <w:rFonts w:ascii="FangSong" w:hAnsi="FangSong" w:eastAsia="FangSong" w:cs="FangSong"/>
                <w:b/>
                <w:color w:val="auto"/>
                <w:sz w:val="24"/>
              </w:rPr>
              <w:t xml:space="preserve">各一）。</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内置扬声器；</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个门锁控制输出；</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个门磁输入；</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个开门按钮输入；</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个报警输出；</w:t>
            </w: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个报警输入；机械防拆开关；</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w:t>
            </w:r>
            <w:r>
              <w:rPr>
                <w:rFonts w:ascii="Times New Roman" w:hAnsi="Times New Roman" w:eastAsia="Times New Roman" w:cs="Times New Roman"/>
                <w:b/>
                <w:color w:val="auto"/>
                <w:sz w:val="24"/>
              </w:rPr>
              <w:t xml:space="preserve">3.5mm</w:t>
            </w:r>
            <w:r>
              <w:rPr>
                <w:rFonts w:ascii="FangSong" w:hAnsi="FangSong" w:eastAsia="FangSong" w:cs="FangSong"/>
                <w:b/>
                <w:color w:val="auto"/>
                <w:sz w:val="24"/>
              </w:rPr>
              <w:t xml:space="preserve">音频输出；支持</w:t>
            </w:r>
            <w:r>
              <w:rPr>
                <w:rFonts w:ascii="Times New Roman" w:hAnsi="Times New Roman" w:eastAsia="Times New Roman" w:cs="Times New Roman"/>
                <w:b/>
                <w:color w:val="auto"/>
                <w:sz w:val="24"/>
              </w:rPr>
              <w:t xml:space="preserve">MicroSD</w:t>
            </w:r>
            <w:r>
              <w:rPr>
                <w:rFonts w:ascii="FangSong" w:hAnsi="FangSong" w:eastAsia="FangSong" w:cs="FangSong"/>
                <w:b/>
                <w:color w:val="auto"/>
                <w:sz w:val="24"/>
              </w:rPr>
              <w:t xml:space="preserve">卡扩展；支持麦克风音频输入；</w:t>
            </w:r>
            <w:r>
              <w:rPr>
                <w:rFonts w:ascii="Times New Roman" w:hAnsi="Times New Roman" w:eastAsia="Times New Roman" w:cs="Times New Roman"/>
                <w:b/>
                <w:color w:val="auto"/>
                <w:sz w:val="24"/>
              </w:rPr>
              <w:t xml:space="preserve">≥7</w:t>
            </w:r>
            <w:r>
              <w:rPr>
                <w:rFonts w:ascii="FangSong" w:hAnsi="FangSong" w:eastAsia="FangSong" w:cs="FangSong"/>
                <w:b/>
                <w:color w:val="auto"/>
                <w:sz w:val="24"/>
              </w:rPr>
              <w:t xml:space="preserve">英寸触摸屏，屏占比</w:t>
            </w:r>
            <w:r>
              <w:rPr>
                <w:rFonts w:ascii="Times New Roman" w:hAnsi="Times New Roman" w:eastAsia="Times New Roman" w:cs="Times New Roman"/>
                <w:b/>
                <w:color w:val="auto"/>
                <w:sz w:val="24"/>
              </w:rPr>
              <w:t xml:space="preserve">≥90%</w:t>
            </w:r>
            <w:r>
              <w:rPr>
                <w:rFonts w:ascii="FangSong" w:hAnsi="FangSong" w:eastAsia="FangSong" w:cs="FangSong"/>
                <w:b/>
                <w:color w:val="auto"/>
                <w:sz w:val="24"/>
              </w:rPr>
              <w:t xml:space="preserve">，亮度</w:t>
            </w:r>
            <w:r>
              <w:rPr>
                <w:rFonts w:ascii="Times New Roman" w:hAnsi="Times New Roman" w:eastAsia="Times New Roman" w:cs="Times New Roman"/>
                <w:b/>
                <w:color w:val="auto"/>
                <w:sz w:val="24"/>
              </w:rPr>
              <w:t xml:space="preserve">≥600cd/m²</w:t>
            </w:r>
            <w:r>
              <w:rPr>
                <w:rFonts w:ascii="FangSong" w:hAnsi="FangSong" w:eastAsia="FangSong" w:cs="FangSong"/>
                <w:b/>
                <w:color w:val="auto"/>
                <w:sz w:val="24"/>
              </w:rPr>
              <w:t xml:space="preserve">，分辨率</w:t>
            </w:r>
            <w:r>
              <w:rPr>
                <w:rFonts w:ascii="Times New Roman" w:hAnsi="Times New Roman" w:eastAsia="Times New Roman" w:cs="Times New Roman"/>
                <w:b/>
                <w:color w:val="auto"/>
                <w:sz w:val="24"/>
              </w:rPr>
              <w:t xml:space="preserve">≥600*1024</w:t>
            </w:r>
            <w:r>
              <w:rPr>
                <w:rFonts w:ascii="FangSong" w:hAnsi="FangSong" w:eastAsia="FangSong" w:cs="FangSong"/>
                <w:b/>
                <w:color w:val="auto"/>
                <w:sz w:val="24"/>
              </w:rPr>
              <w:t xml:space="preserve">。</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rFonts w:ascii="FangSong" w:hAnsi="FangSong" w:eastAsia="FangSong" w:cs="FangSong"/>
                <w:color w:val="auto"/>
                <w:sz w:val="24"/>
              </w:rPr>
              <w:t xml:space="preserve">部分功能需求：在</w:t>
            </w:r>
            <w:r>
              <w:rPr>
                <w:rFonts w:ascii="Times New Roman" w:hAnsi="Times New Roman" w:eastAsia="Times New Roman" w:cs="Times New Roman"/>
                <w:color w:val="auto"/>
                <w:sz w:val="24"/>
              </w:rPr>
              <w:t xml:space="preserve">0.001lux</w:t>
            </w:r>
            <w:r>
              <w:rPr>
                <w:rFonts w:ascii="FangSong" w:hAnsi="FangSong" w:eastAsia="FangSong" w:cs="FangSong"/>
                <w:color w:val="auto"/>
                <w:sz w:val="24"/>
              </w:rPr>
              <w:t xml:space="preserve">照度下无需补光可实现人脸验证；支持强光、逆光、暗光环境；支持防假体攻击（视频、电子</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打印照片、头模、</w:t>
            </w:r>
            <w:r>
              <w:rPr>
                <w:rFonts w:ascii="Times New Roman" w:hAnsi="Times New Roman" w:eastAsia="Times New Roman" w:cs="Times New Roman"/>
                <w:color w:val="auto"/>
                <w:sz w:val="24"/>
              </w:rPr>
              <w:t xml:space="preserve">3D</w:t>
            </w:r>
            <w:r>
              <w:rPr>
                <w:rFonts w:ascii="FangSong" w:hAnsi="FangSong" w:eastAsia="FangSong" w:cs="FangSong"/>
                <w:color w:val="auto"/>
                <w:sz w:val="24"/>
              </w:rPr>
              <w:t xml:space="preserve">模型）；人脸验证角度偏转范围：水平</w:t>
            </w:r>
            <w:r>
              <w:rPr>
                <w:rFonts w:ascii="Times New Roman" w:hAnsi="Times New Roman" w:eastAsia="Times New Roman" w:cs="Times New Roman"/>
                <w:color w:val="auto"/>
                <w:sz w:val="24"/>
              </w:rPr>
              <w:t xml:space="preserve">±45°</w:t>
            </w:r>
            <w:r>
              <w:rPr>
                <w:rFonts w:ascii="FangSong" w:hAnsi="FangSong" w:eastAsia="FangSong" w:cs="FangSong"/>
                <w:color w:val="auto"/>
                <w:sz w:val="24"/>
              </w:rPr>
              <w:t xml:space="preserve">，垂直</w:t>
            </w:r>
            <w:r>
              <w:rPr>
                <w:rFonts w:ascii="Times New Roman" w:hAnsi="Times New Roman" w:eastAsia="Times New Roman" w:cs="Times New Roman"/>
                <w:color w:val="auto"/>
                <w:sz w:val="24"/>
              </w:rPr>
              <w:t xml:space="preserve">±45°</w:t>
            </w:r>
            <w:r>
              <w:rPr>
                <w:rFonts w:ascii="FangSong" w:hAnsi="FangSong" w:eastAsia="FangSong" w:cs="FangSong"/>
                <w:color w:val="auto"/>
                <w:sz w:val="24"/>
              </w:rPr>
              <w:t xml:space="preserve">；支持</w:t>
            </w:r>
            <w:r>
              <w:rPr>
                <w:rFonts w:ascii="Times New Roman" w:hAnsi="Times New Roman" w:eastAsia="Times New Roman" w:cs="Times New Roman"/>
                <w:color w:val="auto"/>
                <w:sz w:val="24"/>
              </w:rPr>
              <w:t xml:space="preserve">TCP/IP</w:t>
            </w:r>
            <w:r>
              <w:rPr>
                <w:rFonts w:ascii="FangSong" w:hAnsi="FangSong" w:eastAsia="FangSong" w:cs="FangSong"/>
                <w:color w:val="auto"/>
                <w:sz w:val="24"/>
              </w:rPr>
              <w:t xml:space="preserve">网络（</w:t>
            </w:r>
            <w:r>
              <w:rPr>
                <w:rFonts w:ascii="Times New Roman" w:hAnsi="Times New Roman" w:eastAsia="Times New Roman" w:cs="Times New Roman"/>
                <w:color w:val="auto"/>
                <w:sz w:val="24"/>
              </w:rPr>
              <w:t xml:space="preserve">IPv4/IPv6</w:t>
            </w:r>
            <w:r>
              <w:rPr>
                <w:rFonts w:ascii="FangSong" w:hAnsi="FangSong" w:eastAsia="FangSong" w:cs="FangSong"/>
                <w:color w:val="auto"/>
                <w:sz w:val="24"/>
              </w:rPr>
              <w:t xml:space="preserve">）；支持人脸、刷卡、指纹、二维码、蓝牙、密码及任意两种以上的组合认证方式；蓝牙识读距离</w:t>
            </w:r>
            <w:r>
              <w:rPr>
                <w:rFonts w:ascii="Times New Roman" w:hAnsi="Times New Roman" w:eastAsia="Times New Roman" w:cs="Times New Roman"/>
                <w:color w:val="auto"/>
                <w:sz w:val="24"/>
              </w:rPr>
              <w:t xml:space="preserve">≥3</w:t>
            </w:r>
            <w:r>
              <w:rPr>
                <w:rFonts w:ascii="FangSong" w:hAnsi="FangSong" w:eastAsia="FangSong" w:cs="FangSong"/>
                <w:color w:val="auto"/>
                <w:sz w:val="24"/>
              </w:rPr>
              <w:t xml:space="preserve">米，响应时间</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秒；支持防卡片复制安全机制；采用</w:t>
            </w:r>
            <w:r>
              <w:rPr>
                <w:rFonts w:ascii="Times New Roman" w:hAnsi="Times New Roman" w:eastAsia="Times New Roman" w:cs="Times New Roman"/>
                <w:color w:val="auto"/>
                <w:sz w:val="24"/>
              </w:rPr>
              <w:t xml:space="preserve">≥200</w:t>
            </w:r>
            <w:r>
              <w:rPr>
                <w:rFonts w:ascii="FangSong" w:hAnsi="FangSong" w:eastAsia="FangSong" w:cs="FangSong"/>
                <w:color w:val="auto"/>
                <w:sz w:val="24"/>
              </w:rPr>
              <w:t xml:space="preserve">万像素双目摄像头，帧率</w:t>
            </w:r>
            <w:r>
              <w:rPr>
                <w:rFonts w:ascii="Times New Roman" w:hAnsi="Times New Roman" w:eastAsia="Times New Roman" w:cs="Times New Roman"/>
                <w:color w:val="auto"/>
                <w:sz w:val="24"/>
              </w:rPr>
              <w:t xml:space="preserve">≥25fps</w:t>
            </w:r>
            <w:r>
              <w:rPr>
                <w:rFonts w:ascii="FangSong" w:hAnsi="FangSong" w:eastAsia="FangSong" w:cs="FangSong"/>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套</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排队取号机</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硬件主要参数需求：尺寸</w:t>
            </w:r>
            <w:r>
              <w:rPr>
                <w:rFonts w:ascii="Times New Roman" w:hAnsi="Times New Roman" w:eastAsia="Times New Roman" w:cs="Times New Roman"/>
                <w:b/>
                <w:color w:val="auto"/>
                <w:sz w:val="24"/>
              </w:rPr>
              <w:t xml:space="preserve">≥32</w:t>
            </w:r>
            <w:r>
              <w:rPr>
                <w:rFonts w:ascii="FangSong" w:hAnsi="FangSong" w:eastAsia="FangSong" w:cs="FangSong"/>
                <w:b/>
                <w:color w:val="auto"/>
                <w:sz w:val="24"/>
              </w:rPr>
              <w:t xml:space="preserve">英寸，</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颗</w:t>
            </w:r>
            <w:r>
              <w:rPr>
                <w:rFonts w:ascii="Times New Roman" w:hAnsi="Times New Roman" w:eastAsia="Times New Roman" w:cs="Times New Roman"/>
                <w:b/>
                <w:color w:val="auto"/>
                <w:sz w:val="24"/>
              </w:rPr>
              <w:t xml:space="preserve">64</w:t>
            </w:r>
            <w:r>
              <w:rPr>
                <w:rFonts w:ascii="FangSong" w:hAnsi="FangSong" w:eastAsia="FangSong" w:cs="FangSong"/>
                <w:b/>
                <w:color w:val="auto"/>
                <w:sz w:val="24"/>
              </w:rPr>
              <w:t xml:space="preserve">位多核处理器（主频≥</w:t>
            </w:r>
            <w:r>
              <w:rPr>
                <w:rFonts w:ascii="Times New Roman" w:hAnsi="Times New Roman" w:eastAsia="Times New Roman" w:cs="Times New Roman"/>
                <w:b/>
                <w:color w:val="auto"/>
                <w:sz w:val="24"/>
              </w:rPr>
              <w:t xml:space="preserve">2.5GHz</w:t>
            </w:r>
            <w:r>
              <w:rPr>
                <w:rFonts w:ascii="FangSong" w:hAnsi="FangSong" w:eastAsia="FangSong" w:cs="FangSong"/>
                <w:b/>
                <w:color w:val="auto"/>
                <w:sz w:val="24"/>
              </w:rPr>
              <w:t xml:space="preserve">），固态硬盘</w:t>
            </w:r>
            <w:r>
              <w:rPr>
                <w:rFonts w:ascii="Times New Roman" w:hAnsi="Times New Roman" w:eastAsia="Times New Roman" w:cs="Times New Roman"/>
                <w:b/>
                <w:color w:val="auto"/>
                <w:sz w:val="24"/>
              </w:rPr>
              <w:t xml:space="preserve">≥240G</w:t>
            </w:r>
            <w:r>
              <w:rPr>
                <w:rFonts w:ascii="FangSong" w:hAnsi="FangSong" w:eastAsia="FangSong" w:cs="FangSong"/>
                <w:b/>
                <w:color w:val="auto"/>
                <w:sz w:val="24"/>
              </w:rPr>
              <w:t xml:space="preserve">，内存</w:t>
            </w:r>
            <w:r>
              <w:rPr>
                <w:rFonts w:ascii="Times New Roman" w:hAnsi="Times New Roman" w:eastAsia="Times New Roman" w:cs="Times New Roman"/>
                <w:b/>
                <w:color w:val="auto"/>
                <w:sz w:val="24"/>
              </w:rPr>
              <w:t xml:space="preserve">≥8G</w:t>
            </w:r>
            <w:r>
              <w:rPr>
                <w:rFonts w:ascii="FangSong" w:hAnsi="FangSong" w:eastAsia="FangSong" w:cs="FangSong"/>
                <w:b/>
                <w:color w:val="auto"/>
                <w:sz w:val="24"/>
              </w:rPr>
              <w:t xml:space="preserve">，操作系统须满足国产化要求；支持</w:t>
            </w:r>
            <w:r>
              <w:rPr>
                <w:rFonts w:ascii="Times New Roman" w:hAnsi="Times New Roman" w:eastAsia="Times New Roman" w:cs="Times New Roman"/>
                <w:b/>
                <w:color w:val="auto"/>
                <w:sz w:val="24"/>
              </w:rPr>
              <w:t xml:space="preserve">IPv6</w:t>
            </w:r>
            <w:r>
              <w:rPr>
                <w:rFonts w:ascii="FangSong" w:hAnsi="FangSong" w:eastAsia="FangSong" w:cs="FangSong"/>
                <w:b/>
                <w:color w:val="auto"/>
                <w:sz w:val="24"/>
              </w:rPr>
              <w:t xml:space="preserve">；支持触摸，分辨率</w:t>
            </w:r>
            <w:r>
              <w:rPr>
                <w:rFonts w:ascii="Times New Roman" w:hAnsi="Times New Roman" w:eastAsia="Times New Roman" w:cs="Times New Roman"/>
                <w:b/>
                <w:color w:val="auto"/>
                <w:sz w:val="24"/>
              </w:rPr>
              <w:t xml:space="preserve">1920*1080</w:t>
            </w:r>
            <w:r>
              <w:rPr>
                <w:rFonts w:ascii="FangSong" w:hAnsi="FangSong" w:eastAsia="FangSong" w:cs="FangSong"/>
                <w:b/>
                <w:color w:val="auto"/>
                <w:sz w:val="24"/>
              </w:rPr>
              <w:t xml:space="preserve">。</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支持热敏打印，速度</w:t>
            </w:r>
            <w:r>
              <w:rPr>
                <w:rFonts w:ascii="Times New Roman" w:hAnsi="Times New Roman" w:eastAsia="Times New Roman" w:cs="Times New Roman"/>
                <w:b/>
                <w:color w:val="auto"/>
                <w:sz w:val="24"/>
              </w:rPr>
              <w:t xml:space="preserve">≥150mm/</w:t>
            </w:r>
            <w:r>
              <w:rPr>
                <w:rFonts w:ascii="FangSong" w:hAnsi="FangSong" w:eastAsia="FangSong" w:cs="FangSong"/>
                <w:b/>
                <w:color w:val="auto"/>
                <w:sz w:val="24"/>
              </w:rPr>
              <w:t xml:space="preserve">秒，打印头寿命</w:t>
            </w:r>
            <w:r>
              <w:rPr>
                <w:rFonts w:ascii="Times New Roman" w:hAnsi="Times New Roman" w:eastAsia="Times New Roman" w:cs="Times New Roman"/>
                <w:b/>
                <w:color w:val="auto"/>
                <w:sz w:val="24"/>
              </w:rPr>
              <w:t xml:space="preserve">≥100</w:t>
            </w:r>
            <w:r>
              <w:rPr>
                <w:rFonts w:ascii="FangSong" w:hAnsi="FangSong" w:eastAsia="FangSong" w:cs="FangSong"/>
                <w:b/>
                <w:color w:val="auto"/>
                <w:sz w:val="24"/>
              </w:rPr>
              <w:t xml:space="preserve">万行字符，切刀寿命</w:t>
            </w:r>
            <w:r>
              <w:rPr>
                <w:rFonts w:ascii="Times New Roman" w:hAnsi="Times New Roman" w:eastAsia="Times New Roman" w:cs="Times New Roman"/>
                <w:b/>
                <w:color w:val="auto"/>
                <w:sz w:val="24"/>
              </w:rPr>
              <w:t xml:space="preserve">≥100</w:t>
            </w:r>
            <w:r>
              <w:rPr>
                <w:rFonts w:ascii="FangSong" w:hAnsi="FangSong" w:eastAsia="FangSong" w:cs="FangSong"/>
                <w:b/>
                <w:color w:val="auto"/>
                <w:sz w:val="24"/>
              </w:rPr>
              <w:t xml:space="preserve">万次，支持</w:t>
            </w:r>
            <w:r>
              <w:rPr>
                <w:rFonts w:ascii="Times New Roman" w:hAnsi="Times New Roman" w:eastAsia="Times New Roman" w:cs="Times New Roman"/>
                <w:b/>
                <w:color w:val="auto"/>
                <w:sz w:val="24"/>
              </w:rPr>
              <w:t xml:space="preserve">80mm</w:t>
            </w:r>
            <w:r>
              <w:rPr>
                <w:rFonts w:ascii="FangSong" w:hAnsi="FangSong" w:eastAsia="FangSong" w:cs="FangSong"/>
                <w:b/>
                <w:color w:val="auto"/>
                <w:sz w:val="24"/>
              </w:rPr>
              <w:t xml:space="preserve">宽热敏纸；</w:t>
            </w:r>
            <w:r>
              <w:rPr>
                <w:rFonts w:ascii="Times New Roman" w:hAnsi="Times New Roman" w:eastAsia="Times New Roman" w:cs="Times New Roman"/>
                <w:b/>
                <w:color w:val="auto"/>
                <w:sz w:val="24"/>
              </w:rPr>
              <w:t xml:space="preserve">RS232</w:t>
            </w:r>
            <w:r>
              <w:rPr>
                <w:rFonts w:ascii="FangSong" w:hAnsi="FangSong" w:eastAsia="FangSong" w:cs="FangSong"/>
                <w:b/>
                <w:color w:val="auto"/>
                <w:sz w:val="24"/>
              </w:rPr>
              <w:t xml:space="preserve">接口，感应识读，白光光源；内置公安部授权的</w:t>
            </w:r>
            <w:r>
              <w:rPr>
                <w:rFonts w:ascii="Times New Roman" w:hAnsi="Times New Roman" w:eastAsia="Times New Roman" w:cs="Times New Roman"/>
                <w:b/>
                <w:color w:val="auto"/>
                <w:sz w:val="24"/>
              </w:rPr>
              <w:t xml:space="preserve">SAM</w:t>
            </w:r>
            <w:r>
              <w:rPr>
                <w:rFonts w:ascii="FangSong" w:hAnsi="FangSong" w:eastAsia="FangSong" w:cs="FangSong"/>
                <w:b/>
                <w:color w:val="auto"/>
                <w:sz w:val="24"/>
              </w:rPr>
              <w:t xml:space="preserve">安全模块，支持居民身份证识读；</w:t>
            </w:r>
            <w:r>
              <w:rPr>
                <w:rFonts w:ascii="Times New Roman" w:hAnsi="Times New Roman" w:eastAsia="Times New Roman" w:cs="Times New Roman"/>
                <w:b/>
                <w:color w:val="auto"/>
                <w:sz w:val="24"/>
              </w:rPr>
              <w:t xml:space="preserve">≥</w:t>
            </w:r>
            <w:r>
              <w:rPr>
                <w:rFonts w:ascii="FangSong" w:hAnsi="FangSong" w:eastAsia="FangSong" w:cs="FangSong"/>
                <w:b/>
                <w:color w:val="auto"/>
                <w:sz w:val="24"/>
              </w:rPr>
              <w:t xml:space="preserve">一个</w:t>
            </w:r>
            <w:r>
              <w:rPr>
                <w:rFonts w:ascii="Times New Roman" w:hAnsi="Times New Roman" w:eastAsia="Times New Roman" w:cs="Times New Roman"/>
                <w:b/>
                <w:color w:val="auto"/>
                <w:sz w:val="24"/>
              </w:rPr>
              <w:t xml:space="preserve">USB2.0</w:t>
            </w:r>
            <w:r>
              <w:rPr>
                <w:rFonts w:ascii="FangSong" w:hAnsi="FangSong" w:eastAsia="FangSong" w:cs="FangSong"/>
                <w:b/>
                <w:color w:val="auto"/>
                <w:sz w:val="24"/>
              </w:rPr>
              <w:t xml:space="preserve">或以上接口，软件可控红外灯，支持活体检测与人证比对。</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rFonts w:ascii="FangSong" w:hAnsi="FangSong" w:eastAsia="FangSong" w:cs="FangSong"/>
                <w:color w:val="auto"/>
                <w:sz w:val="24"/>
              </w:rPr>
              <w:t xml:space="preserve">其他需求：能通过标准数据接口从业务系统获取数据，支持在触摸屏上选择办理事项，自动打印带排队号的票单。支持人证比对功能（刷身份证</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人脸比对）。后台能根据事项和窗口状态自动分配窗口，并在综合屏、窗口屏显示信息，支持语音广播和短信提醒，系统界面规划整齐，易于学习掌握和操作使用。支持刷卡、人证比对、活体检测、取号、呼叫、显示、转移、预约、插队、掉队处理，支持多个等候区独立或汇总显示排队信息，叫号语音可接入中心广播系统分区广播，支持通过硬件设备实现语音呼叫、重呼、回呼、任意呼叫，支持通过相关硬件设备实现短信通知功能，快呼叫某一排队号码时，可短信通知办事人员尽快前往办事窗口，支持自主设定各项业务的工作时段及暂停时段，支持打印缺纸报警；支持定时开</w:t>
            </w:r>
            <w:r>
              <w:rPr>
                <w:rFonts w:ascii="FangSong" w:hAnsi="FangSong" w:eastAsia="FangSong" w:cs="FangSong"/>
                <w:color w:val="auto"/>
                <w:sz w:val="24"/>
              </w:rPr>
              <w:t xml:space="preserve">关机；预留社保卡等读卡器安装位置。</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w:t>
            </w:r>
            <w:r>
              <w:rPr>
                <w:rFonts w:ascii="FangSong" w:hAnsi="FangSong" w:eastAsia="FangSong" w:cs="FangSong"/>
                <w:color w:val="auto"/>
                <w:sz w:val="24"/>
              </w:rPr>
              <w:t xml:space="preserve">须与利旧设备适配。</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7</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IP</w:t>
            </w:r>
            <w:r>
              <w:rPr>
                <w:rFonts w:ascii="FangSong" w:hAnsi="FangSong" w:eastAsia="FangSong" w:cs="FangSong"/>
                <w:color w:val="auto"/>
                <w:sz w:val="24"/>
              </w:rPr>
              <w:t xml:space="preserve">音箱</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硬件主要参数需求：内置网络音频解码模块、数字立体声定阻功率放大器和高保真扬声器；内置</w:t>
            </w:r>
            <w:r>
              <w:rPr>
                <w:rFonts w:ascii="Times New Roman" w:hAnsi="Times New Roman" w:eastAsia="Times New Roman" w:cs="Times New Roman"/>
                <w:b/>
                <w:color w:val="auto"/>
                <w:sz w:val="24"/>
              </w:rPr>
              <w:t xml:space="preserve">8Ω/2*20W</w:t>
            </w:r>
            <w:r>
              <w:rPr>
                <w:rFonts w:ascii="FangSong" w:hAnsi="FangSong" w:eastAsia="FangSong" w:cs="FangSong"/>
                <w:b/>
                <w:color w:val="auto"/>
                <w:sz w:val="24"/>
              </w:rPr>
              <w:t xml:space="preserve">双声道立体声功率放大器；具有</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路立体声线路（</w:t>
            </w:r>
            <w:r>
              <w:rPr>
                <w:rFonts w:ascii="Times New Roman" w:hAnsi="Times New Roman" w:eastAsia="Times New Roman" w:cs="Times New Roman"/>
                <w:b/>
                <w:color w:val="auto"/>
                <w:sz w:val="24"/>
              </w:rPr>
              <w:t xml:space="preserve">AUX</w:t>
            </w:r>
            <w:r>
              <w:rPr>
                <w:rFonts w:ascii="FangSong" w:hAnsi="FangSong" w:eastAsia="FangSong" w:cs="FangSong"/>
                <w:b/>
                <w:color w:val="auto"/>
                <w:sz w:val="24"/>
              </w:rPr>
              <w:t xml:space="preserve">）输入和</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路话筒（</w:t>
            </w:r>
            <w:r>
              <w:rPr>
                <w:rFonts w:ascii="Times New Roman" w:hAnsi="Times New Roman" w:eastAsia="Times New Roman" w:cs="Times New Roman"/>
                <w:b/>
                <w:color w:val="auto"/>
                <w:sz w:val="24"/>
              </w:rPr>
              <w:t xml:space="preserve">MIC</w:t>
            </w:r>
            <w:r>
              <w:rPr>
                <w:rFonts w:ascii="FangSong" w:hAnsi="FangSong" w:eastAsia="FangSong" w:cs="FangSong"/>
                <w:b/>
                <w:color w:val="auto"/>
                <w:sz w:val="24"/>
              </w:rPr>
              <w:t xml:space="preserve">）输入，支持断网本地扩音功能，带音量调节旋钮；支持</w:t>
            </w:r>
            <w:r>
              <w:rPr>
                <w:rFonts w:ascii="Times New Roman" w:hAnsi="Times New Roman" w:eastAsia="Times New Roman" w:cs="Times New Roman"/>
                <w:b/>
                <w:color w:val="auto"/>
                <w:sz w:val="24"/>
              </w:rPr>
              <w:t xml:space="preserve">RJ45</w:t>
            </w:r>
            <w:r>
              <w:rPr>
                <w:rFonts w:ascii="FangSong" w:hAnsi="FangSong" w:eastAsia="FangSong" w:cs="FangSong"/>
                <w:b/>
                <w:color w:val="auto"/>
                <w:sz w:val="24"/>
              </w:rPr>
              <w:t xml:space="preserve">网络接口；支持跨网段和跨路由传输。</w:t>
              <w:br/>
            </w:r>
            <w:r>
              <w:rPr>
                <w:rFonts w:ascii="Times New Roman" w:hAnsi="Times New Roman" w:eastAsia="Times New Roman" w:cs="Times New Roman"/>
                <w:color w:val="auto"/>
                <w:sz w:val="24"/>
              </w:rPr>
              <w:t xml:space="preserve"> 2.</w:t>
            </w:r>
            <w:r>
              <w:rPr>
                <w:rFonts w:ascii="FangSong" w:hAnsi="FangSong" w:eastAsia="FangSong" w:cs="FangSong"/>
                <w:color w:val="auto"/>
                <w:sz w:val="24"/>
              </w:rPr>
              <w:t xml:space="preserve">其他需求：支持通过软件远程调节音量；支持信号优先级管理，高级别信号可打断低级别广播；支持</w:t>
            </w:r>
            <w:r>
              <w:rPr>
                <w:rFonts w:ascii="Times New Roman" w:hAnsi="Times New Roman" w:eastAsia="Times New Roman" w:cs="Times New Roman"/>
                <w:color w:val="auto"/>
                <w:sz w:val="24"/>
              </w:rPr>
              <w:t xml:space="preserve">AC</w:t>
            </w:r>
            <w:r>
              <w:rPr>
                <w:rFonts w:ascii="FangSong" w:hAnsi="FangSong" w:eastAsia="FangSong" w:cs="FangSong"/>
                <w:color w:val="auto"/>
                <w:sz w:val="24"/>
              </w:rPr>
              <w:t xml:space="preserve">电源。</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30</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8</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公共广播功放</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w:t>
            </w: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路话筒输入，</w:t>
            </w:r>
            <w:r>
              <w:rPr>
                <w:rFonts w:ascii="Times New Roman" w:hAnsi="Times New Roman" w:eastAsia="Times New Roman" w:cs="Times New Roman"/>
                <w:b/>
                <w:color w:val="auto"/>
                <w:sz w:val="24"/>
              </w:rPr>
              <w:t xml:space="preserve">≥2</w:t>
            </w:r>
            <w:r>
              <w:rPr>
                <w:rFonts w:ascii="FangSong" w:hAnsi="FangSong" w:eastAsia="FangSong" w:cs="FangSong"/>
                <w:b/>
                <w:color w:val="auto"/>
                <w:sz w:val="24"/>
              </w:rPr>
              <w:t xml:space="preserve">路</w:t>
            </w:r>
            <w:r>
              <w:rPr>
                <w:rFonts w:ascii="Times New Roman" w:hAnsi="Times New Roman" w:eastAsia="Times New Roman" w:cs="Times New Roman"/>
                <w:b/>
                <w:color w:val="auto"/>
                <w:sz w:val="24"/>
              </w:rPr>
              <w:t xml:space="preserve">AUX</w:t>
            </w:r>
            <w:r>
              <w:rPr>
                <w:rFonts w:ascii="FangSong" w:hAnsi="FangSong" w:eastAsia="FangSong" w:cs="FangSong"/>
                <w:b/>
                <w:color w:val="auto"/>
                <w:sz w:val="24"/>
              </w:rPr>
              <w:t xml:space="preserve">输入，</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路</w:t>
            </w:r>
            <w:r>
              <w:rPr>
                <w:rFonts w:ascii="Times New Roman" w:hAnsi="Times New Roman" w:eastAsia="Times New Roman" w:cs="Times New Roman"/>
                <w:b/>
                <w:color w:val="auto"/>
                <w:sz w:val="24"/>
              </w:rPr>
              <w:t xml:space="preserve">EMC</w:t>
            </w:r>
            <w:r>
              <w:rPr>
                <w:rFonts w:ascii="FangSong" w:hAnsi="FangSong" w:eastAsia="FangSong" w:cs="FangSong"/>
                <w:b/>
                <w:color w:val="auto"/>
                <w:sz w:val="24"/>
              </w:rPr>
              <w:t xml:space="preserve">输入。</w:t>
              <w:br/>
            </w:r>
            <w:r>
              <w:rPr>
                <w:rFonts w:ascii="Times New Roman" w:hAnsi="Times New Roman" w:eastAsia="Times New Roman" w:cs="Times New Roman"/>
                <w:color w:val="auto"/>
                <w:sz w:val="24"/>
              </w:rPr>
              <w:t xml:space="preserve"> 2.</w:t>
            </w:r>
            <w:r>
              <w:rPr>
                <w:rFonts w:ascii="FangSong" w:hAnsi="FangSong" w:eastAsia="FangSong" w:cs="FangSong"/>
                <w:color w:val="auto"/>
                <w:sz w:val="24"/>
              </w:rPr>
              <w:t xml:space="preserve">其他需求：紧急输入线路具有最高优先权，可强行切入；采用开关电源和</w:t>
            </w:r>
            <w:r>
              <w:rPr>
                <w:rFonts w:ascii="Times New Roman" w:hAnsi="Times New Roman" w:eastAsia="Times New Roman" w:cs="Times New Roman"/>
                <w:color w:val="auto"/>
                <w:sz w:val="24"/>
              </w:rPr>
              <w:t xml:space="preserve">D</w:t>
            </w:r>
            <w:r>
              <w:rPr>
                <w:rFonts w:ascii="FangSong" w:hAnsi="FangSong" w:eastAsia="FangSong" w:cs="FangSong"/>
                <w:color w:val="auto"/>
                <w:sz w:val="24"/>
              </w:rPr>
              <w:t xml:space="preserve">类数字功放，节约能源并提高功放效率；额定输出功率：</w:t>
            </w:r>
            <w:r>
              <w:rPr>
                <w:rFonts w:ascii="Times New Roman" w:hAnsi="Times New Roman" w:eastAsia="Times New Roman" w:cs="Times New Roman"/>
                <w:color w:val="auto"/>
                <w:sz w:val="24"/>
              </w:rPr>
              <w:t xml:space="preserve">120W</w:t>
            </w:r>
            <w:r>
              <w:rPr>
                <w:rFonts w:ascii="FangSong" w:hAnsi="FangSong" w:eastAsia="FangSong" w:cs="FangSong"/>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9</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广播叫号终端</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硬件主要参数需求：本地</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个双声道线路输入、</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个话筒输入；</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个线路输出至功放；</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个标准</w:t>
            </w:r>
            <w:r>
              <w:rPr>
                <w:rFonts w:ascii="Times New Roman" w:hAnsi="Times New Roman" w:eastAsia="Times New Roman" w:cs="Times New Roman"/>
                <w:b/>
                <w:color w:val="auto"/>
                <w:sz w:val="24"/>
              </w:rPr>
              <w:t xml:space="preserve">RJ45</w:t>
            </w:r>
            <w:r>
              <w:rPr>
                <w:rFonts w:ascii="FangSong" w:hAnsi="FangSong" w:eastAsia="FangSong" w:cs="FangSong"/>
                <w:b/>
                <w:color w:val="auto"/>
                <w:sz w:val="24"/>
              </w:rPr>
              <w:t xml:space="preserve">网络接口；网络速率</w:t>
            </w:r>
            <w:r>
              <w:rPr>
                <w:rFonts w:ascii="Times New Roman" w:hAnsi="Times New Roman" w:eastAsia="Times New Roman" w:cs="Times New Roman"/>
                <w:b/>
                <w:color w:val="auto"/>
                <w:sz w:val="24"/>
              </w:rPr>
              <w:t xml:space="preserve">10/100Mbps</w:t>
            </w:r>
            <w:r>
              <w:rPr>
                <w:rFonts w:ascii="FangSong" w:hAnsi="FangSong" w:eastAsia="FangSong" w:cs="FangSong"/>
                <w:b/>
                <w:color w:val="auto"/>
                <w:sz w:val="24"/>
              </w:rPr>
              <w:t xml:space="preserve">；音频格式</w:t>
            </w:r>
            <w:r>
              <w:rPr>
                <w:rFonts w:ascii="Times New Roman" w:hAnsi="Times New Roman" w:eastAsia="Times New Roman" w:cs="Times New Roman"/>
                <w:b/>
                <w:color w:val="auto"/>
                <w:sz w:val="24"/>
              </w:rPr>
              <w:t xml:space="preserve">MP3</w:t>
            </w:r>
            <w:r>
              <w:rPr>
                <w:rFonts w:ascii="FangSong" w:hAnsi="FangSong" w:eastAsia="FangSong" w:cs="FangSong"/>
                <w:b/>
                <w:color w:val="auto"/>
                <w:sz w:val="24"/>
              </w:rPr>
              <w:t xml:space="preserve">；采样率</w:t>
            </w:r>
            <w:r>
              <w:rPr>
                <w:rFonts w:ascii="Times New Roman" w:hAnsi="Times New Roman" w:eastAsia="Times New Roman" w:cs="Times New Roman"/>
                <w:b/>
                <w:color w:val="auto"/>
                <w:sz w:val="24"/>
              </w:rPr>
              <w:t xml:space="preserve">8K~48KHz</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16</w:t>
            </w:r>
            <w:r>
              <w:rPr>
                <w:rFonts w:ascii="FangSong" w:hAnsi="FangSong" w:eastAsia="FangSong" w:cs="FangSong"/>
                <w:b/>
                <w:color w:val="auto"/>
                <w:sz w:val="24"/>
              </w:rPr>
              <w:t xml:space="preserve">位立体声</w:t>
            </w:r>
            <w:r>
              <w:rPr>
                <w:rFonts w:ascii="Times New Roman" w:hAnsi="Times New Roman" w:eastAsia="Times New Roman" w:cs="Times New Roman"/>
                <w:b/>
                <w:color w:val="auto"/>
                <w:sz w:val="24"/>
              </w:rPr>
              <w:t xml:space="preserve">CD</w:t>
            </w:r>
            <w:r>
              <w:rPr>
                <w:rFonts w:ascii="FangSong" w:hAnsi="FangSong" w:eastAsia="FangSong" w:cs="FangSong"/>
                <w:b/>
                <w:color w:val="auto"/>
                <w:sz w:val="24"/>
              </w:rPr>
              <w:t xml:space="preserve">音质；输出频率</w:t>
            </w:r>
            <w:r>
              <w:rPr>
                <w:rFonts w:ascii="Times New Roman" w:hAnsi="Times New Roman" w:eastAsia="Times New Roman" w:cs="Times New Roman"/>
                <w:b/>
                <w:color w:val="auto"/>
                <w:sz w:val="24"/>
              </w:rPr>
              <w:t xml:space="preserve">20Hz</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20KHz</w:t>
            </w:r>
            <w:r>
              <w:rPr>
                <w:rFonts w:ascii="FangSong" w:hAnsi="FangSong" w:eastAsia="FangSong" w:cs="FangSong"/>
                <w:b/>
                <w:color w:val="auto"/>
                <w:sz w:val="24"/>
              </w:rPr>
              <w:t xml:space="preserve">；支持</w:t>
            </w:r>
            <w:r>
              <w:rPr>
                <w:rFonts w:ascii="Times New Roman" w:hAnsi="Times New Roman" w:eastAsia="Times New Roman" w:cs="Times New Roman"/>
                <w:b/>
                <w:color w:val="auto"/>
                <w:sz w:val="24"/>
              </w:rPr>
              <w:t xml:space="preserve">TCP/IP</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UDP</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IGMP</w:t>
            </w:r>
            <w:r>
              <w:rPr>
                <w:rFonts w:ascii="FangSong" w:hAnsi="FangSong" w:eastAsia="FangSong" w:cs="FangSong"/>
                <w:b/>
                <w:color w:val="auto"/>
                <w:sz w:val="24"/>
              </w:rPr>
              <w:t xml:space="preserve">（组播）；谐波失真</w:t>
            </w:r>
            <w:r>
              <w:rPr>
                <w:rFonts w:ascii="Times New Roman" w:hAnsi="Times New Roman" w:eastAsia="Times New Roman" w:cs="Times New Roman"/>
                <w:b/>
                <w:color w:val="auto"/>
                <w:sz w:val="24"/>
              </w:rPr>
              <w:t xml:space="preserve">≤0.3%</w:t>
            </w:r>
            <w:r>
              <w:rPr>
                <w:rFonts w:ascii="FangSong" w:hAnsi="FangSong" w:eastAsia="FangSong" w:cs="FangSong"/>
                <w:b/>
                <w:color w:val="auto"/>
                <w:sz w:val="24"/>
              </w:rPr>
              <w:t xml:space="preserve">；信噪比</w:t>
            </w:r>
            <w:r>
              <w:rPr>
                <w:rFonts w:ascii="Times New Roman" w:hAnsi="Times New Roman" w:eastAsia="Times New Roman" w:cs="Times New Roman"/>
                <w:b/>
                <w:color w:val="auto"/>
                <w:sz w:val="24"/>
              </w:rPr>
              <w:t xml:space="preserve">≥90dB</w:t>
            </w:r>
            <w:r>
              <w:rPr>
                <w:rFonts w:ascii="FangSong" w:hAnsi="FangSong" w:eastAsia="FangSong" w:cs="FangSong"/>
                <w:b/>
                <w:color w:val="auto"/>
                <w:sz w:val="24"/>
              </w:rPr>
              <w:t xml:space="preserve">；可外接</w:t>
            </w:r>
            <w:r>
              <w:rPr>
                <w:rFonts w:ascii="Times New Roman" w:hAnsi="Times New Roman" w:eastAsia="Times New Roman" w:cs="Times New Roman"/>
                <w:b/>
                <w:color w:val="auto"/>
                <w:sz w:val="24"/>
              </w:rPr>
              <w:t xml:space="preserve">8Ω</w:t>
            </w:r>
            <w:r>
              <w:rPr>
                <w:rFonts w:ascii="FangSong" w:hAnsi="FangSong" w:eastAsia="FangSong" w:cs="FangSong"/>
                <w:b/>
                <w:color w:val="auto"/>
                <w:sz w:val="24"/>
              </w:rPr>
              <w:t xml:space="preserve">扬声器，输出功率</w:t>
            </w:r>
            <w:r>
              <w:rPr>
                <w:rFonts w:ascii="Times New Roman" w:hAnsi="Times New Roman" w:eastAsia="Times New Roman" w:cs="Times New Roman"/>
                <w:b/>
                <w:color w:val="auto"/>
                <w:sz w:val="24"/>
              </w:rPr>
              <w:t xml:space="preserve">2×20W</w:t>
            </w:r>
            <w:r>
              <w:rPr>
                <w:rFonts w:ascii="FangSong" w:hAnsi="FangSong" w:eastAsia="FangSong" w:cs="FangSong"/>
                <w:b/>
                <w:color w:val="auto"/>
                <w:sz w:val="24"/>
              </w:rPr>
              <w:t xml:space="preserve">。</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其他需求：设备为</w:t>
            </w:r>
            <w:r>
              <w:rPr>
                <w:rFonts w:ascii="Times New Roman" w:hAnsi="Times New Roman" w:eastAsia="Times New Roman" w:cs="Times New Roman"/>
                <w:color w:val="auto"/>
                <w:sz w:val="24"/>
              </w:rPr>
              <w:t xml:space="preserve">IP</w:t>
            </w:r>
            <w:r>
              <w:rPr>
                <w:rFonts w:ascii="FangSong" w:hAnsi="FangSong" w:eastAsia="FangSong" w:cs="FangSong"/>
                <w:color w:val="auto"/>
                <w:sz w:val="24"/>
              </w:rPr>
              <w:t xml:space="preserve">网络音频编解码终端，能接收公共广播控制主机发送的音频文件和控制信号，控制功放广播。</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10</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公共广播控制主机</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硬件主要参数需求：内存</w:t>
            </w:r>
            <w:r>
              <w:rPr>
                <w:rFonts w:ascii="Times New Roman" w:hAnsi="Times New Roman" w:eastAsia="Times New Roman" w:cs="Times New Roman"/>
                <w:b/>
                <w:color w:val="auto"/>
                <w:sz w:val="24"/>
              </w:rPr>
              <w:t xml:space="preserve">≥8G</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颗</w:t>
            </w:r>
            <w:r>
              <w:rPr>
                <w:rFonts w:ascii="Times New Roman" w:hAnsi="Times New Roman" w:eastAsia="Times New Roman" w:cs="Times New Roman"/>
                <w:b/>
                <w:color w:val="auto"/>
                <w:sz w:val="24"/>
              </w:rPr>
              <w:t xml:space="preserve">64</w:t>
            </w:r>
            <w:r>
              <w:rPr>
                <w:rFonts w:ascii="FangSong" w:hAnsi="FangSong" w:eastAsia="FangSong" w:cs="FangSong"/>
                <w:b/>
                <w:color w:val="auto"/>
                <w:sz w:val="24"/>
              </w:rPr>
              <w:t xml:space="preserve">位多核处理器（主频≥</w:t>
            </w:r>
            <w:r>
              <w:rPr>
                <w:rFonts w:ascii="Times New Roman" w:hAnsi="Times New Roman" w:eastAsia="Times New Roman" w:cs="Times New Roman"/>
                <w:b/>
                <w:color w:val="auto"/>
                <w:sz w:val="24"/>
              </w:rPr>
              <w:t xml:space="preserve">2.5GHz</w:t>
            </w:r>
            <w:r>
              <w:rPr>
                <w:rFonts w:ascii="FangSong" w:hAnsi="FangSong" w:eastAsia="FangSong" w:cs="FangSong"/>
                <w:b/>
                <w:color w:val="auto"/>
                <w:sz w:val="24"/>
              </w:rPr>
              <w:t xml:space="preserve">）；硬盘</w:t>
            </w:r>
            <w:r>
              <w:rPr>
                <w:rFonts w:ascii="Times New Roman" w:hAnsi="Times New Roman" w:eastAsia="Times New Roman" w:cs="Times New Roman"/>
                <w:b/>
                <w:color w:val="auto"/>
                <w:sz w:val="24"/>
              </w:rPr>
              <w:t xml:space="preserve">≥1T</w:t>
            </w:r>
            <w:r>
              <w:rPr>
                <w:rFonts w:ascii="FangSong" w:hAnsi="FangSong" w:eastAsia="FangSong" w:cs="FangSong"/>
                <w:b/>
                <w:color w:val="auto"/>
                <w:sz w:val="24"/>
              </w:rPr>
              <w:t xml:space="preserve">；工业级主板及电源；千兆网卡；操作系统须满足国产化要求；含语音合成授权、广播控制授权。</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其他需求：有广播控制主机程序，可控制多广播叫号终端，可给任意广播叫号终端发送语音文件进行播放；可按独立广播区域进行设置，通过内置的服务程序，实现分区叫号功能。</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1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液晶呼叫器</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硬件主要参数需求：</w:t>
            </w:r>
            <w:r>
              <w:rPr>
                <w:rFonts w:ascii="Times New Roman" w:hAnsi="Times New Roman" w:eastAsia="Times New Roman" w:cs="Times New Roman"/>
                <w:b/>
                <w:color w:val="auto"/>
                <w:sz w:val="24"/>
              </w:rPr>
              <w:t xml:space="preserve">7</w:t>
            </w:r>
            <w:r>
              <w:rPr>
                <w:rFonts w:ascii="FangSong" w:hAnsi="FangSong" w:eastAsia="FangSong" w:cs="FangSong"/>
                <w:b/>
                <w:color w:val="auto"/>
                <w:sz w:val="24"/>
              </w:rPr>
              <w:t xml:space="preserve">英寸</w:t>
            </w:r>
            <w:r>
              <w:rPr>
                <w:rFonts w:ascii="Times New Roman" w:hAnsi="Times New Roman" w:eastAsia="Times New Roman" w:cs="Times New Roman"/>
                <w:b/>
                <w:color w:val="auto"/>
                <w:sz w:val="24"/>
              </w:rPr>
              <w:t xml:space="preserve">IPS</w:t>
            </w:r>
            <w:r>
              <w:rPr>
                <w:rFonts w:ascii="FangSong" w:hAnsi="FangSong" w:eastAsia="FangSong" w:cs="FangSong"/>
                <w:b/>
                <w:color w:val="auto"/>
                <w:sz w:val="24"/>
              </w:rPr>
              <w:t xml:space="preserve">触摸屏，分辨率</w:t>
            </w:r>
            <w:r>
              <w:rPr>
                <w:rFonts w:ascii="Times New Roman" w:hAnsi="Times New Roman" w:eastAsia="Times New Roman" w:cs="Times New Roman"/>
                <w:b/>
                <w:color w:val="auto"/>
                <w:sz w:val="24"/>
              </w:rPr>
              <w:t xml:space="preserve">800*1280</w:t>
            </w:r>
            <w:r>
              <w:rPr>
                <w:rFonts w:ascii="FangSong" w:hAnsi="FangSong" w:eastAsia="FangSong" w:cs="FangSong"/>
                <w:b/>
                <w:color w:val="auto"/>
                <w:sz w:val="24"/>
              </w:rPr>
              <w:t xml:space="preserve">；</w:t>
            </w:r>
            <w:r>
              <w:rPr>
                <w:rFonts w:ascii="Times New Roman" w:hAnsi="Times New Roman" w:eastAsia="Times New Roman" w:cs="Times New Roman"/>
                <w:b/>
                <w:color w:val="auto"/>
                <w:sz w:val="24"/>
              </w:rPr>
              <w:t xml:space="preserve">≥1</w:t>
            </w:r>
            <w:r>
              <w:rPr>
                <w:rFonts w:ascii="FangSong" w:hAnsi="FangSong" w:eastAsia="FangSong" w:cs="FangSong"/>
                <w:b/>
                <w:color w:val="auto"/>
                <w:sz w:val="24"/>
              </w:rPr>
              <w:t xml:space="preserve">颗</w:t>
            </w:r>
            <w:r>
              <w:rPr>
                <w:rFonts w:ascii="Times New Roman" w:hAnsi="Times New Roman" w:eastAsia="Times New Roman" w:cs="Times New Roman"/>
                <w:b/>
                <w:color w:val="auto"/>
                <w:sz w:val="24"/>
              </w:rPr>
              <w:t xml:space="preserve">32</w:t>
            </w:r>
            <w:r>
              <w:rPr>
                <w:rFonts w:ascii="FangSong" w:hAnsi="FangSong" w:eastAsia="FangSong" w:cs="FangSong"/>
                <w:b/>
                <w:color w:val="auto"/>
                <w:sz w:val="24"/>
              </w:rPr>
              <w:t xml:space="preserve">位多核处理器（</w:t>
            </w:r>
            <w:r>
              <w:rPr>
                <w:rFonts w:ascii="Times New Roman" w:hAnsi="Times New Roman" w:eastAsia="Times New Roman" w:cs="Times New Roman"/>
                <w:b/>
                <w:color w:val="auto"/>
                <w:sz w:val="24"/>
              </w:rPr>
              <w:t xml:space="preserve">1.8GHz</w:t>
            </w:r>
            <w:r>
              <w:rPr>
                <w:rFonts w:ascii="FangSong" w:hAnsi="FangSong" w:eastAsia="FangSong" w:cs="FangSong"/>
                <w:b/>
                <w:color w:val="auto"/>
                <w:sz w:val="24"/>
              </w:rPr>
              <w:t xml:space="preserve">）；内存</w:t>
            </w:r>
            <w:r>
              <w:rPr>
                <w:rFonts w:ascii="Times New Roman" w:hAnsi="Times New Roman" w:eastAsia="Times New Roman" w:cs="Times New Roman"/>
                <w:b/>
                <w:color w:val="auto"/>
                <w:sz w:val="24"/>
              </w:rPr>
              <w:t xml:space="preserve">≥2G</w:t>
            </w:r>
            <w:r>
              <w:rPr>
                <w:rFonts w:ascii="FangSong" w:hAnsi="FangSong" w:eastAsia="FangSong" w:cs="FangSong"/>
                <w:b/>
                <w:color w:val="auto"/>
                <w:sz w:val="24"/>
              </w:rPr>
              <w:t xml:space="preserve">；存储空间</w:t>
            </w:r>
            <w:r>
              <w:rPr>
                <w:rFonts w:ascii="Times New Roman" w:hAnsi="Times New Roman" w:eastAsia="Times New Roman" w:cs="Times New Roman"/>
                <w:b/>
                <w:color w:val="auto"/>
                <w:sz w:val="24"/>
              </w:rPr>
              <w:t xml:space="preserve">≥32G</w:t>
            </w:r>
            <w:r>
              <w:rPr>
                <w:rFonts w:ascii="FangSong" w:hAnsi="FangSong" w:eastAsia="FangSong" w:cs="FangSong"/>
                <w:b/>
                <w:color w:val="auto"/>
                <w:sz w:val="24"/>
              </w:rPr>
              <w:t xml:space="preserve">；操作系统：</w:t>
            </w:r>
            <w:r>
              <w:rPr>
                <w:rFonts w:ascii="Times New Roman" w:hAnsi="Times New Roman" w:eastAsia="Times New Roman" w:cs="Times New Roman"/>
                <w:b/>
                <w:color w:val="auto"/>
                <w:sz w:val="24"/>
              </w:rPr>
              <w:t xml:space="preserve">≥Android 15.0</w:t>
            </w:r>
            <w:r>
              <w:rPr>
                <w:rFonts w:ascii="FangSong" w:hAnsi="FangSong" w:eastAsia="FangSong" w:cs="FangSong"/>
                <w:b/>
                <w:color w:val="auto"/>
                <w:sz w:val="24"/>
              </w:rPr>
              <w:t xml:space="preserve">（支持服务期内免费更新）；</w:t>
            </w:r>
            <w:r>
              <w:rPr>
                <w:rFonts w:ascii="Times New Roman" w:hAnsi="Times New Roman" w:eastAsia="Times New Roman" w:cs="Times New Roman"/>
                <w:b/>
                <w:color w:val="auto"/>
                <w:sz w:val="24"/>
              </w:rPr>
              <w:t xml:space="preserve">RJ45</w:t>
            </w:r>
            <w:r>
              <w:rPr>
                <w:rFonts w:ascii="FangSong" w:hAnsi="FangSong" w:eastAsia="FangSong" w:cs="FangSong"/>
                <w:b/>
                <w:color w:val="auto"/>
                <w:sz w:val="24"/>
              </w:rPr>
              <w:t xml:space="preserve">网络接口。</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其他需求：支持</w:t>
            </w:r>
            <w:r>
              <w:rPr>
                <w:rFonts w:ascii="Times New Roman" w:hAnsi="Times New Roman" w:eastAsia="Times New Roman" w:cs="Times New Roman"/>
                <w:color w:val="auto"/>
                <w:sz w:val="24"/>
              </w:rPr>
              <w:t xml:space="preserve">Wifi</w:t>
            </w:r>
            <w:r>
              <w:rPr>
                <w:rFonts w:ascii="FangSong" w:hAnsi="FangSong" w:eastAsia="FangSong" w:cs="FangSong"/>
                <w:color w:val="auto"/>
                <w:sz w:val="24"/>
              </w:rPr>
              <w:t xml:space="preserve">；支持蓝牙；最大支</w:t>
            </w:r>
            <w:r>
              <w:rPr>
                <w:rFonts w:ascii="Times New Roman" w:hAnsi="Times New Roman" w:eastAsia="Times New Roman" w:cs="Times New Roman"/>
                <w:color w:val="auto"/>
                <w:sz w:val="24"/>
              </w:rPr>
              <w:t xml:space="preserve">128GBTF</w:t>
            </w:r>
            <w:r>
              <w:rPr>
                <w:rFonts w:ascii="FangSong" w:hAnsi="FangSong" w:eastAsia="FangSong" w:cs="FangSong"/>
                <w:color w:val="auto"/>
                <w:sz w:val="24"/>
              </w:rPr>
              <w:t xml:space="preserve">。</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rFonts w:ascii="FangSong" w:hAnsi="FangSong" w:eastAsia="FangSong" w:cs="FangSong"/>
                <w:color w:val="auto"/>
                <w:sz w:val="24"/>
              </w:rPr>
              <w:t xml:space="preserve">须与利旧设备适配。</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120</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是</w:t>
            </w:r>
            <w:r>
              <w:rPr>
                <w:color w:val="auto"/>
              </w:rPr>
            </w:r>
            <w:r/>
          </w:p>
        </w:tc>
      </w:tr>
      <w:tr>
        <w:trPr>
          <w:trHeight w:val="127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center"/>
            <w:textDirection w:val="lrTb"/>
            <w:noWrap w:val="false"/>
          </w:tcPr>
          <w:p>
            <w:pPr>
              <w:ind w:left="0" w:right="0" w:firstLine="0"/>
              <w:spacing w:before="0" w:after="0" w:line="360" w:lineRule="auto"/>
              <w:rPr>
                <w:rFonts w:ascii="Times New Roman" w:hAnsi="Times New Roman" w:eastAsia="Times New Roman" w:cs="Times New Roman"/>
                <w:color w:val="auto"/>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highlight w:val="none"/>
              </w:rPr>
            </w:r>
            <w:r>
              <w:rPr>
                <w:color w:val="auto"/>
              </w:rPr>
            </w:r>
            <w:r/>
          </w:p>
          <w:p>
            <w:pPr>
              <w:ind w:left="0" w:right="0" w:firstLine="0"/>
              <w:spacing w:before="0" w:after="0" w:line="360" w:lineRule="auto"/>
              <w:rPr>
                <w:rFonts w:ascii="SimHei" w:hAnsi="SimHei" w:eastAsia="SimHei" w:cs="SimHei"/>
                <w:b/>
                <w:bCs/>
                <w:i/>
                <w:color w:val="auto"/>
                <w:sz w:val="28"/>
                <w:szCs w:val="28"/>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auto"/>
                <w:sz w:val="28"/>
                <w:u w:val="single"/>
              </w:rPr>
              <w:t xml:space="preserve">（四）设备安装适配调试维保等相关服务（本项内容为实质性要求，不得负偏离，供应商自拟承诺书并加盖供应商公章）</w:t>
            </w:r>
            <w:r>
              <w:rPr>
                <w:color w:val="auto"/>
              </w:rPr>
            </w:r>
            <w:r/>
          </w:p>
          <w:p>
            <w:pPr>
              <w:ind w:left="0" w:right="0" w:firstLine="0"/>
              <w:spacing w:before="0" w:after="0" w:line="360" w:lineRule="auto"/>
              <w:rPr>
                <w:rFonts w:ascii="SimHei" w:hAnsi="SimHei" w:eastAsia="SimHei" w:cs="SimHei"/>
                <w:color w:val="auto"/>
                <w:sz w:val="24"/>
                <w:szCs w:val="2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i/>
                <w:color w:val="auto"/>
                <w:sz w:val="28"/>
                <w:u w:val="single"/>
              </w:rPr>
            </w:r>
            <w:r>
              <w:rPr>
                <w:rFonts w:ascii="SimHei" w:hAnsi="SimHei" w:eastAsia="SimHei" w:cs="SimHei"/>
                <w:color w:val="auto"/>
                <w:sz w:val="24"/>
              </w:rPr>
              <w:t xml:space="preserve">（</w:t>
            </w:r>
            <w:r>
              <w:rPr>
                <w:rFonts w:ascii="FangSong" w:hAnsi="FangSong" w:eastAsia="FangSong" w:cs="FangSong"/>
                <w:color w:val="auto"/>
                <w:sz w:val="24"/>
              </w:rPr>
              <w:t xml:space="preserve">建议现场勘查，测算实际工作量</w:t>
            </w:r>
            <w:r>
              <w:rPr>
                <w:rFonts w:ascii="SimHei" w:hAnsi="SimHei" w:eastAsia="SimHei" w:cs="SimHei"/>
                <w:color w:val="auto"/>
                <w:sz w:val="24"/>
              </w:rPr>
              <w:t xml:space="preserve">）</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排队叫号系统适配、调试</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适配现有排队叫号系统，实现新旧设备流畅使用，支持预约取号、取预约号、现场取号、高频事项取号、排队预警、窗口叫号、叫号提醒功能。</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项</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原有设备适配、调试</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网络、监控、排队叫号等新设备，需与原先采购取号机、窗口屏、摄像头等硬件设备进行适配连接以及增加相应配件等</w:t>
            </w:r>
            <w:r>
              <w:rPr>
                <w:rFonts w:ascii="FangSong" w:hAnsi="FangSong" w:eastAsia="FangSong" w:cs="FangSong"/>
                <w:b/>
                <w:color w:val="auto"/>
                <w:sz w:val="24"/>
              </w:rPr>
              <w:t xml:space="preserve">（含搬运）</w:t>
            </w:r>
            <w:r>
              <w:rPr>
                <w:rFonts w:ascii="FangSong" w:hAnsi="FangSong" w:eastAsia="FangSong" w:cs="FangSong"/>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项</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系统对接适配、调试</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与泰州市政务服务网对接，与排队叫号系统对接，与苏服办</w:t>
            </w:r>
            <w:r>
              <w:rPr>
                <w:rFonts w:ascii="Times New Roman" w:hAnsi="Times New Roman" w:eastAsia="Times New Roman" w:cs="Times New Roman"/>
                <w:color w:val="auto"/>
                <w:sz w:val="24"/>
              </w:rPr>
              <w:t xml:space="preserve">APP</w:t>
            </w:r>
            <w:r>
              <w:rPr>
                <w:rFonts w:ascii="FangSong" w:hAnsi="FangSong" w:eastAsia="FangSong" w:cs="FangSong"/>
                <w:color w:val="auto"/>
                <w:sz w:val="24"/>
              </w:rPr>
              <w:t xml:space="preserve">对接。</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项</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屏幕内容展示、数据对接适配、调试</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根据江苏省、泰州市政务服务数据</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一屏统揽</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要求，将海陵区政务服务排队取号数据进行展示，实现定制化大屏展示；需与政务服务中心部门进行数据对接。</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项</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bl>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sz w:val="30"/>
        </w:rPr>
        <w:t xml:space="preserve"> </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rPr>
        <w:t xml:space="preserve">三、商务要求</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32"/>
        </w:rPr>
        <w:t xml:space="preserve">1.人员要求：</w:t>
      </w:r>
      <w:r>
        <w:rPr>
          <w:rFonts w:ascii="FangSong" w:hAnsi="FangSong" w:eastAsia="FangSong" w:cs="FangSong"/>
          <w:color w:val="auto"/>
          <w:sz w:val="32"/>
        </w:rPr>
        <w:t xml:space="preserve">供应商提供的服务人员必须是投标文件中所承诺的，杜绝分包、转包或挂靠单位。采购人发现提供服务的技术人员不能满足项目需求的，有权要求供应商按照承诺配备或更换相应资格的技术人员，且未经采购人同意，供应商不得随意私自更换技术人员。</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32"/>
        </w:rPr>
        <w:t xml:space="preserve">2.维保服务要求</w:t>
      </w:r>
      <w:r>
        <w:rPr>
          <w:color w:val="auto"/>
        </w:rPr>
      </w:r>
      <w:r/>
    </w:p>
    <w:p>
      <w:pPr>
        <w:ind w:left="0" w:right="0" w:firstLine="643"/>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i/>
          <w:color w:val="auto"/>
          <w:sz w:val="32"/>
          <w:u w:val="single"/>
        </w:rPr>
        <w:t xml:space="preserve">本次招标的维保期按货物终验合格后三年予以实施，服务范围为需求清单中所涉及的所有软硬件设备维护及技术支持，以保证采购人系统的正常、稳定运行（供应商需按项目要求提供维保服务承诺函并加盖供应商公章）。</w:t>
      </w:r>
      <w:r>
        <w:rPr>
          <w:color w:val="auto"/>
        </w:rPr>
      </w:r>
      <w:r/>
    </w:p>
    <w:p>
      <w:pPr>
        <w:ind w:left="0" w:right="0" w:firstLine="643"/>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32"/>
        </w:rPr>
        <w:t xml:space="preserve">（1）总体要求</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①</w:t>
      </w:r>
      <w:r>
        <w:rPr>
          <w:rFonts w:ascii="FangSong" w:hAnsi="FangSong" w:eastAsia="FangSong" w:cs="FangSong"/>
          <w:color w:val="auto"/>
          <w:sz w:val="32"/>
        </w:rPr>
        <w:t xml:space="preserve">供应商必须协助采购人完成网络、监控、排队叫号等系统相关的弱电线路、设施设备安装建设、实施及售后服务方案等，以及根据采购人发展趋势不断加以补充与完善，确保采购人采购设施设备及服务的安全、稳定运行。</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②</w:t>
      </w:r>
      <w:r>
        <w:rPr>
          <w:rFonts w:ascii="FangSong" w:hAnsi="FangSong" w:eastAsia="FangSong" w:cs="FangSong"/>
          <w:color w:val="auto"/>
          <w:sz w:val="32"/>
        </w:rPr>
        <w:t xml:space="preserve">供应商必须主动配合采购人确定的软件开发、运维方，在相关系统的日常运行中各司其职，保障好业务系统的运行。</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③</w:t>
      </w:r>
      <w:r>
        <w:rPr>
          <w:rFonts w:ascii="FangSong" w:hAnsi="FangSong" w:eastAsia="FangSong" w:cs="FangSong"/>
          <w:color w:val="auto"/>
          <w:sz w:val="32"/>
        </w:rPr>
        <w:t xml:space="preserve">供应商提供硬件维护、保修的范围包括清单中需维保的设施设备硬件产品，服务期内均由供应商负责免费维修。</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④</w:t>
      </w:r>
      <w:r>
        <w:rPr>
          <w:rFonts w:ascii="FangSong" w:hAnsi="FangSong" w:eastAsia="FangSong" w:cs="FangSong"/>
          <w:color w:val="auto"/>
          <w:sz w:val="32"/>
        </w:rPr>
        <w:t xml:space="preserve">供应商保证采购人网络、监控、排队叫号等系统全年</w:t>
      </w:r>
      <w:r>
        <w:rPr>
          <w:rFonts w:ascii="Times New Roman" w:hAnsi="Times New Roman" w:eastAsia="Times New Roman" w:cs="Times New Roman"/>
          <w:color w:val="auto"/>
          <w:sz w:val="32"/>
        </w:rPr>
        <w:t xml:space="preserve">7*24</w:t>
      </w:r>
      <w:r>
        <w:rPr>
          <w:rFonts w:ascii="FangSong" w:hAnsi="FangSong" w:eastAsia="FangSong" w:cs="FangSong"/>
          <w:color w:val="auto"/>
          <w:sz w:val="32"/>
        </w:rPr>
        <w:t xml:space="preserve">小时安全、稳定、高效运行。供应商维护范围内任何影响采购人业务的硬件故障，在工作时间维护人员必须通过在线或者现场方式立即响应并排查原因，非工作时间接到用户故障电话后应立即响应；如维护人员无法解决的即刻派相关技术人员到现场解决。</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⑤</w:t>
      </w:r>
      <w:r>
        <w:rPr>
          <w:rFonts w:ascii="FangSong" w:hAnsi="FangSong" w:eastAsia="FangSong" w:cs="FangSong"/>
          <w:color w:val="auto"/>
          <w:sz w:val="32"/>
        </w:rPr>
        <w:t xml:space="preserve">供应商需根据服务需求，建立备品备件库（如交换机光模块、服务器存储硬盘等），以及时满足采购人各类维修需要。</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⑥</w:t>
      </w:r>
      <w:r>
        <w:rPr>
          <w:rFonts w:ascii="FangSong" w:hAnsi="FangSong" w:eastAsia="FangSong" w:cs="FangSong"/>
          <w:color w:val="auto"/>
          <w:sz w:val="32"/>
        </w:rPr>
        <w:t xml:space="preserve">供应商三年内需提供至少</w:t>
      </w:r>
      <w:r>
        <w:rPr>
          <w:rFonts w:ascii="Times New Roman" w:hAnsi="Times New Roman" w:eastAsia="Times New Roman" w:cs="Times New Roman"/>
          <w:color w:val="auto"/>
          <w:sz w:val="32"/>
        </w:rPr>
        <w:t xml:space="preserve">1</w:t>
      </w:r>
      <w:r>
        <w:rPr>
          <w:rFonts w:ascii="FangSong" w:hAnsi="FangSong" w:eastAsia="FangSong" w:cs="FangSong"/>
          <w:color w:val="auto"/>
          <w:sz w:val="32"/>
        </w:rPr>
        <w:t xml:space="preserve">名具有网络、监控维护相关工作经验的人员，提供技术支持与服务以便及时处理设备运行中的各种日常问题，对机房及设备、窗口及办公室相关涉及项目的信息化设备提供运维服务，满足信息技术相关管理要求。每半年提供</w:t>
      </w:r>
      <w:r>
        <w:rPr>
          <w:rFonts w:ascii="Times New Roman" w:hAnsi="Times New Roman" w:eastAsia="Times New Roman" w:cs="Times New Roman"/>
          <w:color w:val="auto"/>
          <w:sz w:val="32"/>
        </w:rPr>
        <w:t xml:space="preserve">1</w:t>
      </w:r>
      <w:r>
        <w:rPr>
          <w:rFonts w:ascii="FangSong" w:hAnsi="FangSong" w:eastAsia="FangSong" w:cs="FangSong"/>
          <w:color w:val="auto"/>
          <w:sz w:val="32"/>
        </w:rPr>
        <w:t xml:space="preserve">次专业技术上门巡检，对网络、存储等设备的运行情况进行巡查并出具巡检报告。</w:t>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⑦</w:t>
      </w:r>
      <w:r>
        <w:rPr>
          <w:rFonts w:ascii="FangSong" w:hAnsi="FangSong" w:eastAsia="FangSong" w:cs="FangSong"/>
          <w:color w:val="auto"/>
          <w:sz w:val="32"/>
        </w:rPr>
        <w:t xml:space="preserve">供应商在本项目合同规定的维护期内的法定节假日，应根据采购人的要求值班，做好紧急情况处理工作。</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⑧</w:t>
      </w:r>
      <w:r>
        <w:rPr>
          <w:rFonts w:ascii="FangSong" w:hAnsi="FangSong" w:eastAsia="FangSong" w:cs="FangSong"/>
          <w:color w:val="auto"/>
          <w:sz w:val="32"/>
        </w:rPr>
        <w:t xml:space="preserve">供应商在本项目合同规定的维护期内，须配合采购单位完成各项应急演练测试，做好各项保障工作。</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⑨</w:t>
      </w:r>
      <w:r>
        <w:rPr>
          <w:rFonts w:ascii="FangSong" w:hAnsi="FangSong" w:eastAsia="FangSong" w:cs="FangSong"/>
          <w:color w:val="auto"/>
          <w:sz w:val="32"/>
        </w:rPr>
        <w:t xml:space="preserve">供应商应根据本项目情况，提供完善的项目培训计划和培训方案，包括人员安排、培训内容（含培训材料）及时间安排等方面。</w:t>
      </w:r>
      <w:r>
        <w:rPr>
          <w:color w:val="auto"/>
        </w:rPr>
      </w:r>
      <w:r/>
    </w:p>
    <w:p>
      <w:pPr>
        <w:ind w:left="0" w:right="0" w:firstLine="643"/>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32"/>
        </w:rPr>
        <w:t xml:space="preserve">（2）服务质量要求</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①</w:t>
      </w:r>
      <w:r>
        <w:rPr>
          <w:rFonts w:ascii="FangSong" w:hAnsi="FangSong" w:eastAsia="FangSong" w:cs="FangSong"/>
          <w:color w:val="auto"/>
          <w:sz w:val="32"/>
        </w:rPr>
        <w:t xml:space="preserve">保证采购人设备全年</w:t>
      </w:r>
      <w:r>
        <w:rPr>
          <w:rFonts w:ascii="Times New Roman" w:hAnsi="Times New Roman" w:eastAsia="Times New Roman" w:cs="Times New Roman"/>
          <w:color w:val="auto"/>
          <w:sz w:val="32"/>
        </w:rPr>
        <w:t xml:space="preserve">24</w:t>
      </w:r>
      <w:r>
        <w:rPr>
          <w:rFonts w:ascii="FangSong" w:hAnsi="FangSong" w:eastAsia="FangSong" w:cs="FangSong"/>
          <w:color w:val="auto"/>
          <w:sz w:val="32"/>
        </w:rPr>
        <w:t xml:space="preserve">小时安全、稳定、高效运行。对于采购人与本次采购设施设备相关联系统（主要为网络、监控、排队叫号系统）出现的任何软、硬件故障，供应商必须在规定的时间内加以解决或配合解决，否则承担采购人由此造成的损失。</w:t>
      </w:r>
      <w:r>
        <w:rPr>
          <w:color w:val="auto"/>
        </w:rPr>
      </w:r>
      <w:r/>
    </w:p>
    <w:p>
      <w:pPr>
        <w:spacing w:line="360" w:lineRule="auto"/>
        <w:shd w:val="nil" w:color="auto"/>
        <w:rPr>
          <w:rFonts w:ascii="Times New Roman" w:hAnsi="Times New Roman" w:eastAsia="Times New Roman" w:cs="Times New Roman"/>
          <w:color w:val="auto"/>
          <w:sz w:val="21"/>
          <w:szCs w:val="21"/>
        </w:rPr>
      </w:pPr>
      <w:r>
        <w:rPr>
          <w:rFonts w:ascii="FangSong" w:hAnsi="FangSong" w:eastAsia="FangSong" w:cs="FangSong"/>
          <w:color w:val="auto"/>
          <w:sz w:val="32"/>
          <w:highlight w:val="none"/>
        </w:rPr>
        <w:br w:type="page" w:clear="all"/>
      </w:r>
      <w:r>
        <w:rPr>
          <w:color w:val="auto"/>
        </w:rPr>
      </w:r>
      <w:r/>
    </w:p>
    <w:p>
      <w:pPr>
        <w:ind w:left="0" w:right="0" w:firstLine="640"/>
        <w:jc w:val="both"/>
        <w:spacing w:before="0" w:after="0" w:line="360" w:lineRule="auto"/>
        <w:rPr>
          <w:rFonts w:ascii="FangSong" w:hAnsi="FangSong" w:eastAsia="FangSong" w:cs="FangSong"/>
          <w:color w:val="auto"/>
          <w:sz w:val="32"/>
          <w:szCs w:val="3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②</w:t>
      </w:r>
      <w:r>
        <w:rPr>
          <w:rFonts w:ascii="FangSong" w:hAnsi="FangSong" w:eastAsia="FangSong" w:cs="FangSong"/>
          <w:color w:val="auto"/>
          <w:sz w:val="32"/>
        </w:rPr>
        <w:t xml:space="preserve">有关故障级别定义及故障修复时限要求</w:t>
      </w:r>
      <w:r>
        <w:rPr>
          <w:color w:val="auto"/>
        </w:rPr>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2"/>
        <w:gridCol w:w="1475"/>
        <w:gridCol w:w="3957"/>
        <w:gridCol w:w="1803"/>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故障级别代号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故障级别名称</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故障描述</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故障恢复时限</w:t>
            </w:r>
            <w:r>
              <w:rPr>
                <w:color w:val="auto"/>
              </w:rPr>
            </w:r>
            <w:r/>
          </w:p>
        </w:tc>
      </w:tr>
      <w:tr>
        <w:trPr>
          <w:trHeight w:val="10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8"/>
              </w:rPr>
              <w:t xml:space="preserve">A</w:t>
            </w:r>
            <w:r>
              <w:rPr>
                <w:rFonts w:ascii="FangSong" w:hAnsi="FangSong" w:eastAsia="FangSong" w:cs="FangSong"/>
                <w:color w:val="auto"/>
                <w:sz w:val="28"/>
              </w:rPr>
              <w:t xml:space="preserve">级</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特大故障</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7"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严重系统故障，网络不畅、瘫痪，业务无法运营，对最终用户的业务运作有严重影响，确实无法及时修复。</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8"/>
              </w:rPr>
              <w:t xml:space="preserve">24</w:t>
            </w:r>
            <w:r>
              <w:rPr>
                <w:rFonts w:ascii="FangSong" w:hAnsi="FangSong" w:eastAsia="FangSong" w:cs="FangSong"/>
                <w:color w:val="auto"/>
                <w:sz w:val="28"/>
              </w:rPr>
              <w:t xml:space="preserve">小时</w:t>
            </w:r>
            <w:r>
              <w:rPr>
                <w:color w:val="auto"/>
              </w:rPr>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8"/>
              </w:rPr>
              <w:t xml:space="preserve">B</w:t>
            </w:r>
            <w:r>
              <w:rPr>
                <w:rFonts w:ascii="FangSong" w:hAnsi="FangSong" w:eastAsia="FangSong" w:cs="FangSong"/>
                <w:color w:val="auto"/>
                <w:sz w:val="28"/>
              </w:rPr>
              <w:t xml:space="preserve">级</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重大故障</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7"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部分设备故障，影响和限制了部分业务运营，无法及时修复。</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8"/>
              </w:rPr>
              <w:t xml:space="preserve">12</w:t>
            </w:r>
            <w:r>
              <w:rPr>
                <w:rFonts w:ascii="FangSong" w:hAnsi="FangSong" w:eastAsia="FangSong" w:cs="FangSong"/>
                <w:color w:val="auto"/>
                <w:sz w:val="28"/>
              </w:rPr>
              <w:t xml:space="preserve">小时</w:t>
            </w:r>
            <w:r>
              <w:rPr>
                <w:color w:val="auto"/>
              </w:rPr>
            </w:r>
            <w:r/>
          </w:p>
        </w:tc>
      </w:tr>
      <w:tr>
        <w:trPr>
          <w:trHeight w:val="10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8"/>
              </w:rPr>
              <w:t xml:space="preserve">C</w:t>
            </w:r>
            <w:r>
              <w:rPr>
                <w:rFonts w:ascii="FangSong" w:hAnsi="FangSong" w:eastAsia="FangSong" w:cs="FangSong"/>
                <w:color w:val="auto"/>
                <w:sz w:val="28"/>
              </w:rPr>
              <w:t xml:space="preserve">级</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一般故障</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7"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一般性技术故障，业务的运行性能受损，但最终用户业务系统仍可正常使用。</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8"/>
              </w:rPr>
              <w:t xml:space="preserve">4</w:t>
            </w:r>
            <w:r>
              <w:rPr>
                <w:rFonts w:ascii="FangSong" w:hAnsi="FangSong" w:eastAsia="FangSong" w:cs="FangSong"/>
                <w:color w:val="auto"/>
                <w:sz w:val="28"/>
              </w:rPr>
              <w:t xml:space="preserve">小时</w:t>
            </w:r>
            <w:r>
              <w:rPr>
                <w:color w:val="auto"/>
              </w:rPr>
            </w:r>
            <w:r/>
          </w:p>
        </w:tc>
      </w:tr>
    </w:tbl>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32"/>
        </w:rPr>
        <w:t xml:space="preserve">供应商在现场修复故障后，需向采购人信息技术部门讲解故障修复过程，经双方确认后方认定故障修复并填写故障处理表。</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③</w:t>
      </w:r>
      <w:r>
        <w:rPr>
          <w:rFonts w:ascii="FangSong" w:hAnsi="FangSong" w:eastAsia="FangSong" w:cs="FangSong"/>
          <w:color w:val="auto"/>
          <w:sz w:val="32"/>
        </w:rPr>
        <w:t xml:space="preserve">供应商在故障修复后</w:t>
      </w:r>
      <w:r>
        <w:rPr>
          <w:rFonts w:ascii="Times New Roman" w:hAnsi="Times New Roman" w:eastAsia="Times New Roman" w:cs="Times New Roman"/>
          <w:color w:val="auto"/>
          <w:sz w:val="32"/>
        </w:rPr>
        <w:t xml:space="preserve">48</w:t>
      </w:r>
      <w:r>
        <w:rPr>
          <w:rFonts w:ascii="FangSong" w:hAnsi="FangSong" w:eastAsia="FangSong" w:cs="FangSong"/>
          <w:color w:val="auto"/>
          <w:sz w:val="32"/>
        </w:rPr>
        <w:t xml:space="preserve">小时内提供详细故障修复服务报告，报告应至少包括以下内容：</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a.</w:t>
      </w:r>
      <w:r>
        <w:rPr>
          <w:rFonts w:ascii="FangSong" w:hAnsi="FangSong" w:eastAsia="FangSong" w:cs="FangSong"/>
          <w:color w:val="auto"/>
          <w:sz w:val="32"/>
        </w:rPr>
        <w:t xml:space="preserve">申告故障时间、服务开始时间、故障修复时间、技术工程师；</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b.</w:t>
      </w:r>
      <w:r>
        <w:rPr>
          <w:rFonts w:ascii="FangSong" w:hAnsi="FangSong" w:eastAsia="FangSong" w:cs="FangSong"/>
          <w:color w:val="auto"/>
          <w:sz w:val="32"/>
        </w:rPr>
        <w:t xml:space="preserve">故障现象及处理过程、故障原因分析及预防性维护建议。</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④</w:t>
      </w:r>
      <w:r>
        <w:rPr>
          <w:rFonts w:ascii="FangSong" w:hAnsi="FangSong" w:eastAsia="FangSong" w:cs="FangSong"/>
          <w:color w:val="auto"/>
          <w:sz w:val="32"/>
        </w:rPr>
        <w:t xml:space="preserve">为保证维护服务质量，供应商应根据采购人实际情况配备有关设备备件（如交换机光模块、服务器存储硬盘等）以保证出现紧急故障情况时可快速调配使用。</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⑤</w:t>
      </w:r>
      <w:r>
        <w:rPr>
          <w:rFonts w:ascii="FangSong" w:hAnsi="FangSong" w:eastAsia="FangSong" w:cs="FangSong"/>
          <w:color w:val="auto"/>
          <w:sz w:val="32"/>
        </w:rPr>
        <w:t xml:space="preserve">故障处理速度和质量要求：对于维护范围内的故障，供应商应在故障发生后立即响应，并尽快加以解决；对于非维护范围内的故障，供应商应在故障发生后积极配合其他服务商尽快加以解决。维保期间，采购人在进行硬件设备更新、升级、系统迁移等操作时，供应商须提供现场技术支持服务；如遇重大保障任务时，供应商需应采购人要求派驻专人进行现场保障服务。</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⑥</w:t>
      </w:r>
      <w:r>
        <w:rPr>
          <w:rFonts w:ascii="FangSong" w:hAnsi="FangSong" w:eastAsia="FangSong" w:cs="FangSong"/>
          <w:color w:val="auto"/>
          <w:sz w:val="32"/>
        </w:rPr>
        <w:t xml:space="preserve">针对所有维保设备，供应商须建立详细档案并在巡检维护中同步更新。同时，应制定、整理、完善应急预案及典型案例，培训、协助采购人技术人员不断提高应急保障能力。</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⑦</w:t>
      </w:r>
      <w:r>
        <w:rPr>
          <w:rFonts w:ascii="FangSong" w:hAnsi="FangSong" w:eastAsia="FangSong" w:cs="FangSong"/>
          <w:color w:val="auto"/>
          <w:sz w:val="32"/>
        </w:rPr>
        <w:t xml:space="preserve">供应商提供的软硬件及服务不得侵害第三方的知识产权。</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⑧</w:t>
      </w:r>
      <w:r>
        <w:rPr>
          <w:rFonts w:ascii="FangSong" w:hAnsi="FangSong" w:eastAsia="FangSong" w:cs="FangSong"/>
          <w:color w:val="auto"/>
          <w:sz w:val="32"/>
        </w:rPr>
        <w:t xml:space="preserve">供应商提供上门维护服务的工程师应相对固定。如需更换派驻人员，应提前</w:t>
      </w:r>
      <w:r>
        <w:rPr>
          <w:rFonts w:ascii="Times New Roman" w:hAnsi="Times New Roman" w:eastAsia="Times New Roman" w:cs="Times New Roman"/>
          <w:color w:val="auto"/>
          <w:sz w:val="32"/>
        </w:rPr>
        <w:t xml:space="preserve">1</w:t>
      </w:r>
      <w:r>
        <w:rPr>
          <w:rFonts w:ascii="FangSong" w:hAnsi="FangSong" w:eastAsia="FangSong" w:cs="FangSong"/>
          <w:color w:val="auto"/>
          <w:sz w:val="32"/>
        </w:rPr>
        <w:t xml:space="preserve">个月以书面形式向采购人提出人员变更申请，说明人员的更换原因、与原派驻人员签订的安全保密协议、新派驻人员资质及身份证明材料等，原派驻人员应做好未尽任务和工作交接，经采购人同意后方可变更。</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⑨</w:t>
      </w:r>
      <w:r>
        <w:rPr>
          <w:rFonts w:ascii="FangSong" w:hAnsi="FangSong" w:eastAsia="FangSong" w:cs="FangSong"/>
          <w:color w:val="auto"/>
          <w:sz w:val="32"/>
        </w:rPr>
        <w:t xml:space="preserve">供应商负责采购单位相关管理人员及信息化项目负责人员的培训工作。制定详细的培训计划，涵盖日常运维、故障排查及安全防护等核心内容，留存完整培训记录。</w:t>
      </w:r>
      <w:r>
        <w:rPr>
          <w:color w:val="auto"/>
        </w:rPr>
      </w:r>
      <w:r/>
    </w:p>
    <w:p>
      <w:pPr>
        <w:ind w:left="0" w:right="0" w:firstLine="643"/>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32"/>
        </w:rPr>
        <w:t xml:space="preserve">（3）维护方案与台账建立要求</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①</w:t>
      </w:r>
      <w:r>
        <w:rPr>
          <w:rFonts w:ascii="FangSong" w:hAnsi="FangSong" w:eastAsia="FangSong" w:cs="FangSong"/>
          <w:color w:val="auto"/>
          <w:sz w:val="32"/>
        </w:rPr>
        <w:t xml:space="preserve">供应商需结合现有机房内人员、设备、运维管理服务的要求，提供更加科学合理且可操作的运维管理方案。</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②</w:t>
      </w:r>
      <w:r>
        <w:rPr>
          <w:rFonts w:ascii="FangSong" w:hAnsi="FangSong" w:eastAsia="FangSong" w:cs="FangSong"/>
          <w:color w:val="auto"/>
          <w:sz w:val="32"/>
        </w:rPr>
        <w:t xml:space="preserve">供应商需根据机房基础设备和业务系统设备的用途、功能、属性等信息，梳理清晰、准确的设备信息资源台账，并提供更加科学合理的设备运维管理服务方案。</w:t>
      </w:r>
      <w:r>
        <w:rPr>
          <w:color w:val="auto"/>
        </w:rPr>
      </w:r>
      <w:r/>
    </w:p>
    <w:p>
      <w:pPr>
        <w:ind w:left="0" w:right="0" w:firstLine="64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③</w:t>
      </w:r>
      <w:r>
        <w:rPr>
          <w:rFonts w:ascii="FangSong" w:hAnsi="FangSong" w:eastAsia="FangSong" w:cs="FangSong"/>
          <w:color w:val="auto"/>
          <w:sz w:val="32"/>
        </w:rPr>
        <w:t xml:space="preserve">供应商需根据现有机房内、外部设备之间的物理连接状态，梳理清晰、准确的各系统区域网络连接资源，并提供更加合理、科学的应急处理程序和分类突发事件应急处理措施方案。</w:t>
      </w:r>
      <w:r>
        <w:rPr>
          <w:color w:val="auto"/>
        </w:rPr>
      </w:r>
      <w:r/>
    </w:p>
    <w:p>
      <w:pPr>
        <w:ind w:left="0" w:right="0" w:firstLine="64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32"/>
        </w:rPr>
        <w:t xml:space="preserve">3.报价要求：</w:t>
      </w:r>
      <w:r>
        <w:rPr>
          <w:rFonts w:ascii="FangSong" w:hAnsi="FangSong" w:eastAsia="FangSong" w:cs="FangSong"/>
          <w:color w:val="auto"/>
          <w:sz w:val="32"/>
        </w:rPr>
        <w:t xml:space="preserve">投标人报价时需含该项目整体维保费用，包括设备搬运安装调试费用、人员培训费及其他所需配件、线材辅料等一切费用；请供应商分两部分报价（货物、服务）；供应商要对本次项目进行充分的调研，确保投标产品参数，保证产品的兼容性和准确性。确保在项目实施过程中，采购人的各类业务系统正常运行。请供应商认真按照要求报价，按照设备清单分类分别报价。因报价和质量原因引起的损失，由供应商自行承担。</w:t>
      </w:r>
      <w:r>
        <w:rPr>
          <w:color w:val="auto"/>
        </w:rPr>
      </w:r>
      <w:r/>
    </w:p>
    <w:p>
      <w:pPr>
        <w:ind w:left="0" w:right="0" w:firstLine="64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32"/>
        </w:rPr>
        <w:t xml:space="preserve">4.采购标的验收标准：</w:t>
      </w:r>
      <w:r>
        <w:rPr>
          <w:rFonts w:ascii="FangSong" w:hAnsi="FangSong" w:eastAsia="FangSong" w:cs="FangSong"/>
          <w:color w:val="auto"/>
          <w:sz w:val="32"/>
        </w:rPr>
        <w:t xml:space="preserve">试运行</w:t>
      </w:r>
      <w:r>
        <w:rPr>
          <w:rFonts w:ascii="Times New Roman" w:hAnsi="Times New Roman" w:eastAsia="Times New Roman" w:cs="Times New Roman"/>
          <w:color w:val="auto"/>
          <w:sz w:val="32"/>
        </w:rPr>
        <w:t xml:space="preserve">1</w:t>
      </w:r>
      <w:r>
        <w:rPr>
          <w:rFonts w:ascii="FangSong" w:hAnsi="FangSong" w:eastAsia="FangSong" w:cs="FangSong"/>
          <w:color w:val="auto"/>
          <w:sz w:val="32"/>
        </w:rPr>
        <w:t xml:space="preserve">个月后初步验收，初步验收合格半年后终验。供应商可根据时限提出验收申请，</w:t>
      </w:r>
      <w:r>
        <w:rPr>
          <w:rFonts w:ascii="Times New Roman" w:hAnsi="Times New Roman" w:eastAsia="Times New Roman" w:cs="Times New Roman"/>
          <w:color w:val="auto"/>
          <w:sz w:val="32"/>
        </w:rPr>
        <w:t xml:space="preserve">5</w:t>
      </w:r>
      <w:r>
        <w:rPr>
          <w:rFonts w:ascii="FangSong" w:hAnsi="FangSong" w:eastAsia="FangSong" w:cs="FangSong"/>
          <w:color w:val="auto"/>
          <w:sz w:val="32"/>
        </w:rPr>
        <w:t xml:space="preserve">个工作日内予以确认是否同意组织验收。如不同意验收，采购人向供应商提出书面整改意见；如同意组织验收，由采购人组织验收，组织相关专业技术人员，必要时邀请相关部门共同参与验收，并出具验收报告，作为支付货款的依据。</w:t>
      </w:r>
      <w:r>
        <w:rPr>
          <w:color w:val="auto"/>
        </w:rPr>
      </w:r>
      <w:r/>
    </w:p>
    <w:p>
      <w:pPr>
        <w:ind w:left="0" w:right="0" w:firstLine="64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32"/>
        </w:rPr>
        <w:t xml:space="preserve">5.付款条件</w:t>
      </w:r>
      <w:r>
        <w:rPr>
          <w:color w:val="auto"/>
        </w:rPr>
      </w:r>
      <w:r/>
    </w:p>
    <w:p>
      <w:pPr>
        <w:ind w:left="0" w:right="0" w:firstLine="640"/>
        <w:spacing w:before="0" w:after="0" w:line="360" w:lineRule="auto"/>
        <w:rPr>
          <w:rFonts w:ascii="FangSong" w:hAnsi="FangSong" w:eastAsia="FangSong" w:cs="FangSong"/>
          <w:color w:val="auto"/>
          <w:sz w:val="32"/>
          <w:szCs w:val="32"/>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32"/>
        </w:rPr>
        <w:t xml:space="preserve">货物部分：合同盖章生效后，采购人支付货物总金额的</w:t>
      </w:r>
      <w:r>
        <w:rPr>
          <w:rFonts w:ascii="Times New Roman" w:hAnsi="Times New Roman" w:eastAsia="Times New Roman" w:cs="Times New Roman"/>
          <w:color w:val="auto"/>
          <w:sz w:val="32"/>
        </w:rPr>
        <w:t xml:space="preserve">30%</w:t>
      </w:r>
      <w:r>
        <w:rPr>
          <w:rFonts w:ascii="FangSong" w:hAnsi="FangSong" w:eastAsia="FangSong" w:cs="FangSong"/>
          <w:color w:val="auto"/>
          <w:sz w:val="32"/>
        </w:rPr>
        <w:t xml:space="preserve">作为预付款；待货物全部交付、安装调试且投入试运行满</w:t>
      </w:r>
      <w:r>
        <w:rPr>
          <w:rFonts w:ascii="Times New Roman" w:hAnsi="Times New Roman" w:eastAsia="Times New Roman" w:cs="Times New Roman"/>
          <w:color w:val="auto"/>
          <w:sz w:val="32"/>
        </w:rPr>
        <w:t xml:space="preserve">1</w:t>
      </w:r>
      <w:r>
        <w:rPr>
          <w:rFonts w:ascii="FangSong" w:hAnsi="FangSong" w:eastAsia="FangSong" w:cs="FangSong"/>
          <w:color w:val="auto"/>
          <w:sz w:val="32"/>
        </w:rPr>
        <w:t xml:space="preserve">个月后，</w:t>
      </w:r>
      <w:r>
        <w:rPr>
          <w:rFonts w:ascii="FangSong" w:hAnsi="FangSong" w:eastAsia="FangSong" w:cs="FangSong"/>
          <w:color w:val="auto"/>
          <w:sz w:val="32"/>
        </w:rPr>
        <w:t xml:space="preserve">启动初步验收，初步验收合格后，采购人支付货物总金额的40%；初步验收合格后满半年组织最终验收，最终验收合格后，</w:t>
      </w:r>
      <w:r>
        <w:rPr>
          <w:rFonts w:ascii="FangSong" w:hAnsi="FangSong" w:eastAsia="FangSong" w:cs="FangSong"/>
          <w:color w:val="auto"/>
          <w:sz w:val="32"/>
        </w:rPr>
        <w:t xml:space="preserve">采购人支付货物总金额的30</w:t>
      </w:r>
      <w:r>
        <w:rPr>
          <w:rFonts w:ascii="Times New Roman" w:hAnsi="Times New Roman" w:eastAsia="Times New Roman" w:cs="Times New Roman"/>
          <w:color w:val="auto"/>
          <w:sz w:val="32"/>
        </w:rPr>
        <w:t xml:space="preserve">%</w:t>
      </w:r>
      <w:r>
        <w:rPr>
          <w:rFonts w:ascii="FangSong" w:hAnsi="FangSong" w:eastAsia="FangSong" w:cs="FangSong"/>
          <w:color w:val="auto"/>
          <w:sz w:val="32"/>
        </w:rPr>
        <w:t xml:space="preserve">。</w:t>
      </w:r>
      <w:r>
        <w:rPr>
          <w:color w:val="auto"/>
        </w:rPr>
      </w:r>
      <w:r/>
    </w:p>
    <w:p>
      <w:pPr>
        <w:ind w:left="0" w:right="0" w:firstLine="64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32"/>
        </w:rPr>
        <w:t xml:space="preserve">服务部分：合同盖章生效后，</w:t>
      </w:r>
      <w:r>
        <w:rPr>
          <w:rFonts w:ascii="FangSong" w:hAnsi="FangSong" w:eastAsia="FangSong" w:cs="FangSong"/>
          <w:color w:val="auto"/>
          <w:sz w:val="32"/>
        </w:rPr>
        <w:t xml:space="preserve">采购人支付服务总金额的31</w:t>
      </w:r>
      <w:r>
        <w:rPr>
          <w:rFonts w:ascii="Times New Roman" w:hAnsi="Times New Roman" w:eastAsia="Times New Roman" w:cs="Times New Roman"/>
          <w:color w:val="auto"/>
          <w:sz w:val="32"/>
        </w:rPr>
        <w:t xml:space="preserve">%</w:t>
      </w:r>
      <w:r>
        <w:rPr>
          <w:rFonts w:ascii="FangSong" w:hAnsi="FangSong" w:eastAsia="FangSong" w:cs="FangSong"/>
          <w:color w:val="auto"/>
          <w:sz w:val="32"/>
        </w:rPr>
        <w:t xml:space="preserve">作为预付款</w:t>
      </w:r>
      <w:r>
        <w:rPr>
          <w:rFonts w:ascii="FangSong" w:hAnsi="FangSong" w:eastAsia="FangSong" w:cs="FangSong"/>
          <w:color w:val="auto"/>
          <w:sz w:val="32"/>
        </w:rPr>
        <w:t xml:space="preserve">；待货物最终验收合格后进入项目维保服务期，</w:t>
      </w:r>
      <w:r>
        <w:rPr>
          <w:rFonts w:ascii="FangSong" w:hAnsi="FangSong" w:eastAsia="FangSong" w:cs="FangSong"/>
          <w:color w:val="auto"/>
          <w:sz w:val="32"/>
        </w:rPr>
        <w:t xml:space="preserve">对应的服务期限为</w:t>
      </w:r>
      <w:r>
        <w:rPr>
          <w:rFonts w:ascii="Times New Roman" w:hAnsi="Times New Roman" w:eastAsia="Times New Roman" w:cs="Times New Roman"/>
          <w:color w:val="auto"/>
          <w:sz w:val="32"/>
        </w:rPr>
        <w:t xml:space="preserve">3</w:t>
      </w:r>
      <w:r>
        <w:rPr>
          <w:rFonts w:ascii="FangSong" w:hAnsi="FangSong" w:eastAsia="FangSong" w:cs="FangSong"/>
          <w:color w:val="auto"/>
          <w:sz w:val="32"/>
        </w:rPr>
        <w:t xml:space="preserve">年，自最终验收合格之日起计算，每完成一个自然年度的维保服务工作后，支付服务总金额的23</w:t>
      </w:r>
      <w:r>
        <w:rPr>
          <w:rFonts w:ascii="Times New Roman" w:hAnsi="Times New Roman" w:eastAsia="Times New Roman" w:cs="Times New Roman"/>
          <w:color w:val="auto"/>
          <w:sz w:val="32"/>
        </w:rPr>
        <w:t xml:space="preserve">%</w:t>
      </w:r>
      <w:r>
        <w:rPr>
          <w:rFonts w:ascii="FangSong" w:hAnsi="FangSong" w:eastAsia="FangSong" w:cs="FangSong"/>
          <w:color w:val="auto"/>
          <w:sz w:val="32"/>
        </w:rPr>
        <w:t xml:space="preserve">。所有付款均以银行转账方式支付，项目通过验收并经采购人确认后，供应商提供合法有效发票，采购人收到发票后在</w:t>
      </w:r>
      <w:r>
        <w:rPr>
          <w:rFonts w:ascii="Times New Roman" w:hAnsi="Times New Roman" w:eastAsia="Times New Roman" w:cs="Times New Roman"/>
          <w:color w:val="auto"/>
          <w:sz w:val="32"/>
        </w:rPr>
        <w:t xml:space="preserve">10</w:t>
      </w:r>
      <w:r>
        <w:rPr>
          <w:rFonts w:ascii="FangSong" w:hAnsi="FangSong" w:eastAsia="FangSong" w:cs="FangSong"/>
          <w:color w:val="auto"/>
          <w:sz w:val="32"/>
        </w:rPr>
        <w:t xml:space="preserve">个工作日内予以支付。若因供应商原因导致验收延迟或不合格，采购人有权顺延付款时间，并按合同约定追究违约责任。</w:t>
      </w:r>
      <w:r/>
    </w:p>
    <w:p>
      <w:pPr>
        <w:ind w:left="0" w:right="0" w:firstLine="64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32"/>
        </w:rPr>
        <w:t xml:space="preserve">6.履约保证金</w:t>
      </w:r>
      <w:r/>
    </w:p>
    <w:p>
      <w:pPr>
        <w:ind w:left="0" w:right="0" w:firstLine="64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32"/>
        </w:rPr>
        <w:t xml:space="preserve">履约保证金为合同总价款的</w:t>
      </w:r>
      <w:r>
        <w:rPr>
          <w:rFonts w:ascii="Times New Roman" w:hAnsi="Times New Roman" w:eastAsia="Times New Roman" w:cs="Times New Roman"/>
          <w:color w:val="auto"/>
          <w:sz w:val="32"/>
        </w:rPr>
        <w:t xml:space="preserve">10%</w:t>
      </w:r>
      <w:r>
        <w:rPr>
          <w:rFonts w:ascii="FangSong" w:hAnsi="FangSong" w:eastAsia="FangSong" w:cs="FangSong"/>
          <w:color w:val="auto"/>
          <w:sz w:val="32"/>
        </w:rPr>
        <w:t xml:space="preserve">，在货物最终验收合格且无违约情形存在后，凭有效票据</w:t>
      </w:r>
      <w:r>
        <w:rPr>
          <w:rFonts w:ascii="Times New Roman" w:hAnsi="Times New Roman" w:eastAsia="Times New Roman" w:cs="Times New Roman"/>
          <w:color w:val="auto"/>
          <w:sz w:val="32"/>
        </w:rPr>
        <w:t xml:space="preserve">30</w:t>
      </w:r>
      <w:r>
        <w:rPr>
          <w:rFonts w:ascii="FangSong" w:hAnsi="FangSong" w:eastAsia="FangSong" w:cs="FangSong"/>
          <w:color w:val="auto"/>
          <w:sz w:val="32"/>
        </w:rPr>
        <w:t xml:space="preserve">个工作日内原路返还。如无正当理由逾期退还履约保证金，采购人向供应商偿付逾期退还总额的千分之五（滞纳金）。如供应商未能履行合同规定的义务，采购人有权直接从履约保证金中取得相应补偿，并在退还时予以扣除。本项目支持鼓励使用履约保函。</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spacing w:line="360" w:lineRule="auto"/>
        <w:shd w:val="nil" w:color="auto"/>
        <w:rPr>
          <w:rFonts w:ascii="Calibri" w:hAnsi="Calibri" w:eastAsia="Calibri" w:cs="Calibri"/>
          <w:color w:val="auto"/>
          <w:sz w:val="21"/>
          <w:szCs w:val="21"/>
        </w:rPr>
      </w:pPr>
      <w:r>
        <w:rPr>
          <w:rFonts w:ascii="SimHei" w:hAnsi="SimHei" w:eastAsia="SimHei" w:cs="SimHei"/>
          <w:b/>
          <w:color w:val="auto"/>
          <w:sz w:val="44"/>
          <w:highlight w:val="none"/>
        </w:rPr>
        <w:br w:type="page" w:clear="all"/>
      </w:r>
      <w:r>
        <w:rPr>
          <w:color w:val="auto"/>
        </w:rPr>
      </w:r>
      <w:r/>
    </w:p>
    <w:p>
      <w:pPr>
        <w:ind w:left="0" w:right="0" w:firstLine="0"/>
        <w:jc w:val="center"/>
        <w:spacing w:before="0" w:after="145" w:line="360" w:lineRule="auto"/>
        <w:rPr>
          <w:rFonts w:ascii="SimHei" w:hAnsi="SimHei" w:eastAsia="SimHei" w:cs="SimHei"/>
          <w:b/>
          <w:bCs/>
          <w:color w:val="auto"/>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rPr>
        <w:t xml:space="preserve">第五章 </w:t>
      </w:r>
      <w:r>
        <w:rPr>
          <w:rFonts w:ascii="SimHei" w:hAnsi="SimHei" w:eastAsia="SimHei" w:cs="SimHei"/>
          <w:b/>
          <w:color w:val="auto"/>
          <w:sz w:val="44"/>
        </w:rPr>
        <w:t xml:space="preserve">评标方法与评标标准</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48"/>
        <w:gridCol w:w="1610"/>
        <w:gridCol w:w="67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分包号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0"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选取中标候选人数量</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4"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选取中标候选人的原则</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4" w:type="dxa"/>
            <w:vAlign w:val="top"/>
            <w:textDirection w:val="lrTb"/>
            <w:noWrap w:val="false"/>
          </w:tcPr>
          <w:p>
            <w:pPr>
              <w:ind w:left="0" w:right="0" w:firstLine="0"/>
              <w:spacing w:before="0" w:after="0" w:line="360" w:lineRule="auto"/>
              <w:rPr>
                <w:rFonts w:ascii="SimSun" w:hAnsi="SimSun" w:eastAsia="SimSun" w:cs="SimSun"/>
                <w:color w:val="auto"/>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满足招标文件全部实质性要求，且按照评审</w:t>
            </w:r>
            <w:r>
              <w:rPr>
                <w:rFonts w:ascii="SimSun" w:hAnsi="SimSun" w:eastAsia="SimSun" w:cs="SimSun"/>
                <w:color w:val="auto"/>
                <w:sz w:val="21"/>
                <w:szCs w:val="21"/>
              </w:rPr>
              <w:t xml:space="preserve">因素的量化指标评审得分最高的投标人为中标候选人；</w:t>
            </w:r>
            <w:r>
              <w:rPr>
                <w:rFonts w:ascii="SimSun" w:hAnsi="SimSun" w:eastAsia="SimSun" w:cs="SimSun"/>
                <w:color w:val="auto"/>
                <w:sz w:val="21"/>
                <w:szCs w:val="21"/>
              </w:rPr>
              <w:t xml:space="preserve">如出现评审总得分最高的投标人有两个或两个以上，以产品技术要求得分较高者优先作为中标候选人。</w:t>
            </w:r>
            <w:r>
              <w:rPr>
                <w:color w:val="auto"/>
              </w:rPr>
            </w:r>
            <w:r/>
          </w:p>
        </w:tc>
      </w:tr>
    </w:tbl>
    <w:p>
      <w:pPr>
        <w:ind w:left="0" w:right="0" w:firstLine="441"/>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政府采购政策功能落实</w:t>
      </w:r>
      <w:r>
        <w:rPr>
          <w:color w:val="auto"/>
        </w:rPr>
      </w:r>
      <w:r/>
    </w:p>
    <w:p>
      <w:pPr>
        <w:ind w:left="0" w:right="0" w:firstLine="48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1、小微型企业价格扣除</w:t>
      </w:r>
      <w:r>
        <w:rPr>
          <w:color w:val="auto"/>
        </w:rPr>
      </w:r>
      <w:r/>
    </w:p>
    <w:p>
      <w:pPr>
        <w:ind w:left="0" w:right="0" w:firstLine="36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（1）本项目对小型和微型企业产品给予</w:t>
      </w:r>
      <w:r>
        <w:rPr>
          <w:rFonts w:ascii="SimSun" w:hAnsi="SimSun" w:eastAsia="SimSun" w:cs="SimSun"/>
          <w:color w:val="auto"/>
          <w:sz w:val="24"/>
          <w:u w:val="single"/>
        </w:rPr>
        <w:t xml:space="preserve">20%</w:t>
      </w:r>
      <w:r>
        <w:rPr>
          <w:rFonts w:ascii="SimSun" w:hAnsi="SimSun" w:eastAsia="SimSun" w:cs="SimSun"/>
          <w:color w:val="auto"/>
          <w:sz w:val="24"/>
        </w:rPr>
        <w:t xml:space="preserve">的扣除价格，用扣除后的价格参与评审。</w:t>
      </w:r>
      <w:r>
        <w:rPr>
          <w:color w:val="auto"/>
        </w:rPr>
      </w:r>
      <w:r/>
    </w:p>
    <w:p>
      <w:pPr>
        <w:ind w:left="0" w:right="0" w:firstLine="36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（2）供应商需按照采购文件的要求提供相应的《小微企业声明函》。</w:t>
      </w:r>
      <w:r>
        <w:rPr>
          <w:color w:val="auto"/>
        </w:rPr>
      </w:r>
      <w:r/>
    </w:p>
    <w:p>
      <w:pPr>
        <w:ind w:left="0" w:right="0" w:firstLine="36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（3）企业标准请参照《关于印发中小企业划型标准规定的通知》（工信部联企业[2011]300号）文件规定自行填写。</w:t>
      </w:r>
      <w:r>
        <w:rPr>
          <w:color w:val="auto"/>
        </w:rPr>
      </w:r>
      <w:r/>
    </w:p>
    <w:p>
      <w:pPr>
        <w:ind w:left="0" w:right="0" w:firstLine="48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2、残疾人福利单位价格扣除</w:t>
      </w:r>
      <w:r>
        <w:rPr>
          <w:color w:val="auto"/>
        </w:rPr>
      </w:r>
      <w:r/>
    </w:p>
    <w:p>
      <w:pPr>
        <w:ind w:left="120" w:right="0" w:firstLine="36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（1）本项目对残疾人福利性单位视同小型、微型企业，给予</w:t>
      </w:r>
      <w:r>
        <w:rPr>
          <w:rFonts w:ascii="SimSun" w:hAnsi="SimSun" w:eastAsia="SimSun" w:cs="SimSun"/>
          <w:color w:val="auto"/>
          <w:sz w:val="24"/>
          <w:u w:val="single"/>
        </w:rPr>
        <w:t xml:space="preserve">20%</w:t>
      </w:r>
      <w:r>
        <w:rPr>
          <w:rFonts w:ascii="SimSun" w:hAnsi="SimSun" w:eastAsia="SimSun" w:cs="SimSun"/>
          <w:color w:val="auto"/>
          <w:sz w:val="24"/>
        </w:rPr>
        <w:t xml:space="preserve">的价格扣除，用扣除后的价格参与评审。</w:t>
      </w:r>
      <w:r>
        <w:rPr>
          <w:color w:val="auto"/>
        </w:rPr>
      </w:r>
      <w:r/>
    </w:p>
    <w:p>
      <w:pPr>
        <w:ind w:left="120" w:right="0" w:firstLine="36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（2）残疾人福利单位需按照采购文件的要求提供《残疾人福利性单位声明函》。</w:t>
      </w:r>
      <w:r>
        <w:rPr>
          <w:color w:val="auto"/>
        </w:rPr>
      </w:r>
      <w:r/>
    </w:p>
    <w:p>
      <w:pPr>
        <w:ind w:left="120" w:right="0" w:firstLine="36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（3）残疾人福利单位标准请参照《关于促进残疾人就业政府采购政策的通知》（财库〔2017〕141号）。</w:t>
      </w:r>
      <w:r>
        <w:rPr>
          <w:color w:val="auto"/>
        </w:rPr>
      </w:r>
      <w:r/>
    </w:p>
    <w:p>
      <w:pPr>
        <w:ind w:left="0" w:right="0" w:firstLine="48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3、监狱和戒毒企业价格扣除</w:t>
      </w:r>
      <w:r>
        <w:rPr>
          <w:color w:val="auto"/>
        </w:rPr>
      </w:r>
      <w:r/>
    </w:p>
    <w:p>
      <w:pPr>
        <w:ind w:left="0" w:right="0" w:firstLine="48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（1）本项目对监狱和戒毒企业（简称监狱企业）视同小型、微型企业，给予</w:t>
      </w:r>
      <w:r>
        <w:rPr>
          <w:rFonts w:ascii="SimSun" w:hAnsi="SimSun" w:eastAsia="SimSun" w:cs="SimSun"/>
          <w:color w:val="auto"/>
          <w:sz w:val="24"/>
          <w:u w:val="single"/>
        </w:rPr>
        <w:t xml:space="preserve">20%</w:t>
      </w:r>
      <w:r>
        <w:rPr>
          <w:rFonts w:ascii="SimSun" w:hAnsi="SimSun" w:eastAsia="SimSun" w:cs="SimSun"/>
          <w:color w:val="auto"/>
          <w:sz w:val="24"/>
        </w:rPr>
        <w:t xml:space="preserve">的价格扣除，用扣除后的价格参与评审。</w:t>
      </w:r>
      <w:r>
        <w:rPr>
          <w:color w:val="auto"/>
        </w:rPr>
      </w:r>
      <w:r/>
    </w:p>
    <w:p>
      <w:pPr>
        <w:ind w:left="0" w:right="0" w:firstLine="48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rPr>
      </w:r>
      <w:r/>
    </w:p>
    <w:p>
      <w:pPr>
        <w:ind w:left="0" w:right="0" w:firstLine="48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（3）监狱企业标准请参照《关于政府采购支持监狱企业发展有关问题的通知》（财库[2014]68号）。</w:t>
      </w:r>
      <w:r>
        <w:rPr>
          <w:color w:val="auto"/>
        </w:rPr>
      </w:r>
      <w:r/>
    </w:p>
    <w:p>
      <w:pPr>
        <w:ind w:left="0" w:right="0" w:firstLine="48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4、残疾人福利单位、监狱企业属于小型、微型企业的，不重复享受政策。</w:t>
      </w:r>
      <w:r>
        <w:rPr>
          <w:color w:val="auto"/>
        </w:rPr>
      </w:r>
      <w:r/>
    </w:p>
    <w:p>
      <w:pPr>
        <w:ind w:left="0" w:right="0" w:firstLine="48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auto"/>
          <w:sz w:val="24"/>
          <w:u w:val="single"/>
        </w:rPr>
        <w:t xml:space="preserve">6%</w:t>
      </w:r>
      <w:r>
        <w:rPr>
          <w:rFonts w:ascii="SimSun" w:hAnsi="SimSun" w:eastAsia="SimSun" w:cs="SimSun"/>
          <w:color w:val="auto"/>
          <w:sz w:val="24"/>
        </w:rPr>
        <w:t xml:space="preserve">的价格扣除，用扣除后的价格参与评审。</w:t>
      </w:r>
      <w:r>
        <w:rPr>
          <w:color w:val="auto"/>
        </w:rPr>
      </w:r>
      <w:r/>
    </w:p>
    <w:p>
      <w:pPr>
        <w:ind w:left="0" w:right="0" w:firstLine="480"/>
        <w:spacing w:before="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6、联合体各方均为小型、微型企业（残疾人福利单位、监狱企业）的，联合体享受</w:t>
      </w:r>
      <w:r>
        <w:rPr>
          <w:rFonts w:ascii="SimSun" w:hAnsi="SimSun" w:eastAsia="SimSun" w:cs="SimSun"/>
          <w:color w:val="auto"/>
          <w:sz w:val="24"/>
          <w:u w:val="single"/>
        </w:rPr>
        <w:t xml:space="preserve">20%</w:t>
      </w:r>
      <w:r>
        <w:rPr>
          <w:rFonts w:ascii="SimSun" w:hAnsi="SimSun" w:eastAsia="SimSun" w:cs="SimSun"/>
          <w:color w:val="auto"/>
          <w:sz w:val="24"/>
        </w:rPr>
        <w:t xml:space="preserve">价格扣除，用扣除后的价格参与评审。</w:t>
      </w:r>
      <w:r>
        <w:rPr>
          <w:color w:val="auto"/>
        </w:rPr>
      </w:r>
      <w:r/>
    </w:p>
    <w:p>
      <w:pPr>
        <w:ind w:left="0" w:right="0" w:firstLine="482"/>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120" w:after="12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评标方法与评标标准</w:t>
      </w:r>
      <w:r>
        <w:rPr>
          <w:color w:val="auto"/>
        </w:rPr>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19"/>
        <w:gridCol w:w="853"/>
        <w:gridCol w:w="992"/>
        <w:gridCol w:w="6967"/>
      </w:tblGrid>
      <w:tr>
        <w:trPr/>
        <w:tc>
          <w:tcPr>
            <w:tcBorders>
              <w:top w:val="single" w:color="000000" w:sz="12" w:space="0"/>
              <w:left w:val="single" w:color="000000" w:sz="12" w:space="0"/>
              <w:bottom w:val="single" w:color="000000" w:sz="8" w:space="0"/>
              <w:right w:val="single" w:color="000000" w:sz="8" w:space="0"/>
            </w:tcBorders>
            <w:tcMar>
              <w:left w:w="96" w:type="dxa"/>
              <w:top w:w="45" w:type="dxa"/>
              <w:right w:w="96" w:type="dxa"/>
              <w:bottom w:w="45" w:type="dxa"/>
            </w:tcMar>
            <w:tcW w:w="51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序号</w:t>
            </w:r>
            <w:r>
              <w:rPr>
                <w:color w:val="auto"/>
              </w:rPr>
            </w:r>
            <w:r/>
          </w:p>
        </w:tc>
        <w:tc>
          <w:tcPr>
            <w:tcBorders>
              <w:top w:val="single" w:color="000000" w:sz="12" w:space="0"/>
              <w:left w:val="none" w:color="000000" w:sz="4" w:space="0"/>
              <w:bottom w:val="single" w:color="000000" w:sz="8" w:space="0"/>
              <w:right w:val="single" w:color="000000" w:sz="8" w:space="0"/>
            </w:tcBorders>
            <w:tcMar>
              <w:left w:w="96" w:type="dxa"/>
              <w:top w:w="45" w:type="dxa"/>
              <w:right w:w="96" w:type="dxa"/>
              <w:bottom w:w="45" w:type="dxa"/>
            </w:tcMar>
            <w:tcW w:w="85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评审</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因素</w:t>
            </w:r>
            <w:r>
              <w:rPr>
                <w:color w:val="auto"/>
              </w:rPr>
            </w:r>
            <w:r/>
          </w:p>
        </w:tc>
        <w:tc>
          <w:tcPr>
            <w:tcBorders>
              <w:top w:val="single" w:color="000000" w:sz="12" w:space="0"/>
              <w:left w:val="none" w:color="000000" w:sz="4" w:space="0"/>
              <w:bottom w:val="single" w:color="000000" w:sz="8" w:space="0"/>
              <w:right w:val="single" w:color="000000" w:sz="8" w:space="0"/>
            </w:tcBorders>
            <w:tcMar>
              <w:left w:w="96" w:type="dxa"/>
              <w:top w:w="45" w:type="dxa"/>
              <w:right w:w="96" w:type="dxa"/>
              <w:bottom w:w="45"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分值</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（分）</w:t>
            </w:r>
            <w:r>
              <w:rPr>
                <w:color w:val="auto"/>
              </w:rPr>
            </w:r>
            <w:r/>
          </w:p>
        </w:tc>
        <w:tc>
          <w:tcPr>
            <w:tcBorders>
              <w:top w:val="single" w:color="000000" w:sz="12" w:space="0"/>
              <w:left w:val="none" w:color="000000" w:sz="4" w:space="0"/>
              <w:bottom w:val="single" w:color="000000" w:sz="8" w:space="0"/>
              <w:right w:val="single" w:color="000000" w:sz="12" w:space="0"/>
            </w:tcBorders>
            <w:tcMar>
              <w:left w:w="96" w:type="dxa"/>
              <w:top w:w="45" w:type="dxa"/>
              <w:right w:w="96" w:type="dxa"/>
              <w:bottom w:w="45" w:type="dxa"/>
            </w:tcMar>
            <w:tcW w:w="696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评分细则</w:t>
            </w:r>
            <w:r>
              <w:rPr>
                <w:color w:val="auto"/>
              </w:rPr>
            </w:r>
            <w:r/>
          </w:p>
        </w:tc>
      </w:tr>
      <w:tr>
        <w:trPr>
          <w:trHeight w:val="90"/>
        </w:trPr>
        <w:tc>
          <w:tcPr>
            <w:tcBorders>
              <w:top w:val="none" w:color="000000" w:sz="4" w:space="0"/>
              <w:left w:val="single" w:color="000000" w:sz="12" w:space="0"/>
              <w:bottom w:val="single" w:color="000000" w:sz="8" w:space="0"/>
              <w:right w:val="single" w:color="000000" w:sz="8" w:space="0"/>
            </w:tcBorders>
            <w:tcMar>
              <w:left w:w="96" w:type="dxa"/>
              <w:top w:w="45" w:type="dxa"/>
              <w:right w:w="96" w:type="dxa"/>
              <w:bottom w:w="45" w:type="dxa"/>
            </w:tcMar>
            <w:tcW w:w="519" w:type="dxa"/>
            <w:vAlign w:val="center"/>
            <w:textDirection w:val="lrTb"/>
            <w:noWrap w:val="false"/>
          </w:tcPr>
          <w:p>
            <w:pPr>
              <w:ind w:left="-78" w:right="-73"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一</w:t>
            </w:r>
            <w:r>
              <w:rPr>
                <w:color w:val="auto"/>
              </w:rPr>
            </w:r>
            <w:r/>
          </w:p>
        </w:tc>
        <w:tc>
          <w:tcPr>
            <w:gridSpan w:val="3"/>
            <w:tcBorders>
              <w:top w:val="none" w:color="000000" w:sz="4" w:space="0"/>
              <w:left w:val="none" w:color="000000" w:sz="4" w:space="0"/>
              <w:bottom w:val="single" w:color="000000" w:sz="8" w:space="0"/>
              <w:right w:val="single" w:color="000000" w:sz="12" w:space="0"/>
            </w:tcBorders>
            <w:tcMar>
              <w:left w:w="96" w:type="dxa"/>
              <w:top w:w="45" w:type="dxa"/>
              <w:right w:w="96" w:type="dxa"/>
              <w:bottom w:w="45" w:type="dxa"/>
            </w:tcMar>
            <w:tcW w:w="8812" w:type="dxa"/>
            <w:vAlign w:val="center"/>
            <w:textDirection w:val="lrTb"/>
            <w:noWrap w:val="false"/>
          </w:tcPr>
          <w:p>
            <w:pPr>
              <w:ind w:left="0" w:right="-73"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价格部分（满分</w:t>
            </w:r>
            <w:r>
              <w:rPr>
                <w:rFonts w:ascii="Times New Roman" w:hAnsi="Times New Roman" w:eastAsia="Times New Roman" w:cs="Times New Roman"/>
                <w:color w:val="auto"/>
                <w:sz w:val="24"/>
              </w:rPr>
              <w:t xml:space="preserve">30</w:t>
            </w:r>
            <w:r>
              <w:rPr>
                <w:rFonts w:ascii="SimHei" w:hAnsi="SimHei" w:eastAsia="SimHei" w:cs="SimHei"/>
                <w:color w:val="auto"/>
                <w:sz w:val="24"/>
              </w:rPr>
              <w:t xml:space="preserve">分）</w:t>
            </w:r>
            <w:r>
              <w:rPr>
                <w:color w:val="auto"/>
              </w:rPr>
            </w:r>
            <w:r/>
          </w:p>
        </w:tc>
      </w:tr>
      <w:tr>
        <w:trPr/>
        <w:tc>
          <w:tcPr>
            <w:tcBorders>
              <w:top w:val="none" w:color="000000" w:sz="4" w:space="0"/>
              <w:left w:val="single" w:color="000000" w:sz="12" w:space="0"/>
              <w:bottom w:val="single" w:color="000000" w:sz="8" w:space="0"/>
              <w:right w:val="single" w:color="000000" w:sz="8" w:space="0"/>
            </w:tcBorders>
            <w:tcMar>
              <w:left w:w="96" w:type="dxa"/>
              <w:top w:w="45" w:type="dxa"/>
              <w:right w:w="96" w:type="dxa"/>
              <w:bottom w:w="45" w:type="dxa"/>
            </w:tcMar>
            <w:tcW w:w="51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85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价格</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30</w:t>
            </w:r>
            <w:r>
              <w:rPr>
                <w:color w:val="auto"/>
              </w:rPr>
            </w:r>
            <w:r/>
          </w:p>
        </w:tc>
        <w:tc>
          <w:tcPr>
            <w:tcBorders>
              <w:top w:val="none" w:color="000000" w:sz="4" w:space="0"/>
              <w:left w:val="none" w:color="000000" w:sz="4" w:space="0"/>
              <w:bottom w:val="single" w:color="000000" w:sz="8" w:space="0"/>
              <w:right w:val="single" w:color="000000" w:sz="12" w:space="0"/>
            </w:tcBorders>
            <w:tcMar>
              <w:left w:w="96" w:type="dxa"/>
              <w:top w:w="45" w:type="dxa"/>
              <w:right w:w="96" w:type="dxa"/>
              <w:bottom w:w="45" w:type="dxa"/>
            </w:tcMar>
            <w:tcW w:w="6967"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价格分采用低价优先法计算，满足招标要求且投标价格最低的投标报价为评标基准价，其价格分为满分。其他投标人的价格分按照下列公式计算：</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投标报价得分</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（评标基准价／投标报价）×</w:t>
            </w:r>
            <w:r>
              <w:rPr>
                <w:rFonts w:ascii="Times New Roman" w:hAnsi="Times New Roman" w:eastAsia="Times New Roman" w:cs="Times New Roman"/>
                <w:color w:val="auto"/>
                <w:sz w:val="24"/>
              </w:rPr>
              <w:t xml:space="preserve">30</w:t>
            </w:r>
            <w:r>
              <w:rPr>
                <w:rFonts w:ascii="FangSong" w:hAnsi="FangSong" w:eastAsia="FangSong" w:cs="FangSong"/>
                <w:color w:val="auto"/>
                <w:sz w:val="24"/>
              </w:rPr>
              <w:t xml:space="preserve">分（四舍五入后保留小数点后两位）。</w:t>
            </w:r>
            <w:r>
              <w:rPr>
                <w:color w:val="auto"/>
              </w:rPr>
            </w:r>
            <w:r/>
          </w:p>
        </w:tc>
      </w:tr>
      <w:tr>
        <w:trPr/>
        <w:tc>
          <w:tcPr>
            <w:tcBorders>
              <w:top w:val="none" w:color="000000" w:sz="4" w:space="0"/>
              <w:left w:val="single" w:color="000000" w:sz="12" w:space="0"/>
              <w:bottom w:val="single" w:color="000000" w:sz="8" w:space="0"/>
              <w:right w:val="single" w:color="000000" w:sz="8" w:space="0"/>
            </w:tcBorders>
            <w:tcMar>
              <w:left w:w="96" w:type="dxa"/>
              <w:top w:w="45" w:type="dxa"/>
              <w:right w:w="96" w:type="dxa"/>
              <w:bottom w:w="45" w:type="dxa"/>
            </w:tcMar>
            <w:tcW w:w="51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二</w:t>
            </w:r>
            <w:r>
              <w:rPr>
                <w:color w:val="auto"/>
              </w:rPr>
            </w:r>
            <w:r/>
          </w:p>
        </w:tc>
        <w:tc>
          <w:tcPr>
            <w:gridSpan w:val="3"/>
            <w:tcBorders>
              <w:top w:val="none" w:color="000000" w:sz="4" w:space="0"/>
              <w:left w:val="none" w:color="000000" w:sz="4" w:space="0"/>
              <w:bottom w:val="single" w:color="000000" w:sz="8" w:space="0"/>
              <w:right w:val="single" w:color="000000" w:sz="12" w:space="0"/>
            </w:tcBorders>
            <w:tcMar>
              <w:left w:w="96" w:type="dxa"/>
              <w:top w:w="45" w:type="dxa"/>
              <w:right w:w="96" w:type="dxa"/>
              <w:bottom w:w="45" w:type="dxa"/>
            </w:tcMar>
            <w:tcW w:w="8812" w:type="dxa"/>
            <w:vAlign w:val="center"/>
            <w:textDirection w:val="lrTb"/>
            <w:noWrap w:val="false"/>
          </w:tcPr>
          <w:p>
            <w:pPr>
              <w:ind w:left="0" w:right="-73"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技术部分（合计</w:t>
            </w:r>
            <w:r>
              <w:rPr>
                <w:rFonts w:ascii="Times New Roman" w:hAnsi="Times New Roman" w:eastAsia="Times New Roman" w:cs="Times New Roman"/>
                <w:color w:val="auto"/>
                <w:sz w:val="24"/>
              </w:rPr>
              <w:t xml:space="preserve">34</w:t>
            </w:r>
            <w:r>
              <w:rPr>
                <w:rFonts w:ascii="SimHei" w:hAnsi="SimHei" w:eastAsia="SimHei" w:cs="SimHei"/>
                <w:color w:val="auto"/>
                <w:sz w:val="24"/>
              </w:rPr>
              <w:t xml:space="preserve">分）</w:t>
            </w:r>
            <w:r>
              <w:rPr>
                <w:color w:val="auto"/>
              </w:rPr>
            </w:r>
            <w:r/>
          </w:p>
        </w:tc>
      </w:tr>
      <w:tr>
        <w:trPr>
          <w:trHeight w:val="1050"/>
        </w:trPr>
        <w:tc>
          <w:tcPr>
            <w:tcBorders>
              <w:top w:val="none" w:color="000000" w:sz="4" w:space="0"/>
              <w:left w:val="single" w:color="000000" w:sz="12" w:space="0"/>
              <w:bottom w:val="single" w:color="000000" w:sz="8" w:space="0"/>
              <w:right w:val="single" w:color="000000" w:sz="8" w:space="0"/>
            </w:tcBorders>
            <w:tcMar>
              <w:left w:w="96" w:type="dxa"/>
              <w:top w:w="45" w:type="dxa"/>
              <w:right w:w="96" w:type="dxa"/>
              <w:bottom w:w="45" w:type="dxa"/>
            </w:tcMar>
            <w:tcW w:w="51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85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产品技术要求</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34</w:t>
            </w:r>
            <w:r>
              <w:rPr>
                <w:color w:val="auto"/>
              </w:rPr>
            </w:r>
            <w:r/>
          </w:p>
        </w:tc>
        <w:tc>
          <w:tcPr>
            <w:tcBorders>
              <w:top w:val="none" w:color="000000" w:sz="4" w:space="0"/>
              <w:left w:val="none" w:color="000000" w:sz="4" w:space="0"/>
              <w:bottom w:val="single" w:color="000000" w:sz="8" w:space="0"/>
              <w:right w:val="single" w:color="000000" w:sz="12" w:space="0"/>
            </w:tcBorders>
            <w:tcMar>
              <w:left w:w="96" w:type="dxa"/>
              <w:top w:w="45" w:type="dxa"/>
              <w:right w:w="96" w:type="dxa"/>
              <w:bottom w:w="45" w:type="dxa"/>
            </w:tcMar>
            <w:tcW w:w="6967"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关键指标要求（标注</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）为评分项（需提供官方产品彩页</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数据手册</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功能截图等相关佐证资料），每有一个符合要求的得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分，满分</w:t>
            </w:r>
            <w:r>
              <w:rPr>
                <w:rFonts w:ascii="Times New Roman" w:hAnsi="Times New Roman" w:eastAsia="Times New Roman" w:cs="Times New Roman"/>
                <w:color w:val="auto"/>
                <w:sz w:val="24"/>
              </w:rPr>
              <w:t xml:space="preserve">34</w:t>
            </w:r>
            <w:r>
              <w:rPr>
                <w:rFonts w:ascii="FangSong" w:hAnsi="FangSong" w:eastAsia="FangSong" w:cs="FangSong"/>
                <w:color w:val="auto"/>
                <w:sz w:val="24"/>
              </w:rPr>
              <w:t xml:space="preserve">分。</w:t>
            </w:r>
            <w:r>
              <w:rPr>
                <w:color w:val="auto"/>
              </w:rPr>
            </w:r>
            <w:r/>
          </w:p>
        </w:tc>
      </w:tr>
      <w:tr>
        <w:trPr/>
        <w:tc>
          <w:tcPr>
            <w:tcBorders>
              <w:top w:val="none" w:color="000000" w:sz="4" w:space="0"/>
              <w:left w:val="single" w:color="000000" w:sz="12" w:space="0"/>
              <w:bottom w:val="single" w:color="000000" w:sz="8" w:space="0"/>
              <w:right w:val="single" w:color="000000" w:sz="8" w:space="0"/>
            </w:tcBorders>
            <w:tcMar>
              <w:left w:w="96" w:type="dxa"/>
              <w:top w:w="45" w:type="dxa"/>
              <w:right w:w="96" w:type="dxa"/>
              <w:bottom w:w="45" w:type="dxa"/>
            </w:tcMar>
            <w:tcW w:w="51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三</w:t>
            </w:r>
            <w:r>
              <w:rPr>
                <w:color w:val="auto"/>
              </w:rPr>
            </w:r>
            <w:r/>
          </w:p>
        </w:tc>
        <w:tc>
          <w:tcPr>
            <w:gridSpan w:val="3"/>
            <w:tcBorders>
              <w:top w:val="none" w:color="000000" w:sz="4" w:space="0"/>
              <w:left w:val="none" w:color="000000" w:sz="4" w:space="0"/>
              <w:bottom w:val="single" w:color="000000" w:sz="8" w:space="0"/>
              <w:right w:val="single" w:color="000000" w:sz="12" w:space="0"/>
            </w:tcBorders>
            <w:tcMar>
              <w:left w:w="96" w:type="dxa"/>
              <w:top w:w="45" w:type="dxa"/>
              <w:right w:w="96" w:type="dxa"/>
              <w:bottom w:w="45" w:type="dxa"/>
            </w:tcMar>
            <w:tcW w:w="8812" w:type="dxa"/>
            <w:vAlign w:val="center"/>
            <w:textDirection w:val="lrTb"/>
            <w:noWrap w:val="false"/>
          </w:tcPr>
          <w:p>
            <w:pPr>
              <w:ind w:left="-78" w:right="-73"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商务部分（满分</w:t>
            </w:r>
            <w:r>
              <w:rPr>
                <w:rFonts w:ascii="Times New Roman" w:hAnsi="Times New Roman" w:eastAsia="Times New Roman" w:cs="Times New Roman"/>
                <w:color w:val="auto"/>
                <w:sz w:val="24"/>
              </w:rPr>
              <w:t xml:space="preserve">36</w:t>
            </w:r>
            <w:r>
              <w:rPr>
                <w:rFonts w:ascii="SimHei" w:hAnsi="SimHei" w:eastAsia="SimHei" w:cs="SimHei"/>
                <w:color w:val="auto"/>
                <w:sz w:val="24"/>
              </w:rPr>
              <w:t xml:space="preserve">分）</w:t>
            </w:r>
            <w:r>
              <w:rPr>
                <w:color w:val="auto"/>
              </w:rPr>
            </w:r>
            <w:r/>
          </w:p>
        </w:tc>
      </w:tr>
      <w:tr>
        <w:trPr/>
        <w:tc>
          <w:tcPr>
            <w:tcBorders>
              <w:top w:val="none" w:color="000000" w:sz="4" w:space="0"/>
              <w:left w:val="single" w:color="000000" w:sz="12" w:space="0"/>
              <w:bottom w:val="single" w:color="000000" w:sz="8" w:space="0"/>
              <w:right w:val="single" w:color="000000" w:sz="8" w:space="0"/>
            </w:tcBorders>
            <w:tcMar>
              <w:left w:w="96" w:type="dxa"/>
              <w:top w:w="45" w:type="dxa"/>
              <w:right w:w="96" w:type="dxa"/>
              <w:bottom w:w="45" w:type="dxa"/>
            </w:tcMar>
            <w:tcW w:w="51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85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建设方案</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w:t>
            </w:r>
            <w:r>
              <w:rPr>
                <w:color w:val="auto"/>
              </w:rPr>
            </w:r>
            <w:r/>
          </w:p>
        </w:tc>
        <w:tc>
          <w:tcPr>
            <w:tcBorders>
              <w:top w:val="none" w:color="000000" w:sz="4" w:space="0"/>
              <w:left w:val="none" w:color="000000" w:sz="4" w:space="0"/>
              <w:bottom w:val="single" w:color="000000" w:sz="8" w:space="0"/>
              <w:right w:val="single" w:color="000000" w:sz="12" w:space="0"/>
            </w:tcBorders>
            <w:tcMar>
              <w:left w:w="96" w:type="dxa"/>
              <w:top w:w="45" w:type="dxa"/>
              <w:right w:w="96" w:type="dxa"/>
              <w:bottom w:w="45" w:type="dxa"/>
            </w:tcMar>
            <w:tcW w:w="6967"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评委根据投标人提供的整体建设方案（须包含建设目标、原则、内容、周期、需求分析、总体架构、功能实现等）进行综合评分，评分将依据以下三个方面：</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内容完整性与贴合度</w:t>
            </w:r>
            <w:r>
              <w:rPr>
                <w:rFonts w:ascii="FangSong" w:hAnsi="FangSong" w:eastAsia="FangSong" w:cs="FangSong"/>
                <w:color w:val="auto"/>
                <w:sz w:val="24"/>
              </w:rPr>
              <w:t xml:space="preserve">（</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分），方案需完整涵盖招标要求并针对性分析采购人现状与需求，完全满足得</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分，部分缺失得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分，严重缺失得</w:t>
            </w:r>
            <w:r>
              <w:rPr>
                <w:rFonts w:ascii="Times New Roman" w:hAnsi="Times New Roman" w:eastAsia="Times New Roman" w:cs="Times New Roman"/>
                <w:color w:val="auto"/>
                <w:sz w:val="24"/>
              </w:rPr>
              <w:t xml:space="preserve">0</w:t>
            </w:r>
            <w:r>
              <w:rPr>
                <w:rFonts w:ascii="FangSong" w:hAnsi="FangSong" w:eastAsia="FangSong" w:cs="FangSong"/>
                <w:color w:val="auto"/>
                <w:sz w:val="24"/>
              </w:rPr>
              <w:t xml:space="preserve">分；</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技术架构合理性与可行性</w:t>
            </w:r>
            <w:r>
              <w:rPr>
                <w:rFonts w:ascii="FangSong" w:hAnsi="FangSong" w:eastAsia="FangSong" w:cs="FangSong"/>
                <w:color w:val="auto"/>
                <w:sz w:val="24"/>
              </w:rPr>
              <w:t xml:space="preserve">（</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分），方案需设计科学、技术路线清晰、计划具体可行，完全满足得</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分，合理性一般得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分，有明显缺陷得</w:t>
            </w:r>
            <w:r>
              <w:rPr>
                <w:rFonts w:ascii="Times New Roman" w:hAnsi="Times New Roman" w:eastAsia="Times New Roman" w:cs="Times New Roman"/>
                <w:color w:val="auto"/>
                <w:sz w:val="24"/>
              </w:rPr>
              <w:t xml:space="preserve">0</w:t>
            </w:r>
            <w:r>
              <w:rPr>
                <w:rFonts w:ascii="FangSong" w:hAnsi="FangSong" w:eastAsia="FangSong" w:cs="FangSong"/>
                <w:color w:val="auto"/>
                <w:sz w:val="24"/>
              </w:rPr>
              <w:t xml:space="preserve">分；</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方案针对性与创新性</w:t>
            </w:r>
            <w:r>
              <w:rPr>
                <w:rFonts w:ascii="FangSong" w:hAnsi="FangSong" w:eastAsia="FangSong" w:cs="FangSong"/>
                <w:color w:val="auto"/>
                <w:sz w:val="24"/>
              </w:rPr>
              <w:t xml:space="preserve">（</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分），方案需紧密贴合项目场景并对重难点提出创新优化措施，完全满足得</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分，针对性一般得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分，缺乏针对性得</w:t>
            </w:r>
            <w:r>
              <w:rPr>
                <w:rFonts w:ascii="Times New Roman" w:hAnsi="Times New Roman" w:eastAsia="Times New Roman" w:cs="Times New Roman"/>
                <w:color w:val="auto"/>
                <w:sz w:val="24"/>
              </w:rPr>
              <w:t xml:space="preserve">0</w:t>
            </w:r>
            <w:r>
              <w:rPr>
                <w:rFonts w:ascii="FangSong" w:hAnsi="FangSong" w:eastAsia="FangSong" w:cs="FangSong"/>
                <w:color w:val="auto"/>
                <w:sz w:val="24"/>
              </w:rPr>
              <w:t xml:space="preserve">分。</w:t>
            </w:r>
            <w:r>
              <w:rPr>
                <w:color w:val="auto"/>
              </w:rPr>
            </w:r>
            <w:r/>
          </w:p>
        </w:tc>
      </w:tr>
      <w:tr>
        <w:trPr/>
        <w:tc>
          <w:tcPr>
            <w:tcBorders>
              <w:top w:val="none" w:color="000000" w:sz="4" w:space="0"/>
              <w:left w:val="single" w:color="000000" w:sz="12" w:space="0"/>
              <w:bottom w:val="single" w:color="000000" w:sz="8" w:space="0"/>
              <w:right w:val="single" w:color="000000" w:sz="8" w:space="0"/>
            </w:tcBorders>
            <w:tcMar>
              <w:left w:w="96" w:type="dxa"/>
              <w:top w:w="45" w:type="dxa"/>
              <w:right w:w="96" w:type="dxa"/>
              <w:bottom w:w="45" w:type="dxa"/>
            </w:tcMar>
            <w:tcW w:w="51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85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实施方案</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w:t>
            </w:r>
            <w:r>
              <w:rPr>
                <w:color w:val="auto"/>
              </w:rPr>
            </w:r>
            <w:r/>
          </w:p>
        </w:tc>
        <w:tc>
          <w:tcPr>
            <w:tcBorders>
              <w:top w:val="none" w:color="000000" w:sz="4" w:space="0"/>
              <w:left w:val="none" w:color="000000" w:sz="4" w:space="0"/>
              <w:bottom w:val="single" w:color="000000" w:sz="8" w:space="0"/>
              <w:right w:val="single" w:color="000000" w:sz="12" w:space="0"/>
            </w:tcBorders>
            <w:tcMar>
              <w:left w:w="96" w:type="dxa"/>
              <w:top w:w="45" w:type="dxa"/>
              <w:right w:w="96" w:type="dxa"/>
              <w:bottom w:w="45" w:type="dxa"/>
            </w:tcMar>
            <w:tcW w:w="6967"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评委根据投标人提供的整体实施方案（须包含总体推进计划、质量保证计划、信息安全管理、进度计划、团队组织结构、测试阶段方案、交付及维护方案等）进行综合评分，评分将依据以下三个方面：</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内容全面性与贴合度</w:t>
            </w:r>
            <w:r>
              <w:rPr>
                <w:rFonts w:ascii="FangSong" w:hAnsi="FangSong" w:eastAsia="FangSong" w:cs="FangSong"/>
                <w:color w:val="auto"/>
                <w:sz w:val="24"/>
              </w:rPr>
              <w:t xml:space="preserve">（</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分），方案需完整涵盖招标要求的全部要素，并紧密结合项目实际需求进行规划，完全满足得</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分，部分缺失或结合度一般得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分，严重缺失或脱离实际得</w:t>
            </w:r>
            <w:r>
              <w:rPr>
                <w:rFonts w:ascii="Times New Roman" w:hAnsi="Times New Roman" w:eastAsia="Times New Roman" w:cs="Times New Roman"/>
                <w:color w:val="auto"/>
                <w:sz w:val="24"/>
              </w:rPr>
              <w:t xml:space="preserve">0</w:t>
            </w:r>
            <w:r>
              <w:rPr>
                <w:rFonts w:ascii="FangSong" w:hAnsi="FangSong" w:eastAsia="FangSong" w:cs="FangSong"/>
                <w:color w:val="auto"/>
                <w:sz w:val="24"/>
              </w:rPr>
              <w:t xml:space="preserve">分；</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计划合理性与可行性</w:t>
            </w:r>
            <w:r>
              <w:rPr>
                <w:rFonts w:ascii="FangSong" w:hAnsi="FangSong" w:eastAsia="FangSong" w:cs="FangSong"/>
                <w:color w:val="auto"/>
                <w:sz w:val="24"/>
              </w:rPr>
              <w:t xml:space="preserve">（</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分），推进计划与进度安排科学合理，团队结构匹配、职责清晰，各项计划具备可操作性，完全满足得</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分，合理性或可行性一般得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分，存在明显缺陷得</w:t>
            </w:r>
            <w:r>
              <w:rPr>
                <w:rFonts w:ascii="Times New Roman" w:hAnsi="Times New Roman" w:eastAsia="Times New Roman" w:cs="Times New Roman"/>
                <w:color w:val="auto"/>
                <w:sz w:val="24"/>
              </w:rPr>
              <w:t xml:space="preserve">0</w:t>
            </w:r>
            <w:r>
              <w:rPr>
                <w:rFonts w:ascii="FangSong" w:hAnsi="FangSong" w:eastAsia="FangSong" w:cs="FangSong"/>
                <w:color w:val="auto"/>
                <w:sz w:val="24"/>
              </w:rPr>
              <w:t xml:space="preserve">分；</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质量与风险控制能力</w:t>
            </w:r>
            <w:r>
              <w:rPr>
                <w:rFonts w:ascii="FangSong" w:hAnsi="FangSong" w:eastAsia="FangSong" w:cs="FangSong"/>
                <w:color w:val="auto"/>
                <w:sz w:val="24"/>
              </w:rPr>
              <w:t xml:space="preserve">（</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分），质量保证、信息安全、测试验收及维护方案具体有效，针对项目重点环节有可靠保障措施，完全满足得</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分，措施较为笼统得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分，缺乏有效控制措施得</w:t>
            </w:r>
            <w:r>
              <w:rPr>
                <w:rFonts w:ascii="Times New Roman" w:hAnsi="Times New Roman" w:eastAsia="Times New Roman" w:cs="Times New Roman"/>
                <w:color w:val="auto"/>
                <w:sz w:val="24"/>
              </w:rPr>
              <w:t xml:space="preserve">0</w:t>
            </w:r>
            <w:r>
              <w:rPr>
                <w:rFonts w:ascii="FangSong" w:hAnsi="FangSong" w:eastAsia="FangSong" w:cs="FangSong"/>
                <w:color w:val="auto"/>
                <w:sz w:val="24"/>
              </w:rPr>
              <w:t xml:space="preserve">分。</w:t>
            </w:r>
            <w:r>
              <w:rPr>
                <w:color w:val="auto"/>
              </w:rPr>
            </w:r>
            <w:r/>
          </w:p>
        </w:tc>
      </w:tr>
      <w:tr>
        <w:trPr/>
        <w:tc>
          <w:tcPr>
            <w:tcBorders>
              <w:top w:val="none" w:color="000000" w:sz="4" w:space="0"/>
              <w:left w:val="single" w:color="000000" w:sz="12" w:space="0"/>
              <w:bottom w:val="single" w:color="000000" w:sz="8" w:space="0"/>
              <w:right w:val="single" w:color="000000" w:sz="8" w:space="0"/>
            </w:tcBorders>
            <w:tcMar>
              <w:left w:w="96" w:type="dxa"/>
              <w:top w:w="45" w:type="dxa"/>
              <w:right w:w="96" w:type="dxa"/>
              <w:bottom w:w="45" w:type="dxa"/>
            </w:tcMar>
            <w:tcW w:w="51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85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售后服务方案</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w:t>
            </w:r>
            <w:r>
              <w:rPr>
                <w:color w:val="auto"/>
              </w:rPr>
            </w:r>
            <w:r/>
          </w:p>
        </w:tc>
        <w:tc>
          <w:tcPr>
            <w:tcBorders>
              <w:top w:val="none" w:color="000000" w:sz="4" w:space="0"/>
              <w:left w:val="none" w:color="000000" w:sz="4" w:space="0"/>
              <w:bottom w:val="single" w:color="000000" w:sz="8" w:space="0"/>
              <w:right w:val="single" w:color="000000" w:sz="12" w:space="0"/>
            </w:tcBorders>
            <w:tcMar>
              <w:left w:w="96" w:type="dxa"/>
              <w:top w:w="45" w:type="dxa"/>
              <w:right w:w="96" w:type="dxa"/>
              <w:bottom w:w="45" w:type="dxa"/>
            </w:tcMar>
            <w:tcW w:w="6967"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评委根据投标人提供的质保售后服务方案（须包括售后服务方式、体系、人员安排、具体措施、响应时间等）进行综合评分，评分将依据以下三个方面：</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服务响应与保障措施</w:t>
            </w:r>
            <w:r>
              <w:rPr>
                <w:rFonts w:ascii="FangSong" w:hAnsi="FangSong" w:eastAsia="FangSong" w:cs="FangSong"/>
                <w:color w:val="auto"/>
                <w:sz w:val="24"/>
              </w:rPr>
              <w:t xml:space="preserve">（</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分），方案中明确具体的服务方式、故障响应与解决时限承诺（应优于或满足招标要求），并具备完备的备品备件、本地化服务等保障机制，完全满足得</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分，部分承诺较笼统或保障机制一般得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分，无明确承诺或保障措施不足得</w:t>
            </w:r>
            <w:r>
              <w:rPr>
                <w:rFonts w:ascii="Times New Roman" w:hAnsi="Times New Roman" w:eastAsia="Times New Roman" w:cs="Times New Roman"/>
                <w:color w:val="auto"/>
                <w:sz w:val="24"/>
              </w:rPr>
              <w:t xml:space="preserve">0</w:t>
            </w:r>
            <w:r>
              <w:rPr>
                <w:rFonts w:ascii="FangSong" w:hAnsi="FangSong" w:eastAsia="FangSong" w:cs="FangSong"/>
                <w:color w:val="auto"/>
                <w:sz w:val="24"/>
              </w:rPr>
              <w:t xml:space="preserve">分；</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体系与人员专业性</w:t>
            </w:r>
            <w:r>
              <w:rPr>
                <w:rFonts w:ascii="FangSong" w:hAnsi="FangSong" w:eastAsia="FangSong" w:cs="FangSong"/>
                <w:color w:val="auto"/>
                <w:sz w:val="24"/>
              </w:rPr>
              <w:t xml:space="preserve">（</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分），售后服务体系健全、流程清晰，服务人员配置合理、职责明确且具备相应资质或经验，完全满足得</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分，体系或人员配置合理性一般得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分，存在明显缺陷得</w:t>
            </w:r>
            <w:r>
              <w:rPr>
                <w:rFonts w:ascii="Times New Roman" w:hAnsi="Times New Roman" w:eastAsia="Times New Roman" w:cs="Times New Roman"/>
                <w:color w:val="auto"/>
                <w:sz w:val="24"/>
              </w:rPr>
              <w:t xml:space="preserve">0</w:t>
            </w:r>
            <w:r>
              <w:rPr>
                <w:rFonts w:ascii="FangSong" w:hAnsi="FangSong" w:eastAsia="FangSong" w:cs="FangSong"/>
                <w:color w:val="auto"/>
                <w:sz w:val="24"/>
              </w:rPr>
              <w:t xml:space="preserve">分；</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方案完整性与增值性</w:t>
            </w:r>
            <w:r>
              <w:rPr>
                <w:rFonts w:ascii="FangSong" w:hAnsi="FangSong" w:eastAsia="FangSong" w:cs="FangSong"/>
                <w:color w:val="auto"/>
                <w:sz w:val="24"/>
              </w:rPr>
              <w:t xml:space="preserve">（</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分），方案内容全面，对招标要求的各项服务需求均有针对性措施，并提供了切实可行的培训、巡检、优化等增值服务，完全满足得</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分，内容完整但增值性一般得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分，内容缺失或无增值性体现得</w:t>
            </w:r>
            <w:r>
              <w:rPr>
                <w:rFonts w:ascii="Times New Roman" w:hAnsi="Times New Roman" w:eastAsia="Times New Roman" w:cs="Times New Roman"/>
                <w:color w:val="auto"/>
                <w:sz w:val="24"/>
              </w:rPr>
              <w:t xml:space="preserve">0</w:t>
            </w:r>
            <w:r>
              <w:rPr>
                <w:rFonts w:ascii="FangSong" w:hAnsi="FangSong" w:eastAsia="FangSong" w:cs="FangSong"/>
                <w:color w:val="auto"/>
                <w:sz w:val="24"/>
              </w:rPr>
              <w:t xml:space="preserve">分。</w:t>
            </w:r>
            <w:r>
              <w:rPr>
                <w:color w:val="auto"/>
              </w:rPr>
            </w:r>
            <w:r/>
          </w:p>
        </w:tc>
      </w:tr>
      <w:tr>
        <w:trPr/>
        <w:tc>
          <w:tcPr>
            <w:tcBorders>
              <w:top w:val="none" w:color="000000" w:sz="4" w:space="0"/>
              <w:left w:val="single" w:color="000000" w:sz="12" w:space="0"/>
              <w:bottom w:val="single" w:color="000000" w:sz="8" w:space="0"/>
              <w:right w:val="single" w:color="000000" w:sz="8" w:space="0"/>
            </w:tcBorders>
            <w:tcMar>
              <w:left w:w="96" w:type="dxa"/>
              <w:top w:w="45" w:type="dxa"/>
              <w:right w:w="96" w:type="dxa"/>
              <w:bottom w:w="45" w:type="dxa"/>
            </w:tcMar>
            <w:tcW w:w="51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85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人员资质</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992" w:type="dxa"/>
            <w:vAlign w:val="center"/>
            <w:textDirection w:val="lrTb"/>
            <w:noWrap w:val="false"/>
          </w:tcPr>
          <w:p>
            <w:pPr>
              <w:ind w:left="-78" w:right="-73"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w:t>
            </w:r>
            <w:r>
              <w:rPr>
                <w:color w:val="auto"/>
              </w:rPr>
            </w:r>
            <w:r/>
          </w:p>
        </w:tc>
        <w:tc>
          <w:tcPr>
            <w:tcBorders>
              <w:top w:val="none" w:color="000000" w:sz="4" w:space="0"/>
              <w:left w:val="none" w:color="000000" w:sz="4" w:space="0"/>
              <w:bottom w:val="single" w:color="000000" w:sz="8" w:space="0"/>
              <w:right w:val="single" w:color="000000" w:sz="12" w:space="0"/>
            </w:tcBorders>
            <w:tcMar>
              <w:left w:w="96" w:type="dxa"/>
              <w:top w:w="45" w:type="dxa"/>
              <w:right w:w="96" w:type="dxa"/>
              <w:bottom w:w="45" w:type="dxa"/>
            </w:tcMar>
            <w:tcW w:w="6967"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项目负责人或技术负责人或项目组其他成员，具有二级及以上建造师（机电工程或通信与广电工程专业，注册单位为投标人）或电子信息、通信、计算机类相关专业中级及以上职称或住建部门核发的有效安全生产考核合格证书（建安</w:t>
            </w:r>
            <w:r>
              <w:rPr>
                <w:rFonts w:ascii="Times New Roman" w:hAnsi="Times New Roman" w:eastAsia="Times New Roman" w:cs="Times New Roman"/>
                <w:color w:val="auto"/>
                <w:sz w:val="24"/>
              </w:rPr>
              <w:t xml:space="preserve">B</w:t>
            </w:r>
            <w:r>
              <w:rPr>
                <w:rFonts w:ascii="FangSong" w:hAnsi="FangSong" w:eastAsia="FangSong" w:cs="FangSong"/>
                <w:color w:val="auto"/>
                <w:sz w:val="24"/>
              </w:rPr>
              <w:t xml:space="preserve">证或建安</w:t>
            </w:r>
            <w:r>
              <w:rPr>
                <w:rFonts w:ascii="Times New Roman" w:hAnsi="Times New Roman" w:eastAsia="Times New Roman" w:cs="Times New Roman"/>
                <w:color w:val="auto"/>
                <w:sz w:val="24"/>
              </w:rPr>
              <w:t xml:space="preserve">C</w:t>
            </w:r>
            <w:r>
              <w:rPr>
                <w:rFonts w:ascii="FangSong" w:hAnsi="FangSong" w:eastAsia="FangSong" w:cs="FangSong"/>
                <w:color w:val="auto"/>
                <w:sz w:val="24"/>
              </w:rPr>
              <w:t xml:space="preserve">证），每人次得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分，同一人持多证不重复计分，本项最多得</w:t>
            </w:r>
            <w:r>
              <w:rPr>
                <w:rFonts w:ascii="Times New Roman" w:hAnsi="Times New Roman" w:eastAsia="Times New Roman" w:cs="Times New Roman"/>
                <w:color w:val="auto"/>
                <w:sz w:val="24"/>
              </w:rPr>
              <w:t xml:space="preserve">5</w:t>
            </w:r>
            <w:r>
              <w:rPr>
                <w:rFonts w:ascii="FangSong" w:hAnsi="FangSong" w:eastAsia="FangSong" w:cs="FangSong"/>
                <w:color w:val="auto"/>
                <w:sz w:val="24"/>
              </w:rPr>
              <w:t xml:space="preserve">分。</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备注：项目负责人、技术负责人、项目组其他成员不得同时兼任。须提供相关证书扫描件或注册信息查询截图及投标人为其缴纳的投标截止时间前</w:t>
            </w:r>
            <w:r>
              <w:rPr>
                <w:rFonts w:ascii="Times New Roman" w:hAnsi="Times New Roman" w:eastAsia="Times New Roman" w:cs="Times New Roman"/>
                <w:color w:val="auto"/>
                <w:sz w:val="24"/>
              </w:rPr>
              <w:t xml:space="preserve">3</w:t>
            </w:r>
            <w:r>
              <w:rPr>
                <w:rFonts w:ascii="FangSong" w:hAnsi="FangSong" w:eastAsia="FangSong" w:cs="FangSong"/>
                <w:color w:val="auto"/>
                <w:sz w:val="24"/>
              </w:rPr>
              <w:t xml:space="preserve">个月内任意</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个月的社保证明材料扫描件（扫描件加盖公章），否则不得分。</w:t>
            </w:r>
            <w:r>
              <w:rPr>
                <w:color w:val="auto"/>
              </w:rPr>
            </w:r>
            <w:r/>
          </w:p>
        </w:tc>
      </w:tr>
      <w:tr>
        <w:trPr>
          <w:trHeight w:val="2442"/>
        </w:trPr>
        <w:tc>
          <w:tcPr>
            <w:tcBorders>
              <w:top w:val="none" w:color="000000" w:sz="4" w:space="0"/>
              <w:left w:val="single" w:color="000000" w:sz="12" w:space="0"/>
              <w:bottom w:val="single" w:color="000000" w:sz="8" w:space="0"/>
              <w:right w:val="single" w:color="000000" w:sz="8" w:space="0"/>
            </w:tcBorders>
            <w:tcMar>
              <w:left w:w="96" w:type="dxa"/>
              <w:top w:w="45" w:type="dxa"/>
              <w:right w:w="96" w:type="dxa"/>
              <w:bottom w:w="45" w:type="dxa"/>
            </w:tcMar>
            <w:tcW w:w="51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7</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85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人员培训</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w:t>
            </w:r>
            <w:r>
              <w:rPr>
                <w:color w:val="auto"/>
              </w:rPr>
            </w:r>
            <w:r/>
          </w:p>
        </w:tc>
        <w:tc>
          <w:tcPr>
            <w:tcBorders>
              <w:top w:val="none" w:color="000000" w:sz="4" w:space="0"/>
              <w:left w:val="none" w:color="000000" w:sz="4" w:space="0"/>
              <w:bottom w:val="single" w:color="000000" w:sz="8" w:space="0"/>
              <w:right w:val="single" w:color="000000" w:sz="12" w:space="0"/>
            </w:tcBorders>
            <w:tcMar>
              <w:left w:w="96" w:type="dxa"/>
              <w:top w:w="45" w:type="dxa"/>
              <w:right w:w="96" w:type="dxa"/>
              <w:bottom w:w="45" w:type="dxa"/>
            </w:tcMar>
            <w:tcW w:w="6967"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投标人应根据本项目情况，提供完善的项目培训计划和培训方案，包括人员安排、培训内容（含培训材料）及时间安排等方面，评委根据培训方案进行评价。</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针对整体人员培训方案中的每项内容，培训方案全面、可操作性强的得</w:t>
            </w:r>
            <w:r>
              <w:rPr>
                <w:rFonts w:ascii="Times New Roman" w:hAnsi="Times New Roman" w:eastAsia="Times New Roman" w:cs="Times New Roman"/>
                <w:color w:val="auto"/>
                <w:sz w:val="24"/>
              </w:rPr>
              <w:t xml:space="preserve">5</w:t>
            </w:r>
            <w:r>
              <w:rPr>
                <w:rFonts w:ascii="FangSong" w:hAnsi="FangSong" w:eastAsia="FangSong" w:cs="FangSong"/>
                <w:color w:val="auto"/>
                <w:sz w:val="24"/>
              </w:rPr>
              <w:t xml:space="preserve">分；方案可行、具有可操作性的得</w:t>
            </w:r>
            <w:r>
              <w:rPr>
                <w:rFonts w:ascii="Times New Roman" w:hAnsi="Times New Roman" w:eastAsia="Times New Roman" w:cs="Times New Roman"/>
                <w:color w:val="auto"/>
                <w:sz w:val="24"/>
              </w:rPr>
              <w:t xml:space="preserve">3</w:t>
            </w:r>
            <w:r>
              <w:rPr>
                <w:rFonts w:ascii="FangSong" w:hAnsi="FangSong" w:eastAsia="FangSong" w:cs="FangSong"/>
                <w:color w:val="auto"/>
                <w:sz w:val="24"/>
              </w:rPr>
              <w:t xml:space="preserve">分；培训方案一般、可操作性一般的得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分；方案无实质性内容、服务响应及时性较差、没有可操作性的得</w:t>
            </w:r>
            <w:r>
              <w:rPr>
                <w:rFonts w:ascii="Times New Roman" w:hAnsi="Times New Roman" w:eastAsia="Times New Roman" w:cs="Times New Roman"/>
                <w:color w:val="auto"/>
                <w:sz w:val="24"/>
              </w:rPr>
              <w:t xml:space="preserve">0</w:t>
            </w:r>
            <w:r>
              <w:rPr>
                <w:rFonts w:ascii="FangSong" w:hAnsi="FangSong" w:eastAsia="FangSong" w:cs="FangSong"/>
                <w:color w:val="auto"/>
                <w:sz w:val="24"/>
              </w:rPr>
              <w:t xml:space="preserve">分。本项总计</w:t>
            </w:r>
            <w:r>
              <w:rPr>
                <w:rFonts w:ascii="Times New Roman" w:hAnsi="Times New Roman" w:eastAsia="Times New Roman" w:cs="Times New Roman"/>
                <w:color w:val="auto"/>
                <w:sz w:val="24"/>
              </w:rPr>
              <w:t xml:space="preserve">5</w:t>
            </w:r>
            <w:r>
              <w:rPr>
                <w:rFonts w:ascii="FangSong" w:hAnsi="FangSong" w:eastAsia="FangSong" w:cs="FangSong"/>
                <w:color w:val="auto"/>
                <w:sz w:val="24"/>
              </w:rPr>
              <w:t xml:space="preserve">分。</w:t>
            </w:r>
            <w:r>
              <w:rPr>
                <w:color w:val="auto"/>
              </w:rPr>
            </w:r>
            <w:r/>
          </w:p>
        </w:tc>
      </w:tr>
      <w:tr>
        <w:trPr/>
        <w:tc>
          <w:tcPr>
            <w:tcBorders>
              <w:top w:val="none" w:color="000000" w:sz="4" w:space="0"/>
              <w:left w:val="single" w:color="000000" w:sz="12" w:space="0"/>
              <w:bottom w:val="single" w:color="000000" w:sz="8" w:space="0"/>
              <w:right w:val="single" w:color="000000" w:sz="8" w:space="0"/>
            </w:tcBorders>
            <w:tcMar>
              <w:left w:w="96" w:type="dxa"/>
              <w:top w:w="45" w:type="dxa"/>
              <w:right w:w="96" w:type="dxa"/>
              <w:bottom w:w="45" w:type="dxa"/>
            </w:tcMar>
            <w:tcW w:w="51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8</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85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项目业绩（仅针对该项目涉及的服务）</w:t>
            </w:r>
            <w:r>
              <w:rPr>
                <w:color w:val="auto"/>
              </w:rPr>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992" w:type="dxa"/>
            <w:vAlign w:val="center"/>
            <w:textDirection w:val="lrTb"/>
            <w:noWrap w:val="false"/>
          </w:tcPr>
          <w:p>
            <w:pPr>
              <w:ind w:left="-78" w:right="-73"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w:t>
            </w:r>
            <w:r>
              <w:rPr>
                <w:color w:val="auto"/>
              </w:rPr>
            </w:r>
            <w:r/>
          </w:p>
        </w:tc>
        <w:tc>
          <w:tcPr>
            <w:tcBorders>
              <w:top w:val="none" w:color="000000" w:sz="4" w:space="0"/>
              <w:left w:val="none" w:color="000000" w:sz="4" w:space="0"/>
              <w:bottom w:val="single" w:color="000000" w:sz="8" w:space="0"/>
              <w:right w:val="single" w:color="000000" w:sz="12" w:space="0"/>
            </w:tcBorders>
            <w:tcMar>
              <w:left w:w="96" w:type="dxa"/>
              <w:top w:w="45" w:type="dxa"/>
              <w:right w:w="96" w:type="dxa"/>
              <w:bottom w:w="45" w:type="dxa"/>
            </w:tcMar>
            <w:tcW w:w="6967"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近三年（自</w:t>
            </w:r>
            <w:r>
              <w:rPr>
                <w:rFonts w:ascii="Times New Roman" w:hAnsi="Times New Roman" w:eastAsia="Times New Roman" w:cs="Times New Roman"/>
                <w:color w:val="auto"/>
                <w:sz w:val="24"/>
              </w:rPr>
              <w:t xml:space="preserve">2023</w:t>
            </w:r>
            <w:r>
              <w:rPr>
                <w:rFonts w:ascii="FangSong" w:hAnsi="FangSong" w:eastAsia="FangSong" w:cs="FangSong"/>
                <w:color w:val="auto"/>
                <w:sz w:val="24"/>
              </w:rPr>
              <w:t xml:space="preserve">年</w:t>
            </w:r>
            <w:r>
              <w:rPr>
                <w:rFonts w:ascii="Times New Roman" w:hAnsi="Times New Roman" w:eastAsia="Times New Roman" w:cs="Times New Roman"/>
                <w:color w:val="auto"/>
                <w:sz w:val="24"/>
              </w:rPr>
              <w:t xml:space="preserve">6</w:t>
            </w:r>
            <w:r>
              <w:rPr>
                <w:rFonts w:ascii="FangSong" w:hAnsi="FangSong" w:eastAsia="FangSong" w:cs="FangSong"/>
                <w:color w:val="auto"/>
                <w:sz w:val="24"/>
              </w:rPr>
              <w:t xml:space="preserve">月以来，具体以合同签订时间为准），承担过各类弱电网络、监控、排队叫号及类似业务系统有关项目，每有一个得</w:t>
            </w: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分，最高得</w:t>
            </w:r>
            <w:r>
              <w:rPr>
                <w:rFonts w:ascii="Times New Roman" w:hAnsi="Times New Roman" w:eastAsia="Times New Roman" w:cs="Times New Roman"/>
                <w:color w:val="auto"/>
                <w:sz w:val="24"/>
              </w:rPr>
              <w:t xml:space="preserve">6</w:t>
            </w:r>
            <w:r>
              <w:rPr>
                <w:rFonts w:ascii="FangSong" w:hAnsi="FangSong" w:eastAsia="FangSong" w:cs="FangSong"/>
                <w:color w:val="auto"/>
                <w:sz w:val="24"/>
              </w:rPr>
              <w:t xml:space="preserve">分，需提供项目合同复印件及相应验收报告并加盖投标人公章，若提供的证明材料不能反映该业绩的相关数据和内容，该业绩不予认可。</w:t>
            </w:r>
            <w:r>
              <w:rPr>
                <w:color w:val="auto"/>
              </w:rPr>
            </w:r>
            <w:r/>
          </w:p>
        </w:tc>
      </w:tr>
      <w:tr>
        <w:trPr/>
        <w:tc>
          <w:tcPr>
            <w:tcBorders>
              <w:top w:val="none" w:color="000000" w:sz="4" w:space="0"/>
              <w:left w:val="single" w:color="000000" w:sz="12" w:space="0"/>
              <w:bottom w:val="single" w:color="000000" w:sz="12" w:space="0"/>
              <w:right w:val="single" w:color="000000" w:sz="8" w:space="0"/>
            </w:tcBorders>
            <w:tcMar>
              <w:left w:w="96" w:type="dxa"/>
              <w:top w:w="45" w:type="dxa"/>
              <w:right w:w="96" w:type="dxa"/>
              <w:bottom w:w="45" w:type="dxa"/>
            </w:tcMar>
            <w:tcW w:w="519"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9</w:t>
            </w:r>
            <w:r>
              <w:rPr>
                <w:color w:val="auto"/>
              </w:rPr>
            </w:r>
            <w:r/>
          </w:p>
        </w:tc>
        <w:tc>
          <w:tcPr>
            <w:tcBorders>
              <w:top w:val="none" w:color="000000" w:sz="4" w:space="0"/>
              <w:left w:val="none" w:color="000000" w:sz="4" w:space="0"/>
              <w:bottom w:val="single" w:color="000000" w:sz="12" w:space="0"/>
              <w:right w:val="single" w:color="000000" w:sz="8" w:space="0"/>
            </w:tcBorders>
            <w:tcMar>
              <w:left w:w="96" w:type="dxa"/>
              <w:top w:w="45" w:type="dxa"/>
              <w:right w:w="96" w:type="dxa"/>
              <w:bottom w:w="45" w:type="dxa"/>
            </w:tcMar>
            <w:tcW w:w="85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4"/>
              </w:rPr>
              <w:t xml:space="preserve">节能环保</w:t>
            </w:r>
            <w:r>
              <w:rPr>
                <w:color w:val="auto"/>
              </w:rPr>
            </w:r>
            <w:r/>
          </w:p>
        </w:tc>
        <w:tc>
          <w:tcPr>
            <w:tcBorders>
              <w:top w:val="none" w:color="000000" w:sz="4" w:space="0"/>
              <w:left w:val="none" w:color="000000" w:sz="4" w:space="0"/>
              <w:bottom w:val="single" w:color="000000" w:sz="12" w:space="0"/>
              <w:right w:val="single" w:color="000000" w:sz="8" w:space="0"/>
            </w:tcBorders>
            <w:tcMar>
              <w:left w:w="96" w:type="dxa"/>
              <w:top w:w="45" w:type="dxa"/>
              <w:right w:w="96" w:type="dxa"/>
              <w:bottom w:w="45"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color w:val="auto"/>
              </w:rPr>
            </w:r>
            <w:r/>
          </w:p>
        </w:tc>
        <w:tc>
          <w:tcPr>
            <w:tcBorders>
              <w:top w:val="none" w:color="000000" w:sz="4" w:space="0"/>
              <w:left w:val="none" w:color="000000" w:sz="4" w:space="0"/>
              <w:bottom w:val="single" w:color="000000" w:sz="12" w:space="0"/>
              <w:right w:val="single" w:color="000000" w:sz="12" w:space="0"/>
            </w:tcBorders>
            <w:tcMar>
              <w:left w:w="96" w:type="dxa"/>
              <w:top w:w="45" w:type="dxa"/>
              <w:right w:w="96" w:type="dxa"/>
              <w:bottom w:w="45" w:type="dxa"/>
            </w:tcMar>
            <w:tcW w:w="6967"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投标产品属于财政部、国家发改委公布的</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节能产品品目清单</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范围内的，投标人提供国家确定的认证机构出具的、处于有效期内的该节能产品认证证书复印件的，有</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个得</w:t>
            </w:r>
            <w:r>
              <w:rPr>
                <w:rFonts w:ascii="Times New Roman" w:hAnsi="Times New Roman" w:eastAsia="Times New Roman" w:cs="Times New Roman"/>
                <w:color w:val="auto"/>
                <w:sz w:val="24"/>
              </w:rPr>
              <w:t xml:space="preserve">0.5</w:t>
            </w:r>
            <w:r>
              <w:rPr>
                <w:rFonts w:ascii="FangSong" w:hAnsi="FangSong" w:eastAsia="FangSong" w:cs="FangSong"/>
                <w:color w:val="auto"/>
                <w:sz w:val="24"/>
              </w:rPr>
              <w:t xml:space="preserve">分，最多得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分。如投标产品均属于政府强制采购节能产品品目清单范围内，本项不得分。</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FangSong" w:hAnsi="FangSong" w:eastAsia="FangSong" w:cs="FangSong"/>
                <w:color w:val="auto"/>
                <w:sz w:val="24"/>
              </w:rPr>
              <w:t xml:space="preserve">投标产品属于财政部、生态环境部公布的</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环境标志产品品目清单</w:t>
            </w:r>
            <w:r>
              <w:rPr>
                <w:rFonts w:ascii="Times New Roman" w:hAnsi="Times New Roman" w:eastAsia="Times New Roman" w:cs="Times New Roman"/>
                <w:color w:val="auto"/>
                <w:sz w:val="24"/>
              </w:rPr>
              <w:t xml:space="preserve">”</w:t>
            </w:r>
            <w:r>
              <w:rPr>
                <w:rFonts w:ascii="FangSong" w:hAnsi="FangSong" w:eastAsia="FangSong" w:cs="FangSong"/>
                <w:color w:val="auto"/>
                <w:sz w:val="24"/>
              </w:rPr>
              <w:t xml:space="preserve">范围内的，投标人提供国家确定的认证机构出具的、处于有效期内的该环保产品认证证书复印件的，有</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个得</w:t>
            </w:r>
            <w:r>
              <w:rPr>
                <w:rFonts w:ascii="Times New Roman" w:hAnsi="Times New Roman" w:eastAsia="Times New Roman" w:cs="Times New Roman"/>
                <w:color w:val="auto"/>
                <w:sz w:val="24"/>
              </w:rPr>
              <w:t xml:space="preserve">0.5</w:t>
            </w:r>
            <w:r>
              <w:rPr>
                <w:rFonts w:ascii="FangSong" w:hAnsi="FangSong" w:eastAsia="FangSong" w:cs="FangSong"/>
                <w:color w:val="auto"/>
                <w:sz w:val="24"/>
              </w:rPr>
              <w:t xml:space="preserve">分，最多得</w:t>
            </w:r>
            <w:r>
              <w:rPr>
                <w:rFonts w:ascii="Times New Roman" w:hAnsi="Times New Roman" w:eastAsia="Times New Roman" w:cs="Times New Roman"/>
                <w:color w:val="auto"/>
                <w:sz w:val="24"/>
              </w:rPr>
              <w:t xml:space="preserve">1</w:t>
            </w:r>
            <w:r>
              <w:rPr>
                <w:rFonts w:ascii="FangSong" w:hAnsi="FangSong" w:eastAsia="FangSong" w:cs="FangSong"/>
                <w:color w:val="auto"/>
                <w:sz w:val="24"/>
              </w:rPr>
              <w:t xml:space="preserve">分。</w:t>
            </w:r>
            <w:r>
              <w:rPr>
                <w:color w:val="auto"/>
              </w:rPr>
            </w:r>
            <w:r/>
          </w:p>
        </w:tc>
      </w:tr>
    </w:tbl>
    <w:p>
      <w:pPr>
        <w:ind w:left="0" w:right="0" w:firstLine="0"/>
        <w:spacing w:before="240" w:after="240" w:line="360" w:lineRule="auto"/>
        <w:rPr>
          <w:color w:val="auto"/>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auto"/>
          <w:sz w:val="24"/>
        </w:rPr>
        <w:t xml:space="preserve"> </w:t>
      </w:r>
      <w:r>
        <w:rPr>
          <w:color w:val="auto"/>
        </w:rPr>
      </w:r>
      <w:r/>
    </w:p>
    <w:p>
      <w:pPr>
        <w:ind w:left="0" w:right="0" w:firstLine="1548"/>
        <w:spacing w:before="120" w:after="120" w:line="360" w:lineRule="auto"/>
        <w:rPr>
          <w:rFonts w:ascii="Calibri" w:hAnsi="Calibri" w:eastAsia="Calibri" w:cs="Calibri"/>
          <w:color w:val="auto"/>
          <w:sz w:val="21"/>
          <w:szCs w:val="21"/>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rPr>
        <w:t xml:space="preserve"> </w:t>
      </w:r>
      <w:r>
        <w:rPr>
          <w:color w:val="auto"/>
        </w:rPr>
      </w:r>
      <w:r/>
    </w:p>
    <w:p>
      <w:pPr>
        <w:ind w:left="0" w:right="0" w:firstLine="22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rPr>
        <w:t xml:space="preserve"> </w:t>
      </w:r>
      <w:r>
        <w:rPr>
          <w:color w:val="auto"/>
        </w:rPr>
      </w:r>
      <w:r/>
    </w:p>
    <w:p>
      <w:pPr>
        <w:ind w:left="0" w:right="0" w:firstLine="22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rPr>
        <w:t xml:space="preserve">第六章  投标文件格式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rPr>
        <w:t xml:space="preserve"> </w:t>
      </w:r>
      <w:r>
        <w:rPr>
          <w:color w:val="auto"/>
        </w:rPr>
      </w:r>
      <w:r/>
    </w:p>
    <w:p>
      <w:pPr>
        <w:ind w:left="0" w:right="0" w:firstLine="1836"/>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rPr>
        <w:t xml:space="preserve">投  标  文  件</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 </w:t>
      </w:r>
      <w:r>
        <w:rPr>
          <w:color w:val="auto"/>
        </w:rPr>
      </w:r>
      <w:r/>
    </w:p>
    <w:p>
      <w:pPr>
        <w:ind w:left="0" w:right="0" w:firstLine="1084"/>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项 目 名 称：</w:t>
      </w:r>
      <w:r>
        <w:rPr>
          <w:rFonts w:ascii="SimSun" w:hAnsi="SimSun" w:eastAsia="SimSun" w:cs="SimSun"/>
          <w:b/>
          <w:color w:val="auto"/>
          <w:sz w:val="36"/>
          <w:u w:val="single"/>
        </w:rPr>
        <w:t xml:space="preserve">               </w:t>
      </w:r>
      <w:r>
        <w:rPr>
          <w:color w:val="auto"/>
        </w:rPr>
      </w:r>
      <w:r/>
    </w:p>
    <w:p>
      <w:pPr>
        <w:ind w:left="0" w:right="0" w:firstLine="1084"/>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项 目 编 号：</w:t>
      </w:r>
      <w:r>
        <w:rPr>
          <w:rFonts w:ascii="SimSun" w:hAnsi="SimSun" w:eastAsia="SimSun" w:cs="SimSun"/>
          <w:b/>
          <w:color w:val="auto"/>
          <w:sz w:val="36"/>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      投标人名称 ：</w:t>
      </w:r>
      <w:r>
        <w:rPr>
          <w:rFonts w:ascii="SimSun" w:hAnsi="SimSun" w:eastAsia="SimSun" w:cs="SimSun"/>
          <w:b/>
          <w:color w:val="auto"/>
          <w:sz w:val="36"/>
          <w:u w:val="single"/>
        </w:rPr>
        <w:t xml:space="preserve">（加盖CA电子公章）</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      日      期 ：</w:t>
      </w:r>
      <w:r>
        <w:rPr>
          <w:rFonts w:ascii="SimSun" w:hAnsi="SimSun" w:eastAsia="SimSun" w:cs="SimSun"/>
          <w:b/>
          <w:color w:val="auto"/>
          <w:sz w:val="36"/>
          <w:u w:val="single"/>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single"/>
        </w:rPr>
        <w:t xml:space="preserve"> </w:t>
      </w:r>
      <w:r>
        <w:rPr>
          <w:color w:val="auto"/>
        </w:rPr>
      </w:r>
      <w:r/>
    </w:p>
    <w:p>
      <w:pPr>
        <w:ind w:left="0" w:right="0" w:firstLine="3253"/>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投标文件的组成</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 </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一、基本目录</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1.开标一览表（格式见附件1）</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2.投标分项报价表（格式见附件2）</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3.技术要求响应及偏离表（格式见附件3）</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4.商务要求响应及偏离表（格式见附件4）</w:t>
      </w:r>
      <w:r>
        <w:rPr>
          <w:color w:val="auto"/>
        </w:rPr>
      </w:r>
      <w:r/>
    </w:p>
    <w:p>
      <w:pPr>
        <w:ind w:left="482" w:right="0" w:firstLine="0"/>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二、资格审查内容</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1.法人或者其他组织的营业执照等证明文件，自然人的身份证明</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2.上一年度的财务状况报告（投标人成立不满一年无需提供）</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3.依法缴纳税收和社会保障资金的相关材料（提供提交投标文件截止时间前一年</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内至少一个月依法缴纳税收及缴纳社会保障资金的证明材料。投标人依法享受缓缴、免缴税收、社会保障资金的提供证明材料。）</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4.具备履行合同所必需的设备和专业技术能力的书面声明（格式见附件5）</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5.参加政府采购活动前 3 年内在经营活动中没有重大违法记录的书面声明（格式</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见附件6）</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6.特定资格要求的证明文件（如果本项目对投标人做出特定资格要求的，必须提供）</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7.法人授权书（格式见附件7）</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8.投标函（格式见附件8）</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9.中小微企业声明函（如果本项目专门面向中小微型企业采购，则必须提供。格式见附件9）</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10.残疾人福利性单位声明函（如果本项目专门面向中小微型企业采购，供应商为残疾人福利性单位并提供本单位制造的货物，或者提供其他残疾人福利性单位制造的货物，则必须提供。格式见附件10）</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总备注：上述“资格审查内容”中1-5条、7、8条投标人必须在投标文件中提供</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相关材料，否则作无效投标处理；6、9、10条如招标文件要求必须提供相关材料而未提供的，作无效投标处理。</w:t>
      </w:r>
      <w:r>
        <w:rPr>
          <w:color w:val="auto"/>
        </w:rPr>
      </w:r>
      <w:r/>
    </w:p>
    <w:p>
      <w:pPr>
        <w:ind w:left="482" w:right="0" w:firstLine="0"/>
        <w:jc w:val="both"/>
        <w:spacing w:before="145"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三、符合性审查内容</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投标人必须对技术要求和商务要求中加斜体下划线的实质性要求逐条做出响应，并按照招标文件要求提供证明材料，否则做无效投标处理。（格式见附件11）</w:t>
      </w:r>
      <w:r>
        <w:rPr>
          <w:color w:val="auto"/>
        </w:rPr>
      </w:r>
      <w:r/>
    </w:p>
    <w:p>
      <w:pPr>
        <w:ind w:left="0" w:right="0" w:firstLine="482"/>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四、价格扣除证明文件</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1.中小微企业声明函（格式见附件9）</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2.残疾人福利性单位声明函（格式见附件10）</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3.关于符合本国产品标准的声明函（格式见附件12）</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附件1 </w:t>
      </w:r>
      <w:r>
        <w:rPr>
          <w:color w:val="auto"/>
        </w:rPr>
      </w:r>
      <w:r/>
    </w:p>
    <w:p>
      <w:pPr>
        <w:ind w:left="0" w:right="0" w:firstLine="3313"/>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开标一览表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投标人全称（加盖CA电子签章）：</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分包号：</w:t>
      </w:r>
      <w:r>
        <w:rPr>
          <w:color w:val="auto"/>
        </w:rPr>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1"/>
        <w:gridCol w:w="663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6" w:type="dxa"/>
            <w:vAlign w:val="center"/>
            <w:textDirection w:val="lrTb"/>
            <w:noWrap w:val="false"/>
          </w:tcPr>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投标总报价</w:t>
            </w:r>
            <w:r>
              <w:rPr>
                <w:color w:val="auto"/>
              </w:rPr>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6"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小写：                             （人民币：元）</w:t>
            </w:r>
            <w:r>
              <w:rPr>
                <w:color w:val="auto"/>
              </w:rPr>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核心产品品牌</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6" w:type="dxa"/>
            <w:vAlign w:val="center"/>
            <w:textDirection w:val="lrTb"/>
            <w:noWrap w:val="false"/>
          </w:tcPr>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bl>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both"/>
        <w:spacing w:before="0" w:after="145" w:line="360" w:lineRule="auto"/>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附件2 </w:t>
      </w:r>
      <w:r>
        <w:rPr>
          <w:color w:val="auto"/>
        </w:rPr>
      </w:r>
      <w:r/>
    </w:p>
    <w:p>
      <w:pPr>
        <w:ind w:left="0" w:right="0" w:firstLine="0"/>
        <w:jc w:val="both"/>
        <w:spacing w:before="0" w:after="145" w:line="360" w:lineRule="auto"/>
        <w:rPr>
          <w:color w:val="auto"/>
          <w:sz w:val="24"/>
          <w:szCs w:val="24"/>
        </w:rPr>
        <w:pBdr>
          <w:top w:val="none" w:color="000000" w:sz="4" w:space="0"/>
          <w:left w:val="none" w:color="000000" w:sz="4" w:space="0"/>
          <w:bottom w:val="none" w:color="000000" w:sz="4" w:space="0"/>
          <w:right w:val="none" w:color="000000" w:sz="4" w:space="0"/>
        </w:pBdr>
      </w:pPr>
      <w:r>
        <w:rPr>
          <w:color w:val="auto"/>
          <w:sz w:val="24"/>
          <w:szCs w:val="24"/>
          <w:highlight w:val="none"/>
        </w:rPr>
        <w:t xml:space="preserve">请供应商分两部分（货物、服务）报价</w:t>
      </w:r>
      <w:r>
        <w:rPr>
          <w:color w:val="auto"/>
          <w:sz w:val="24"/>
          <w:szCs w:val="24"/>
          <w:highlight w:val="none"/>
        </w:rPr>
      </w:r>
      <w:r/>
    </w:p>
    <w:p>
      <w:pPr>
        <w:ind w:left="0" w:right="0" w:firstLine="2711"/>
        <w:jc w:val="both"/>
        <w:spacing w:before="0" w:after="29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投标分项报价表 </w:t>
      </w:r>
      <w:r>
        <w:rPr>
          <w:color w:val="auto"/>
        </w:rPr>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696"/>
        <w:gridCol w:w="613"/>
        <w:gridCol w:w="776"/>
        <w:gridCol w:w="968"/>
        <w:gridCol w:w="850"/>
        <w:gridCol w:w="1276"/>
        <w:gridCol w:w="850"/>
        <w:gridCol w:w="850"/>
        <w:gridCol w:w="99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w:t>
            </w:r>
            <w:r>
              <w:rPr>
                <w:color w:val="auto"/>
              </w:rPr>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产品</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名称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品牌</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规格</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型号</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制造商名称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产地</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交付期</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数量</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分项</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单价</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分项</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总价</w:t>
            </w:r>
            <w:r>
              <w:rPr>
                <w:color w:val="auto"/>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cyan"/>
              </w:rPr>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合同签订后</w:t>
            </w:r>
            <w:r>
              <w:rPr>
                <w:rFonts w:ascii="SimSun" w:hAnsi="SimSun" w:eastAsia="SimSun" w:cs="SimSun"/>
                <w:color w:val="auto"/>
                <w:sz w:val="24"/>
                <w:u w:val="single"/>
              </w:rPr>
              <w:t xml:space="preserve">  </w:t>
            </w:r>
            <w:r>
              <w:rPr>
                <w:rFonts w:ascii="SimSun" w:hAnsi="SimSun" w:eastAsia="SimSun" w:cs="SimSun"/>
                <w:color w:val="auto"/>
                <w:sz w:val="24"/>
              </w:rPr>
              <w:t xml:space="preserve">日</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0" w:type="dxa"/>
            <w:vAlign w:val="center"/>
            <w:textDirection w:val="lrTb"/>
            <w:noWrap w:val="false"/>
          </w:tcPr>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投标总报价（人民币：元）</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bl>
    <w:p>
      <w:pPr>
        <w:ind w:left="0" w:right="0" w:firstLine="0"/>
        <w:jc w:val="both"/>
        <w:spacing w:before="145"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备注：</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投标报价采用总承包方式，“投标总报价”应包括所投货物（包含与货物相关的服务）费用、安装调试费、测试验收费、培训费、税金、国际（如果有）国内运输保险、报关清关（如果有）、开证（如果有）、办理全套免税手续费用（如果有）及其他有关的为完成本项目发生的所有费用，招标文件中另有规定的除外。</w:t>
      </w:r>
      <w:r>
        <w:rPr>
          <w:color w:val="auto"/>
        </w:rPr>
      </w:r>
      <w:r/>
    </w:p>
    <w:p>
      <w:pPr>
        <w:ind w:left="0" w:right="0" w:firstLine="0"/>
        <w:jc w:val="both"/>
        <w:spacing w:before="0" w:after="0" w:line="360" w:lineRule="auto"/>
        <w:rPr>
          <w:rFonts w:ascii="SimSun" w:hAnsi="SimSun" w:eastAsia="SimSun" w:cs="SimSun"/>
          <w:color w:val="auto"/>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rFonts w:ascii="SimSun" w:hAnsi="SimSun" w:eastAsia="SimSun" w:cs="SimSun"/>
          <w:color w:val="auto"/>
          <w:sz w:val="21"/>
        </w:rPr>
        <w:t xml:space="preserve">“</w:t>
      </w:r>
      <w:r>
        <w:rPr>
          <w:rFonts w:ascii="SimSun" w:hAnsi="SimSun" w:eastAsia="SimSun" w:cs="SimSun"/>
          <w:color w:val="auto"/>
          <w:sz w:val="24"/>
        </w:rPr>
        <w:t xml:space="preserve">投标分项报价表</w:t>
      </w:r>
      <w:r>
        <w:rPr>
          <w:rFonts w:ascii="SimSun" w:hAnsi="SimSun" w:eastAsia="SimSun" w:cs="SimSun"/>
          <w:color w:val="auto"/>
          <w:sz w:val="21"/>
        </w:rPr>
        <w:t xml:space="preserve">”</w:t>
      </w:r>
      <w:r>
        <w:rPr>
          <w:rFonts w:ascii="SimSun" w:hAnsi="SimSun" w:eastAsia="SimSun" w:cs="SimSun"/>
          <w:color w:val="auto"/>
          <w:sz w:val="24"/>
        </w:rPr>
        <w:t xml:space="preserve">中“投标总报价”数额应当与“开标一览表”中“投标总报价”数额一致。</w:t>
      </w:r>
      <w:r>
        <w:rPr>
          <w:color w:val="auto"/>
        </w:rPr>
      </w:r>
      <w:r/>
    </w:p>
    <w:p>
      <w:pPr>
        <w:pStyle w:val="834"/>
        <w:spacing w:line="360" w:lineRule="auto"/>
        <w:rPr>
          <w:rFonts w:hint="eastAsia" w:ascii="宋体" w:hAnsi="宋体"/>
          <w:color w:val="auto"/>
          <w:szCs w:val="24"/>
        </w:rPr>
      </w:pPr>
      <w:r>
        <w:rPr>
          <w:rFonts w:hint="eastAsia" w:ascii="宋体" w:hAnsi="宋体"/>
          <w:color w:val="auto"/>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4.投标人需认真填写本报价表，尤其注意规格型号的准确填写。</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附件3 </w:t>
      </w:r>
      <w:r>
        <w:rPr>
          <w:color w:val="auto"/>
        </w:rPr>
      </w:r>
      <w:r/>
    </w:p>
    <w:p>
      <w:pPr>
        <w:ind w:left="0" w:right="0" w:firstLine="2409"/>
        <w:jc w:val="both"/>
        <w:spacing w:before="0" w:after="29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技术要求响应及偏离表 </w:t>
      </w:r>
      <w:r>
        <w:rPr>
          <w:color w:val="auto"/>
        </w:rPr>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技术要求</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投标响应情况</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超出、符合或偏离</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bl>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附件3-1  证明材料1，证明材料2，……</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备注：</w:t>
      </w:r>
      <w:r>
        <w:rPr>
          <w:color w:val="auto"/>
        </w:rPr>
      </w:r>
      <w:r/>
    </w:p>
    <w:p>
      <w:pPr>
        <w:pStyle w:val="834"/>
        <w:spacing w:line="360" w:lineRule="auto"/>
        <w:rPr>
          <w:rFonts w:ascii="宋体" w:hAnsi="宋体"/>
          <w:color w:val="auto"/>
        </w:rPr>
      </w:pPr>
      <w:r>
        <w:rPr>
          <w:rFonts w:hint="eastAsia" w:ascii="宋体" w:hAnsi="宋体" w:cs="宋体"/>
          <w:color w:val="auto"/>
          <w:sz w:val="24"/>
          <w:szCs w:val="24"/>
        </w:rPr>
        <w:t xml:space="preserve">1.投标人需对招标文件技术要求中非实质性要求（</w:t>
      </w:r>
      <w:r>
        <w:rPr>
          <w:rFonts w:hint="eastAsia" w:ascii="宋体" w:hAnsi="宋体" w:cs="宋体"/>
          <w:b/>
          <w:color w:val="auto"/>
          <w:sz w:val="24"/>
          <w:szCs w:val="24"/>
        </w:rPr>
        <w:t xml:space="preserve">未加</w:t>
      </w:r>
      <w:r>
        <w:rPr>
          <w:rFonts w:hint="eastAsia" w:ascii="宋体" w:hAnsi="宋体" w:cs="宋体"/>
          <w:b/>
          <w:i/>
          <w:color w:val="auto"/>
          <w:sz w:val="24"/>
          <w:szCs w:val="24"/>
          <w:u w:val="single"/>
        </w:rPr>
        <w:t xml:space="preserve">斜体下划线</w:t>
      </w:r>
      <w:r>
        <w:rPr>
          <w:rFonts w:hint="eastAsia" w:ascii="宋体" w:hAnsi="宋体" w:cs="宋体"/>
          <w:b/>
          <w:iCs/>
          <w:color w:val="auto"/>
          <w:sz w:val="24"/>
          <w:szCs w:val="24"/>
        </w:rPr>
        <w:t xml:space="preserve">部分</w:t>
      </w:r>
      <w:r>
        <w:rPr>
          <w:rFonts w:hint="eastAsia" w:ascii="宋体" w:hAnsi="宋体" w:cs="宋体"/>
          <w:color w:val="auto"/>
          <w:sz w:val="24"/>
          <w:szCs w:val="24"/>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2.如果招标文件要求提供证明材料，投标人需将证明材料列于该表之下。</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附件4 </w:t>
      </w:r>
      <w:r>
        <w:rPr>
          <w:color w:val="auto"/>
        </w:rPr>
      </w:r>
      <w:r/>
    </w:p>
    <w:p>
      <w:pPr>
        <w:ind w:left="0" w:right="0" w:firstLine="2711"/>
        <w:jc w:val="both"/>
        <w:spacing w:before="0" w:after="29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商务要求响应及偏离表 </w:t>
      </w:r>
      <w:r>
        <w:rPr>
          <w:color w:val="auto"/>
        </w:rPr>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商务要求</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投标响应情况</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超出、符合或偏离</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bl>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附件4-1  证明材料1，证明材料2，……</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备注：</w:t>
      </w:r>
      <w:r>
        <w:rPr>
          <w:color w:val="auto"/>
        </w:rPr>
      </w:r>
      <w:r/>
    </w:p>
    <w:p>
      <w:pPr>
        <w:pStyle w:val="834"/>
        <w:spacing w:line="360" w:lineRule="auto"/>
        <w:rPr>
          <w:rFonts w:ascii="宋体" w:hAnsi="宋体"/>
          <w:color w:val="auto"/>
        </w:rPr>
      </w:pPr>
      <w:r>
        <w:rPr>
          <w:rFonts w:hint="eastAsia" w:ascii="宋体" w:hAnsi="宋体" w:cs="宋体"/>
          <w:color w:val="auto"/>
          <w:sz w:val="24"/>
          <w:szCs w:val="24"/>
        </w:rPr>
        <w:t xml:space="preserve">1.投标人需对招标文件商务要求中非实质性要求（</w:t>
      </w:r>
      <w:r>
        <w:rPr>
          <w:rFonts w:hint="eastAsia" w:ascii="宋体" w:hAnsi="宋体" w:cs="宋体"/>
          <w:b/>
          <w:color w:val="auto"/>
          <w:sz w:val="24"/>
          <w:szCs w:val="24"/>
        </w:rPr>
        <w:t xml:space="preserve">未加</w:t>
      </w:r>
      <w:r>
        <w:rPr>
          <w:rFonts w:hint="eastAsia" w:ascii="宋体" w:hAnsi="宋体" w:cs="宋体"/>
          <w:b/>
          <w:i/>
          <w:color w:val="auto"/>
          <w:sz w:val="24"/>
          <w:szCs w:val="24"/>
          <w:u w:val="single"/>
        </w:rPr>
        <w:t xml:space="preserve">斜体下划线</w:t>
      </w:r>
      <w:r>
        <w:rPr>
          <w:rFonts w:hint="eastAsia" w:ascii="宋体" w:hAnsi="宋体" w:cs="宋体"/>
          <w:b/>
          <w:iCs/>
          <w:color w:val="auto"/>
          <w:sz w:val="24"/>
          <w:szCs w:val="24"/>
        </w:rPr>
        <w:t xml:space="preserve">部分</w:t>
      </w:r>
      <w:r>
        <w:rPr>
          <w:rFonts w:hint="eastAsia" w:ascii="宋体" w:hAnsi="宋体" w:cs="宋体"/>
          <w:color w:val="auto"/>
          <w:sz w:val="24"/>
          <w:szCs w:val="24"/>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2.如果招标文件要求提供证明材料，投标人需将证明材料列于该表之下。</w:t>
      </w:r>
      <w:r>
        <w:rPr>
          <w:color w:val="auto"/>
        </w:rPr>
        <w:br w:type="page" w:clear="all"/>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hanging="53"/>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附件5 具备履行合同所必需的设备和专业技术能力的书面声明</w:t>
      </w:r>
      <w:r>
        <w:rPr>
          <w:color w:val="auto"/>
        </w:rPr>
      </w:r>
      <w:r/>
    </w:p>
    <w:p>
      <w:pPr>
        <w:ind w:left="0" w:right="0" w:hanging="53"/>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0"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声  明</w:t>
      </w:r>
      <w:r>
        <w:rPr>
          <w:color w:val="auto"/>
        </w:rPr>
      </w:r>
      <w:r/>
    </w:p>
    <w:p>
      <w:pPr>
        <w:ind w:left="0" w:right="0" w:firstLine="492"/>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我单位郑重声明：我单位具备履行本项采购合同所必需的设备和专业技术能力，为履行本项采购合同我公司具备如下主要设备和主要专业技术能力：</w:t>
      </w:r>
      <w:r>
        <w:rPr>
          <w:color w:val="auto"/>
        </w:rPr>
      </w:r>
      <w:r/>
    </w:p>
    <w:p>
      <w:pPr>
        <w:ind w:left="0" w:right="0" w:firstLine="492"/>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主要设备有：</w:t>
      </w:r>
      <w:r>
        <w:rPr>
          <w:rFonts w:ascii="SimSun" w:hAnsi="SimSun" w:eastAsia="SimSun" w:cs="SimSun"/>
          <w:color w:val="auto"/>
          <w:sz w:val="24"/>
          <w:u w:val="single"/>
        </w:rPr>
        <w:t xml:space="preserve">      </w:t>
      </w:r>
      <w:r>
        <w:rPr>
          <w:rFonts w:ascii="SimSun" w:hAnsi="SimSun" w:eastAsia="SimSun" w:cs="SimSun"/>
          <w:color w:val="auto"/>
          <w:sz w:val="24"/>
        </w:rPr>
        <w:t xml:space="preserve">。</w:t>
      </w:r>
      <w:r>
        <w:rPr>
          <w:color w:val="auto"/>
        </w:rPr>
      </w:r>
      <w:r/>
    </w:p>
    <w:p>
      <w:pPr>
        <w:ind w:left="0" w:right="0" w:firstLine="492"/>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主要专业技术能力有：</w:t>
      </w:r>
      <w:r>
        <w:rPr>
          <w:rFonts w:ascii="SimSun" w:hAnsi="SimSun" w:eastAsia="SimSun" w:cs="SimSun"/>
          <w:color w:val="auto"/>
          <w:sz w:val="24"/>
          <w:u w:val="single"/>
        </w:rPr>
        <w:t xml:space="preserve">         </w:t>
      </w:r>
      <w:r>
        <w:rPr>
          <w:rFonts w:ascii="SimSun" w:hAnsi="SimSun" w:eastAsia="SimSun" w:cs="SimSun"/>
          <w:color w:val="auto"/>
          <w:sz w:val="24"/>
        </w:rPr>
        <w:t xml:space="preserve">。</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48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附件6 参加政府采购活动前 3 年内在经营活动中没有重大违法记录的书面声明</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3614"/>
        <w:jc w:val="both"/>
        <w:spacing w:before="0" w:after="145"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声  明</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我单位郑重声明：参加本次政府采购活动前 3 年内，我单位在经营活动中没有因违法经营受到刑事处罚或者责令停产停业、吊销许可证或者执照、较大数额罚款等行政处罚。</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附件7                        </w:t>
      </w:r>
      <w:r>
        <w:rPr>
          <w:color w:val="auto"/>
        </w:rPr>
      </w:r>
      <w:r/>
    </w:p>
    <w:p>
      <w:pPr>
        <w:ind w:left="0" w:right="0" w:firstLine="3373"/>
        <w:jc w:val="both"/>
        <w:spacing w:before="0" w:after="29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rFonts w:ascii="SimSun" w:hAnsi="SimSun" w:eastAsia="SimSun" w:cs="SimSun"/>
          <w:b/>
          <w:color w:val="auto"/>
          <w:sz w:val="30"/>
        </w:rPr>
        <w:t xml:space="preserve">法人授权书</w:t>
      </w:r>
      <w:r>
        <w:rPr>
          <w:color w:val="auto"/>
        </w:rPr>
      </w:r>
      <w:r/>
    </w:p>
    <w:p>
      <w:pPr>
        <w:ind w:left="0" w:right="0" w:firstLine="480"/>
        <w:jc w:val="both"/>
        <w:spacing w:before="0" w:after="0" w:line="360" w:lineRule="auto"/>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本授权书声明：</w:t>
      </w:r>
      <w:r>
        <w:rPr>
          <w:rFonts w:ascii="Times New Roman" w:hAnsi="Times New Roman" w:eastAsia="Times New Roman" w:cs="Times New Roman"/>
          <w:color w:val="auto"/>
          <w:sz w:val="24"/>
        </w:rPr>
        <w:t xml:space="preserve">____________</w:t>
      </w:r>
      <w:r>
        <w:rPr>
          <w:rFonts w:ascii="SimSun" w:hAnsi="SimSun" w:eastAsia="SimSun" w:cs="SimSun"/>
          <w:color w:val="auto"/>
          <w:sz w:val="24"/>
        </w:rPr>
        <w:t xml:space="preserve">（投标人名称）授权</w:t>
      </w:r>
      <w:r>
        <w:rPr>
          <w:rFonts w:ascii="Times New Roman" w:hAnsi="Times New Roman" w:eastAsia="Times New Roman" w:cs="Times New Roman"/>
          <w:color w:val="auto"/>
          <w:sz w:val="24"/>
        </w:rPr>
        <w:t xml:space="preserve">________________</w:t>
      </w:r>
      <w:r>
        <w:rPr>
          <w:rFonts w:ascii="SimSun" w:hAnsi="SimSun" w:eastAsia="SimSun" w:cs="SimSun"/>
          <w:color w:val="auto"/>
          <w:sz w:val="24"/>
        </w:rPr>
        <w:t xml:space="preserve">（被授权人的姓名）为我方就</w:t>
      </w:r>
      <w:r>
        <w:rPr>
          <w:rFonts w:ascii="Times New Roman" w:hAnsi="Times New Roman" w:eastAsia="Times New Roman" w:cs="Times New Roman"/>
          <w:color w:val="auto"/>
          <w:sz w:val="24"/>
        </w:rPr>
        <w:t xml:space="preserve">JSZC-320000-</w:t>
      </w:r>
      <w:r>
        <w:rPr>
          <w:rFonts w:ascii="Times New Roman" w:hAnsi="Times New Roman" w:eastAsia="Times New Roman" w:cs="Times New Roman"/>
          <w:color w:val="auto"/>
          <w:sz w:val="24"/>
          <w:u w:val="single"/>
        </w:rPr>
        <w:t xml:space="preserve">***</w:t>
      </w:r>
      <w:r>
        <w:rPr>
          <w:rFonts w:ascii="SimSun" w:hAnsi="SimSun" w:eastAsia="SimSun" w:cs="SimSun"/>
          <w:color w:val="auto"/>
          <w:sz w:val="24"/>
        </w:rPr>
        <w:t xml:space="preserve">号项目采购活动的合法代理人，以本单位名义全权处理一切与该项目采购有关的事务。</w:t>
      </w:r>
      <w:r>
        <w:rPr>
          <w:color w:val="auto"/>
        </w:rPr>
      </w:r>
      <w:r/>
    </w:p>
    <w:p>
      <w:pPr>
        <w:ind w:left="0" w:right="0" w:firstLine="480"/>
        <w:jc w:val="both"/>
        <w:spacing w:before="0" w:after="0" w:line="360" w:lineRule="auto"/>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本授权书于</w:t>
      </w:r>
      <w:r>
        <w:rPr>
          <w:rFonts w:ascii="Times New Roman" w:hAnsi="Times New Roman" w:eastAsia="Times New Roman" w:cs="Times New Roman"/>
          <w:color w:val="auto"/>
          <w:sz w:val="24"/>
        </w:rPr>
        <w:t xml:space="preserve">______</w:t>
      </w:r>
      <w:r>
        <w:rPr>
          <w:rFonts w:ascii="SimSun" w:hAnsi="SimSun" w:eastAsia="SimSun" w:cs="SimSun"/>
          <w:color w:val="auto"/>
          <w:sz w:val="24"/>
        </w:rPr>
        <w:t xml:space="preserve">年</w:t>
      </w:r>
      <w:r>
        <w:rPr>
          <w:rFonts w:ascii="Times New Roman" w:hAnsi="Times New Roman" w:eastAsia="Times New Roman" w:cs="Times New Roman"/>
          <w:color w:val="auto"/>
          <w:sz w:val="24"/>
        </w:rPr>
        <w:t xml:space="preserve">____</w:t>
      </w:r>
      <w:r>
        <w:rPr>
          <w:rFonts w:ascii="SimSun" w:hAnsi="SimSun" w:eastAsia="SimSun" w:cs="SimSun"/>
          <w:color w:val="auto"/>
          <w:sz w:val="24"/>
        </w:rPr>
        <w:t xml:space="preserve">月</w:t>
      </w:r>
      <w:r>
        <w:rPr>
          <w:rFonts w:ascii="Times New Roman" w:hAnsi="Times New Roman" w:eastAsia="Times New Roman" w:cs="Times New Roman"/>
          <w:color w:val="auto"/>
          <w:sz w:val="24"/>
        </w:rPr>
        <w:t xml:space="preserve">____</w:t>
      </w:r>
      <w:r>
        <w:rPr>
          <w:rFonts w:ascii="SimSun" w:hAnsi="SimSun" w:eastAsia="SimSun" w:cs="SimSun"/>
          <w:color w:val="auto"/>
          <w:sz w:val="24"/>
        </w:rPr>
        <w:t xml:space="preserve">日起生效，特此声明。</w:t>
      </w:r>
      <w:r>
        <w:rPr>
          <w:color w:val="auto"/>
        </w:rPr>
      </w:r>
      <w:r/>
    </w:p>
    <w:p>
      <w:pPr>
        <w:ind w:left="0" w:right="0" w:firstLine="0"/>
        <w:jc w:val="both"/>
        <w:spacing w:before="0" w:after="0" w:line="360" w:lineRule="auto"/>
        <w:tabs>
          <w:tab w:val="left" w:pos="360" w:leader="none"/>
        </w:tabs>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rFonts w:ascii="SimSun" w:hAnsi="SimSun" w:eastAsia="SimSun" w:cs="SimSun"/>
          <w:color w:val="auto"/>
          <w:sz w:val="24"/>
        </w:rPr>
        <w:t xml:space="preserve">被授权人身份证号码：</w:t>
      </w:r>
      <w:r>
        <w:rPr>
          <w:rFonts w:ascii="Times New Roman" w:hAnsi="Times New Roman" w:eastAsia="Times New Roman" w:cs="Times New Roman"/>
          <w:color w:val="auto"/>
          <w:sz w:val="24"/>
          <w:u w:val="single"/>
        </w:rPr>
        <w:t xml:space="preserve">                             </w:t>
      </w:r>
      <w:r>
        <w:rPr>
          <w:color w:val="auto"/>
        </w:rPr>
      </w:r>
      <w:r/>
    </w:p>
    <w:p>
      <w:pPr>
        <w:ind w:left="0" w:right="0" w:firstLine="0"/>
        <w:jc w:val="both"/>
        <w:spacing w:before="0" w:after="0" w:line="360" w:lineRule="auto"/>
        <w:tabs>
          <w:tab w:val="left" w:pos="360" w:leader="none"/>
        </w:tabs>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rFonts w:ascii="SimSun" w:hAnsi="SimSun" w:eastAsia="SimSun" w:cs="SimSun"/>
          <w:color w:val="auto"/>
          <w:sz w:val="24"/>
        </w:rPr>
        <w:t xml:space="preserve">被授权人联系电话：（手机）</w:t>
      </w:r>
      <w:r>
        <w:rPr>
          <w:rFonts w:ascii="Times New Roman" w:hAnsi="Times New Roman" w:eastAsia="Times New Roman" w:cs="Times New Roman"/>
          <w:color w:val="auto"/>
          <w:sz w:val="24"/>
          <w:u w:val="single"/>
        </w:rPr>
        <w:t xml:space="preserve">                          </w:t>
      </w:r>
      <w:r>
        <w:rPr>
          <w:color w:val="auto"/>
        </w:rPr>
      </w:r>
      <w:r/>
    </w:p>
    <w:p>
      <w:pPr>
        <w:ind w:left="0" w:right="0" w:firstLine="480"/>
        <w:jc w:val="both"/>
        <w:spacing w:before="0" w:after="0" w:line="360" w:lineRule="auto"/>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授权单位名称：</w:t>
      </w:r>
      <w:r>
        <w:rPr>
          <w:rFonts w:ascii="SimSun" w:hAnsi="SimSun" w:eastAsia="SimSun" w:cs="SimSun"/>
          <w:color w:val="auto"/>
          <w:sz w:val="24"/>
          <w:u w:val="single"/>
        </w:rPr>
        <w:t xml:space="preserve">（加盖</w:t>
      </w:r>
      <w:r>
        <w:rPr>
          <w:rFonts w:ascii="Times New Roman" w:hAnsi="Times New Roman" w:eastAsia="Times New Roman" w:cs="Times New Roman"/>
          <w:color w:val="auto"/>
          <w:sz w:val="24"/>
          <w:u w:val="single"/>
        </w:rPr>
        <w:t xml:space="preserve">CA</w:t>
      </w:r>
      <w:r>
        <w:rPr>
          <w:rFonts w:ascii="SimSun" w:hAnsi="SimSun" w:eastAsia="SimSun" w:cs="SimSun"/>
          <w:color w:val="auto"/>
          <w:sz w:val="24"/>
          <w:u w:val="single"/>
        </w:rPr>
        <w:t xml:space="preserve">电子公章）</w:t>
      </w:r>
      <w:r>
        <w:rPr>
          <w:color w:val="auto"/>
        </w:rPr>
      </w:r>
      <w:r/>
    </w:p>
    <w:p>
      <w:pPr>
        <w:ind w:left="0" w:right="0" w:firstLine="480"/>
        <w:jc w:val="both"/>
        <w:spacing w:before="0" w:after="0" w:line="360" w:lineRule="auto"/>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单位地址：</w:t>
      </w:r>
      <w:r>
        <w:rPr>
          <w:rFonts w:ascii="Times New Roman" w:hAnsi="Times New Roman" w:eastAsia="Times New Roman" w:cs="Times New Roman"/>
          <w:color w:val="auto"/>
          <w:sz w:val="24"/>
          <w:u w:val="single"/>
        </w:rPr>
        <w:t xml:space="preserve">                                        </w:t>
      </w:r>
      <w:r>
        <w:rPr>
          <w:color w:val="auto"/>
        </w:rPr>
      </w:r>
      <w:r/>
    </w:p>
    <w:p>
      <w:pPr>
        <w:ind w:left="0" w:right="0" w:firstLine="480"/>
        <w:jc w:val="both"/>
        <w:spacing w:before="0" w:after="0" w:line="360" w:lineRule="auto"/>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w:t>
      </w:r>
      <w:r>
        <w:rPr>
          <w:rFonts w:ascii="Times New Roman" w:hAnsi="Times New Roman" w:eastAsia="Times New Roman" w:cs="Times New Roman"/>
          <w:color w:val="auto"/>
          <w:sz w:val="24"/>
          <w:u w:val="single"/>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both"/>
        <w:spacing w:before="260" w:after="26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附件8                             </w:t>
      </w:r>
      <w:r>
        <w:rPr>
          <w:color w:val="auto"/>
        </w:rPr>
      </w:r>
      <w:r/>
    </w:p>
    <w:p>
      <w:pPr>
        <w:ind w:left="0" w:right="0" w:firstLine="3614"/>
        <w:jc w:val="both"/>
        <w:spacing w:before="260" w:after="26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rFonts w:ascii="SimSun" w:hAnsi="SimSun" w:eastAsia="SimSun" w:cs="SimSun"/>
          <w:b/>
          <w:color w:val="auto"/>
          <w:sz w:val="30"/>
        </w:rPr>
        <w:t xml:space="preserve">投标函</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致：泰州市海陵区政务服务中心</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根据贵方的JSZC-320000-</w:t>
      </w:r>
      <w:r>
        <w:rPr>
          <w:rFonts w:ascii="SimSun" w:hAnsi="SimSun" w:eastAsia="SimSun" w:cs="SimSun"/>
          <w:color w:val="auto"/>
          <w:sz w:val="24"/>
          <w:u w:val="single"/>
        </w:rPr>
        <w:t xml:space="preserve">****</w:t>
      </w:r>
      <w:r>
        <w:rPr>
          <w:rFonts w:ascii="SimSun" w:hAnsi="SimSun" w:eastAsia="SimSun" w:cs="SimSun"/>
          <w:color w:val="auto"/>
          <w:sz w:val="24"/>
        </w:rPr>
        <w:t xml:space="preserve">号招标文件，正式授权下述签字人_____(姓名)代表我方_______（投标人的名称），全权处理本次项目投标的有关事宜。</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据此函，__________签字人兹宣布同意如下：</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1.按招标文件规定的各项要求，向买方提供所需货物（包含与货物相关的服务）。</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2.我们完全理解贵方不一定将合同授予最低报价的投标人。</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3.我们已详细审核全部招标文件及其有效补充文件，我们知道必须放弃提出含糊不清或误解问题的权利。</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4.我们同意从规定的开标日期起遵循本投标文件，并在规定的投标有效期期满之前均具有约束力。</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5.同意向贵方提供贵方可能另外要求的与投标有关的任何证据或资料，并保证我方已提供和将要提供的文件是真实的、准确的。</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6.一旦我方中标,我方将根据招标文件的规定，严格履行合同的责任和义务,并保证在招标文件规定的时间完成项目，交付买方验收、使用。</w:t>
      </w:r>
      <w:r>
        <w:rPr>
          <w:color w:val="auto"/>
        </w:rPr>
      </w:r>
      <w:r/>
    </w:p>
    <w:p>
      <w:pPr>
        <w:ind w:left="425"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7.与本投标有关的正式通讯地址为：</w:t>
      </w:r>
      <w:r>
        <w:rPr>
          <w:color w:val="auto"/>
        </w:rPr>
      </w:r>
      <w:r/>
    </w:p>
    <w:p>
      <w:pPr>
        <w:ind w:left="42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地          址：</w:t>
      </w:r>
      <w:r>
        <w:rPr>
          <w:color w:val="auto"/>
        </w:rPr>
      </w:r>
      <w:r/>
    </w:p>
    <w:p>
      <w:pPr>
        <w:ind w:left="42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邮          编：</w:t>
      </w:r>
      <w:r>
        <w:rPr>
          <w:color w:val="auto"/>
        </w:rPr>
      </w:r>
      <w:r/>
    </w:p>
    <w:p>
      <w:pPr>
        <w:ind w:left="42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电          话：</w:t>
      </w:r>
      <w:r>
        <w:rPr>
          <w:color w:val="auto"/>
        </w:rPr>
      </w:r>
      <w:r/>
    </w:p>
    <w:p>
      <w:pPr>
        <w:ind w:left="42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传          真：</w:t>
      </w:r>
      <w:r>
        <w:rPr>
          <w:color w:val="auto"/>
        </w:rPr>
      </w:r>
      <w:r/>
    </w:p>
    <w:p>
      <w:pPr>
        <w:ind w:left="42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投标人开户行：</w:t>
      </w:r>
      <w:r>
        <w:rPr>
          <w:color w:val="auto"/>
        </w:rPr>
      </w:r>
      <w:r/>
    </w:p>
    <w:p>
      <w:pPr>
        <w:ind w:left="42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账          号： </w:t>
      </w:r>
      <w:r>
        <w:rPr>
          <w:color w:val="auto"/>
        </w:rPr>
      </w:r>
      <w:r/>
    </w:p>
    <w:p>
      <w:pPr>
        <w:ind w:left="42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          期：________年____月____日</w:t>
      </w:r>
      <w:r>
        <w:rPr>
          <w:color w:val="auto"/>
        </w:rPr>
      </w:r>
      <w:r/>
    </w:p>
    <w:p>
      <w:pPr>
        <w:ind w:left="0" w:right="0" w:firstLine="24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24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24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24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29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附件9        </w:t>
      </w:r>
      <w:r>
        <w:rPr>
          <w:rFonts w:ascii="SimSun" w:hAnsi="SimSun" w:eastAsia="SimSun" w:cs="SimSun"/>
          <w:b/>
          <w:color w:val="auto"/>
          <w:sz w:val="30"/>
        </w:rPr>
        <w:t xml:space="preserve"> </w:t>
      </w:r>
      <w:r>
        <w:rPr>
          <w:color w:val="auto"/>
        </w:rPr>
      </w:r>
      <w:r/>
    </w:p>
    <w:p>
      <w:pPr>
        <w:ind w:left="0" w:right="0" w:firstLine="2711"/>
        <w:jc w:val="both"/>
        <w:spacing w:before="0" w:after="29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中小微企业声明函 </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本公司（联合体）郑重声明，根据《政府采购促进中小企业发展管理办法》(财库[2020]46号)的规定，本公司（联合体）参加泰州市海陵区政务服务中心组织的</w:t>
      </w:r>
      <w:r>
        <w:rPr>
          <w:rFonts w:ascii="SimSun" w:hAnsi="SimSun" w:eastAsia="SimSun" w:cs="SimSun"/>
          <w:color w:val="auto"/>
          <w:sz w:val="24"/>
          <w:u w:val="single"/>
        </w:rPr>
        <w:t xml:space="preserve">（单位名称）</w:t>
      </w:r>
      <w:r>
        <w:rPr>
          <w:rFonts w:ascii="SimSun" w:hAnsi="SimSun" w:eastAsia="SimSun" w:cs="SimSun"/>
          <w:color w:val="auto"/>
          <w:sz w:val="24"/>
        </w:rPr>
        <w:t xml:space="preserve">采购编号为JSZC-320000-</w:t>
      </w:r>
      <w:r>
        <w:rPr>
          <w:rFonts w:ascii="SimSun" w:hAnsi="SimSun" w:eastAsia="SimSun" w:cs="SimSun"/>
          <w:color w:val="auto"/>
          <w:sz w:val="24"/>
          <w:u w:val="single"/>
        </w:rPr>
        <w:t xml:space="preserve">****</w:t>
      </w:r>
      <w:r>
        <w:rPr>
          <w:rFonts w:ascii="SimSun" w:hAnsi="SimSun" w:eastAsia="SimSun" w:cs="SimSun"/>
          <w:color w:val="auto"/>
          <w:sz w:val="24"/>
        </w:rPr>
        <w:t xml:space="preserve">，</w:t>
      </w:r>
      <w:r>
        <w:rPr>
          <w:rFonts w:ascii="SimSun" w:hAnsi="SimSun" w:eastAsia="SimSun" w:cs="SimSun"/>
          <w:color w:val="auto"/>
          <w:sz w:val="24"/>
          <w:u w:val="single"/>
        </w:rPr>
        <w:t xml:space="preserve">（项目名称）（分包号：**）</w:t>
      </w:r>
      <w:r>
        <w:rPr>
          <w:rFonts w:ascii="SimSun" w:hAnsi="SimSun" w:eastAsia="SimSun" w:cs="SimSun"/>
          <w:color w:val="auto"/>
          <w:sz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rFonts w:ascii="SimSun" w:hAnsi="SimSun" w:eastAsia="SimSun" w:cs="SimSun"/>
          <w:color w:val="auto"/>
          <w:sz w:val="24"/>
          <w:u w:val="single"/>
        </w:rPr>
        <w:t xml:space="preserve">（标的名称）</w:t>
      </w:r>
      <w:r>
        <w:rPr>
          <w:rFonts w:ascii="SimSun" w:hAnsi="SimSun" w:eastAsia="SimSun" w:cs="SimSun"/>
          <w:i/>
          <w:color w:val="auto"/>
          <w:sz w:val="24"/>
        </w:rPr>
        <w:t xml:space="preserve">，</w:t>
      </w:r>
      <w:r>
        <w:rPr>
          <w:rFonts w:ascii="SimSun" w:hAnsi="SimSun" w:eastAsia="SimSun" w:cs="SimSun"/>
          <w:color w:val="auto"/>
          <w:sz w:val="24"/>
        </w:rPr>
        <w:t xml:space="preserve">属于</w:t>
      </w:r>
      <w:r>
        <w:rPr>
          <w:rFonts w:ascii="SimSun" w:hAnsi="SimSun" w:eastAsia="SimSun" w:cs="SimSun"/>
          <w:color w:val="auto"/>
          <w:sz w:val="24"/>
          <w:u w:val="single"/>
        </w:rPr>
        <w:t xml:space="preserve">       </w:t>
      </w:r>
      <w:r>
        <w:rPr>
          <w:rFonts w:ascii="SimSun" w:hAnsi="SimSun" w:eastAsia="SimSun" w:cs="SimSun"/>
          <w:color w:val="auto"/>
          <w:sz w:val="24"/>
        </w:rPr>
        <w:t xml:space="preserve">行业；制造商为</w:t>
      </w:r>
      <w:r>
        <w:rPr>
          <w:rFonts w:ascii="SimSun" w:hAnsi="SimSun" w:eastAsia="SimSun" w:cs="SimSun"/>
          <w:color w:val="auto"/>
          <w:sz w:val="24"/>
          <w:u w:val="single"/>
        </w:rPr>
        <w:t xml:space="preserve">（企业名称）</w:t>
      </w:r>
      <w:r>
        <w:rPr>
          <w:rFonts w:ascii="SimSun" w:hAnsi="SimSun" w:eastAsia="SimSun" w:cs="SimSun"/>
          <w:color w:val="auto"/>
          <w:sz w:val="24"/>
        </w:rPr>
        <w:t xml:space="preserve">，从业人员</w:t>
      </w:r>
      <w:r>
        <w:rPr>
          <w:rFonts w:ascii="SimSun" w:hAnsi="SimSun" w:eastAsia="SimSun" w:cs="SimSun"/>
          <w:color w:val="auto"/>
          <w:sz w:val="24"/>
          <w:u w:val="single"/>
        </w:rPr>
        <w:t xml:space="preserve">      </w:t>
      </w:r>
      <w:r>
        <w:rPr>
          <w:rFonts w:ascii="SimSun" w:hAnsi="SimSun" w:eastAsia="SimSun" w:cs="SimSun"/>
          <w:color w:val="auto"/>
          <w:sz w:val="24"/>
        </w:rPr>
        <w:t xml:space="preserve">人，营业收入为</w:t>
      </w:r>
      <w:r>
        <w:rPr>
          <w:rFonts w:ascii="SimSun" w:hAnsi="SimSun" w:eastAsia="SimSun" w:cs="SimSun"/>
          <w:color w:val="auto"/>
          <w:sz w:val="24"/>
          <w:u w:val="single"/>
        </w:rPr>
        <w:t xml:space="preserve">     </w:t>
      </w:r>
      <w:r>
        <w:rPr>
          <w:rFonts w:ascii="SimSun" w:hAnsi="SimSun" w:eastAsia="SimSun" w:cs="SimSun"/>
          <w:color w:val="auto"/>
          <w:sz w:val="24"/>
        </w:rPr>
        <w:t xml:space="preserve">万元，资产总额为</w:t>
      </w:r>
      <w:r>
        <w:rPr>
          <w:rFonts w:ascii="SimSun" w:hAnsi="SimSun" w:eastAsia="SimSun" w:cs="SimSun"/>
          <w:color w:val="auto"/>
          <w:sz w:val="24"/>
          <w:u w:val="single"/>
        </w:rPr>
        <w:t xml:space="preserve">      </w:t>
      </w:r>
      <w:r>
        <w:rPr>
          <w:rFonts w:ascii="SimSun" w:hAnsi="SimSun" w:eastAsia="SimSun" w:cs="SimSun"/>
          <w:color w:val="auto"/>
          <w:sz w:val="24"/>
        </w:rPr>
        <w:t xml:space="preserve">万元，属于</w:t>
      </w:r>
      <w:r>
        <w:rPr>
          <w:rFonts w:ascii="SimSun" w:hAnsi="SimSun" w:eastAsia="SimSun" w:cs="SimSun"/>
          <w:color w:val="auto"/>
          <w:sz w:val="24"/>
          <w:u w:val="single"/>
        </w:rPr>
        <w:t xml:space="preserve">（□中型企业 □小型企业 □微型企业）；</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rFonts w:ascii="SimSun" w:hAnsi="SimSun" w:eastAsia="SimSun" w:cs="SimSun"/>
          <w:color w:val="auto"/>
          <w:sz w:val="24"/>
          <w:u w:val="single"/>
        </w:rPr>
        <w:t xml:space="preserve">（标的名称）</w:t>
      </w:r>
      <w:r>
        <w:rPr>
          <w:rFonts w:ascii="SimSun" w:hAnsi="SimSun" w:eastAsia="SimSun" w:cs="SimSun"/>
          <w:i/>
          <w:color w:val="auto"/>
          <w:sz w:val="24"/>
        </w:rPr>
        <w:t xml:space="preserve">，</w:t>
      </w:r>
      <w:r>
        <w:rPr>
          <w:rFonts w:ascii="SimSun" w:hAnsi="SimSun" w:eastAsia="SimSun" w:cs="SimSun"/>
          <w:color w:val="auto"/>
          <w:sz w:val="24"/>
        </w:rPr>
        <w:t xml:space="preserve">属于</w:t>
      </w:r>
      <w:r>
        <w:rPr>
          <w:rFonts w:ascii="SimSun" w:hAnsi="SimSun" w:eastAsia="SimSun" w:cs="SimSun"/>
          <w:color w:val="auto"/>
          <w:sz w:val="24"/>
          <w:u w:val="single"/>
        </w:rPr>
        <w:t xml:space="preserve">       </w:t>
      </w:r>
      <w:r>
        <w:rPr>
          <w:rFonts w:ascii="SimSun" w:hAnsi="SimSun" w:eastAsia="SimSun" w:cs="SimSun"/>
          <w:color w:val="auto"/>
          <w:sz w:val="24"/>
        </w:rPr>
        <w:t xml:space="preserve">行业；制造商为</w:t>
      </w:r>
      <w:r>
        <w:rPr>
          <w:rFonts w:ascii="SimSun" w:hAnsi="SimSun" w:eastAsia="SimSun" w:cs="SimSun"/>
          <w:color w:val="auto"/>
          <w:sz w:val="24"/>
          <w:u w:val="single"/>
        </w:rPr>
        <w:t xml:space="preserve">（企业名称）</w:t>
      </w:r>
      <w:r>
        <w:rPr>
          <w:rFonts w:ascii="SimSun" w:hAnsi="SimSun" w:eastAsia="SimSun" w:cs="SimSun"/>
          <w:color w:val="auto"/>
          <w:sz w:val="24"/>
        </w:rPr>
        <w:t xml:space="preserve">，从业人员</w:t>
      </w:r>
      <w:r>
        <w:rPr>
          <w:rFonts w:ascii="SimSun" w:hAnsi="SimSun" w:eastAsia="SimSun" w:cs="SimSun"/>
          <w:color w:val="auto"/>
          <w:sz w:val="24"/>
          <w:u w:val="single"/>
        </w:rPr>
        <w:t xml:space="preserve">      </w:t>
      </w:r>
      <w:r>
        <w:rPr>
          <w:rFonts w:ascii="SimSun" w:hAnsi="SimSun" w:eastAsia="SimSun" w:cs="SimSun"/>
          <w:color w:val="auto"/>
          <w:sz w:val="24"/>
        </w:rPr>
        <w:t xml:space="preserve">人，营业收入为</w:t>
      </w:r>
      <w:r>
        <w:rPr>
          <w:rFonts w:ascii="SimSun" w:hAnsi="SimSun" w:eastAsia="SimSun" w:cs="SimSun"/>
          <w:color w:val="auto"/>
          <w:sz w:val="24"/>
          <w:u w:val="single"/>
        </w:rPr>
        <w:t xml:space="preserve">     </w:t>
      </w:r>
      <w:r>
        <w:rPr>
          <w:rFonts w:ascii="SimSun" w:hAnsi="SimSun" w:eastAsia="SimSun" w:cs="SimSun"/>
          <w:color w:val="auto"/>
          <w:sz w:val="24"/>
        </w:rPr>
        <w:t xml:space="preserve">万元，资产总额为</w:t>
      </w:r>
      <w:r>
        <w:rPr>
          <w:rFonts w:ascii="SimSun" w:hAnsi="SimSun" w:eastAsia="SimSun" w:cs="SimSun"/>
          <w:color w:val="auto"/>
          <w:sz w:val="24"/>
          <w:u w:val="single"/>
        </w:rPr>
        <w:t xml:space="preserve">      </w:t>
      </w:r>
      <w:r>
        <w:rPr>
          <w:rFonts w:ascii="SimSun" w:hAnsi="SimSun" w:eastAsia="SimSun" w:cs="SimSun"/>
          <w:color w:val="auto"/>
          <w:sz w:val="24"/>
        </w:rPr>
        <w:t xml:space="preserve">万元，属于</w:t>
      </w:r>
      <w:r>
        <w:rPr>
          <w:rFonts w:ascii="SimSun" w:hAnsi="SimSun" w:eastAsia="SimSun" w:cs="SimSun"/>
          <w:color w:val="auto"/>
          <w:sz w:val="24"/>
          <w:u w:val="single"/>
        </w:rPr>
        <w:t xml:space="preserve">（□中型企业 □小型企业 □微型企业）；</w:t>
      </w:r>
      <w:r>
        <w:rPr>
          <w:color w:val="auto"/>
        </w:rPr>
      </w:r>
      <w:r/>
    </w:p>
    <w:p>
      <w:pPr>
        <w:ind w:left="0" w:right="0" w:firstLine="6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以上企业，不属于大企业的分支机构，不存在控股股东为大企业的情形，也不存在与大企业的负责人为同一人的情形。</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本企业对上述声明内容的真实性负责。如有虚假，将依法承担相应责任</w:t>
      </w:r>
      <w:r>
        <w:rPr>
          <w:color w:val="auto"/>
        </w:rPr>
      </w:r>
      <w:r/>
    </w:p>
    <w:p>
      <w:pPr>
        <w:ind w:left="0" w:right="72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180" w:firstLine="36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企业名称（加盖CA电子公章）：</w:t>
      </w:r>
      <w:r>
        <w:rPr>
          <w:color w:val="auto"/>
        </w:rPr>
      </w:r>
      <w:r/>
    </w:p>
    <w:p>
      <w:pPr>
        <w:ind w:left="0" w:right="480" w:firstLine="540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  期：</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备注：</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1.从业人员、营业收入、资产总额填报上一年度数据，无上一年度数据的新成立企业可不填报。</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2.专门面向中小微型企业采购的项目，供应商如不提供此声明函，则不能通过资格审查；非专门面向中小微型企业采购的项目，供应商如不提供此声明函，价格将不做相应扣除。</w:t>
      </w:r>
      <w:r>
        <w:rPr>
          <w:color w:val="auto"/>
        </w:rPr>
      </w:r>
      <w:r/>
    </w:p>
    <w:p>
      <w:pPr>
        <w:ind w:left="0" w:right="0" w:firstLine="420"/>
        <w:spacing w:before="0" w:after="0" w:line="360" w:lineRule="auto"/>
        <w:rPr>
          <w:rFonts w:ascii="SimSun" w:hAnsi="SimSun" w:eastAsia="SimSun" w:cs="SimSun"/>
          <w:b/>
          <w:bCs/>
          <w:color w:val="auto"/>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3.供应商自行勾选制造商的企业规模类型。   </w:t>
      </w:r>
      <w:r>
        <w:rPr>
          <w:rFonts w:ascii="SimSun" w:hAnsi="SimSun" w:eastAsia="SimSun" w:cs="SimSun"/>
          <w:color w:val="auto"/>
          <w:sz w:val="24"/>
        </w:rPr>
        <w:t xml:space="preserve">                              </w:t>
      </w:r>
      <w:r>
        <w:rPr>
          <w:rFonts w:ascii="SimSun" w:hAnsi="SimSun" w:eastAsia="SimSun" w:cs="SimSun"/>
          <w:b/>
          <w:color w:val="auto"/>
          <w:sz w:val="24"/>
          <w:highlight w:val="none"/>
        </w:rPr>
        <w:br w:type="page" w:clear="all"/>
      </w:r>
      <w:r>
        <w:rPr>
          <w:rFonts w:ascii="SimSun" w:hAnsi="SimSun" w:eastAsia="SimSun" w:cs="SimSun"/>
          <w:b/>
          <w:bCs/>
          <w:color w:val="auto"/>
          <w:sz w:val="24"/>
          <w:szCs w:val="24"/>
        </w:rPr>
      </w:r>
      <w:r/>
    </w:p>
    <w:p>
      <w:pPr>
        <w:ind w:left="0" w:right="0" w:firstLine="420"/>
        <w:spacing w:before="0" w:after="0" w:line="360" w:lineRule="auto"/>
        <w:rPr>
          <w:rFonts w:ascii="SimSun" w:hAnsi="SimSun" w:eastAsia="SimSun" w:cs="SimSun"/>
          <w:b/>
          <w:bCs/>
          <w:color w:val="auto"/>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附件10  </w:t>
      </w:r>
      <w:r>
        <w:rPr>
          <w:color w:val="auto"/>
        </w:rPr>
      </w:r>
      <w:r/>
    </w:p>
    <w:p>
      <w:pPr>
        <w:ind w:left="420" w:right="0" w:firstLine="1807"/>
        <w:spacing w:before="0" w:after="29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残疾人福利性单位声明函 </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中国残疾人联合会关于促进残疾人就业政府采购政策的通知》（财库〔2017〕141号）的规定，本单位为符合条件的残疾人福利性单位，且本单位参加______单位的采购文件编号为JSZC-320000-</w:t>
      </w:r>
      <w:r>
        <w:rPr>
          <w:rFonts w:ascii="SimSun" w:hAnsi="SimSun" w:eastAsia="SimSun" w:cs="SimSun"/>
          <w:color w:val="auto"/>
          <w:sz w:val="24"/>
          <w:u w:val="single"/>
        </w:rPr>
        <w:t xml:space="preserve">****</w:t>
      </w:r>
      <w:r>
        <w:rPr>
          <w:rFonts w:ascii="SimSun" w:hAnsi="SimSun" w:eastAsia="SimSun" w:cs="SimSun"/>
          <w:color w:val="auto"/>
          <w:sz w:val="24"/>
        </w:rPr>
        <w:t xml:space="preserve">的</w:t>
      </w:r>
      <w:r>
        <w:rPr>
          <w:rFonts w:ascii="SimSun" w:hAnsi="SimSun" w:eastAsia="SimSun" w:cs="SimSun"/>
          <w:color w:val="auto"/>
          <w:sz w:val="24"/>
          <w:u w:val="single"/>
        </w:rPr>
        <w:t xml:space="preserve">       </w:t>
      </w:r>
      <w:r>
        <w:rPr>
          <w:rFonts w:ascii="SimSun" w:hAnsi="SimSun" w:eastAsia="SimSun" w:cs="SimSun"/>
          <w:color w:val="auto"/>
          <w:sz w:val="24"/>
        </w:rPr>
        <w:t xml:space="preserve">项目（分包号：**）采购活动提供本单位制造的货物，或者提供其他残疾人福利性单位制造的货物（不包括使用非残疾人福利性单位注册商标的货物）。</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本单位对上述声明的真实性负责。如有虚假，将依法承担相应责任。</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备注：</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1.专门面向中小微型企业采购的项目，供应商为残疾人福利性单位并提供本单位制造的货物，或者提供其他残疾人福利性单位制造的货物，必须提供此声明函，否则将不能通过资格审查。</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非专门面向中小微型企业采购的项目，供应商如不提供此声明函，价格将不做相应扣除。</w:t>
      </w:r>
      <w:r>
        <w:rPr>
          <w:color w:val="auto"/>
        </w:rPr>
      </w:r>
      <w:r/>
    </w:p>
    <w:p>
      <w:pPr>
        <w:ind w:left="0" w:right="0" w:firstLine="48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3.中标/成交供应商为残疾人福利性单位的，此声明函将随中标/成交结果同时公告，接受社会监督。</w:t>
      </w:r>
      <w:r>
        <w:rPr>
          <w:color w:val="auto"/>
        </w:rPr>
      </w:r>
      <w:r/>
    </w:p>
    <w:p>
      <w:pPr>
        <w:ind w:left="0" w:right="0" w:firstLine="504"/>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pacing w:val="6"/>
          <w:sz w:val="24"/>
        </w:rPr>
        <w:t xml:space="preserve"> </w:t>
      </w:r>
      <w:r>
        <w:rPr>
          <w:color w:val="auto"/>
        </w:rPr>
      </w:r>
      <w:r/>
    </w:p>
    <w:p>
      <w:pPr>
        <w:ind w:left="0" w:right="0" w:firstLine="504"/>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pacing w:val="6"/>
          <w:sz w:val="24"/>
        </w:rPr>
        <w:t xml:space="preserve"> </w:t>
      </w:r>
      <w:r>
        <w:rPr>
          <w:color w:val="auto"/>
        </w:rPr>
      </w:r>
      <w:r/>
    </w:p>
    <w:p>
      <w:pPr>
        <w:ind w:left="0" w:right="0" w:firstLine="504"/>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pacing w:val="6"/>
          <w:sz w:val="24"/>
        </w:rPr>
        <w:t xml:space="preserve"> </w:t>
      </w:r>
      <w:r>
        <w:rPr>
          <w:color w:val="auto"/>
        </w:rPr>
      </w:r>
      <w:r/>
    </w:p>
    <w:p>
      <w:pPr>
        <w:ind w:left="0" w:right="1559" w:firstLine="504"/>
        <w:jc w:val="center"/>
        <w:spacing w:before="0" w:after="0" w:line="360" w:lineRule="auto"/>
        <w:tabs>
          <w:tab w:val="left" w:pos="4860"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pacing w:val="6"/>
          <w:sz w:val="24"/>
        </w:rPr>
        <w:t xml:space="preserve">             </w:t>
      </w:r>
      <w:r>
        <w:rPr>
          <w:rFonts w:ascii="SimSun" w:hAnsi="SimSun" w:eastAsia="SimSun" w:cs="SimSun"/>
          <w:color w:val="auto"/>
          <w:sz w:val="24"/>
        </w:rPr>
        <w:t xml:space="preserve">          供应商全称（加盖CA电子公章）：</w:t>
      </w:r>
      <w:r>
        <w:rPr>
          <w:color w:val="auto"/>
        </w:rPr>
      </w:r>
      <w:r/>
    </w:p>
    <w:p>
      <w:pPr>
        <w:ind w:left="0" w:right="1559" w:firstLine="480"/>
        <w:jc w:val="center"/>
        <w:spacing w:before="0" w:after="0" w:line="360" w:lineRule="auto"/>
        <w:tabs>
          <w:tab w:val="left" w:pos="48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日  期：</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rFonts w:ascii="SimSun" w:hAnsi="SimSun" w:eastAsia="SimSun" w:cs="SimSun"/>
          <w:b/>
          <w:color w:val="auto"/>
          <w:sz w:val="24"/>
          <w:highlight w:val="none"/>
        </w:rPr>
        <w:br w:type="page" w:clear="all"/>
      </w:r>
      <w:r>
        <w:rPr>
          <w:color w:val="auto"/>
        </w:rPr>
      </w:r>
      <w:r/>
    </w:p>
    <w:p>
      <w:pPr>
        <w:ind w:left="0" w:right="0" w:firstLine="0"/>
        <w:spacing w:before="0" w:after="0" w:line="360" w:lineRule="auto"/>
        <w:rPr>
          <w:rFonts w:ascii="SimSun" w:hAnsi="SimSun" w:eastAsia="SimSun" w:cs="SimSun"/>
          <w:b/>
          <w:bCs/>
          <w:color w:val="auto"/>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附件11 </w:t>
      </w:r>
      <w:r>
        <w:rPr>
          <w:color w:val="auto"/>
        </w:rPr>
      </w:r>
      <w:r/>
    </w:p>
    <w:p>
      <w:pPr>
        <w:ind w:left="0" w:right="0" w:firstLine="2409"/>
        <w:spacing w:before="0" w:after="29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实质性要求响应及偏离表 </w:t>
      </w:r>
      <w:r>
        <w:rPr>
          <w:color w:val="auto"/>
        </w:rPr>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360" w:lineRule="auto"/>
              <w:rPr>
                <w:b/>
                <w:bCs/>
                <w:color w:val="auto"/>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技术要求和商务要求中的实质性要求</w:t>
            </w:r>
            <w:r>
              <w:rPr>
                <w:rFonts w:ascii="SimSun" w:hAnsi="SimSun" w:eastAsia="SimSun" w:cs="SimSun"/>
                <w:b/>
                <w:bCs/>
                <w:i/>
                <w:color w:val="auto"/>
                <w:sz w:val="24"/>
                <w:u w:val="single"/>
              </w:rPr>
              <w:t xml:space="preserve">（加斜体下划线内容）</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投标响应情况</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超出、符合或偏离</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bl>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附件12-1 证明材料1，证明材料2，……</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备注：</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1.投标人必须对技术要求和商务要求中的实质性要求</w:t>
      </w:r>
      <w:r>
        <w:rPr>
          <w:rFonts w:ascii="SimSun" w:hAnsi="SimSun" w:eastAsia="SimSun" w:cs="SimSun"/>
          <w:b/>
          <w:bCs/>
          <w:i/>
          <w:color w:val="auto"/>
          <w:sz w:val="24"/>
          <w:u w:val="single"/>
        </w:rPr>
        <w:t xml:space="preserve">（加斜体下划线内容）</w:t>
      </w:r>
      <w:r>
        <w:rPr>
          <w:rFonts w:ascii="SimSun" w:hAnsi="SimSun" w:eastAsia="SimSun" w:cs="SimSun"/>
          <w:color w:val="auto"/>
          <w:sz w:val="24"/>
        </w:rPr>
        <w:t xml:space="preserve">逐条做出明确响应。</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2.如果招标文件要求提供证明材料，投标人必须将证明材料列于该表之下。</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3.投标人未对实质性要求逐条作出明确响应的，或未按招标文件要求提供证明材料的，该分包作无效投标处理。</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br/>
      </w:r>
      <w:r>
        <w:rPr>
          <w:rFonts w:ascii="SimHei" w:hAnsi="SimHei" w:eastAsia="SimHei" w:cs="SimHei"/>
          <w:b/>
          <w:color w:val="auto"/>
          <w:sz w:val="32"/>
        </w:rPr>
        <w:t xml:space="preserve"> </w:t>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 </w:t>
      </w:r>
      <w:r>
        <w:rPr>
          <w:rFonts w:ascii="SimSun" w:hAnsi="SimSun" w:eastAsia="SimSun" w:cs="SimSun"/>
          <w:b/>
          <w:color w:val="auto"/>
          <w:sz w:val="24"/>
        </w:rPr>
        <w:t xml:space="preserve">附件12</w:t>
      </w:r>
      <w:r>
        <w:rPr>
          <w:color w:val="auto"/>
        </w:rPr>
      </w:r>
      <w:r/>
    </w:p>
    <w:p>
      <w:pPr>
        <w:ind w:left="0" w:right="0" w:firstLine="1807"/>
        <w:jc w:val="both"/>
        <w:spacing w:before="0" w:after="29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关于符合本国产品标准的声明函</w:t>
      </w:r>
      <w:r>
        <w:rPr>
          <w:color w:val="auto"/>
        </w:rPr>
      </w:r>
      <w:r/>
    </w:p>
    <w:p>
      <w:pPr>
        <w:ind w:left="0" w:right="0" w:firstLine="4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rPr>
          <w:color w:val="auto"/>
        </w:rPr>
      </w:r>
      <w:r/>
    </w:p>
    <w:p>
      <w:pPr>
        <w:ind w:left="0" w:right="0" w:firstLine="420"/>
        <w:jc w:val="both"/>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1.</w:t>
      </w:r>
      <w:r>
        <w:rPr>
          <w:rFonts w:ascii="SimSun" w:hAnsi="SimSun" w:eastAsia="SimSun" w:cs="SimSun"/>
          <w:i/>
          <w:color w:val="auto"/>
          <w:sz w:val="24"/>
          <w:highlight w:val="white"/>
          <w:u w:val="single"/>
        </w:rPr>
        <w:t xml:space="preserve">（产品名称1）</w:t>
      </w:r>
      <w:r>
        <w:rPr>
          <w:rFonts w:ascii="SimSun" w:hAnsi="SimSun" w:eastAsia="SimSun" w:cs="SimSun"/>
          <w:i/>
          <w:color w:val="auto"/>
          <w:sz w:val="20"/>
          <w:highlight w:val="white"/>
          <w:u w:val="single"/>
          <w:vertAlign w:val="superscript"/>
        </w:rPr>
        <w:t xml:space="preserve">1</w:t>
      </w:r>
      <w:r>
        <w:rPr>
          <w:rFonts w:ascii="SimSun" w:hAnsi="SimSun" w:eastAsia="SimSun" w:cs="SimSun"/>
          <w:color w:val="auto"/>
          <w:sz w:val="24"/>
          <w:highlight w:val="white"/>
        </w:rPr>
        <w:t xml:space="preserve">，生产厂为</w:t>
      </w:r>
      <w:r>
        <w:rPr>
          <w:rFonts w:ascii="SimSun" w:hAnsi="SimSun" w:eastAsia="SimSun" w:cs="SimSun"/>
          <w:i/>
          <w:color w:val="auto"/>
          <w:sz w:val="24"/>
          <w:highlight w:val="white"/>
          <w:u w:val="single"/>
        </w:rPr>
        <w:t xml:space="preserve">（厂名）</w:t>
      </w:r>
      <w:r>
        <w:rPr>
          <w:rFonts w:ascii="SimSun" w:hAnsi="SimSun" w:eastAsia="SimSun" w:cs="SimSun"/>
          <w:i/>
          <w:color w:val="auto"/>
          <w:sz w:val="20"/>
          <w:highlight w:val="white"/>
          <w:u w:val="single"/>
          <w:vertAlign w:val="superscript"/>
        </w:rPr>
        <w:t xml:space="preserve">2</w:t>
      </w:r>
      <w:r>
        <w:rPr>
          <w:rFonts w:ascii="SimSun" w:hAnsi="SimSun" w:eastAsia="SimSun" w:cs="SimSun"/>
          <w:color w:val="auto"/>
          <w:sz w:val="24"/>
          <w:highlight w:val="white"/>
        </w:rPr>
        <w:t xml:space="preserve">，厂址为</w:t>
      </w:r>
      <w:r>
        <w:rPr>
          <w:rFonts w:ascii="SimSun" w:hAnsi="SimSun" w:eastAsia="SimSun" w:cs="SimSun"/>
          <w:i/>
          <w:color w:val="auto"/>
          <w:sz w:val="24"/>
          <w:highlight w:val="white"/>
          <w:u w:val="single"/>
        </w:rPr>
        <w:t xml:space="preserve">（生产厂址）</w:t>
      </w:r>
      <w:r>
        <w:rPr>
          <w:rFonts w:ascii="SimSun" w:hAnsi="SimSun" w:eastAsia="SimSun" w:cs="SimSun"/>
          <w:color w:val="auto"/>
          <w:sz w:val="24"/>
          <w:highlight w:val="white"/>
        </w:rPr>
        <w:t xml:space="preserve">。</w:t>
      </w:r>
      <w:r>
        <w:rPr>
          <w:rFonts w:ascii="SimSun" w:hAnsi="SimSun" w:eastAsia="SimSun" w:cs="SimSun"/>
          <w:i/>
          <w:color w:val="auto"/>
          <w:sz w:val="24"/>
          <w:highlight w:val="white"/>
          <w:u w:val="single"/>
        </w:rPr>
        <w:t xml:space="preserve">（产品名称1）</w:t>
      </w:r>
      <w:r>
        <w:rPr>
          <w:rFonts w:ascii="SimSun" w:hAnsi="SimSun" w:eastAsia="SimSun" w:cs="SimSun"/>
          <w:color w:val="auto"/>
          <w:sz w:val="24"/>
          <w:highlight w:val="white"/>
        </w:rPr>
        <w:t xml:space="preserve">的中国境内生产的组件成本占比≥</w:t>
      </w:r>
      <w:r>
        <w:rPr>
          <w:rFonts w:ascii="SimSun" w:hAnsi="SimSun" w:eastAsia="SimSun" w:cs="SimSun"/>
          <w:i/>
          <w:color w:val="auto"/>
          <w:sz w:val="24"/>
          <w:highlight w:val="white"/>
        </w:rPr>
        <w:t xml:space="preserve">（规定比例）</w:t>
      </w:r>
      <w:r>
        <w:rPr>
          <w:rFonts w:ascii="SimSun" w:hAnsi="SimSun" w:eastAsia="SimSun" w:cs="SimSun"/>
          <w:i/>
          <w:color w:val="auto"/>
          <w:sz w:val="20"/>
          <w:highlight w:val="white"/>
          <w:vertAlign w:val="superscript"/>
        </w:rPr>
        <w:t xml:space="preserve">3</w:t>
      </w:r>
      <w:r>
        <w:rPr>
          <w:rFonts w:ascii="SimSun" w:hAnsi="SimSun" w:eastAsia="SimSun" w:cs="SimSun"/>
          <w:color w:val="auto"/>
          <w:sz w:val="24"/>
          <w:highlight w:val="white"/>
        </w:rPr>
        <w:t xml:space="preserve">。</w:t>
      </w:r>
      <w:r>
        <w:rPr>
          <w:rFonts w:ascii="SimSun" w:hAnsi="SimSun" w:eastAsia="SimSun" w:cs="SimSun"/>
          <w:i/>
          <w:color w:val="auto"/>
          <w:sz w:val="24"/>
          <w:highlight w:val="white"/>
        </w:rPr>
        <w:t xml:space="preserve">（产品名称1）</w:t>
      </w:r>
      <w:r>
        <w:rPr>
          <w:rFonts w:ascii="SimSun" w:hAnsi="SimSun" w:eastAsia="SimSun" w:cs="SimSun"/>
          <w:color w:val="auto"/>
          <w:sz w:val="24"/>
          <w:highlight w:val="white"/>
        </w:rPr>
        <w:t xml:space="preserve">的</w:t>
      </w:r>
      <w:r>
        <w:rPr>
          <w:rFonts w:ascii="SimSun" w:hAnsi="SimSun" w:eastAsia="SimSun" w:cs="SimSun"/>
          <w:i/>
          <w:color w:val="auto"/>
          <w:sz w:val="24"/>
          <w:highlight w:val="white"/>
        </w:rPr>
        <w:t xml:space="preserve">（关键组件）</w:t>
      </w:r>
      <w:r>
        <w:rPr>
          <w:rFonts w:ascii="SimSun" w:hAnsi="SimSun" w:eastAsia="SimSun" w:cs="SimSun"/>
          <w:i/>
          <w:color w:val="auto"/>
          <w:sz w:val="20"/>
          <w:highlight w:val="white"/>
          <w:vertAlign w:val="superscript"/>
        </w:rPr>
        <w:t xml:space="preserve">4</w:t>
      </w:r>
      <w:r>
        <w:rPr>
          <w:rFonts w:ascii="SimSun" w:hAnsi="SimSun" w:eastAsia="SimSun" w:cs="SimSun"/>
          <w:color w:val="auto"/>
          <w:sz w:val="24"/>
          <w:highlight w:val="white"/>
        </w:rPr>
        <w:t xml:space="preserve">在中国境内生产。</w:t>
      </w:r>
      <w:r>
        <w:rPr>
          <w:rFonts w:ascii="SimSun" w:hAnsi="SimSun" w:eastAsia="SimSun" w:cs="SimSun"/>
          <w:i/>
          <w:color w:val="auto"/>
          <w:sz w:val="24"/>
          <w:highlight w:val="white"/>
          <w:u w:val="single"/>
        </w:rPr>
        <w:t xml:space="preserve">（产品名称1）</w:t>
      </w:r>
      <w:r>
        <w:rPr>
          <w:rFonts w:ascii="SimSun" w:hAnsi="SimSun" w:eastAsia="SimSun" w:cs="SimSun"/>
          <w:color w:val="auto"/>
          <w:sz w:val="24"/>
          <w:highlight w:val="white"/>
        </w:rPr>
        <w:t xml:space="preserve">的</w:t>
      </w:r>
      <w:r>
        <w:rPr>
          <w:rFonts w:ascii="SimSun" w:hAnsi="SimSun" w:eastAsia="SimSun" w:cs="SimSun"/>
          <w:i/>
          <w:color w:val="auto"/>
          <w:sz w:val="24"/>
          <w:highlight w:val="white"/>
          <w:u w:val="single"/>
        </w:rPr>
        <w:t xml:space="preserve">（关键工序）</w:t>
      </w:r>
      <w:r>
        <w:rPr>
          <w:rFonts w:ascii="SimSun" w:hAnsi="SimSun" w:eastAsia="SimSun" w:cs="SimSun"/>
          <w:i/>
          <w:color w:val="auto"/>
          <w:sz w:val="20"/>
          <w:highlight w:val="white"/>
          <w:u w:val="single"/>
          <w:vertAlign w:val="superscript"/>
        </w:rPr>
        <w:t xml:space="preserve">5</w:t>
      </w:r>
      <w:r>
        <w:rPr>
          <w:rFonts w:ascii="SimSun" w:hAnsi="SimSun" w:eastAsia="SimSun" w:cs="SimSun"/>
          <w:color w:val="auto"/>
          <w:sz w:val="24"/>
          <w:highlight w:val="white"/>
        </w:rPr>
        <w:t xml:space="preserve">在中国境内完成。</w:t>
      </w:r>
      <w:r>
        <w:rPr>
          <w:color w:val="auto"/>
        </w:rPr>
      </w:r>
      <w:r/>
    </w:p>
    <w:p>
      <w:pPr>
        <w:ind w:left="0" w:right="0" w:firstLine="420"/>
        <w:jc w:val="both"/>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2.</w:t>
      </w:r>
      <w:r>
        <w:rPr>
          <w:rFonts w:ascii="SimSun" w:hAnsi="SimSun" w:eastAsia="SimSun" w:cs="SimSun"/>
          <w:i/>
          <w:color w:val="auto"/>
          <w:sz w:val="24"/>
          <w:highlight w:val="white"/>
          <w:u w:val="single"/>
        </w:rPr>
        <w:t xml:space="preserve">（产品名称2）</w:t>
      </w:r>
      <w:r>
        <w:rPr>
          <w:rFonts w:ascii="SimSun" w:hAnsi="SimSun" w:eastAsia="SimSun" w:cs="SimSun"/>
          <w:color w:val="auto"/>
          <w:sz w:val="24"/>
          <w:highlight w:val="white"/>
        </w:rPr>
        <w:t xml:space="preserve">，生产厂为</w:t>
      </w:r>
      <w:r>
        <w:rPr>
          <w:rFonts w:ascii="SimSun" w:hAnsi="SimSun" w:eastAsia="SimSun" w:cs="SimSun"/>
          <w:i/>
          <w:color w:val="auto"/>
          <w:sz w:val="24"/>
          <w:highlight w:val="white"/>
          <w:u w:val="single"/>
        </w:rPr>
        <w:t xml:space="preserve">（厂名）</w:t>
      </w:r>
      <w:r>
        <w:rPr>
          <w:rFonts w:ascii="SimSun" w:hAnsi="SimSun" w:eastAsia="SimSun" w:cs="SimSun"/>
          <w:color w:val="auto"/>
          <w:sz w:val="24"/>
          <w:highlight w:val="white"/>
        </w:rPr>
        <w:t xml:space="preserve">，厂址为</w:t>
      </w:r>
      <w:r>
        <w:rPr>
          <w:rFonts w:ascii="SimSun" w:hAnsi="SimSun" w:eastAsia="SimSun" w:cs="SimSun"/>
          <w:i/>
          <w:color w:val="auto"/>
          <w:sz w:val="24"/>
          <w:highlight w:val="white"/>
          <w:u w:val="single"/>
        </w:rPr>
        <w:t xml:space="preserve">（生产厂址）</w:t>
      </w:r>
      <w:r>
        <w:rPr>
          <w:rFonts w:ascii="SimSun" w:hAnsi="SimSun" w:eastAsia="SimSun" w:cs="SimSun"/>
          <w:color w:val="auto"/>
          <w:sz w:val="24"/>
          <w:highlight w:val="white"/>
        </w:rPr>
        <w:t xml:space="preserve">。</w:t>
      </w:r>
      <w:r>
        <w:rPr>
          <w:rFonts w:ascii="SimSun" w:hAnsi="SimSun" w:eastAsia="SimSun" w:cs="SimSun"/>
          <w:i/>
          <w:color w:val="auto"/>
          <w:sz w:val="24"/>
          <w:highlight w:val="white"/>
          <w:u w:val="single"/>
        </w:rPr>
        <w:t xml:space="preserve">（产品名称2）</w:t>
      </w:r>
      <w:r>
        <w:rPr>
          <w:rFonts w:ascii="SimSun" w:hAnsi="SimSun" w:eastAsia="SimSun" w:cs="SimSun"/>
          <w:color w:val="auto"/>
          <w:sz w:val="24"/>
          <w:highlight w:val="white"/>
        </w:rPr>
        <w:t xml:space="preserve">的中国境内生产的组件成本占比≥</w:t>
      </w:r>
      <w:r>
        <w:rPr>
          <w:rFonts w:ascii="SimSun" w:hAnsi="SimSun" w:eastAsia="SimSun" w:cs="SimSun"/>
          <w:i/>
          <w:color w:val="auto"/>
          <w:sz w:val="24"/>
          <w:highlight w:val="white"/>
        </w:rPr>
        <w:t xml:space="preserve">（规定比例）</w:t>
      </w:r>
      <w:r>
        <w:rPr>
          <w:rFonts w:ascii="SimSun" w:hAnsi="SimSun" w:eastAsia="SimSun" w:cs="SimSun"/>
          <w:color w:val="auto"/>
          <w:sz w:val="24"/>
          <w:highlight w:val="white"/>
        </w:rPr>
        <w:t xml:space="preserve">。</w:t>
      </w:r>
      <w:r>
        <w:rPr>
          <w:rFonts w:ascii="SimSun" w:hAnsi="SimSun" w:eastAsia="SimSun" w:cs="SimSun"/>
          <w:i/>
          <w:color w:val="auto"/>
          <w:sz w:val="24"/>
          <w:highlight w:val="white"/>
          <w:u w:val="single"/>
        </w:rPr>
        <w:t xml:space="preserve">（产品名称2）</w:t>
      </w:r>
      <w:r>
        <w:rPr>
          <w:rFonts w:ascii="SimSun" w:hAnsi="SimSun" w:eastAsia="SimSun" w:cs="SimSun"/>
          <w:color w:val="auto"/>
          <w:sz w:val="24"/>
          <w:highlight w:val="white"/>
        </w:rPr>
        <w:t xml:space="preserve">的</w:t>
      </w:r>
      <w:r>
        <w:rPr>
          <w:rFonts w:ascii="SimSun" w:hAnsi="SimSun" w:eastAsia="SimSun" w:cs="SimSun"/>
          <w:i/>
          <w:color w:val="auto"/>
          <w:sz w:val="24"/>
          <w:highlight w:val="white"/>
          <w:u w:val="single"/>
        </w:rPr>
        <w:t xml:space="preserve">（关键组件）</w:t>
      </w:r>
      <w:r>
        <w:rPr>
          <w:rFonts w:ascii="SimSun" w:hAnsi="SimSun" w:eastAsia="SimSun" w:cs="SimSun"/>
          <w:color w:val="auto"/>
          <w:sz w:val="24"/>
          <w:highlight w:val="white"/>
        </w:rPr>
        <w:t xml:space="preserve">在中国境内生产。</w:t>
      </w:r>
      <w:r>
        <w:rPr>
          <w:rFonts w:ascii="SimSun" w:hAnsi="SimSun" w:eastAsia="SimSun" w:cs="SimSun"/>
          <w:i/>
          <w:color w:val="auto"/>
          <w:sz w:val="24"/>
          <w:highlight w:val="white"/>
          <w:u w:val="single"/>
        </w:rPr>
        <w:t xml:space="preserve">（产品名称1）</w:t>
      </w:r>
      <w:r>
        <w:rPr>
          <w:rFonts w:ascii="SimSun" w:hAnsi="SimSun" w:eastAsia="SimSun" w:cs="SimSun"/>
          <w:color w:val="auto"/>
          <w:sz w:val="24"/>
          <w:highlight w:val="white"/>
        </w:rPr>
        <w:t xml:space="preserve">的</w:t>
      </w:r>
      <w:r>
        <w:rPr>
          <w:rFonts w:ascii="SimSun" w:hAnsi="SimSun" w:eastAsia="SimSun" w:cs="SimSun"/>
          <w:i/>
          <w:color w:val="auto"/>
          <w:sz w:val="24"/>
          <w:highlight w:val="white"/>
          <w:u w:val="single"/>
        </w:rPr>
        <w:t xml:space="preserve">（关键工序）</w:t>
      </w:r>
      <w:r>
        <w:rPr>
          <w:rFonts w:ascii="SimSun" w:hAnsi="SimSun" w:eastAsia="SimSun" w:cs="SimSun"/>
          <w:color w:val="auto"/>
          <w:sz w:val="24"/>
          <w:highlight w:val="white"/>
        </w:rPr>
        <w:t xml:space="preserve">在中国境内完成。</w:t>
      </w:r>
      <w:r>
        <w:rPr>
          <w:color w:val="auto"/>
        </w:rPr>
      </w:r>
      <w:r/>
    </w:p>
    <w:p>
      <w:pPr>
        <w:ind w:left="0" w:right="0" w:firstLine="420"/>
        <w:jc w:val="both"/>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w:t>
      </w:r>
      <w:r>
        <w:rPr>
          <w:color w:val="auto"/>
        </w:rPr>
      </w:r>
      <w:r/>
    </w:p>
    <w:p>
      <w:pPr>
        <w:ind w:left="0" w:right="0" w:firstLine="420"/>
        <w:jc w:val="both"/>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本公司（单位）对上述声明内容的真实性负责。如有虚假，愿承担相应法律责任。</w:t>
      </w:r>
      <w:r>
        <w:rPr>
          <w:color w:val="auto"/>
        </w:rPr>
      </w:r>
      <w:r/>
    </w:p>
    <w:p>
      <w:pPr>
        <w:ind w:left="0" w:right="0" w:firstLine="420"/>
        <w:jc w:val="both"/>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3255"/>
        <w:jc w:val="both"/>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公司（单位）名称（盖章）： </w:t>
      </w:r>
      <w:r>
        <w:rPr>
          <w:color w:val="auto"/>
        </w:rPr>
      </w:r>
      <w:r/>
    </w:p>
    <w:p>
      <w:pPr>
        <w:ind w:left="0" w:right="0" w:firstLine="420"/>
        <w:jc w:val="center"/>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                                日期： 年 月 日</w:t>
      </w:r>
      <w:r>
        <w:rPr>
          <w:color w:val="auto"/>
        </w:rPr>
      </w:r>
      <w:r/>
    </w:p>
    <w:p>
      <w:pPr>
        <w:ind w:left="0" w:right="0" w:firstLine="420"/>
        <w:jc w:val="both"/>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__________________</w:t>
      </w:r>
      <w:r>
        <w:rPr>
          <w:color w:val="auto"/>
        </w:rPr>
      </w:r>
      <w:r/>
    </w:p>
    <w:p>
      <w:pPr>
        <w:ind w:left="0" w:right="0" w:firstLine="420"/>
        <w:jc w:val="both"/>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1.产品如有型号，请在“产品名称”栏一并填写。</w:t>
      </w:r>
      <w:r>
        <w:rPr>
          <w:color w:val="auto"/>
        </w:rPr>
      </w:r>
      <w:r/>
    </w:p>
    <w:p>
      <w:pPr>
        <w:ind w:left="0" w:right="0" w:firstLine="420"/>
        <w:jc w:val="both"/>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2.生产厂名与厂址应与生产厂营业执照载明的相关信息保持一致。</w:t>
      </w:r>
      <w:r>
        <w:rPr>
          <w:color w:val="auto"/>
        </w:rPr>
      </w:r>
      <w:r/>
    </w:p>
    <w:p>
      <w:pPr>
        <w:ind w:left="0" w:right="0" w:firstLine="420"/>
        <w:jc w:val="both"/>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3.该产品的中国境内生产的组件成本占比相关要求实施前，“规定比例”栏可不填，下同。</w:t>
      </w:r>
      <w:r>
        <w:rPr>
          <w:color w:val="auto"/>
        </w:rPr>
      </w:r>
      <w:r/>
    </w:p>
    <w:p>
      <w:pPr>
        <w:ind w:left="0" w:right="0" w:firstLine="420"/>
        <w:jc w:val="both"/>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4.该产品的关键组件要求实施前，“关键组件”栏可不填，下同。</w:t>
      </w:r>
      <w:r>
        <w:rPr>
          <w:color w:val="auto"/>
        </w:rPr>
      </w:r>
      <w:r/>
    </w:p>
    <w:p>
      <w:pPr>
        <w:ind w:left="0" w:right="0" w:firstLine="420"/>
        <w:jc w:val="both"/>
        <w:spacing w:before="30" w:after="3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5.该产品的关键工序要求实施前，“关键工序”栏可不填，下同。</w:t>
      </w:r>
      <w:r>
        <w:rPr>
          <w:color w:val="auto"/>
        </w:rPr>
      </w:r>
      <w:r/>
    </w:p>
    <w:p>
      <w:pPr>
        <w:ind w:left="0" w:right="0" w:firstLine="480"/>
        <w:spacing w:before="30" w:after="30" w:line="360" w:lineRule="auto"/>
        <w:shd w:val="clear" w:color="ffffff" w:fill="ffffff"/>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0"/>
        </w:rPr>
        <w:t xml:space="preserve"> </w:t>
      </w:r>
      <w:r>
        <w:rPr>
          <w:color w:val="auto"/>
        </w:rPr>
      </w:r>
      <w:r/>
    </w:p>
    <w:p>
      <w:pPr>
        <w:ind w:left="0" w:right="0" w:firstLine="0"/>
        <w:jc w:val="center"/>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 </w:t>
      </w:r>
      <w:r>
        <w:rPr>
          <w:rFonts w:ascii="SimSun" w:hAnsi="SimSun" w:eastAsia="SimSun" w:cs="SimSun"/>
          <w:b/>
          <w:color w:val="auto"/>
          <w:sz w:val="32"/>
          <w:highlight w:val="none"/>
        </w:rPr>
        <w:br w:type="page" w:clear="all"/>
      </w:r>
      <w:r>
        <w:rPr>
          <w:color w:val="auto"/>
        </w:rPr>
      </w:r>
      <w:r/>
    </w:p>
    <w:p>
      <w:pPr>
        <w:ind w:left="0" w:right="0" w:firstLine="0"/>
        <w:jc w:val="left"/>
        <w:spacing w:before="0" w:after="0" w:line="360" w:lineRule="auto"/>
        <w:rPr>
          <w:rFonts w:ascii="SimSun" w:hAnsi="SimSun" w:eastAsia="SimSun" w:cs="SimSun"/>
          <w:b/>
          <w:bCs/>
          <w:color w:val="auto"/>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                     质疑函范本</w:t>
      </w:r>
      <w:r>
        <w:rPr>
          <w:color w:val="auto"/>
        </w:rPr>
      </w:r>
      <w:r/>
    </w:p>
    <w:p>
      <w:pPr>
        <w:ind w:left="0" w:right="0" w:firstLine="0"/>
        <w:jc w:val="both"/>
        <w:spacing w:before="29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一、质疑供应商基本信息</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质疑供应商：</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地址：</w:t>
      </w:r>
      <w:r>
        <w:rPr>
          <w:rFonts w:ascii="SimSun" w:hAnsi="SimSun" w:eastAsia="SimSun" w:cs="SimSun"/>
          <w:color w:val="auto"/>
          <w:sz w:val="24"/>
          <w:u w:val="single"/>
        </w:rPr>
        <w:t xml:space="preserve">                             </w:t>
      </w:r>
      <w:r>
        <w:rPr>
          <w:rFonts w:ascii="SimSun" w:hAnsi="SimSun" w:eastAsia="SimSun" w:cs="SimSun"/>
          <w:color w:val="auto"/>
          <w:sz w:val="24"/>
        </w:rPr>
        <w:t xml:space="preserve">邮编：</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联系人：</w:t>
      </w:r>
      <w:r>
        <w:rPr>
          <w:rFonts w:ascii="SimSun" w:hAnsi="SimSun" w:eastAsia="SimSun" w:cs="SimSun"/>
          <w:color w:val="auto"/>
          <w:sz w:val="24"/>
          <w:u w:val="single"/>
        </w:rPr>
        <w:t xml:space="preserve">                      </w:t>
      </w:r>
      <w:r>
        <w:rPr>
          <w:rFonts w:ascii="SimSun" w:hAnsi="SimSun" w:eastAsia="SimSun" w:cs="SimSun"/>
          <w:color w:val="auto"/>
          <w:sz w:val="24"/>
        </w:rPr>
        <w:t xml:space="preserve">联系电话：</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授权代表：</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联系电话：</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地址： </w:t>
      </w:r>
      <w:r>
        <w:rPr>
          <w:rFonts w:ascii="SimSun" w:hAnsi="SimSun" w:eastAsia="SimSun" w:cs="SimSun"/>
          <w:color w:val="auto"/>
          <w:sz w:val="24"/>
          <w:u w:val="single"/>
        </w:rPr>
        <w:t xml:space="preserve">                        </w:t>
      </w:r>
      <w:r>
        <w:rPr>
          <w:rFonts w:ascii="SimSun" w:hAnsi="SimSun" w:eastAsia="SimSun" w:cs="SimSun"/>
          <w:color w:val="auto"/>
          <w:sz w:val="24"/>
        </w:rPr>
        <w:t xml:space="preserve">邮编：</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二、质疑项目基本情况</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质疑项目的名称：</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质疑项目的编号：</w:t>
      </w:r>
      <w:r>
        <w:rPr>
          <w:rFonts w:ascii="SimSun" w:hAnsi="SimSun" w:eastAsia="SimSun" w:cs="SimSun"/>
          <w:color w:val="auto"/>
          <w:sz w:val="24"/>
          <w:u w:val="single"/>
        </w:rPr>
        <w:t xml:space="preserve">                         </w:t>
      </w:r>
      <w:r>
        <w:rPr>
          <w:rFonts w:ascii="SimSun" w:hAnsi="SimSun" w:eastAsia="SimSun" w:cs="SimSun"/>
          <w:color w:val="auto"/>
          <w:sz w:val="24"/>
        </w:rPr>
        <w:t xml:space="preserve">包号：</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采购人名称：</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采购文件获取日期：</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三、质疑事项具体内容</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质疑事项1：</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事实依据：</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法律依据：</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质疑事项2</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四、与质疑事项相关的质疑请求</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请求：</w:t>
      </w:r>
      <w:r>
        <w:rPr>
          <w:rFonts w:ascii="SimSun" w:hAnsi="SimSun" w:eastAsia="SimSun" w:cs="SimSun"/>
          <w:color w:val="auto"/>
          <w:sz w:val="24"/>
          <w:u w:val="single"/>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签字(签章)：                         公章：                      </w:t>
      </w:r>
      <w:r>
        <w:rPr>
          <w:color w:val="auto"/>
        </w:rPr>
      </w:r>
      <w:r/>
    </w:p>
    <w:p>
      <w:pPr>
        <w:ind w:left="0" w:right="0" w:firstLine="4394"/>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    </w:t>
      </w:r>
      <w:r>
        <w:rPr>
          <w:color w:val="auto"/>
        </w:rPr>
      </w:r>
      <w:r/>
    </w:p>
    <w:p>
      <w:pPr>
        <w:ind w:left="0" w:right="0" w:firstLine="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质疑函制作说明：</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1.供应商提出质疑时，应提交质疑函和必要的证明材料。</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3.质疑供应商若对项目的某一分包进行质疑，质疑函中应列明具体分包号。</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4.质疑函的质疑事项应具体、明确，并有必要的事实依据和法律依据。</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5.质疑函的质疑请求应与质疑事项相关。</w:t>
      </w:r>
      <w:r>
        <w:rPr>
          <w:color w:val="auto"/>
        </w:rPr>
      </w:r>
      <w:r/>
    </w:p>
    <w:p>
      <w:pPr>
        <w:ind w:left="0" w:right="0" w:firstLine="480"/>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6.质疑供应商为自然人的，质疑函应由本人签字；质疑供应商为法人或者其他组织的，质疑函应由法定代表人、主要负责人，或者其授权代表签字或者盖章，并加盖公章。</w:t>
      </w:r>
      <w:r>
        <w:rPr>
          <w:color w:val="auto"/>
        </w:rPr>
      </w:r>
      <w:r/>
    </w:p>
    <w:p>
      <w:pPr>
        <w:ind w:left="0" w:right="0" w:firstLine="4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420"/>
        <w:jc w:val="both"/>
        <w:spacing w:before="0" w:after="0" w:line="360" w:lineRule="auto"/>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w:panose1 w:val="020B0503020204020204"/>
  </w:font>
  <w:font w:name="Times New Roman">
    <w:panose1 w:val="02020603050405020304"/>
  </w:font>
  <w:font w:name="宋体">
    <w:panose1 w:val="02010600030101010101"/>
  </w:font>
  <w:font w:name="SimSun">
    <w:panose1 w:val="02010600030101010101"/>
  </w:font>
  <w:font w:name="Calibri">
    <w:panose1 w:val="020F0502020204030204"/>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center"/>
    </w:pPr>
    <w:fldSimple w:instr="PAGE \* MERGEFORMAT">
      <w:r>
        <w:t xml:space="preserve">1</w:t>
      </w:r>
    </w:fldSimple>
    <w:r/>
    <w:r/>
  </w:p>
  <w:p>
    <w:pPr>
      <w:pStyle w:val="6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755" w:hanging="1755"/>
      </w:pPr>
      <w:rPr>
        <w:b/>
        <w:sz w:val="4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阚允文</cp:lastModifiedBy>
  <cp:revision>6</cp:revision>
  <dcterms:created xsi:type="dcterms:W3CDTF">2026-06-23T02:56:17Z</dcterms:created>
  <dcterms:modified xsi:type="dcterms:W3CDTF">2026-06-24T06:34:02Z</dcterms:modified>
</cp:coreProperties>
</file>