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b/>
          <w:sz w:val="32"/>
          <w:szCs w:val="32"/>
        </w:rPr>
      </w:pPr>
      <w:r/>
      <w:bookmarkStart w:id="0" w:name="_Hlk49444225"/>
      <w:r/>
      <w:r/>
    </w:p>
    <w:p>
      <w:pPr>
        <w:jc w:val="both"/>
        <w:spacing w:line="85" w:lineRule="atLeast"/>
        <w:widowControl/>
        <w:rPr>
          <w:rFonts w:ascii="宋体" w:hAnsi="宋体" w:eastAsia="宋体" w:cs="宋体"/>
          <w:b/>
          <w:sz w:val="72"/>
        </w:rPr>
        <w:pBdr>
          <w:top w:val="none" w:color="000000" w:sz="0" w:space="0"/>
          <w:left w:val="none" w:color="000000" w:sz="0" w:space="0"/>
          <w:bottom w:val="none" w:color="000000" w:sz="0" w:space="0"/>
          <w:right w:val="none" w:color="000000" w:sz="0" w:space="0"/>
        </w:pBdr>
      </w:pPr>
      <w:r>
        <w:rPr>
          <w:rFonts w:ascii="宋体" w:hAnsi="宋体" w:eastAsia="宋体" w:cs="宋体"/>
          <w:b/>
          <w:sz w:val="72"/>
        </w:rPr>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太仓市政府采购</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Arial" w:hAnsi="Arial" w:eastAsia="Arial" w:cs="Times New Roman"/>
          <w:sz w:val="22"/>
        </w:rPr>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t xml:space="preserve">单 一 </w:t>
      </w:r>
      <w:r>
        <w:rPr>
          <w:rFonts w:ascii="宋体" w:hAnsi="宋体" w:eastAsia="宋体" w:cs="宋体"/>
          <w:b/>
          <w:sz w:val="72"/>
        </w:rPr>
        <w:t xml:space="preserve">来</w:t>
      </w:r>
      <w:r>
        <w:rPr>
          <w:rFonts w:hint="eastAsia" w:ascii="宋体" w:hAnsi="宋体" w:eastAsia="宋体" w:cs="宋体"/>
          <w:b/>
          <w:sz w:val="72"/>
        </w:rPr>
        <w:t xml:space="preserve"> </w:t>
      </w:r>
      <w:r>
        <w:rPr>
          <w:rFonts w:ascii="宋体" w:hAnsi="宋体" w:eastAsia="宋体" w:cs="宋体"/>
          <w:b/>
          <w:sz w:val="72"/>
        </w:rPr>
        <w:t xml:space="preserve">源 文 件</w:t>
      </w:r>
      <w:r/>
    </w:p>
    <w:p>
      <w:pPr>
        <w:ind w:firstLine="1687"/>
        <w:jc w:val="left"/>
        <w:rPr>
          <w:rFonts w:ascii="宋体" w:hAnsi="宋体" w:cs="宋体"/>
          <w:b/>
          <w:sz w:val="84"/>
          <w:szCs w:val="84"/>
        </w:rPr>
      </w:pPr>
      <w:r>
        <w:rPr>
          <w:rFonts w:ascii="宋体" w:hAnsi="宋体" w:cs="宋体"/>
          <w:b/>
          <w:sz w:val="84"/>
          <w:szCs w:val="84"/>
        </w:rPr>
      </w:r>
      <w:r/>
    </w:p>
    <w:p>
      <w:pPr>
        <w:jc w:val="left"/>
        <w:spacing w:line="360" w:lineRule="auto"/>
        <w:widowControl/>
        <w:rPr>
          <w:rFonts w:ascii="宋体" w:hAnsi="宋体" w:cs="宋体"/>
          <w:sz w:val="20"/>
          <w:szCs w:val="20"/>
        </w:rPr>
      </w:pPr>
      <w:r>
        <w:rPr>
          <w:rFonts w:ascii="宋体" w:hAnsi="宋体" w:cs="宋体"/>
          <w:sz w:val="20"/>
          <w:szCs w:val="20"/>
        </w:rPr>
      </w:r>
      <w:r/>
    </w:p>
    <w:p>
      <w:pPr>
        <w:jc w:val="left"/>
        <w:spacing w:line="360" w:lineRule="auto"/>
        <w:widowControl/>
        <w:rPr>
          <w:rFonts w:ascii="宋体" w:hAnsi="宋体" w:cs="宋体"/>
          <w:sz w:val="20"/>
          <w:szCs w:val="20"/>
        </w:rPr>
      </w:pPr>
      <w:r>
        <w:rPr>
          <w:rFonts w:ascii="宋体" w:hAnsi="宋体" w:cs="宋体"/>
          <w:sz w:val="20"/>
          <w:szCs w:val="20"/>
        </w:rPr>
      </w:r>
      <w:r/>
    </w:p>
    <w:p>
      <w:pPr>
        <w:jc w:val="left"/>
        <w:spacing w:line="480" w:lineRule="auto"/>
        <w:widowControl/>
        <w:rPr>
          <w:rFonts w:ascii="宋体" w:hAnsi="宋体" w:cs="宋体"/>
          <w:b/>
          <w:sz w:val="32"/>
          <w:szCs w:val="20"/>
        </w:rPr>
      </w:pPr>
      <w:r>
        <w:rPr>
          <w:rFonts w:ascii="宋体" w:hAnsi="宋体" w:cs="宋体"/>
          <w:b/>
          <w:sz w:val="32"/>
          <w:szCs w:val="20"/>
        </w:rPr>
      </w:r>
      <w:r/>
    </w:p>
    <w:p>
      <w:pPr>
        <w:ind w:firstLine="1606"/>
        <w:jc w:val="left"/>
        <w:spacing w:line="480" w:lineRule="auto"/>
        <w:widowControl/>
        <w:rPr>
          <w:rFonts w:hint="eastAsia" w:ascii="宋体" w:hAnsi="宋体" w:eastAsia="宋体" w:cs="宋体"/>
          <w:b/>
          <w:sz w:val="32"/>
          <w:szCs w:val="20"/>
          <w:lang w:eastAsia="zh-CN"/>
        </w:rPr>
      </w:pPr>
      <w:r>
        <w:rPr>
          <w:rFonts w:hint="eastAsia" w:ascii="宋体" w:hAnsi="宋体" w:cs="宋体"/>
          <w:b/>
          <w:sz w:val="32"/>
          <w:szCs w:val="20"/>
        </w:rPr>
        <w:t xml:space="preserve">采购编号：</w:t>
      </w:r>
      <w:r>
        <w:rPr>
          <w:rFonts w:hint="eastAsia" w:ascii="宋体" w:hAnsi="宋体" w:cs="宋体"/>
          <w:b/>
          <w:sz w:val="32"/>
          <w:szCs w:val="20"/>
          <w:lang w:eastAsia="zh-CN"/>
        </w:rPr>
        <w:t xml:space="preserve">JSZC-320585-SZWK-D2026-0161</w:t>
      </w:r>
      <w:r/>
    </w:p>
    <w:p>
      <w:pPr>
        <w:ind w:firstLine="1606"/>
        <w:jc w:val="left"/>
        <w:spacing w:line="480" w:lineRule="auto"/>
        <w:widowControl/>
        <w:rPr>
          <w:rFonts w:hint="eastAsia" w:ascii="宋体" w:hAnsi="宋体" w:eastAsia="宋体" w:cs="宋体"/>
          <w:b/>
          <w:sz w:val="32"/>
          <w:szCs w:val="20"/>
          <w:lang w:eastAsia="zh-CN"/>
        </w:rPr>
      </w:pPr>
      <w:r>
        <w:rPr>
          <w:rFonts w:hint="eastAsia" w:ascii="宋体" w:hAnsi="宋体" w:cs="宋体"/>
          <w:b/>
          <w:sz w:val="32"/>
          <w:szCs w:val="20"/>
        </w:rPr>
        <w:t xml:space="preserve">采购单位：</w:t>
      </w:r>
      <w:r>
        <w:rPr>
          <w:rFonts w:hint="eastAsia" w:ascii="宋体" w:hAnsi="宋体" w:cs="宋体"/>
          <w:b/>
          <w:sz w:val="32"/>
          <w:szCs w:val="20"/>
          <w:lang w:eastAsia="zh-CN"/>
        </w:rPr>
        <w:t xml:space="preserve">太仓市娄江新城医院（瑞金医院太仓分院）</w:t>
      </w:r>
      <w:r/>
    </w:p>
    <w:p>
      <w:pPr>
        <w:ind w:firstLine="1606"/>
        <w:spacing w:line="480" w:lineRule="auto"/>
        <w:widowControl/>
        <w:rPr>
          <w:rFonts w:hint="eastAsia" w:ascii="宋体" w:hAnsi="宋体" w:eastAsia="宋体" w:cs="宋体"/>
          <w:b/>
          <w:sz w:val="32"/>
          <w:szCs w:val="20"/>
          <w:lang w:eastAsia="zh-CN"/>
        </w:rPr>
      </w:pPr>
      <w:r>
        <w:rPr>
          <w:rFonts w:hint="eastAsia" w:ascii="宋体" w:hAnsi="宋体" w:cs="宋体"/>
          <w:b/>
          <w:sz w:val="32"/>
          <w:szCs w:val="20"/>
        </w:rPr>
        <w:t xml:space="preserve">项目名称：</w:t>
      </w:r>
      <w:r>
        <w:rPr>
          <w:rFonts w:hint="eastAsia" w:ascii="宋体" w:hAnsi="宋体" w:cs="宋体"/>
          <w:b/>
          <w:sz w:val="32"/>
          <w:szCs w:val="20"/>
          <w:lang w:eastAsia="zh-CN"/>
        </w:rPr>
        <w:t xml:space="preserve">超高场磁共振成像系统</w:t>
      </w:r>
      <w:r/>
    </w:p>
    <w:p>
      <w:pPr>
        <w:ind w:left="420" w:firstLine="4772"/>
        <w:widowControl/>
        <w:rPr>
          <w:sz w:val="20"/>
          <w:szCs w:val="2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1701800</wp:posOffset>
                </wp:positionH>
                <wp:positionV relativeFrom="paragraph">
                  <wp:posOffset>103505</wp:posOffset>
                </wp:positionV>
                <wp:extent cx="2165985" cy="1016000"/>
                <wp:effectExtent l="0" t="0" r="0" b="0"/>
                <wp:wrapSquare wrapText="bothSides"/>
                <wp:docPr id="7"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34.0pt;mso-position-horizontal:absolute;mso-position-vertical-relative:text;margin-top:8.2pt;mso-position-vertical:absolute;width:170.5pt;height:80.0pt;mso-wrap-distance-left:0.0pt;mso-wrap-distance-top:0.0pt;mso-wrap-distance-right:0.0pt;mso-wrap-distance-bottom:0.0pt;" stroked="f">
                <v:path textboxrect="0,0,0,0"/>
                <w10:wrap type="square"/>
                <v:imagedata r:id="rId18" o:title=""/>
              </v:shape>
            </w:pict>
          </mc:Fallback>
        </mc:AlternateContent>
      </w:r>
      <w:r/>
    </w:p>
    <w:p>
      <w:pPr>
        <w:ind w:right="-159" w:firstLine="0"/>
        <w:jc w:val="left"/>
        <w:spacing w:line="300" w:lineRule="auto"/>
        <w:widowControl/>
        <w:rPr>
          <w:rFonts w:hint="eastAsia" w:ascii="宋体" w:hAnsi="宋体" w:cs="宋体"/>
          <w:b/>
          <w:sz w:val="30"/>
          <w:szCs w:val="24"/>
        </w:rPr>
      </w:pPr>
      <w:r>
        <w:rPr>
          <w:rFonts w:hint="eastAsia" w:ascii="宋体" w:hAnsi="宋体" w:cs="宋体"/>
          <w:b/>
          <w:sz w:val="30"/>
          <w:szCs w:val="24"/>
        </w:rPr>
      </w:r>
      <w:r/>
    </w:p>
    <w:p>
      <w:pPr>
        <w:ind w:right="-159" w:firstLine="2108"/>
        <w:jc w:val="left"/>
        <w:spacing w:line="300" w:lineRule="auto"/>
        <w:widowControl/>
        <w:rPr>
          <w:rFonts w:hint="eastAsia" w:ascii="宋体" w:hAnsi="宋体" w:cs="宋体"/>
          <w:b/>
          <w:sz w:val="30"/>
          <w:szCs w:val="24"/>
        </w:rPr>
      </w:pPr>
      <w:r>
        <w:rPr>
          <w:rFonts w:hint="eastAsia" w:ascii="宋体" w:hAnsi="宋体" w:cs="宋体"/>
          <w:b/>
          <w:sz w:val="30"/>
          <w:szCs w:val="24"/>
        </w:rPr>
        <w:t xml:space="preserve">苏州市卫康招投标咨询服务有限公司</w:t>
      </w:r>
      <w:r/>
    </w:p>
    <w:p>
      <w:pPr>
        <w:ind w:right="-159" w:firstLine="3012"/>
        <w:jc w:val="both"/>
        <w:spacing w:line="300" w:lineRule="auto"/>
        <w:widowControl/>
        <w:rPr>
          <w:rFonts w:ascii="宋体" w:hAnsi="宋体" w:cs="宋体"/>
          <w:b/>
          <w:sz w:val="32"/>
          <w:szCs w:val="24"/>
        </w:rPr>
      </w:pPr>
      <w:r>
        <w:rPr>
          <w:rFonts w:hint="eastAsia" w:ascii="宋体" w:hAnsi="宋体" w:cs="宋体"/>
          <w:b/>
          <w:sz w:val="30"/>
          <w:szCs w:val="24"/>
        </w:rPr>
        <w:t xml:space="preserve">二〇二</w:t>
      </w:r>
      <w:r>
        <w:rPr>
          <w:rFonts w:hint="eastAsia" w:ascii="宋体" w:hAnsi="宋体" w:cs="宋体"/>
          <w:b/>
          <w:sz w:val="30"/>
          <w:szCs w:val="24"/>
          <w:lang w:val="en-US" w:eastAsia="zh-CN"/>
        </w:rPr>
        <w:t xml:space="preserve">六</w:t>
      </w:r>
      <w:r>
        <w:rPr>
          <w:rFonts w:hint="eastAsia" w:ascii="宋体" w:hAnsi="宋体" w:cs="宋体"/>
          <w:b/>
          <w:sz w:val="30"/>
          <w:szCs w:val="24"/>
        </w:rPr>
        <w:t xml:space="preserve">年</w:t>
      </w:r>
      <w:r>
        <w:rPr>
          <w:rFonts w:hint="eastAsia" w:ascii="宋体" w:hAnsi="宋体" w:cs="宋体"/>
          <w:b/>
          <w:sz w:val="30"/>
          <w:szCs w:val="24"/>
          <w:lang w:val="en-US" w:eastAsia="zh-CN"/>
        </w:rPr>
        <w:t xml:space="preserve">六</w:t>
      </w:r>
      <w:r>
        <w:rPr>
          <w:rFonts w:hint="eastAsia" w:ascii="宋体" w:hAnsi="宋体" w:cs="宋体"/>
          <w:b/>
          <w:sz w:val="30"/>
          <w:szCs w:val="24"/>
        </w:rPr>
        <w:t xml:space="preserve">月</w:t>
      </w:r>
      <w:r/>
    </w:p>
    <w:p>
      <w:pPr>
        <w:jc w:val="center"/>
        <w:spacing w:line="85" w:lineRule="atLeast"/>
        <w:widowControl/>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ascii="宋体" w:hAnsi="宋体"/>
          <w:b/>
          <w:sz w:val="32"/>
          <w:szCs w:val="32"/>
        </w:rPr>
        <w:br w:type="page" w:clear="all"/>
      </w:r>
      <w:r>
        <w:rPr>
          <w:rFonts w:ascii="宋体" w:hAnsi="宋体" w:eastAsia="宋体" w:cs="宋体"/>
          <w:b/>
          <w:sz w:val="48"/>
          <w:szCs w:val="48"/>
        </w:rPr>
        <w:t xml:space="preserve">目</w:t>
      </w:r>
      <w:r>
        <w:rPr>
          <w:rFonts w:hint="eastAsia" w:ascii="宋体" w:hAnsi="宋体" w:eastAsia="宋体" w:cs="宋体"/>
          <w:b/>
          <w:sz w:val="48"/>
          <w:szCs w:val="48"/>
        </w:rPr>
        <w:t xml:space="preserve"> </w:t>
      </w:r>
      <w:r>
        <w:rPr>
          <w:rFonts w:ascii="宋体" w:hAnsi="宋体" w:eastAsia="宋体" w:cs="宋体"/>
          <w:b/>
          <w:sz w:val="48"/>
          <w:szCs w:val="48"/>
        </w:rPr>
        <w:t xml:space="preserve">录</w:t>
      </w:r>
      <w:r/>
    </w:p>
    <w:p>
      <w:pPr>
        <w:spacing w:after="200" w:line="276" w:lineRule="auto"/>
        <w:rPr>
          <w:rFonts w:hint="eastAsia" w:ascii="宋体" w:hAnsi="宋体" w:eastAsia="宋体" w:cs="宋体"/>
          <w:sz w:val="30"/>
          <w:szCs w:val="24"/>
        </w:rPr>
      </w:pPr>
      <w:r>
        <w:rPr>
          <w:rFonts w:hint="eastAsia" w:ascii="宋体" w:hAnsi="宋体" w:eastAsia="宋体" w:cs="宋体"/>
          <w:sz w:val="30"/>
          <w:szCs w:val="24"/>
        </w:rPr>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采购邀请函</w:t>
      </w:r>
      <w:r/>
    </w:p>
    <w:p>
      <w:pPr>
        <w:ind w:firstLine="720"/>
        <w:jc w:val="left"/>
        <w:spacing w:after="200" w:line="360" w:lineRule="auto"/>
        <w:widowControl/>
        <w:rPr>
          <w:rFonts w:hint="eastAsia" w:ascii="宋体" w:hAnsi="宋体" w:eastAsia="宋体" w:cs="Times New Roman"/>
          <w:sz w:val="36"/>
          <w:lang w:val="en-US" w:eastAsia="zh-CN"/>
        </w:rPr>
      </w:pPr>
      <w:r>
        <w:rPr>
          <w:rFonts w:hint="eastAsia" w:ascii="宋体" w:hAnsi="宋体" w:eastAsia="宋体" w:cs="Times New Roman"/>
          <w:sz w:val="36"/>
          <w:lang w:val="en-US" w:eastAsia="zh-CN"/>
        </w:rPr>
        <w:t xml:space="preserve">前附表</w:t>
      </w:r>
      <w:r/>
    </w:p>
    <w:p>
      <w:pPr>
        <w:ind w:firstLine="720"/>
        <w:jc w:val="left"/>
        <w:spacing w:after="200" w:line="360" w:lineRule="auto"/>
        <w:widowControl/>
        <w:rPr>
          <w:rFonts w:hint="eastAsia" w:ascii="宋体" w:hAnsi="宋体" w:eastAsia="宋体" w:cs="Times New Roman"/>
          <w:sz w:val="36"/>
          <w:lang w:val="en-US" w:eastAsia="zh-CN"/>
        </w:rPr>
      </w:pPr>
      <w:r>
        <w:rPr>
          <w:rFonts w:hint="eastAsia" w:ascii="宋体" w:hAnsi="宋体" w:eastAsia="宋体" w:cs="Times New Roman"/>
          <w:sz w:val="36"/>
          <w:lang w:val="en-US" w:eastAsia="zh-CN"/>
        </w:rPr>
        <w:t xml:space="preserve">供应商须知</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单一来源采购文件需求</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单一来源采购程序</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成交原则</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合同条款</w:t>
      </w:r>
      <w:r/>
    </w:p>
    <w:p>
      <w:pPr>
        <w:ind w:firstLine="720"/>
        <w:rPr>
          <w:rFonts w:ascii="宋体" w:hAnsi="宋体"/>
          <w:b/>
          <w:sz w:val="32"/>
          <w:szCs w:val="32"/>
        </w:rPr>
      </w:pPr>
      <w:r>
        <w:rPr>
          <w:rFonts w:hint="eastAsia" w:ascii="宋体" w:hAnsi="宋体" w:eastAsia="Arial" w:cs="Times New Roman"/>
          <w:sz w:val="36"/>
          <w:lang w:eastAsia="en-US"/>
        </w:rPr>
        <w:t xml:space="preserve">响应文件格式</w:t>
      </w:r>
      <w:r/>
    </w:p>
    <w:p>
      <w:pPr>
        <w:jc w:val="center"/>
        <w:widowControl/>
        <w:rPr>
          <w:rFonts w:hint="eastAsia" w:ascii="宋体" w:hAnsi="宋体"/>
          <w:b/>
          <w:sz w:val="32"/>
          <w:szCs w:val="32"/>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709" w:bottom="1440" w:left="1797" w:header="851" w:footer="992" w:gutter="0"/>
          <w:pgNumType w:start="1"/>
          <w:cols w:num="1" w:sep="0" w:space="1701" w:equalWidth="1"/>
          <w:docGrid w:linePitch="360"/>
          <w:titlePg/>
        </w:sectPr>
      </w:pPr>
      <w:r>
        <w:rPr>
          <w:rFonts w:hint="eastAsia" w:ascii="宋体" w:hAnsi="宋体"/>
          <w:b/>
          <w:sz w:val="32"/>
          <w:szCs w:val="32"/>
          <w:lang w:val="en-US" w:eastAsia="zh-CN"/>
        </w:rPr>
      </w:r>
      <w:r/>
    </w:p>
    <w:p>
      <w:pPr>
        <w:jc w:val="center"/>
        <w:widowControl/>
        <w:rPr>
          <w:rFonts w:ascii="宋体" w:hAnsi="宋体"/>
          <w:b/>
          <w:sz w:val="32"/>
          <w:szCs w:val="32"/>
        </w:rPr>
      </w:pPr>
      <w:r>
        <w:rPr>
          <w:rFonts w:hint="eastAsia" w:ascii="宋体" w:hAnsi="宋体"/>
          <w:b/>
          <w:sz w:val="32"/>
          <w:szCs w:val="32"/>
          <w:lang w:val="en-US" w:eastAsia="zh-CN"/>
        </w:rPr>
        <w:t xml:space="preserve">采购</w:t>
      </w:r>
      <w:r>
        <w:rPr>
          <w:rFonts w:hint="eastAsia" w:ascii="宋体" w:hAnsi="宋体"/>
          <w:b/>
          <w:sz w:val="32"/>
          <w:szCs w:val="32"/>
        </w:rPr>
        <w:t xml:space="preserve">邀请函</w:t>
      </w:r>
      <w:r/>
    </w:p>
    <w:p>
      <w:pPr>
        <w:ind w:firstLine="482"/>
        <w:spacing w:line="360" w:lineRule="exact"/>
        <w:rPr>
          <w:rFonts w:hint="eastAsia" w:ascii="宋体" w:hAnsi="宋体"/>
          <w:sz w:val="24"/>
          <w:szCs w:val="24"/>
          <w:u w:val="single"/>
        </w:rPr>
      </w:pPr>
      <w:r>
        <w:rPr>
          <w:rFonts w:hint="eastAsia" w:ascii="宋体" w:hAnsi="宋体"/>
          <w:sz w:val="24"/>
          <w:szCs w:val="24"/>
          <w:u w:val="single"/>
        </w:rPr>
      </w:r>
      <w:r/>
    </w:p>
    <w:p>
      <w:pPr>
        <w:keepLines w:val="0"/>
        <w:keepNext w:val="0"/>
        <w:pageBreakBefore w:val="0"/>
        <w:spacing w:line="360" w:lineRule="exact"/>
        <w:widowControl w:val="off"/>
        <w:rPr>
          <w:rFonts w:hint="eastAsia" w:ascii="宋体" w:hAnsi="宋体"/>
          <w:sz w:val="24"/>
          <w:szCs w:val="24"/>
          <w:u w:val="single"/>
          <w:lang w:eastAsia="zh-CN"/>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sz w:val="24"/>
          <w:szCs w:val="24"/>
          <w:u w:val="single"/>
        </w:rPr>
        <w:t xml:space="preserve">上海联影医疗科技股份有限公司</w:t>
      </w:r>
      <w:r>
        <w:rPr>
          <w:rFonts w:hint="eastAsia" w:ascii="宋体" w:hAnsi="宋体"/>
          <w:sz w:val="24"/>
          <w:szCs w:val="24"/>
          <w:u w:val="single"/>
          <w:lang w:eastAsia="zh-CN"/>
        </w:rPr>
        <w:t xml:space="preserve">：</w:t>
      </w:r>
      <w:r/>
    </w:p>
    <w:p>
      <w:pPr>
        <w:ind w:firstLine="482"/>
        <w:keepLines w:val="0"/>
        <w:keepNext w:val="0"/>
        <w:pageBreakBefore w:val="0"/>
        <w:spacing w:line="360" w:lineRule="exact"/>
        <w:widowControl w:val="off"/>
        <w:rPr>
          <w:rFonts w:hint="eastAsia" w:ascii="宋体" w:hAnsi="宋体" w:eastAsia="宋体"/>
          <w:color w:val="auto"/>
          <w:sz w:val="24"/>
          <w:szCs w:val="24"/>
          <w:lang w:eastAsia="zh-CN"/>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cs="宋体"/>
          <w:sz w:val="24"/>
          <w:lang w:eastAsia="zh-CN"/>
        </w:rPr>
        <w:t xml:space="preserve">超高场磁共振成像系统</w:t>
      </w:r>
      <w:r>
        <w:rPr>
          <w:rFonts w:hint="eastAsia" w:ascii="宋体" w:hAnsi="宋体"/>
          <w:sz w:val="24"/>
          <w:szCs w:val="24"/>
          <w:lang w:eastAsia="zh-CN"/>
        </w:rPr>
        <w:t xml:space="preserve">JSZC-320585-SZWK-D2026-0161</w:t>
      </w:r>
      <w:r>
        <w:rPr>
          <w:rFonts w:hint="eastAsia" w:ascii="宋体" w:hAnsi="宋体" w:eastAsia="宋体"/>
          <w:sz w:val="24"/>
          <w:szCs w:val="24"/>
          <w:lang w:eastAsia="zh-CN"/>
        </w:rPr>
        <w:t xml:space="preserve">招标项目的潜在投标</w:t>
      </w:r>
      <w:r>
        <w:rPr>
          <w:rFonts w:hint="eastAsia" w:ascii="宋体" w:hAnsi="宋体" w:eastAsia="宋体"/>
          <w:color w:val="auto"/>
          <w:sz w:val="24"/>
          <w:szCs w:val="24"/>
          <w:lang w:eastAsia="zh-CN"/>
        </w:rPr>
        <w:t xml:space="preserve">人应在“苏采云”系统（网址：http://jszfcg.jsczt.cn/）自行下载获取招标文件，并于</w:t>
      </w:r>
      <w:r>
        <w:rPr>
          <w:rFonts w:hint="eastAsia" w:ascii="宋体" w:hAnsi="宋体"/>
          <w:color w:val="auto"/>
          <w:sz w:val="24"/>
          <w:szCs w:val="24"/>
          <w:lang w:eastAsia="zh-CN"/>
        </w:rPr>
        <w:t xml:space="preserve">2026年</w:t>
      </w:r>
      <w:r>
        <w:rPr>
          <w:rFonts w:hint="eastAsia" w:ascii="宋体" w:hAnsi="宋体"/>
          <w:color w:val="auto"/>
          <w:sz w:val="24"/>
          <w:szCs w:val="24"/>
          <w:lang w:eastAsia="zh-CN"/>
        </w:rPr>
        <w:t xml:space="preserve">7月10日</w:t>
      </w:r>
      <w:r/>
      <w:r>
        <w:rPr>
          <w:rFonts w:hint="eastAsia" w:ascii="宋体" w:hAnsi="宋体"/>
          <w:color w:val="auto"/>
          <w:sz w:val="24"/>
          <w:szCs w:val="24"/>
          <w:lang w:eastAsia="zh-CN"/>
        </w:rPr>
        <w:t xml:space="preserve">14点00分</w:t>
      </w:r>
      <w:r>
        <w:rPr>
          <w:rFonts w:hint="eastAsia" w:ascii="宋体" w:hAnsi="宋体" w:eastAsia="宋体"/>
          <w:color w:val="auto"/>
          <w:sz w:val="24"/>
          <w:szCs w:val="24"/>
          <w:lang w:eastAsia="zh-CN"/>
        </w:rPr>
        <w:t xml:space="preserve">（北京时间）前递交投标文件。</w:t>
      </w:r>
      <w:r/>
    </w:p>
    <w:p>
      <w:pPr>
        <w:ind w:firstLine="482"/>
        <w:spacing w:line="360" w:lineRule="exact"/>
        <w:rPr>
          <w:rFonts w:ascii="宋体" w:hAnsi="宋体"/>
          <w:color w:val="auto"/>
          <w:sz w:val="24"/>
          <w:szCs w:val="24"/>
        </w:rPr>
      </w:pPr>
      <w:r>
        <w:rPr>
          <w:rFonts w:hint="eastAsia" w:ascii="宋体" w:hAnsi="宋体"/>
          <w:b/>
          <w:bCs/>
          <w:color w:val="auto"/>
          <w:sz w:val="24"/>
          <w:szCs w:val="24"/>
        </w:rPr>
        <w:t xml:space="preserve">一、</w:t>
      </w:r>
      <w:r>
        <w:rPr>
          <w:rFonts w:hint="eastAsia" w:ascii="宋体" w:hAnsi="宋体"/>
          <w:color w:val="auto"/>
          <w:sz w:val="24"/>
          <w:szCs w:val="24"/>
        </w:rPr>
        <w:t xml:space="preserve">采购编号：</w:t>
      </w:r>
      <w:r>
        <w:rPr>
          <w:rFonts w:hint="eastAsia" w:ascii="宋体" w:hAnsi="宋体"/>
          <w:color w:val="auto"/>
          <w:sz w:val="24"/>
          <w:szCs w:val="24"/>
          <w:lang w:eastAsia="zh-CN"/>
        </w:rPr>
        <w:t xml:space="preserve">JSZC-320585-SZWK-D2026-0161</w:t>
      </w:r>
      <w:r>
        <w:rPr>
          <w:rFonts w:hint="eastAsia" w:ascii="宋体" w:hAnsi="宋体"/>
          <w:color w:val="auto"/>
          <w:sz w:val="24"/>
          <w:szCs w:val="24"/>
        </w:rPr>
        <w:t xml:space="preserve">号</w:t>
      </w:r>
      <w:r/>
    </w:p>
    <w:p>
      <w:pPr>
        <w:ind w:firstLine="482"/>
        <w:spacing w:line="360" w:lineRule="exact"/>
        <w:rPr>
          <w:rFonts w:hint="eastAsia" w:ascii="宋体" w:hAnsi="宋体" w:eastAsia="宋体"/>
          <w:color w:val="auto"/>
          <w:sz w:val="24"/>
          <w:szCs w:val="24"/>
          <w:lang w:eastAsia="zh-CN"/>
        </w:rPr>
      </w:pPr>
      <w:r>
        <w:rPr>
          <w:rFonts w:hint="eastAsia" w:ascii="宋体" w:hAnsi="宋体"/>
          <w:b/>
          <w:bCs/>
          <w:color w:val="auto"/>
          <w:sz w:val="24"/>
          <w:szCs w:val="24"/>
        </w:rPr>
        <w:t xml:space="preserve">二、</w:t>
      </w:r>
      <w:r>
        <w:rPr>
          <w:rFonts w:hint="eastAsia" w:ascii="宋体" w:hAnsi="宋体"/>
          <w:color w:val="auto"/>
          <w:sz w:val="24"/>
          <w:szCs w:val="24"/>
        </w:rPr>
        <w:t xml:space="preserve">采购内容：</w:t>
      </w:r>
      <w:r>
        <w:rPr>
          <w:rFonts w:hint="eastAsia" w:ascii="宋体" w:hAnsi="宋体" w:cs="宋体"/>
          <w:color w:val="auto"/>
          <w:sz w:val="24"/>
          <w:lang w:eastAsia="zh-CN"/>
        </w:rPr>
        <w:t xml:space="preserve">超高场磁共振成像系统</w:t>
      </w:r>
      <w:r/>
    </w:p>
    <w:p>
      <w:pPr>
        <w:ind w:firstLine="482"/>
        <w:spacing w:line="360" w:lineRule="exact"/>
        <w:rPr>
          <w:rFonts w:ascii="宋体" w:hAnsi="宋体"/>
          <w:color w:val="auto"/>
          <w:sz w:val="24"/>
          <w:szCs w:val="24"/>
        </w:rPr>
      </w:pPr>
      <w:r>
        <w:rPr>
          <w:rFonts w:hint="eastAsia" w:ascii="宋体" w:hAnsi="宋体"/>
          <w:b/>
          <w:bCs/>
          <w:color w:val="auto"/>
          <w:sz w:val="24"/>
          <w:szCs w:val="24"/>
        </w:rPr>
        <w:t xml:space="preserve">三、</w:t>
      </w:r>
      <w:r>
        <w:rPr>
          <w:rFonts w:hint="eastAsia" w:ascii="宋体" w:hAnsi="宋体"/>
          <w:color w:val="auto"/>
          <w:sz w:val="24"/>
          <w:szCs w:val="24"/>
        </w:rPr>
        <w:t xml:space="preserve">采购方式：单一来源</w:t>
      </w:r>
      <w:r/>
    </w:p>
    <w:p>
      <w:pPr>
        <w:ind w:firstLine="482"/>
        <w:spacing w:line="360" w:lineRule="exact"/>
        <w:rPr>
          <w:rFonts w:ascii="宋体" w:hAnsi="宋体"/>
          <w:sz w:val="24"/>
          <w:szCs w:val="24"/>
        </w:rPr>
      </w:pPr>
      <w:r>
        <w:rPr>
          <w:rFonts w:hint="eastAsia" w:ascii="宋体" w:hAnsi="宋体"/>
          <w:b/>
          <w:bCs/>
          <w:sz w:val="24"/>
          <w:szCs w:val="24"/>
        </w:rPr>
        <w:t xml:space="preserve">四、</w:t>
      </w:r>
      <w:r>
        <w:rPr>
          <w:rFonts w:hint="eastAsia" w:ascii="宋体" w:hAnsi="宋体"/>
          <w:sz w:val="24"/>
          <w:szCs w:val="24"/>
        </w:rPr>
        <w:t xml:space="preserve">采购预算</w:t>
      </w:r>
      <w:r>
        <w:rPr>
          <w:rFonts w:hint="eastAsia" w:ascii="宋体" w:hAnsi="宋体"/>
          <w:sz w:val="24"/>
          <w:szCs w:val="24"/>
          <w:lang w:val="en-US" w:eastAsia="zh-CN"/>
        </w:rPr>
        <w:t xml:space="preserve">及最高限价</w:t>
      </w:r>
      <w:r>
        <w:rPr>
          <w:rFonts w:hint="eastAsia" w:ascii="宋体" w:hAnsi="宋体"/>
          <w:sz w:val="24"/>
          <w:szCs w:val="24"/>
        </w:rPr>
        <w:t xml:space="preserve">：</w:t>
      </w:r>
      <w:r>
        <w:rPr>
          <w:rFonts w:hint="eastAsia" w:ascii="宋体" w:hAnsi="宋体"/>
          <w:sz w:val="24"/>
          <w:szCs w:val="24"/>
          <w:lang w:eastAsia="zh-CN"/>
        </w:rPr>
        <w:t xml:space="preserve">肆仟柒佰万元整</w:t>
      </w:r>
      <w:r>
        <w:rPr>
          <w:rFonts w:hint="eastAsia" w:ascii="宋体" w:hAnsi="宋体"/>
          <w:sz w:val="24"/>
          <w:szCs w:val="24"/>
        </w:rPr>
        <w:t xml:space="preserve">（￥</w:t>
      </w:r>
      <w:r>
        <w:rPr>
          <w:rFonts w:hint="eastAsia" w:ascii="宋体" w:hAnsi="宋体"/>
          <w:sz w:val="24"/>
          <w:szCs w:val="24"/>
          <w:lang w:eastAsia="zh-CN"/>
        </w:rPr>
        <w:t xml:space="preserve">47000000.00</w:t>
      </w:r>
      <w:r>
        <w:rPr>
          <w:rFonts w:hint="eastAsia" w:ascii="宋体" w:hAnsi="宋体"/>
          <w:sz w:val="24"/>
          <w:szCs w:val="24"/>
        </w:rPr>
        <w:t xml:space="preserve">）</w:t>
      </w:r>
      <w:r/>
    </w:p>
    <w:p>
      <w:pPr>
        <w:ind w:firstLine="480"/>
        <w:spacing w:line="360" w:lineRule="exact"/>
        <w:rPr>
          <w:rFonts w:hint="eastAsia" w:ascii="宋体" w:hAnsi="宋体"/>
          <w:b/>
          <w:bCs/>
          <w:sz w:val="24"/>
          <w:szCs w:val="24"/>
          <w:lang w:val="en-US" w:eastAsia="zh-CN"/>
        </w:rPr>
      </w:pPr>
      <w:r>
        <w:rPr>
          <w:rFonts w:hint="eastAsia" w:ascii="宋体" w:hAnsi="宋体"/>
          <w:b/>
          <w:bCs/>
          <w:sz w:val="24"/>
          <w:szCs w:val="24"/>
          <w:lang w:val="en-US" w:eastAsia="zh-CN"/>
        </w:rPr>
        <w:t xml:space="preserve">五、采购需求：</w:t>
      </w:r>
      <w:r/>
    </w:p>
    <w:p>
      <w:pPr>
        <w:ind w:firstLine="482"/>
        <w:spacing w:line="360" w:lineRule="exact"/>
        <w:rPr>
          <w:rFonts w:hint="eastAsia" w:ascii="宋体" w:hAnsi="宋体"/>
          <w:sz w:val="24"/>
          <w:szCs w:val="24"/>
          <w:lang w:val="en-US" w:eastAsia="zh-CN"/>
        </w:rPr>
      </w:pPr>
      <w:r>
        <w:rPr>
          <w:rFonts w:hint="eastAsia" w:ascii="宋体" w:hAnsi="宋体"/>
          <w:sz w:val="24"/>
          <w:szCs w:val="24"/>
          <w:lang w:val="en-US" w:eastAsia="zh-CN"/>
        </w:rPr>
        <w:t xml:space="preserve">1、本次采购内容为采购一套超高场磁共振成像系统，磁场强度≥5.0T。</w:t>
      </w:r>
      <w:r/>
    </w:p>
    <w:p>
      <w:pPr>
        <w:ind w:firstLine="482"/>
        <w:spacing w:line="360" w:lineRule="exact"/>
        <w:rPr>
          <w:rFonts w:hint="eastAsia" w:ascii="宋体" w:hAnsi="宋体"/>
          <w:sz w:val="24"/>
          <w:szCs w:val="24"/>
          <w:lang w:val="en-US" w:eastAsia="zh-CN"/>
        </w:rPr>
      </w:pPr>
      <w:r>
        <w:rPr>
          <w:rFonts w:hint="eastAsia" w:ascii="宋体" w:hAnsi="宋体"/>
          <w:sz w:val="24"/>
          <w:szCs w:val="24"/>
          <w:lang w:val="en-US" w:eastAsia="zh-CN"/>
        </w:rPr>
        <w:t xml:space="preserve">2、合同履行期限：</w:t>
      </w:r>
      <w:r/>
    </w:p>
    <w:p>
      <w:pPr>
        <w:ind w:firstLine="482"/>
        <w:spacing w:line="360" w:lineRule="exact"/>
        <w:rPr>
          <w:rFonts w:hint="eastAsia" w:ascii="宋体" w:hAnsi="宋体"/>
          <w:sz w:val="24"/>
          <w:szCs w:val="24"/>
          <w:lang w:val="en-US" w:eastAsia="zh-CN"/>
        </w:rPr>
      </w:pPr>
      <w:r>
        <w:rPr>
          <w:rFonts w:hint="eastAsia" w:ascii="宋体" w:hAnsi="宋体"/>
          <w:sz w:val="24"/>
          <w:szCs w:val="24"/>
          <w:lang w:val="en-US" w:eastAsia="zh-CN"/>
        </w:rPr>
        <w:t xml:space="preserve">（1）交货期：合同签订之日起30天内送至指定地点并安装调试完成。（具体以甲方通知为准）。</w:t>
      </w:r>
      <w:r/>
    </w:p>
    <w:p>
      <w:pPr>
        <w:ind w:firstLine="482"/>
        <w:spacing w:line="360" w:lineRule="exact"/>
        <w:rPr>
          <w:rFonts w:hint="eastAsia" w:ascii="宋体" w:hAnsi="宋体"/>
          <w:sz w:val="24"/>
          <w:szCs w:val="24"/>
          <w:lang w:val="en-US" w:eastAsia="zh-CN"/>
        </w:rPr>
      </w:pPr>
      <w:r>
        <w:rPr>
          <w:rFonts w:hint="eastAsia" w:ascii="宋体" w:hAnsi="宋体"/>
          <w:sz w:val="24"/>
          <w:szCs w:val="24"/>
          <w:lang w:val="en-US" w:eastAsia="zh-CN"/>
        </w:rPr>
        <w:t xml:space="preserve">（2）质保期：提供至少5年的原厂（制造商）整体免费质保服务，并提供证明文件，质保期从医院验收合格之日起计算。</w:t>
      </w:r>
      <w:r/>
    </w:p>
    <w:p>
      <w:pPr>
        <w:ind w:firstLine="482"/>
        <w:spacing w:line="360" w:lineRule="exact"/>
        <w:rPr>
          <w:rFonts w:hint="eastAsia" w:ascii="宋体" w:hAnsi="宋体"/>
          <w:sz w:val="24"/>
          <w:szCs w:val="24"/>
          <w:lang w:val="en-US" w:eastAsia="zh-CN"/>
        </w:rPr>
      </w:pPr>
      <w:r>
        <w:rPr>
          <w:rFonts w:hint="eastAsia" w:ascii="宋体" w:hAnsi="宋体"/>
          <w:sz w:val="24"/>
          <w:szCs w:val="24"/>
          <w:lang w:val="en-US" w:eastAsia="zh-CN"/>
        </w:rPr>
        <w:t xml:space="preserve">（3）交货地点：太仓市娄江新城医院（瑞金医院太仓分院）。</w:t>
      </w:r>
      <w:r/>
    </w:p>
    <w:p>
      <w:pPr>
        <w:ind w:firstLine="482"/>
        <w:spacing w:line="360" w:lineRule="exact"/>
        <w:rPr>
          <w:rFonts w:hint="eastAsia" w:ascii="宋体" w:hAnsi="宋体"/>
          <w:sz w:val="24"/>
          <w:szCs w:val="24"/>
          <w:lang w:val="en-US" w:eastAsia="zh-CN"/>
        </w:rPr>
      </w:pPr>
      <w:r>
        <w:rPr>
          <w:rFonts w:hint="eastAsia" w:ascii="宋体" w:hAnsi="宋体"/>
          <w:sz w:val="24"/>
          <w:szCs w:val="24"/>
          <w:lang w:val="en-US" w:eastAsia="zh-CN"/>
        </w:rPr>
        <w:t xml:space="preserve">（4）验收标准：货物安装后，采购方按国际和国家标准及厂方标准进行质量验收。</w:t>
      </w:r>
      <w:r/>
    </w:p>
    <w:p>
      <w:pPr>
        <w:ind w:firstLine="482"/>
        <w:spacing w:line="360" w:lineRule="exact"/>
        <w:rPr>
          <w:rFonts w:hint="eastAsia" w:ascii="宋体" w:hAnsi="宋体"/>
          <w:sz w:val="24"/>
          <w:szCs w:val="24"/>
          <w:lang w:val="en-US" w:eastAsia="zh-CN"/>
        </w:rPr>
      </w:pPr>
      <w:r>
        <w:rPr>
          <w:rFonts w:hint="eastAsia" w:ascii="宋体" w:hAnsi="宋体"/>
          <w:sz w:val="24"/>
          <w:szCs w:val="24"/>
          <w:lang w:val="en-US" w:eastAsia="zh-CN"/>
        </w:rPr>
        <w:t xml:space="preserve">3、本项目不接受联合体投标，不允许成交后转包或分包。</w:t>
      </w:r>
      <w:r/>
    </w:p>
    <w:p>
      <w:pPr>
        <w:ind w:firstLine="482"/>
        <w:spacing w:line="360" w:lineRule="exact"/>
        <w:rPr>
          <w:rFonts w:hint="eastAsia" w:ascii="宋体" w:hAnsi="宋体"/>
          <w:sz w:val="24"/>
          <w:szCs w:val="24"/>
          <w:lang w:val="en-US" w:eastAsia="zh-CN"/>
        </w:rPr>
      </w:pPr>
      <w:r>
        <w:rPr>
          <w:rFonts w:hint="eastAsia" w:ascii="宋体" w:hAnsi="宋体"/>
          <w:sz w:val="24"/>
          <w:szCs w:val="24"/>
          <w:lang w:val="en-US" w:eastAsia="zh-CN"/>
        </w:rPr>
        <w:t xml:space="preserve">4、本项目不接受进口产品投标。本项目执行财库〔2025〕19号《财政部关于在政府采购活动中对自欧盟进口的医疗器械采取相关措施的通知》的规定，不接受自欧盟进口的医疗器械产品投标。</w:t>
      </w:r>
      <w:r/>
    </w:p>
    <w:p>
      <w:pPr>
        <w:ind w:firstLine="482"/>
        <w:spacing w:line="360" w:lineRule="exact"/>
        <w:rPr>
          <w:rFonts w:hint="eastAsia" w:ascii="宋体" w:hAnsi="宋体"/>
          <w:sz w:val="24"/>
          <w:szCs w:val="24"/>
          <w:lang w:val="en-US" w:eastAsia="zh-CN"/>
        </w:rPr>
      </w:pPr>
      <w:r>
        <w:rPr>
          <w:rFonts w:hint="eastAsia" w:ascii="宋体" w:hAnsi="宋体"/>
          <w:sz w:val="24"/>
          <w:szCs w:val="24"/>
          <w:lang w:val="en-US" w:eastAsia="zh-CN"/>
        </w:rPr>
        <w:t xml:space="preserve">5、本项目非专门面向中小企业采购，所属行业为工业</w:t>
      </w:r>
      <w:r/>
    </w:p>
    <w:p>
      <w:pPr>
        <w:ind w:firstLine="480"/>
        <w:spacing w:line="360" w:lineRule="exact"/>
        <w:rPr>
          <w:rFonts w:hint="eastAsia" w:ascii="宋体" w:hAnsi="宋体"/>
          <w:b/>
          <w:bCs/>
          <w:sz w:val="24"/>
          <w:szCs w:val="24"/>
        </w:rPr>
      </w:pPr>
      <w:r>
        <w:rPr>
          <w:rFonts w:hint="eastAsia" w:ascii="宋体" w:hAnsi="宋体"/>
          <w:b/>
          <w:bCs/>
          <w:sz w:val="24"/>
          <w:szCs w:val="24"/>
          <w:lang w:val="en-US" w:eastAsia="zh-CN"/>
        </w:rPr>
        <w:t xml:space="preserve">六</w:t>
      </w:r>
      <w:r>
        <w:rPr>
          <w:rFonts w:hint="eastAsia" w:ascii="宋体" w:hAnsi="宋体"/>
          <w:b/>
          <w:bCs/>
          <w:sz w:val="24"/>
          <w:szCs w:val="24"/>
        </w:rPr>
        <w:t xml:space="preserve">、申请人的资格要求</w:t>
      </w:r>
      <w:r/>
    </w:p>
    <w:p>
      <w:pPr>
        <w:ind w:firstLine="480"/>
        <w:spacing w:line="360" w:lineRule="exact"/>
        <w:rPr>
          <w:rFonts w:hint="eastAsia" w:ascii="宋体" w:hAnsi="宋体"/>
          <w:sz w:val="24"/>
          <w:szCs w:val="24"/>
        </w:rPr>
      </w:pPr>
      <w:r>
        <w:rPr>
          <w:rFonts w:hint="eastAsia" w:ascii="宋体" w:hAnsi="宋体"/>
          <w:sz w:val="24"/>
          <w:szCs w:val="24"/>
        </w:rPr>
        <w:t xml:space="preserve">1、满足《中华人民共和国政府采购法》第二十二条规定，即：</w:t>
      </w:r>
      <w:r/>
    </w:p>
    <w:p>
      <w:pPr>
        <w:ind w:firstLine="480"/>
        <w:spacing w:line="360" w:lineRule="exact"/>
        <w:rPr>
          <w:rFonts w:hint="eastAsia" w:ascii="宋体" w:hAnsi="宋体"/>
          <w:sz w:val="24"/>
          <w:szCs w:val="24"/>
        </w:rPr>
      </w:pPr>
      <w:r>
        <w:rPr>
          <w:rFonts w:hint="eastAsia" w:ascii="宋体" w:hAnsi="宋体"/>
          <w:sz w:val="24"/>
          <w:szCs w:val="24"/>
        </w:rPr>
        <w:t xml:space="preserve">（1）具有独立承担民事责任的能力；</w:t>
      </w:r>
      <w:r/>
    </w:p>
    <w:p>
      <w:pPr>
        <w:ind w:firstLine="480"/>
        <w:spacing w:line="360" w:lineRule="exact"/>
        <w:rPr>
          <w:rFonts w:hint="eastAsia" w:ascii="宋体" w:hAnsi="宋体"/>
          <w:sz w:val="24"/>
          <w:szCs w:val="24"/>
        </w:rPr>
      </w:pPr>
      <w:r>
        <w:rPr>
          <w:rFonts w:hint="eastAsia" w:ascii="宋体" w:hAnsi="宋体"/>
          <w:sz w:val="24"/>
          <w:szCs w:val="24"/>
        </w:rPr>
        <w:t xml:space="preserve">（2）具有良好的商业信誉和健全的财务会计制度；</w:t>
      </w:r>
      <w:r/>
    </w:p>
    <w:p>
      <w:pPr>
        <w:ind w:firstLine="480"/>
        <w:spacing w:line="360" w:lineRule="exact"/>
        <w:rPr>
          <w:rFonts w:hint="eastAsia" w:ascii="宋体" w:hAnsi="宋体"/>
          <w:sz w:val="24"/>
          <w:szCs w:val="24"/>
        </w:rPr>
      </w:pPr>
      <w:r>
        <w:rPr>
          <w:rFonts w:hint="eastAsia" w:ascii="宋体" w:hAnsi="宋体"/>
          <w:sz w:val="24"/>
          <w:szCs w:val="24"/>
        </w:rPr>
        <w:t xml:space="preserve">（3）具有履行合同所必需的设备和专业技术能力；</w:t>
      </w:r>
      <w:r/>
    </w:p>
    <w:p>
      <w:pPr>
        <w:ind w:firstLine="480"/>
        <w:spacing w:line="360" w:lineRule="exact"/>
        <w:rPr>
          <w:rFonts w:hint="eastAsia" w:ascii="宋体" w:hAnsi="宋体"/>
          <w:sz w:val="24"/>
          <w:szCs w:val="24"/>
        </w:rPr>
      </w:pPr>
      <w:r>
        <w:rPr>
          <w:rFonts w:hint="eastAsia" w:ascii="宋体" w:hAnsi="宋体"/>
          <w:sz w:val="24"/>
          <w:szCs w:val="24"/>
        </w:rPr>
        <w:t xml:space="preserve">（4）有依法缴纳税收和社会保障资金的良好记录；</w:t>
      </w:r>
      <w:r/>
    </w:p>
    <w:p>
      <w:pPr>
        <w:ind w:firstLine="480"/>
        <w:spacing w:line="360" w:lineRule="exact"/>
        <w:rPr>
          <w:rFonts w:hint="eastAsia" w:ascii="宋体" w:hAnsi="宋体"/>
          <w:sz w:val="24"/>
          <w:szCs w:val="24"/>
        </w:rPr>
      </w:pPr>
      <w:r>
        <w:rPr>
          <w:rFonts w:hint="eastAsia" w:ascii="宋体" w:hAnsi="宋体"/>
          <w:sz w:val="24"/>
          <w:szCs w:val="24"/>
        </w:rPr>
        <w:t xml:space="preserve">（5）参加政府采购活动前三年内，在经营活动中没有重大违法记录；</w:t>
      </w:r>
      <w:r/>
    </w:p>
    <w:p>
      <w:pPr>
        <w:ind w:firstLine="480"/>
        <w:spacing w:line="360" w:lineRule="exact"/>
        <w:rPr>
          <w:rFonts w:hint="eastAsia" w:ascii="宋体" w:hAnsi="宋体"/>
          <w:sz w:val="24"/>
          <w:szCs w:val="24"/>
        </w:rPr>
      </w:pPr>
      <w:r>
        <w:rPr>
          <w:rFonts w:hint="eastAsia" w:ascii="宋体" w:hAnsi="宋体"/>
          <w:sz w:val="24"/>
          <w:szCs w:val="24"/>
        </w:rPr>
        <w:t xml:space="preserve">（6）法律、行政法规规定的其他条件。</w:t>
      </w:r>
      <w:r/>
    </w:p>
    <w:p>
      <w:pPr>
        <w:ind w:firstLine="480"/>
        <w:spacing w:line="360" w:lineRule="exact"/>
        <w:rPr>
          <w:rFonts w:hint="eastAsia" w:ascii="宋体" w:hAnsi="宋体"/>
          <w:sz w:val="24"/>
          <w:szCs w:val="24"/>
        </w:rPr>
      </w:pPr>
      <w:r>
        <w:rPr>
          <w:rFonts w:hint="eastAsia" w:ascii="宋体" w:hAnsi="宋体"/>
          <w:sz w:val="24"/>
          <w:szCs w:val="24"/>
        </w:rPr>
        <w:t xml:space="preserve">2、落实政府采购政策需满足的资格要求：无</w:t>
      </w:r>
      <w:r/>
    </w:p>
    <w:p>
      <w:pPr>
        <w:ind w:firstLine="480"/>
        <w:spacing w:line="360" w:lineRule="exact"/>
        <w:rPr>
          <w:rFonts w:hint="eastAsia" w:ascii="宋体" w:hAnsi="宋体"/>
          <w:sz w:val="24"/>
          <w:szCs w:val="24"/>
        </w:rPr>
      </w:pPr>
      <w:r>
        <w:rPr>
          <w:rFonts w:hint="eastAsia" w:ascii="宋体" w:hAnsi="宋体"/>
          <w:sz w:val="24"/>
          <w:szCs w:val="24"/>
        </w:rPr>
        <w:t xml:space="preserve">3、本项目的特定资格要求：</w:t>
      </w:r>
      <w:r/>
    </w:p>
    <w:p>
      <w:pPr>
        <w:ind w:firstLine="480"/>
        <w:spacing w:line="360" w:lineRule="exact"/>
        <w:rPr>
          <w:rFonts w:hint="eastAsia" w:ascii="宋体" w:hAnsi="宋体"/>
          <w:sz w:val="24"/>
          <w:szCs w:val="24"/>
        </w:rPr>
      </w:pPr>
      <w:r>
        <w:rPr>
          <w:rFonts w:hint="eastAsia" w:ascii="宋体" w:hAnsi="宋体"/>
          <w:sz w:val="24"/>
          <w:szCs w:val="24"/>
        </w:rPr>
        <w:t xml:space="preserve">3.1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80"/>
        <w:spacing w:line="360" w:lineRule="exact"/>
        <w:rPr>
          <w:rFonts w:hint="eastAsia" w:ascii="宋体" w:hAnsi="宋体"/>
          <w:sz w:val="24"/>
          <w:szCs w:val="24"/>
        </w:rPr>
      </w:pPr>
      <w:r>
        <w:rPr>
          <w:rFonts w:hint="eastAsia" w:ascii="宋体" w:hAnsi="宋体"/>
          <w:sz w:val="24"/>
          <w:szCs w:val="24"/>
        </w:rPr>
        <w:t xml:space="preserve">注：</w:t>
      </w:r>
      <w:r/>
    </w:p>
    <w:p>
      <w:pPr>
        <w:ind w:firstLine="480"/>
        <w:spacing w:line="360" w:lineRule="exact"/>
        <w:rPr>
          <w:rFonts w:hint="eastAsia" w:ascii="宋体" w:hAnsi="宋体"/>
          <w:sz w:val="24"/>
          <w:szCs w:val="24"/>
        </w:rPr>
      </w:pPr>
      <w:r>
        <w:rPr>
          <w:rFonts w:hint="eastAsia" w:ascii="宋体" w:hAnsi="宋体"/>
          <w:sz w:val="24"/>
          <w:szCs w:val="24"/>
        </w:rPr>
        <w:t xml:space="preserve">（1）供应商须未被“信用中国”网站或“中国政府采购网”网站列入失信被执行人、重大税收违法案件当事人名单、政府采购严重失信行为记录名单。</w:t>
      </w:r>
      <w:r/>
    </w:p>
    <w:p>
      <w:pPr>
        <w:ind w:firstLine="480"/>
        <w:spacing w:line="360" w:lineRule="exact"/>
        <w:rPr>
          <w:rFonts w:hint="eastAsia" w:ascii="宋体" w:hAnsi="宋体"/>
          <w:sz w:val="24"/>
          <w:szCs w:val="24"/>
        </w:rPr>
      </w:pPr>
      <w:r>
        <w:rPr>
          <w:rFonts w:hint="eastAsia" w:ascii="宋体" w:hAnsi="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exact"/>
        <w:rPr>
          <w:rFonts w:hint="eastAsia" w:ascii="宋体" w:hAnsi="宋体"/>
          <w:sz w:val="24"/>
          <w:szCs w:val="24"/>
        </w:rPr>
      </w:pPr>
      <w:r>
        <w:rPr>
          <w:rFonts w:hint="eastAsia" w:ascii="宋体" w:hAnsi="宋体"/>
          <w:sz w:val="24"/>
          <w:szCs w:val="24"/>
        </w:rPr>
        <w:t xml:space="preserve">（3）法人的分支机构不得参加投标（除银行、保险、石油石化、电力、电信等行业特殊情况外）。</w:t>
      </w:r>
      <w:r/>
    </w:p>
    <w:p>
      <w:pPr>
        <w:ind w:firstLine="480"/>
        <w:spacing w:line="360" w:lineRule="exact"/>
        <w:rPr>
          <w:rFonts w:hint="eastAsia" w:ascii="宋体" w:hAnsi="宋体"/>
          <w:sz w:val="24"/>
          <w:szCs w:val="24"/>
        </w:rPr>
      </w:pPr>
      <w:r>
        <w:rPr>
          <w:rFonts w:hint="eastAsia" w:ascii="宋体" w:hAnsi="宋体"/>
          <w:sz w:val="24"/>
          <w:szCs w:val="24"/>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spacing w:line="360" w:lineRule="exact"/>
        <w:rPr>
          <w:rFonts w:hint="eastAsia" w:ascii="宋体" w:hAnsi="宋体"/>
          <w:b/>
          <w:bCs/>
          <w:sz w:val="24"/>
          <w:szCs w:val="24"/>
        </w:rPr>
      </w:pPr>
      <w:r>
        <w:rPr>
          <w:rFonts w:hint="eastAsia" w:ascii="宋体" w:hAnsi="宋体"/>
          <w:b/>
          <w:bCs/>
          <w:sz w:val="24"/>
          <w:szCs w:val="24"/>
          <w:lang w:val="en-US" w:eastAsia="zh-CN"/>
        </w:rPr>
        <w:t xml:space="preserve">七</w:t>
      </w:r>
      <w:r>
        <w:rPr>
          <w:rFonts w:hint="eastAsia" w:ascii="宋体" w:hAnsi="宋体"/>
          <w:b/>
          <w:bCs/>
          <w:sz w:val="24"/>
          <w:szCs w:val="24"/>
        </w:rPr>
        <w:t xml:space="preserve">、获取</w:t>
      </w:r>
      <w:r>
        <w:rPr>
          <w:rFonts w:hint="eastAsia" w:ascii="宋体" w:hAnsi="宋体"/>
          <w:b/>
          <w:bCs/>
          <w:sz w:val="24"/>
          <w:szCs w:val="24"/>
          <w:lang w:val="en-US" w:eastAsia="zh-CN"/>
        </w:rPr>
        <w:t xml:space="preserve">采购</w:t>
      </w:r>
      <w:r>
        <w:rPr>
          <w:rFonts w:hint="eastAsia" w:ascii="宋体" w:hAnsi="宋体"/>
          <w:b/>
          <w:bCs/>
          <w:sz w:val="24"/>
          <w:szCs w:val="24"/>
        </w:rPr>
        <w:t xml:space="preserve">文件</w:t>
      </w:r>
      <w:r/>
    </w:p>
    <w:p>
      <w:pPr>
        <w:ind w:firstLine="480"/>
        <w:spacing w:line="360" w:lineRule="exact"/>
        <w:rPr>
          <w:rFonts w:hint="eastAsia" w:ascii="宋体" w:hAnsi="宋体"/>
          <w:sz w:val="24"/>
          <w:szCs w:val="24"/>
        </w:rPr>
      </w:pPr>
      <w:r>
        <w:rPr>
          <w:rFonts w:hint="eastAsia" w:ascii="宋体" w:hAnsi="宋体"/>
          <w:sz w:val="24"/>
          <w:szCs w:val="24"/>
        </w:rPr>
        <w:t xml:space="preserve">1、获取时间：自采购公告发布之日起五个工作日。</w:t>
      </w:r>
      <w:r/>
    </w:p>
    <w:p>
      <w:pPr>
        <w:ind w:firstLine="480"/>
        <w:spacing w:line="360" w:lineRule="exact"/>
        <w:rPr>
          <w:rFonts w:hint="eastAsia" w:ascii="宋体" w:hAnsi="宋体"/>
          <w:sz w:val="24"/>
          <w:szCs w:val="24"/>
        </w:rPr>
      </w:pPr>
      <w:r>
        <w:rPr>
          <w:rFonts w:hint="eastAsia" w:ascii="宋体" w:hAnsi="宋体"/>
          <w:sz w:val="24"/>
          <w:szCs w:val="24"/>
        </w:rPr>
        <w:t xml:space="preserve">2、地点：苏采云系统</w:t>
      </w:r>
      <w:r/>
    </w:p>
    <w:p>
      <w:pPr>
        <w:ind w:firstLine="480"/>
        <w:spacing w:line="360" w:lineRule="exact"/>
        <w:rPr>
          <w:rFonts w:hint="eastAsia" w:ascii="宋体" w:hAnsi="宋体"/>
          <w:sz w:val="24"/>
          <w:szCs w:val="24"/>
        </w:rPr>
      </w:pPr>
      <w:r>
        <w:rPr>
          <w:rFonts w:hint="eastAsia" w:ascii="宋体" w:hAnsi="宋体"/>
          <w:sz w:val="24"/>
          <w:szCs w:val="24"/>
        </w:rPr>
        <w:t xml:space="preserve">3、获取方式：自行下载</w:t>
      </w:r>
      <w:r/>
    </w:p>
    <w:p>
      <w:pPr>
        <w:ind w:firstLine="480"/>
        <w:spacing w:line="360" w:lineRule="exact"/>
        <w:rPr>
          <w:rFonts w:hint="eastAsia" w:ascii="宋体" w:hAnsi="宋体"/>
          <w:sz w:val="24"/>
          <w:szCs w:val="24"/>
        </w:rPr>
      </w:pPr>
      <w:r>
        <w:rPr>
          <w:rFonts w:hint="eastAsia" w:ascii="宋体" w:hAnsi="宋体"/>
          <w:sz w:val="24"/>
          <w:szCs w:val="24"/>
        </w:rPr>
        <w:t xml:space="preserve">4、售价：无</w:t>
      </w:r>
      <w:r/>
    </w:p>
    <w:p>
      <w:pPr>
        <w:ind w:firstLine="480"/>
        <w:spacing w:line="360" w:lineRule="exact"/>
        <w:rPr>
          <w:rFonts w:hint="eastAsia" w:ascii="宋体" w:hAnsi="宋体"/>
          <w:b/>
          <w:bCs/>
          <w:sz w:val="24"/>
          <w:szCs w:val="24"/>
        </w:rPr>
      </w:pPr>
      <w:r>
        <w:rPr>
          <w:rFonts w:hint="eastAsia" w:ascii="宋体" w:hAnsi="宋体"/>
          <w:b/>
          <w:bCs/>
          <w:sz w:val="24"/>
          <w:szCs w:val="24"/>
          <w:lang w:val="en-US" w:eastAsia="zh-CN"/>
        </w:rPr>
        <w:t xml:space="preserve">八</w:t>
      </w:r>
      <w:r>
        <w:rPr>
          <w:rFonts w:hint="eastAsia" w:ascii="宋体" w:hAnsi="宋体"/>
          <w:b/>
          <w:bCs/>
          <w:sz w:val="24"/>
          <w:szCs w:val="24"/>
        </w:rPr>
        <w:t xml:space="preserve">、上传投标文件截止时间、开标时间和地点</w:t>
      </w:r>
      <w:r/>
    </w:p>
    <w:p>
      <w:pPr>
        <w:ind w:firstLine="480"/>
        <w:spacing w:line="360" w:lineRule="exact"/>
        <w:rPr>
          <w:rFonts w:hint="eastAsia" w:ascii="宋体" w:hAnsi="宋体" w:eastAsia="宋体"/>
          <w:sz w:val="24"/>
          <w:szCs w:val="24"/>
          <w:lang w:eastAsia="zh-CN"/>
        </w:rPr>
      </w:pPr>
      <w:r>
        <w:rPr>
          <w:rFonts w:hint="eastAsia" w:ascii="宋体" w:hAnsi="宋体"/>
          <w:sz w:val="24"/>
          <w:szCs w:val="24"/>
        </w:rPr>
        <w:t xml:space="preserve">1、上传投标文件截止时间：</w:t>
      </w:r>
      <w:r>
        <w:rPr>
          <w:rFonts w:hint="eastAsia" w:ascii="宋体" w:hAnsi="宋体"/>
          <w:sz w:val="24"/>
          <w:szCs w:val="24"/>
          <w:lang w:eastAsia="zh-CN"/>
        </w:rPr>
        <w:t xml:space="preserve">2026年7月10日14点00分</w:t>
      </w:r>
      <w:r/>
    </w:p>
    <w:p>
      <w:pPr>
        <w:ind w:firstLine="480"/>
        <w:spacing w:line="360" w:lineRule="exact"/>
        <w:rPr>
          <w:rFonts w:hint="eastAsia" w:ascii="宋体" w:hAnsi="宋体" w:eastAsia="宋体"/>
          <w:sz w:val="24"/>
          <w:szCs w:val="24"/>
          <w:lang w:eastAsia="zh-CN"/>
        </w:rPr>
      </w:pPr>
      <w:r>
        <w:rPr>
          <w:rFonts w:hint="eastAsia" w:ascii="宋体" w:hAnsi="宋体"/>
          <w:sz w:val="24"/>
          <w:szCs w:val="24"/>
        </w:rPr>
        <w:t xml:space="preserve">2、开标时间：</w:t>
      </w:r>
      <w:r>
        <w:rPr>
          <w:rFonts w:hint="eastAsia" w:ascii="宋体" w:hAnsi="宋体"/>
          <w:sz w:val="24"/>
          <w:szCs w:val="24"/>
          <w:lang w:eastAsia="zh-CN"/>
        </w:rPr>
        <w:t xml:space="preserve">2026年7月10日14点00分</w:t>
      </w:r>
      <w:r/>
    </w:p>
    <w:p>
      <w:pPr>
        <w:ind w:firstLine="480"/>
        <w:spacing w:line="360" w:lineRule="exact"/>
        <w:rPr>
          <w:rFonts w:hint="eastAsia" w:ascii="宋体" w:hAnsi="宋体"/>
          <w:sz w:val="24"/>
          <w:szCs w:val="24"/>
        </w:rPr>
      </w:pPr>
      <w:r>
        <w:rPr>
          <w:rFonts w:hint="eastAsia" w:ascii="宋体" w:hAnsi="宋体"/>
          <w:sz w:val="24"/>
          <w:szCs w:val="24"/>
        </w:rPr>
        <w:t xml:space="preserve">3、开标地点：苏采云政府采购一体化平台开标大厅（网上不见面开标）</w:t>
      </w:r>
      <w:r/>
    </w:p>
    <w:p>
      <w:pPr>
        <w:ind w:firstLine="480"/>
        <w:spacing w:line="360" w:lineRule="exact"/>
        <w:rPr>
          <w:rFonts w:hint="eastAsia" w:ascii="宋体" w:hAnsi="宋体"/>
          <w:b/>
          <w:bCs/>
          <w:sz w:val="24"/>
          <w:szCs w:val="24"/>
        </w:rPr>
      </w:pPr>
      <w:r>
        <w:rPr>
          <w:rFonts w:hint="eastAsia" w:ascii="宋体" w:hAnsi="宋体"/>
          <w:b/>
          <w:bCs/>
          <w:sz w:val="24"/>
          <w:szCs w:val="24"/>
          <w:lang w:val="en-US" w:eastAsia="zh-CN"/>
        </w:rPr>
        <w:t xml:space="preserve">九</w:t>
      </w:r>
      <w:r>
        <w:rPr>
          <w:rFonts w:hint="eastAsia" w:ascii="宋体" w:hAnsi="宋体"/>
          <w:b/>
          <w:bCs/>
          <w:sz w:val="24"/>
          <w:szCs w:val="24"/>
        </w:rPr>
        <w:t xml:space="preserve">、其他补充事宜</w:t>
      </w:r>
      <w:r/>
    </w:p>
    <w:p>
      <w:pPr>
        <w:ind w:firstLine="480"/>
        <w:spacing w:line="360" w:lineRule="exact"/>
        <w:rPr>
          <w:rFonts w:hint="eastAsia" w:ascii="宋体" w:hAnsi="宋体"/>
          <w:sz w:val="24"/>
          <w:szCs w:val="24"/>
        </w:rPr>
      </w:pPr>
      <w:r>
        <w:rPr>
          <w:rFonts w:hint="eastAsia" w:ascii="宋体" w:hAnsi="宋体"/>
          <w:sz w:val="24"/>
          <w:szCs w:val="24"/>
        </w:rPr>
        <w:t xml:space="preserve">1、本项目需要使用CA数字证书制作、上传电子投标文件完成电子投标，请供应商在参加投标活动前办理好CA数字证书申领及电子签章等操作。</w:t>
      </w:r>
      <w:r/>
    </w:p>
    <w:p>
      <w:pPr>
        <w:ind w:firstLine="480"/>
        <w:spacing w:line="360" w:lineRule="exact"/>
        <w:rPr>
          <w:rFonts w:hint="eastAsia" w:ascii="宋体" w:hAnsi="宋体"/>
          <w:sz w:val="24"/>
          <w:szCs w:val="24"/>
        </w:rPr>
      </w:pPr>
      <w:r>
        <w:rPr>
          <w:rFonts w:hint="eastAsia" w:ascii="宋体" w:hAnsi="宋体"/>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spacing w:line="360" w:lineRule="exact"/>
        <w:rPr>
          <w:rFonts w:hint="eastAsia" w:ascii="宋体" w:hAnsi="宋体"/>
          <w:sz w:val="24"/>
          <w:szCs w:val="24"/>
        </w:rPr>
      </w:pPr>
      <w:r>
        <w:rPr>
          <w:rFonts w:hint="eastAsia" w:ascii="宋体" w:hAnsi="宋体"/>
          <w:sz w:val="24"/>
          <w:szCs w:val="24"/>
        </w:rPr>
        <w:t xml:space="preserve">3、采购文件获取（网上获取）</w:t>
      </w:r>
      <w:r/>
    </w:p>
    <w:p>
      <w:pPr>
        <w:ind w:firstLine="480"/>
        <w:spacing w:line="360" w:lineRule="exact"/>
        <w:rPr>
          <w:rFonts w:hint="eastAsia" w:ascii="宋体" w:hAnsi="宋体"/>
          <w:sz w:val="24"/>
          <w:szCs w:val="24"/>
        </w:rPr>
      </w:pPr>
      <w:r>
        <w:rPr>
          <w:rFonts w:hint="eastAsia" w:ascii="宋体" w:hAnsi="宋体"/>
          <w:sz w:val="24"/>
          <w:szCs w:val="24"/>
        </w:rPr>
        <w:t xml:space="preserve">3.1申领CA证书：</w:t>
      </w:r>
      <w:r/>
    </w:p>
    <w:p>
      <w:pPr>
        <w:ind w:firstLine="480"/>
        <w:spacing w:line="360" w:lineRule="exact"/>
        <w:rPr>
          <w:rFonts w:hint="eastAsia" w:ascii="宋体" w:hAnsi="宋体"/>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ind w:firstLine="480"/>
        <w:spacing w:line="360" w:lineRule="exact"/>
        <w:rPr>
          <w:rFonts w:hint="eastAsia" w:ascii="宋体" w:hAnsi="宋体"/>
          <w:sz w:val="24"/>
          <w:szCs w:val="24"/>
        </w:rPr>
      </w:pPr>
      <w:r>
        <w:rPr>
          <w:rFonts w:hint="eastAsia" w:ascii="宋体" w:hAnsi="宋体"/>
          <w:sz w:val="24"/>
          <w:szCs w:val="24"/>
        </w:rPr>
        <w:t xml:space="preserve">CA办理电话0512-65737699，CA现场办理地址：苏州市高新区邓尉路105号狮山科技馆一楼服务大厅。</w:t>
      </w:r>
      <w:r/>
    </w:p>
    <w:p>
      <w:pPr>
        <w:ind w:firstLine="480"/>
        <w:spacing w:line="360" w:lineRule="exact"/>
        <w:rPr>
          <w:rFonts w:hint="eastAsia" w:ascii="宋体" w:hAnsi="宋体"/>
          <w:sz w:val="24"/>
          <w:szCs w:val="24"/>
        </w:rPr>
      </w:pPr>
      <w:r>
        <w:rPr>
          <w:rFonts w:hint="eastAsia" w:ascii="宋体" w:hAnsi="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exact"/>
        <w:rPr>
          <w:rFonts w:hint="eastAsia" w:ascii="宋体" w:hAnsi="宋体"/>
          <w:sz w:val="24"/>
          <w:szCs w:val="24"/>
        </w:rPr>
      </w:pPr>
      <w:r>
        <w:rPr>
          <w:rFonts w:hint="eastAsia" w:ascii="宋体" w:hAnsi="宋体"/>
          <w:sz w:val="24"/>
          <w:szCs w:val="24"/>
        </w:rPr>
        <w:t xml:space="preserve">4、制作、提交电子响应文件：</w:t>
      </w:r>
      <w:r/>
    </w:p>
    <w:p>
      <w:pPr>
        <w:ind w:firstLine="480"/>
        <w:spacing w:line="360" w:lineRule="exact"/>
        <w:rPr>
          <w:rFonts w:hint="eastAsia" w:ascii="宋体" w:hAnsi="宋体"/>
          <w:sz w:val="24"/>
          <w:szCs w:val="24"/>
        </w:rPr>
      </w:pPr>
      <w:r>
        <w:rPr>
          <w:rFonts w:hint="eastAsia" w:ascii="宋体" w:hAnsi="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exact"/>
        <w:rPr>
          <w:rFonts w:hint="eastAsia" w:ascii="宋体" w:hAnsi="宋体"/>
          <w:sz w:val="24"/>
          <w:szCs w:val="24"/>
        </w:rPr>
      </w:pPr>
      <w:r>
        <w:rPr>
          <w:rFonts w:hint="eastAsia" w:ascii="宋体" w:hAnsi="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spacing w:line="360" w:lineRule="exact"/>
        <w:rPr>
          <w:rFonts w:hint="eastAsia" w:ascii="宋体" w:hAnsi="宋体"/>
          <w:sz w:val="24"/>
          <w:szCs w:val="24"/>
        </w:rPr>
      </w:pPr>
      <w:r>
        <w:rPr>
          <w:rFonts w:hint="eastAsia" w:ascii="宋体" w:hAnsi="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spacing w:line="360" w:lineRule="exact"/>
        <w:rPr>
          <w:rFonts w:hint="eastAsia" w:ascii="宋体" w:hAnsi="宋体"/>
          <w:sz w:val="24"/>
          <w:szCs w:val="24"/>
        </w:rPr>
      </w:pPr>
      <w:r>
        <w:rPr>
          <w:rFonts w:hint="eastAsia" w:ascii="宋体" w:hAnsi="宋体"/>
          <w:sz w:val="24"/>
          <w:szCs w:val="24"/>
        </w:rPr>
        <w:t xml:space="preserve">4.4有关电子投标制作技术疑问，请咨询苏采云软件公司客服：18261002950、0512-69820854、0519-86722802</w:t>
      </w:r>
      <w:r/>
    </w:p>
    <w:p>
      <w:pPr>
        <w:ind w:firstLine="480"/>
        <w:spacing w:line="360" w:lineRule="exact"/>
        <w:rPr>
          <w:rFonts w:hint="eastAsia" w:ascii="宋体" w:hAnsi="宋体"/>
          <w:sz w:val="24"/>
          <w:szCs w:val="24"/>
        </w:rPr>
      </w:pPr>
      <w:r>
        <w:rPr>
          <w:rFonts w:hint="eastAsia" w:ascii="宋体" w:hAnsi="宋体"/>
          <w:sz w:val="24"/>
          <w:szCs w:val="24"/>
        </w:rPr>
        <w:t xml:space="preserve">5、开标</w:t>
      </w:r>
      <w:r/>
    </w:p>
    <w:p>
      <w:pPr>
        <w:ind w:firstLine="480"/>
        <w:spacing w:line="360" w:lineRule="exact"/>
        <w:rPr>
          <w:rFonts w:hint="eastAsia" w:ascii="宋体" w:hAnsi="宋体"/>
          <w:sz w:val="24"/>
          <w:szCs w:val="24"/>
        </w:rPr>
      </w:pPr>
      <w:r>
        <w:rPr>
          <w:rFonts w:hint="eastAsia" w:ascii="宋体" w:hAnsi="宋体"/>
          <w:sz w:val="24"/>
          <w:szCs w:val="24"/>
        </w:rPr>
        <w:t xml:space="preserve">5.1本项目采用不见面开标，投标人开标时无需到开标现场进行解密，采取网上开标大厅解密电子投标文件，投标人远程解密要求如下：</w:t>
      </w:r>
      <w:r/>
    </w:p>
    <w:p>
      <w:pPr>
        <w:ind w:firstLine="480"/>
        <w:spacing w:line="360" w:lineRule="exact"/>
        <w:rPr>
          <w:rFonts w:hint="eastAsia" w:ascii="宋体" w:hAnsi="宋体"/>
          <w:sz w:val="24"/>
          <w:szCs w:val="24"/>
        </w:rPr>
      </w:pPr>
      <w:r>
        <w:rPr>
          <w:rFonts w:hint="eastAsia" w:ascii="宋体" w:hAnsi="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exact"/>
        <w:rPr>
          <w:rFonts w:hint="eastAsia" w:ascii="宋体" w:hAnsi="宋体"/>
          <w:sz w:val="24"/>
          <w:szCs w:val="24"/>
        </w:rPr>
      </w:pPr>
      <w:r>
        <w:rPr>
          <w:rFonts w:hint="eastAsia" w:ascii="宋体" w:hAnsi="宋体"/>
          <w:sz w:val="24"/>
          <w:szCs w:val="24"/>
        </w:rPr>
        <w:t xml:space="preserve">2）投标人登录苏采云系统，点击开标大厅，选择开标项目，完成不见面开标流程。</w:t>
      </w:r>
      <w:r/>
    </w:p>
    <w:p>
      <w:pPr>
        <w:ind w:firstLine="480"/>
        <w:spacing w:line="360" w:lineRule="exact"/>
        <w:rPr>
          <w:rFonts w:hint="eastAsia" w:ascii="宋体" w:hAnsi="宋体"/>
          <w:sz w:val="24"/>
          <w:szCs w:val="24"/>
        </w:rPr>
      </w:pPr>
      <w:r>
        <w:rPr>
          <w:rFonts w:hint="eastAsia" w:ascii="宋体" w:hAnsi="宋体"/>
          <w:sz w:val="24"/>
          <w:szCs w:val="24"/>
        </w:rPr>
        <w:t xml:space="preserve">3）投标截止时间后根据系统提示解密电子投标文件。解密时间为15分钟，未在规定时间内完成解密，其投标文件将被拒绝，不参与后续投标流程。</w:t>
      </w:r>
      <w:r/>
    </w:p>
    <w:p>
      <w:pPr>
        <w:ind w:firstLine="480"/>
        <w:spacing w:line="360" w:lineRule="exact"/>
        <w:rPr>
          <w:rFonts w:hint="eastAsia" w:ascii="宋体" w:hAnsi="宋体"/>
          <w:sz w:val="24"/>
          <w:szCs w:val="24"/>
        </w:rPr>
      </w:pPr>
      <w:r>
        <w:rPr>
          <w:rFonts w:hint="eastAsia" w:ascii="宋体" w:hAnsi="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360" w:lineRule="exact"/>
        <w:rPr>
          <w:rFonts w:hint="eastAsia" w:ascii="宋体" w:hAnsi="宋体"/>
          <w:sz w:val="24"/>
          <w:szCs w:val="24"/>
        </w:rPr>
      </w:pPr>
      <w:r>
        <w:rPr>
          <w:rFonts w:hint="eastAsia" w:ascii="宋体" w:hAnsi="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spacing w:line="360" w:lineRule="exact"/>
        <w:rPr>
          <w:rFonts w:hint="eastAsia" w:ascii="宋体" w:hAnsi="宋体"/>
          <w:sz w:val="24"/>
          <w:szCs w:val="24"/>
        </w:rPr>
      </w:pPr>
      <w:r>
        <w:rPr>
          <w:rFonts w:hint="eastAsia" w:ascii="宋体" w:hAnsi="宋体"/>
          <w:sz w:val="24"/>
          <w:szCs w:val="24"/>
        </w:rPr>
        <w:t xml:space="preserve">7、投标保证金：本项目无需缴纳投标保证金。</w:t>
      </w:r>
      <w:r/>
    </w:p>
    <w:p>
      <w:pPr>
        <w:ind w:firstLine="480"/>
        <w:spacing w:line="360" w:lineRule="exact"/>
        <w:rPr>
          <w:rFonts w:hint="eastAsia" w:ascii="宋体" w:hAnsi="宋体"/>
          <w:sz w:val="24"/>
          <w:szCs w:val="24"/>
        </w:rPr>
      </w:pPr>
      <w:r>
        <w:rPr>
          <w:rFonts w:hint="eastAsia" w:ascii="宋体" w:hAnsi="宋体"/>
          <w:sz w:val="24"/>
          <w:szCs w:val="24"/>
        </w:rPr>
        <w:t xml:space="preserve">8、政府采购监督电话：0512-53890318。</w:t>
      </w:r>
      <w:r/>
    </w:p>
    <w:p>
      <w:pPr>
        <w:ind w:firstLine="480"/>
        <w:spacing w:line="360" w:lineRule="exact"/>
        <w:rPr>
          <w:rFonts w:hint="eastAsia" w:ascii="宋体" w:hAnsi="宋体"/>
          <w:sz w:val="24"/>
          <w:szCs w:val="24"/>
        </w:rPr>
      </w:pPr>
      <w:r>
        <w:rPr>
          <w:rFonts w:hint="eastAsia" w:ascii="宋体" w:hAnsi="宋体"/>
          <w:sz w:val="24"/>
          <w:szCs w:val="24"/>
        </w:rPr>
        <w:t xml:space="preserve">9、政府采购履约资金扶持政策：中标供应商可凭政府采购合同办理融资贷款，详情请见江苏政府采购网“政采贷”专栏。</w:t>
      </w:r>
      <w:r/>
    </w:p>
    <w:p>
      <w:pPr>
        <w:ind w:firstLine="480"/>
        <w:spacing w:line="360" w:lineRule="exact"/>
        <w:rPr>
          <w:rFonts w:hint="eastAsia" w:ascii="宋体" w:hAnsi="宋体"/>
          <w:b/>
          <w:bCs/>
          <w:sz w:val="24"/>
          <w:szCs w:val="24"/>
        </w:rPr>
      </w:pPr>
      <w:r>
        <w:rPr>
          <w:rFonts w:hint="eastAsia" w:ascii="宋体" w:hAnsi="宋体"/>
          <w:b/>
          <w:bCs/>
          <w:sz w:val="24"/>
          <w:szCs w:val="24"/>
          <w:lang w:val="en-US" w:eastAsia="zh-CN"/>
        </w:rPr>
        <w:t xml:space="preserve">十</w:t>
      </w:r>
      <w:r>
        <w:rPr>
          <w:rFonts w:hint="eastAsia" w:ascii="宋体" w:hAnsi="宋体"/>
          <w:b/>
          <w:bCs/>
          <w:sz w:val="24"/>
          <w:szCs w:val="24"/>
        </w:rPr>
        <w:t xml:space="preserve">、对本次招标提出询问，请按以下方式联系</w:t>
      </w:r>
      <w:r/>
    </w:p>
    <w:p>
      <w:pPr>
        <w:ind w:firstLine="480"/>
        <w:spacing w:line="360" w:lineRule="exact"/>
        <w:rPr>
          <w:rFonts w:hint="eastAsia" w:ascii="宋体" w:hAnsi="宋体"/>
          <w:sz w:val="24"/>
          <w:szCs w:val="24"/>
        </w:rPr>
      </w:pPr>
      <w:r>
        <w:rPr>
          <w:rFonts w:hint="eastAsia" w:ascii="宋体" w:hAnsi="宋体"/>
          <w:sz w:val="24"/>
          <w:szCs w:val="24"/>
        </w:rPr>
        <w:t xml:space="preserve">1、采购人信息</w:t>
      </w:r>
      <w:r/>
    </w:p>
    <w:p>
      <w:pPr>
        <w:ind w:firstLine="480"/>
        <w:spacing w:line="360" w:lineRule="exact"/>
        <w:rPr>
          <w:rFonts w:hint="eastAsia" w:ascii="宋体" w:hAnsi="宋体"/>
          <w:sz w:val="24"/>
          <w:szCs w:val="24"/>
        </w:rPr>
      </w:pPr>
      <w:r>
        <w:rPr>
          <w:rFonts w:hint="eastAsia" w:ascii="宋体" w:hAnsi="宋体"/>
          <w:sz w:val="24"/>
          <w:szCs w:val="24"/>
        </w:rPr>
        <w:t xml:space="preserve">名称：太仓市娄江新城医院（瑞金医院太仓分院）</w:t>
      </w:r>
      <w:r/>
    </w:p>
    <w:p>
      <w:pPr>
        <w:ind w:firstLine="480"/>
        <w:spacing w:line="360" w:lineRule="exact"/>
        <w:rPr>
          <w:rFonts w:hint="eastAsia" w:ascii="宋体" w:hAnsi="宋体"/>
          <w:sz w:val="24"/>
          <w:szCs w:val="24"/>
        </w:rPr>
      </w:pPr>
      <w:r>
        <w:rPr>
          <w:rFonts w:hint="eastAsia" w:ascii="宋体" w:hAnsi="宋体"/>
          <w:sz w:val="24"/>
          <w:szCs w:val="24"/>
        </w:rPr>
        <w:t xml:space="preserve">地址：太仓市上海东路666号</w:t>
      </w:r>
      <w:r/>
    </w:p>
    <w:p>
      <w:pPr>
        <w:ind w:firstLine="480"/>
        <w:spacing w:line="360" w:lineRule="exact"/>
        <w:rPr>
          <w:rFonts w:hint="default" w:ascii="宋体" w:hAnsi="宋体" w:eastAsia="宋体"/>
          <w:sz w:val="24"/>
          <w:szCs w:val="24"/>
          <w:lang w:val="en-US" w:eastAsia="zh-CN"/>
        </w:rPr>
      </w:pPr>
      <w:r>
        <w:rPr>
          <w:rFonts w:hint="eastAsia" w:ascii="宋体" w:hAnsi="宋体"/>
          <w:sz w:val="24"/>
          <w:szCs w:val="24"/>
        </w:rPr>
        <w:t xml:space="preserve">联系人：曹泽鑫，电话：0512-565617</w:t>
      </w:r>
      <w:r>
        <w:rPr>
          <w:rFonts w:hint="eastAsia" w:ascii="宋体" w:hAnsi="宋体"/>
          <w:sz w:val="24"/>
          <w:szCs w:val="24"/>
          <w:lang w:val="en-US" w:eastAsia="zh-CN"/>
        </w:rPr>
        <w:t xml:space="preserve">70</w:t>
      </w:r>
      <w:r/>
    </w:p>
    <w:p>
      <w:pPr>
        <w:ind w:firstLine="480"/>
        <w:spacing w:line="360" w:lineRule="exact"/>
        <w:rPr>
          <w:rFonts w:hint="eastAsia" w:ascii="宋体" w:hAnsi="宋体"/>
          <w:sz w:val="24"/>
          <w:szCs w:val="24"/>
        </w:rPr>
      </w:pPr>
      <w:r>
        <w:rPr>
          <w:rFonts w:hint="eastAsia" w:ascii="宋体" w:hAnsi="宋体"/>
          <w:sz w:val="24"/>
          <w:szCs w:val="24"/>
        </w:rPr>
        <w:t xml:space="preserve">2、采购代理机构信息</w:t>
      </w:r>
      <w:r/>
    </w:p>
    <w:p>
      <w:pPr>
        <w:ind w:firstLine="480"/>
        <w:spacing w:line="360" w:lineRule="exact"/>
        <w:rPr>
          <w:rFonts w:hint="eastAsia" w:ascii="宋体" w:hAnsi="宋体"/>
          <w:sz w:val="24"/>
          <w:szCs w:val="24"/>
        </w:rPr>
      </w:pPr>
      <w:r>
        <w:rPr>
          <w:rFonts w:hint="eastAsia" w:ascii="宋体" w:hAnsi="宋体"/>
          <w:sz w:val="24"/>
          <w:szCs w:val="24"/>
        </w:rPr>
        <w:t xml:space="preserve">名称：苏州市卫康招投标咨询服务有限公司</w:t>
      </w:r>
      <w:r/>
    </w:p>
    <w:p>
      <w:pPr>
        <w:ind w:firstLine="480"/>
        <w:spacing w:line="360" w:lineRule="exact"/>
        <w:rPr>
          <w:rFonts w:hint="eastAsia" w:ascii="宋体" w:hAnsi="宋体"/>
          <w:sz w:val="24"/>
          <w:szCs w:val="24"/>
        </w:rPr>
      </w:pPr>
      <w:r>
        <w:rPr>
          <w:rFonts w:hint="eastAsia" w:ascii="宋体" w:hAnsi="宋体"/>
          <w:sz w:val="24"/>
          <w:szCs w:val="24"/>
        </w:rPr>
        <w:t xml:space="preserve">地址：苏州市干将西路1296号1幢17层</w:t>
      </w:r>
      <w:r/>
    </w:p>
    <w:p>
      <w:pPr>
        <w:ind w:firstLine="480"/>
        <w:spacing w:line="360" w:lineRule="exact"/>
        <w:rPr>
          <w:rFonts w:hint="eastAsia" w:ascii="宋体" w:hAnsi="宋体"/>
          <w:sz w:val="24"/>
          <w:szCs w:val="24"/>
        </w:rPr>
      </w:pPr>
      <w:r>
        <w:rPr>
          <w:rFonts w:hint="eastAsia" w:ascii="宋体" w:hAnsi="宋体"/>
          <w:sz w:val="24"/>
          <w:szCs w:val="24"/>
        </w:rPr>
        <w:t xml:space="preserve">前台联系方式：0512-69165625</w:t>
      </w:r>
      <w:r/>
    </w:p>
    <w:p>
      <w:pPr>
        <w:ind w:firstLine="480"/>
        <w:spacing w:line="360" w:lineRule="exact"/>
        <w:rPr>
          <w:rFonts w:hint="eastAsia" w:ascii="宋体" w:hAnsi="宋体"/>
          <w:sz w:val="24"/>
          <w:szCs w:val="24"/>
        </w:rPr>
      </w:pPr>
      <w:r>
        <w:rPr>
          <w:rFonts w:hint="eastAsia" w:ascii="宋体" w:hAnsi="宋体"/>
          <w:sz w:val="24"/>
          <w:szCs w:val="24"/>
        </w:rPr>
        <w:t xml:space="preserve">3、项目联系方式</w:t>
      </w:r>
      <w:r/>
    </w:p>
    <w:p>
      <w:pPr>
        <w:ind w:firstLine="480"/>
        <w:spacing w:line="360" w:lineRule="exact"/>
        <w:rPr>
          <w:rFonts w:hint="eastAsia" w:ascii="宋体" w:hAnsi="宋体"/>
          <w:sz w:val="24"/>
          <w:szCs w:val="24"/>
        </w:rPr>
      </w:pPr>
      <w:r>
        <w:rPr>
          <w:rFonts w:hint="eastAsia" w:ascii="宋体" w:hAnsi="宋体"/>
          <w:sz w:val="24"/>
          <w:szCs w:val="24"/>
        </w:rPr>
        <w:t xml:space="preserve">项目联系人：李晶晶、陈璐佳、李东</w:t>
      </w:r>
      <w:r/>
    </w:p>
    <w:p>
      <w:pPr>
        <w:ind w:firstLine="480"/>
        <w:spacing w:line="360" w:lineRule="exact"/>
        <w:rPr>
          <w:rFonts w:hint="eastAsia" w:ascii="宋体" w:hAnsi="宋体"/>
          <w:sz w:val="24"/>
          <w:szCs w:val="24"/>
        </w:rPr>
      </w:pPr>
      <w:r>
        <w:rPr>
          <w:rFonts w:hint="eastAsia" w:ascii="宋体" w:hAnsi="宋体"/>
          <w:sz w:val="24"/>
          <w:szCs w:val="24"/>
        </w:rPr>
        <w:t xml:space="preserve">电话：0512-65158848-8015、0512-69165615</w:t>
      </w:r>
      <w:r/>
    </w:p>
    <w:p>
      <w:pPr>
        <w:ind w:firstLine="480"/>
        <w:spacing w:line="360" w:lineRule="exact"/>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ascii="宋体" w:hAnsi="宋体"/>
          <w:sz w:val="24"/>
          <w:szCs w:val="24"/>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1027"/>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40"/>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JSZC-320585-SZWK-D2026-0161</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超高场磁共振成像系统</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w:t>
            </w:r>
            <w:r>
              <w:rPr>
                <w:rFonts w:hint="eastAsia" w:ascii="宋体" w:hAnsi="宋体"/>
                <w:color w:val="auto"/>
                <w:sz w:val="21"/>
                <w:szCs w:val="21"/>
                <w:highlight w:val="none"/>
                <w:lang w:val="en-US" w:eastAsia="zh-CN"/>
              </w:rPr>
              <w:t xml:space="preserve">70</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李晶晶、陈璐佳、李东</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85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1027"/>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7月3日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sz w:val="21"/>
                <w:szCs w:val="21"/>
                <w:lang w:eastAsia="zh-CN"/>
              </w:rPr>
              <w:t xml:space="preserve">2026年7月10日14点00分</w:t>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：2026年7月10日14点00分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both"/>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中标服务费</w:t>
            </w:r>
            <w:r/>
          </w:p>
        </w:tc>
        <w:tc>
          <w:tcPr>
            <w:tcW w:w="6345" w:type="dxa"/>
            <w:vAlign w:val="center"/>
            <w:textDirection w:val="lrTb"/>
            <w:noWrap w:val="false"/>
          </w:tcPr>
          <w:p>
            <w:pPr>
              <w:pStyle w:val="1029"/>
              <w:spacing w:line="400" w:lineRule="exact"/>
              <w:rPr>
                <w:rFonts w:hint="eastAsia" w:eastAsia="宋体"/>
                <w:color w:val="auto"/>
                <w:sz w:val="21"/>
                <w:szCs w:val="21"/>
                <w:highlight w:val="none"/>
              </w:rPr>
            </w:pPr>
            <w:r>
              <w:rPr>
                <w:rFonts w:hint="eastAsia" w:eastAsia="宋体"/>
                <w:color w:val="auto"/>
                <w:sz w:val="21"/>
                <w:szCs w:val="21"/>
                <w:highlight w:val="none"/>
              </w:rPr>
              <w:t xml:space="preserve">领取中标通知</w:t>
            </w:r>
            <w:r>
              <w:rPr>
                <w:rFonts w:hint="eastAsia" w:eastAsia="宋体"/>
                <w:color w:val="auto"/>
                <w:sz w:val="21"/>
                <w:szCs w:val="21"/>
                <w:highlight w:val="none"/>
                <w:lang w:val="en-US" w:eastAsia="zh-CN"/>
              </w:rPr>
              <w:t xml:space="preserve">书</w:t>
            </w:r>
            <w:r>
              <w:rPr>
                <w:rFonts w:hint="eastAsia" w:eastAsia="宋体"/>
                <w:color w:val="auto"/>
                <w:sz w:val="21"/>
                <w:szCs w:val="21"/>
                <w:highlight w:val="none"/>
              </w:rPr>
              <w:t xml:space="preserve">时中标人向采购代理机构一次性付清。中标服务费的收取按差额定率累进法计算。</w:t>
            </w:r>
            <w:r/>
          </w:p>
          <w:p>
            <w:pPr>
              <w:pStyle w:val="1029"/>
              <w:spacing w:line="400" w:lineRule="exact"/>
              <w:rPr>
                <w:rFonts w:hint="eastAsia" w:eastAsia="宋体"/>
                <w:color w:val="auto"/>
                <w:sz w:val="21"/>
                <w:szCs w:val="21"/>
                <w:highlight w:val="none"/>
              </w:rPr>
            </w:pPr>
            <w:r>
              <w:rPr>
                <w:rFonts w:hint="eastAsia" w:eastAsia="宋体"/>
                <w:color w:val="auto"/>
                <w:sz w:val="21"/>
                <w:szCs w:val="21"/>
                <w:highlight w:val="none"/>
              </w:rPr>
              <w:t xml:space="preserve">收费标准：</w:t>
            </w:r>
            <w:r/>
          </w:p>
          <w:p>
            <w:pPr>
              <w:pStyle w:val="1029"/>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1029"/>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1029"/>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w:t>
            </w:r>
            <w:r>
              <w:rPr>
                <w:rFonts w:hint="eastAsia" w:eastAsia="宋体"/>
                <w:color w:val="auto"/>
                <w:sz w:val="21"/>
                <w:szCs w:val="21"/>
                <w:highlight w:val="none"/>
                <w:lang w:val="en-US" w:eastAsia="zh-CN"/>
              </w:rPr>
              <w:t xml:space="preserve">5</w:t>
            </w:r>
            <w:r>
              <w:rPr>
                <w:rFonts w:hint="eastAsia" w:eastAsia="宋体"/>
                <w:color w:val="auto"/>
                <w:sz w:val="21"/>
                <w:szCs w:val="21"/>
                <w:highlight w:val="none"/>
              </w:rPr>
              <w:t xml:space="preserve">00万以上至</w:t>
            </w:r>
            <w:r>
              <w:rPr>
                <w:rFonts w:hint="eastAsia" w:eastAsia="宋体"/>
                <w:color w:val="auto"/>
                <w:sz w:val="21"/>
                <w:szCs w:val="21"/>
                <w:highlight w:val="none"/>
                <w:lang w:val="en-US" w:eastAsia="zh-CN"/>
              </w:rPr>
              <w:t xml:space="preserve">10</w:t>
            </w:r>
            <w:r>
              <w:rPr>
                <w:rFonts w:hint="eastAsia" w:eastAsia="宋体"/>
                <w:color w:val="auto"/>
                <w:sz w:val="21"/>
                <w:szCs w:val="21"/>
                <w:highlight w:val="none"/>
              </w:rPr>
              <w:t xml:space="preserve">00万（含）以下部分费率为</w:t>
            </w:r>
            <w:r>
              <w:rPr>
                <w:rFonts w:hint="eastAsia" w:eastAsia="宋体"/>
                <w:color w:val="auto"/>
                <w:sz w:val="21"/>
                <w:szCs w:val="21"/>
                <w:highlight w:val="none"/>
                <w:lang w:val="en-US" w:eastAsia="zh-CN"/>
              </w:rPr>
              <w:t xml:space="preserve">0.8</w:t>
            </w:r>
            <w:r>
              <w:rPr>
                <w:rFonts w:hint="eastAsia" w:eastAsia="宋体"/>
                <w:color w:val="auto"/>
                <w:sz w:val="21"/>
                <w:szCs w:val="21"/>
                <w:highlight w:val="none"/>
              </w:rPr>
              <w:t xml:space="preserve">%；</w:t>
            </w:r>
            <w:r/>
          </w:p>
          <w:p>
            <w:pPr>
              <w:pStyle w:val="1029"/>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w:t>
            </w:r>
            <w:r>
              <w:rPr>
                <w:rFonts w:hint="eastAsia" w:eastAsia="宋体"/>
                <w:color w:val="auto"/>
                <w:sz w:val="21"/>
                <w:szCs w:val="21"/>
                <w:highlight w:val="none"/>
                <w:lang w:val="en-US" w:eastAsia="zh-CN"/>
              </w:rPr>
              <w:t xml:space="preserve">0</w:t>
            </w:r>
            <w:r>
              <w:rPr>
                <w:rFonts w:hint="eastAsia" w:eastAsia="宋体"/>
                <w:color w:val="auto"/>
                <w:sz w:val="21"/>
                <w:szCs w:val="21"/>
                <w:highlight w:val="none"/>
              </w:rPr>
              <w:t xml:space="preserve">00万以上至500</w:t>
            </w:r>
            <w:r>
              <w:rPr>
                <w:rFonts w:hint="eastAsia" w:eastAsia="宋体"/>
                <w:color w:val="auto"/>
                <w:sz w:val="21"/>
                <w:szCs w:val="21"/>
                <w:highlight w:val="none"/>
                <w:lang w:val="en-US" w:eastAsia="zh-CN"/>
              </w:rPr>
              <w:t xml:space="preserve">0</w:t>
            </w:r>
            <w:r>
              <w:rPr>
                <w:rFonts w:hint="eastAsia" w:eastAsia="宋体"/>
                <w:color w:val="auto"/>
                <w:sz w:val="21"/>
                <w:szCs w:val="21"/>
                <w:highlight w:val="none"/>
              </w:rPr>
              <w:t xml:space="preserve">万（含）以下部分费率为</w:t>
            </w:r>
            <w:r>
              <w:rPr>
                <w:rFonts w:hint="eastAsia" w:eastAsia="宋体"/>
                <w:color w:val="auto"/>
                <w:sz w:val="21"/>
                <w:szCs w:val="21"/>
                <w:highlight w:val="none"/>
                <w:lang w:val="en-US" w:eastAsia="zh-CN"/>
              </w:rPr>
              <w:t xml:space="preserve">0.5</w:t>
            </w:r>
            <w:r>
              <w:rPr>
                <w:rFonts w:hint="eastAsia" w:eastAsia="宋体"/>
                <w:color w:val="auto"/>
                <w:sz w:val="21"/>
                <w:szCs w:val="21"/>
                <w:highlight w:val="none"/>
              </w:rPr>
              <w:t xml:space="preserve">%；</w:t>
            </w:r>
            <w:r/>
          </w:p>
          <w:p>
            <w:pPr>
              <w:rPr>
                <w:rFonts w:hint="eastAsia"/>
              </w:rPr>
            </w:pPr>
            <w:r>
              <w:rPr>
                <w:rFonts w:hint="eastAsia"/>
              </w:rPr>
            </w:r>
            <w:r/>
          </w:p>
          <w:p>
            <w:pPr>
              <w:pStyle w:val="1029"/>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1029"/>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1029"/>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tc>
      </w:tr>
    </w:tbl>
    <w:p>
      <w:pPr>
        <w:rPr>
          <w:rFonts w:hint="eastAsia" w:ascii="宋体" w:hAnsi="宋体"/>
          <w:b/>
          <w:bCs/>
          <w:sz w:val="24"/>
          <w:szCs w:val="24"/>
        </w:rPr>
      </w:pPr>
      <w:r>
        <w:rPr>
          <w:rFonts w:hint="eastAsia" w:ascii="宋体" w:hAnsi="宋体"/>
          <w:b/>
          <w:bCs/>
          <w:sz w:val="24"/>
          <w:szCs w:val="24"/>
        </w:rPr>
        <w:br w:type="page" w:clear="all"/>
      </w:r>
      <w:r/>
    </w:p>
    <w:p>
      <w:pPr>
        <w:jc w:val="center"/>
        <w:spacing w:line="440" w:lineRule="exact"/>
        <w:widowControl/>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供应商须知</w:t>
      </w:r>
      <w:r/>
    </w:p>
    <w:p>
      <w:pPr>
        <w:jc w:val="left"/>
        <w:spacing w:line="440" w:lineRule="exact"/>
        <w:rPr>
          <w:rFonts w:ascii="宋体" w:hAnsi="Arial" w:eastAsia="Arial" w:cs="Times New Roman"/>
          <w:sz w:val="18"/>
          <w:szCs w:val="18"/>
        </w:rPr>
      </w:pPr>
      <w:r>
        <w:rPr>
          <w:rFonts w:ascii="宋体" w:hAnsi="Arial" w:eastAsia="Arial" w:cs="Times New Roman"/>
          <w:sz w:val="18"/>
          <w:szCs w:val="18"/>
        </w:rPr>
      </w:r>
      <w:r/>
    </w:p>
    <w:p>
      <w:pPr>
        <w:jc w:val="left"/>
        <w:spacing w:line="440" w:lineRule="exact"/>
        <w:widowControl/>
        <w:rPr>
          <w:rFonts w:hint="eastAsia" w:ascii="宋体" w:hAnsi="宋体" w:eastAsia="宋体" w:cs="宋体"/>
          <w:sz w:val="21"/>
          <w:szCs w:val="21"/>
        </w:rPr>
      </w:pPr>
      <w:r>
        <w:rPr>
          <w:rFonts w:hint="eastAsia" w:ascii="宋体" w:hAnsi="宋体" w:eastAsia="宋体" w:cs="宋体"/>
          <w:b/>
          <w:sz w:val="21"/>
          <w:szCs w:val="21"/>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jc w:val="left"/>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二、 响应供应商</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3. </w:t>
      </w:r>
      <w:r>
        <w:rPr>
          <w:rFonts w:ascii="宋体" w:hAnsi="宋体"/>
          <w:b/>
          <w:color w:val="auto"/>
          <w:sz w:val="21"/>
          <w:szCs w:val="21"/>
          <w:highlight w:val="none"/>
          <w:lang w:val="zh-CN"/>
        </w:rPr>
        <w:t xml:space="preserve">供应商资格要求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3.1供应商应当具备下列一般条件：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3.1.1具有独立承担民事责任的能力；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3.1.2具有良好的商业信誉和健全的财务会计制度；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3.1.3具有履行合同所必需的设备和专业技术能力；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3.1.4有依法缴纳税收和社会保障资金的良好记录；</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3.1.5参加政府采购活动前三年内，在经营活动中没有重大违法记录；</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3.1.6法律、行政法规规定的其他条件；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3.2供应商应当具备的特定资格要求：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3.2.1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4．合格响应供应商的特定条件</w:t>
      </w:r>
      <w:r/>
    </w:p>
    <w:p>
      <w:pPr>
        <w:ind w:firstLine="420"/>
        <w:jc w:val="left"/>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4.1按采购</w:t>
      </w:r>
      <w:r>
        <w:rPr>
          <w:rFonts w:hint="eastAsia" w:ascii="宋体" w:hAnsi="宋体" w:eastAsia="宋体" w:cs="宋体"/>
          <w:sz w:val="21"/>
          <w:szCs w:val="21"/>
          <w:lang w:val="en-US" w:eastAsia="zh-CN"/>
        </w:rPr>
        <w:t xml:space="preserve">邀请函</w:t>
      </w:r>
      <w:r>
        <w:rPr>
          <w:rFonts w:hint="eastAsia" w:ascii="宋体" w:hAnsi="宋体" w:eastAsia="宋体" w:cs="宋体"/>
          <w:sz w:val="21"/>
          <w:szCs w:val="21"/>
        </w:rPr>
        <w:t xml:space="preserve">规定。</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5.响应供应商代表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5.1指全权代表响应供应商参加响应活动并签署响应文件的人，如果响应供应商代表不是法人代表，须持有《法人代表授权委托书》（详见统一格式）。</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6.联合响应</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w:t>
      </w:r>
      <w:r>
        <w:rPr>
          <w:rFonts w:ascii="宋体" w:hAnsi="宋体"/>
          <w:bCs/>
          <w:color w:val="auto"/>
          <w:sz w:val="21"/>
          <w:szCs w:val="21"/>
          <w:highlight w:val="none"/>
          <w:lang w:val="zh-CN"/>
        </w:rPr>
        <w:t xml:space="preserve">本采购项目不接受联合体投标。</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7.响应费用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7.1响应供应商应自行承担所有准备及参加响应的相关费用。不论响应结果如何，采购代理机构在任何情况下均无义务也无责任承担这些费用。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本次采购项目不收取标书费及成交服务费，请响应供应商在响应时充分考虑这一因素。</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三、采购文件说明</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8. 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8.2采购文件及其更正文件不是直接从采购代理机构或指定媒体获得的，采购代理机构对采购文件及其补遗的真实性、完整性不承担任何责任。</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9. 采购文件的澄清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9.1响应供应商在获取采购文件后，若有疑问，应于网上响应截止时间之前，在网上业务系统向采购代理机构提出，采购代理机构将在业务系统上予以解答。</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9.2如有必要，问题答复将以“变更公告”形式由采购代理机构按照本须知第10条的规定发出。</w:t>
      </w:r>
      <w:r/>
    </w:p>
    <w:p>
      <w:pPr>
        <w:jc w:val="left"/>
        <w:spacing w:line="440" w:lineRule="exact"/>
        <w:widowControl/>
        <w:rPr>
          <w:rFonts w:hint="eastAsia" w:ascii="宋体" w:hAnsi="宋体" w:eastAsia="宋体" w:cs="宋体"/>
          <w:sz w:val="21"/>
          <w:szCs w:val="21"/>
        </w:rPr>
      </w:pPr>
      <w:r>
        <w:rPr>
          <w:rFonts w:hint="eastAsia" w:ascii="宋体" w:hAnsi="宋体" w:eastAsia="宋体" w:cs="宋体"/>
          <w:b/>
          <w:sz w:val="21"/>
          <w:szCs w:val="21"/>
        </w:rPr>
        <w:t xml:space="preserve">10.采购文件的修改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10.1采购代理机构无论出于自己的考虑，还是出于对响应供应商提问的澄清，均可对已发出的采购文件用</w:t>
      </w:r>
      <w:r>
        <w:rPr>
          <w:rFonts w:hint="eastAsia" w:ascii="宋体" w:hAnsi="宋体"/>
          <w:color w:val="auto"/>
          <w:sz w:val="21"/>
          <w:szCs w:val="21"/>
          <w:highlight w:val="none"/>
          <w:lang w:val="zh-CN"/>
        </w:rPr>
        <w:t xml:space="preserve">补充文件的方式</w:t>
      </w:r>
      <w:r>
        <w:rPr>
          <w:rFonts w:hint="eastAsia" w:ascii="宋体" w:hAnsi="宋体"/>
          <w:color w:val="auto"/>
          <w:sz w:val="21"/>
          <w:szCs w:val="21"/>
          <w:highlight w:val="none"/>
        </w:rPr>
        <w:t xml:space="preserve">进行必要澄清或者修改。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10.2为使响应供应商有足够的时间按采购文件的修改要求考虑修正响应文件，或出于其他原因，采购代理机构有权推迟响应截止日期和开标日期，并将此变更以补充通知的形式在网上发布公告。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10.3采购文件的更正（含澄清、修改等）内容与原采购文件在同一内容上表述不一致时，以发出日期最接近开标时间的公告为准。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10.4采购文件的更正（含澄清、修改等）内容将在苏州政府采购网发布，请响应供应商及时查询，更正（含澄清、修改等）内容作为采购文件的组成部分，对响应供应商起约束作用</w:t>
      </w:r>
      <w:r/>
    </w:p>
    <w:p>
      <w:pPr>
        <w:ind w:firstLine="420"/>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10.5</w:t>
      </w:r>
      <w:r>
        <w:rPr>
          <w:rFonts w:hint="eastAsia" w:ascii="宋体" w:hAnsi="宋体"/>
          <w:b/>
          <w:bCs/>
          <w:color w:val="auto"/>
          <w:sz w:val="21"/>
          <w:szCs w:val="21"/>
          <w:highlight w:val="none"/>
        </w:rPr>
        <w:t xml:space="preserve">采购文件若有最新的答疑文件，响应供应商必须下载并使用该文件制作新的电子响应文件，否则将无法完成电子响应文件的上传及响应。</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11.质疑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11.2 提出质疑的供应商应当是参与所质疑项目采购活动的供应商，未参加响应活动的供应商或在响应活动中自身权益未受到损害的供应商所提出的质疑不予受理。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11.3上述应知其权益受到损害之日是指：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11.3.1对采购文件提出质疑的，为获取采购文件或者采购文件公告期限届满之日起计算；</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11.3.2对采购过程提出质疑的，自采购程序环节结束之日起计算；</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11.3.3对成交结果提出质疑的，自成交结果公告期限届满之日起计算。</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11.4 供应商提出质疑应当提交质疑函和必要的证明材料。质疑函应当包括下列内容：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11.4.1 供应商的姓名或者名称、地址、邮编、联系人及联系电话；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11.4.2 质疑项目的名称、编号；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11.4.3 具体、明确的质疑事项和与质疑事项相关的请求；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11.4.4 事实依据；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11.4.5 必要的法律依据；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11.4.6 提出质疑的日期。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11.5质疑函的格式和内容应当符合财政部《政府采购供应商质疑函范本》 </w:t>
      </w:r>
      <w:bookmarkStart w:id="1" w:name="baidusnap5"/>
      <w:r/>
      <w:bookmarkEnd w:id="1"/>
      <w:r>
        <w:rPr>
          <w:rFonts w:hint="eastAsia" w:ascii="宋体" w:hAnsi="宋体"/>
          <w:color w:val="auto"/>
          <w:sz w:val="21"/>
          <w:szCs w:val="21"/>
          <w:highlight w:val="none"/>
        </w:rPr>
        <w:t xml:space="preserve">要求，质疑函范本在财政部官网上提供下载。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11.6 提交质疑函同时应当附如下证明材料：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11.6.1对采购文件提出质疑的供应商提供参加本项目的《投标供应商确认函》；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11.6.2质疑供应商的营业执照复印件加盖单位公章；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11.6.3质疑供应商法定代表人身份证复印件加盖单位公章；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11.7 供应商为自然人的，应当由本人签字；供应商为法人或者其他组织的，应当由法定代表人、主要负责人，或者其授权代表签字或者盖章，并加盖公章。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11.8供应商对采购项目技术、商务及其他要求，以及评审细则、标准提出询问或质疑的，应向采购人提出；供应商对采购过程及成交结果提出询问或质疑的，应向采购机代理构提出；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11.9 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11.10 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11.11 接受质疑函联系方式见采购公告联系事项。</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四、 响应文件说明</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12、提示与要求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12.1响应供应商应仔细阅读采购文件的所有内容，按采购文件的要求提供响应文件，并保证所提供的全部资料的真实性，以使其响应对采购文件做出实质性响应，否则，其响应可能被拒绝。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12.2无论是否递交响应文件，响应供应商都应将采购文件及以后的所有通知、文件等视为保密文件。</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13. 响应文件计量单位和使用文字</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13.1响应文件中所使用的计量单位，除采购文件中有特殊要求外，均应使用中华人民共和国法定计量单位。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响应文件应使用中文编制，响应文件中必须使用其他文字的，必须附有中文译本，且以中文译本为准。对于未附有中文译本和中文译本不准确的响应文件可能引起的对响应供应商不利的后果，采购代理机构概不负责。</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14. 知识产权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15. 响应文件的组成和顺序</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15.1报价部分（详见响应文件格式）：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15.1.1《开标一览表》(统一格式)；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15.1.2响应报价明细表；</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15.2 响应正文部分（包含资质证明和技术部分）</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15.2.1资质证明文件部分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15.2.1.1关于资格文件的声明函（详见文件格式）；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15.2.1.2响应承诺函（详见响应文件格式）；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15.2.1.3响应单位营业执照副本或三证合一营业执照复印件；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15.2.1.4响应供应商参加本次政府采购活动前的</w:t>
      </w:r>
      <w:r>
        <w:rPr>
          <w:rFonts w:hint="eastAsia" w:ascii="宋体" w:hAnsi="宋体"/>
          <w:b/>
          <w:bCs/>
          <w:color w:val="auto"/>
          <w:sz w:val="21"/>
          <w:szCs w:val="21"/>
          <w:highlight w:val="none"/>
        </w:rPr>
        <w:t xml:space="preserve">财务状况报告或者银行出具的资信证明</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15.2.1.5响应供应商根据项目需求</w:t>
      </w:r>
      <w:r>
        <w:rPr>
          <w:rFonts w:hint="eastAsia" w:ascii="宋体" w:hAnsi="宋体"/>
          <w:b/>
          <w:bCs/>
          <w:color w:val="auto"/>
          <w:sz w:val="21"/>
          <w:szCs w:val="21"/>
          <w:highlight w:val="none"/>
        </w:rPr>
        <w:t xml:space="preserve">提供履行合同所必需的设备和专业技术能力的证明材料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15.2.1.6响应供应商</w:t>
      </w:r>
      <w:r>
        <w:rPr>
          <w:rFonts w:hint="eastAsia" w:ascii="宋体" w:hAnsi="宋体"/>
          <w:b/>
          <w:bCs/>
          <w:color w:val="auto"/>
          <w:sz w:val="21"/>
          <w:szCs w:val="21"/>
          <w:highlight w:val="none"/>
        </w:rPr>
        <w:t xml:space="preserve">参加本次政府采购活动前半年（至少一个月）依法缴纳税收和社会保障资金的证明材料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15.2.1.7响应供应商</w:t>
      </w:r>
      <w:r>
        <w:rPr>
          <w:rFonts w:hint="eastAsia" w:ascii="宋体" w:hAnsi="宋体"/>
          <w:b/>
          <w:bCs/>
          <w:color w:val="auto"/>
          <w:sz w:val="21"/>
          <w:szCs w:val="21"/>
          <w:highlight w:val="none"/>
        </w:rPr>
        <w:t xml:space="preserve">参加政府采购活动前三年在经营活动中没有重大违法记录的书面申明</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15.2.1.8响应供应商证明其符合采购文件规定的响应供应商特定资格条件的证书、证明和文件材料；（如有）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15.2.1.9响应供应商法定代表人身份证复印件；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15.2.1.1</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rPr>
        <w:t xml:space="preserve">响应供应商法定代表人授权委托书原件（如有授权）（详见文件格式）；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15.2.1.1</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响应供应商授权代理人身份证复印件（如有授权）；</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15.2.2技术部分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15.2.2.1</w:t>
      </w:r>
      <w:r>
        <w:rPr>
          <w:rFonts w:hint="eastAsia" w:ascii="宋体" w:hAnsi="宋体"/>
          <w:color w:val="auto"/>
          <w:sz w:val="21"/>
          <w:szCs w:val="21"/>
          <w:highlight w:val="none"/>
          <w:lang w:val="en-US" w:eastAsia="zh-CN"/>
        </w:rPr>
        <w:t xml:space="preserve">技术</w:t>
      </w:r>
      <w:r>
        <w:rPr>
          <w:rFonts w:hint="eastAsia" w:ascii="宋体" w:hAnsi="宋体"/>
          <w:color w:val="auto"/>
          <w:sz w:val="21"/>
          <w:szCs w:val="21"/>
          <w:highlight w:val="none"/>
        </w:rPr>
        <w:t xml:space="preserve">要求偏离表（详见文件格式）；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15.2.2.2商务要求偏离表（详见文件格式）；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15.2.2.</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售后服务内容；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15.2.2.</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采购文件中要求提供的其他相关材料；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15.2.2.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其他需响应供应商对本次响应的详细说明（响应供应商视各自的情况自行编制）；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p>
    <w:p>
      <w:pPr>
        <w:jc w:val="left"/>
        <w:spacing w:line="440" w:lineRule="exact"/>
        <w:widowControl/>
        <w:rPr>
          <w:rFonts w:hint="eastAsia" w:ascii="宋体" w:hAnsi="宋体" w:eastAsia="宋体" w:cs="宋体"/>
          <w:dstrike/>
          <w:sz w:val="21"/>
          <w:szCs w:val="21"/>
        </w:rPr>
      </w:pPr>
      <w:r>
        <w:rPr>
          <w:rFonts w:hint="eastAsia" w:ascii="宋体" w:hAnsi="宋体" w:eastAsia="宋体" w:cs="宋体"/>
          <w:b/>
          <w:sz w:val="21"/>
          <w:szCs w:val="21"/>
        </w:rPr>
        <w:t xml:space="preserve">15.3响应文件由15.1、15.2款规定的内容共同组成。</w:t>
      </w:r>
      <w:r/>
    </w:p>
    <w:p>
      <w:pPr>
        <w:jc w:val="left"/>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16. 响应文件编制要求</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16.1</w:t>
      </w:r>
      <w:r>
        <w:rPr>
          <w:rFonts w:hint="eastAsia" w:ascii="宋体" w:hAnsi="宋体" w:eastAsia="宋体" w:cs="宋体"/>
          <w:b/>
          <w:sz w:val="21"/>
          <w:szCs w:val="21"/>
        </w:rPr>
        <w:t xml:space="preserve">电子响应文件编制要求：</w:t>
      </w:r>
      <w:r>
        <w:rPr>
          <w:rFonts w:hint="eastAsia" w:ascii="宋体" w:hAnsi="宋体" w:eastAsia="宋体" w:cs="宋体"/>
          <w:sz w:val="21"/>
          <w:szCs w:val="21"/>
        </w:rPr>
        <w:t xml:space="preserve">响应人应使用</w:t>
      </w:r>
      <w:r>
        <w:rPr>
          <w:rFonts w:hint="eastAsia" w:ascii="宋体" w:hAnsi="宋体" w:eastAsia="宋体" w:cs="宋体"/>
          <w:b/>
          <w:sz w:val="21"/>
          <w:szCs w:val="21"/>
        </w:rPr>
        <w:t xml:space="preserve">采购文件要求的响应文件制作软件制作电子响应文件</w:t>
      </w:r>
      <w:r>
        <w:rPr>
          <w:rFonts w:hint="eastAsia" w:ascii="宋体" w:hAnsi="宋体" w:eastAsia="宋体" w:cs="宋体"/>
          <w:sz w:val="21"/>
          <w:szCs w:val="21"/>
        </w:rPr>
        <w:t xml:space="preserve">，电子响应文件按采购文件规定的格式制作，如果未按要求制作上传，可能导致响应无效。</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17. 响应报价（编制）要求的说明</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17.3 一项响应内容只允许一个报价，采购代理机构不接受任何有选择性的响应报价。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17.4响应文件报价中的单价和总价全部采用人民币表示，除非合同的特殊条款另有规定。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17.5最低的响应报价或最高的折扣比例是成交的重要条件，但不是成交的唯一条件。</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18. 响应保证金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本项目无须缴纳响应保证金。</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19. 响应文件的有效期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19.1在本采购文件规定的开标之日起九十（90）天内，响应供应商所提交的响应文件应保持有效。有效期短于这个规定期限的响应文件，将被认定为未实质性响应采购文件要求。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19.2在特殊情况下，采购代理机构位可与响应供应商协商延长响应书的有效期。这种要求和答复都应以书面形式进行。同意延长有效期的响应供应商不能修改响应文件。拒绝接受延期要求的响应供应商的响应将被拒绝。</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五、响应文件的提交、撤回和修改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20.响应文件的上传、提交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20.1响应供应商应将制作好的加密电子响应文件按要求在响应截止时间前上传到交易系统平台中。</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21. 响应截止时间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21.1电子响应文件必须按采购公告中规定的网上响应截止时间前提交，否则响应无效。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21.2采购代理机构推迟响应截止时间时，应以更正公告的形式，通知所有响应供应商。在这种情况下，采购代理机构和响应供应商的权利和义务将受到新的截止期的约束。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21.3在响应截止时间止，采购代理机构于本项目（或标段）收到的电子响应文件少于一份的，采购代理机构有权宣布本项目（或标段）采购失败。</w:t>
      </w:r>
      <w:r/>
    </w:p>
    <w:p>
      <w:pPr>
        <w:jc w:val="left"/>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22. 响应文件的修改和撤回</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22.1响应供应商在提交响应文件截止时间前，可对其响应文件进行撤回或修改。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23.2开标后响应供应商不得撤回响应。</w:t>
      </w:r>
      <w:r/>
    </w:p>
    <w:p>
      <w:pPr>
        <w:jc w:val="left"/>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六、响应和评审</w:t>
      </w:r>
      <w:r/>
    </w:p>
    <w:p>
      <w:pPr>
        <w:jc w:val="left"/>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23. 单一来源采购仪式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23.1采购代理机构按采购公告规定的时间、地点主持不见面采购活动。采购仪式由采购代理机构、采购人等主持。</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23.2</w:t>
      </w:r>
      <w:r>
        <w:rPr>
          <w:rFonts w:hint="eastAsia" w:ascii="宋体" w:hAnsi="宋体" w:eastAsia="宋体" w:cs="宋体"/>
          <w:b/>
          <w:sz w:val="21"/>
          <w:szCs w:val="21"/>
        </w:rPr>
        <w:t xml:space="preserve">参加采购活动的响应法定代表人或授权代理人须在项目开始前登录苏采云不见面开标系统，进入网上不见面开标大厅，做好相关准备工作。</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23.3单一来源采购</w:t>
      </w:r>
      <w:r>
        <w:rPr>
          <w:rFonts w:hint="eastAsia" w:ascii="宋体" w:hAnsi="宋体" w:eastAsia="Arial" w:cs="Times New Roman"/>
          <w:sz w:val="21"/>
          <w:szCs w:val="21"/>
        </w:rPr>
        <w:t xml:space="preserve">活动开始后，按照采购流程，响应供应商在规定的解密时间内解密响应文件，</w:t>
      </w:r>
      <w:r>
        <w:rPr>
          <w:rFonts w:hint="eastAsia" w:ascii="宋体" w:hAnsi="宋体" w:eastAsia="Arial" w:cs="Times New Roman"/>
          <w:b/>
          <w:sz w:val="21"/>
          <w:szCs w:val="21"/>
        </w:rPr>
        <w:t xml:space="preserve">解密时间为15分钟，</w:t>
      </w:r>
      <w:r>
        <w:rPr>
          <w:rFonts w:hint="eastAsia" w:ascii="宋体" w:hAnsi="宋体" w:eastAsia="Arial" w:cs="Times New Roman"/>
          <w:sz w:val="21"/>
          <w:szCs w:val="21"/>
        </w:rPr>
        <w:t xml:space="preserve">因自身原因导致解密失败的，由响应供应商自行承担向相关责任。</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23.4响应人代表对采购仪式过程和记录有疑义，以及认为采购人、采购代理机构相关工作人员有需要回避的情形的，</w:t>
      </w:r>
      <w:r>
        <w:rPr>
          <w:rFonts w:hint="eastAsia" w:ascii="宋体" w:hAnsi="宋体" w:eastAsia="宋体" w:cs="宋体"/>
          <w:b/>
          <w:sz w:val="21"/>
          <w:szCs w:val="21"/>
        </w:rPr>
        <w:t xml:space="preserve">应通过不见面开标大厅提出</w:t>
      </w:r>
      <w:r>
        <w:rPr>
          <w:rFonts w:hint="eastAsia" w:ascii="宋体" w:hAnsi="宋体" w:eastAsia="宋体" w:cs="宋体"/>
          <w:sz w:val="21"/>
          <w:szCs w:val="21"/>
        </w:rPr>
        <w:t xml:space="preserve">询问或者回避申请。采购人、采购代理机构对响应人代表提出的询问或者回避申请应当及时处理。</w:t>
      </w:r>
      <w:r/>
    </w:p>
    <w:p>
      <w:pPr>
        <w:jc w:val="left"/>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24. 评审小组</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24.1评审小组由采购人或委托采购代理机构依法组建，负责本项目的评审事务。</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24.2评审小组独立履行下列职责：</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24.2.1审查响应文件是否符合采购文件的要求，并作出评价；</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24.2.2可以要求响应供应商对响应文件有关事项作出解释或澄清；</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24.2.3推荐成交候选供应商名单，或者受采购人委托按照事先确定的办法直接确定成交供应商；</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24.2.4向采购代理机构或者有关部门报告非法干预评审工作的行为；</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24.3评审小组成员应当履行下列义务：</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24.3.1遵纪守法，客观、公正、廉洁地履行职责；</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24.3.2按照采购文件规定的评审办法和评审标准进行评审，对评审意见承担个人责任；</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24.3.3对评审过程和结果，以及响应人的商业秘密保密；</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24.3.4参与评审报告的起草；</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24.3.5配合采购代理机构答复响应供应商提出的质疑；</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24.3.6配合相关部门的投诉处理工作；</w:t>
      </w:r>
      <w:r/>
    </w:p>
    <w:p>
      <w:pPr>
        <w:jc w:val="left"/>
        <w:spacing w:line="440" w:lineRule="exact"/>
        <w:widowControl/>
        <w:rPr>
          <w:rFonts w:ascii="Arial" w:hAnsi="Arial" w:eastAsia="Arial"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25. 评审内容的保密</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25.1公开开标后，直到宣布授予成交供应商合同为止，凡属于审查、澄清、评价和比较响应的所有资料，有关授予合同的信息都不应向响应人或与评审无关的其他人泄露。</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25.2 在响应文件的审查、澄清、评价和比较以及授予合同的过程中，响应人对采购代理机构和评审小组成员施加影响的任何行为，都将取消其响应资格。</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25.3在评审期间，采购代理机构将通过指定联络人与响应人进行联系。</w:t>
      </w:r>
      <w:r/>
    </w:p>
    <w:p>
      <w:pPr>
        <w:jc w:val="left"/>
        <w:spacing w:line="440" w:lineRule="exact"/>
        <w:widowControl/>
        <w:rPr>
          <w:rFonts w:ascii="Arial" w:hAnsi="Arial" w:eastAsia="Arial"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26.对</w:t>
      </w:r>
      <w:r>
        <w:rPr>
          <w:rFonts w:hint="eastAsia" w:ascii="宋体" w:hAnsi="宋体" w:eastAsia="宋体" w:cs="宋体"/>
          <w:b/>
          <w:sz w:val="21"/>
          <w:szCs w:val="21"/>
        </w:rPr>
        <w:t xml:space="preserve">响应文件</w:t>
      </w:r>
      <w:r>
        <w:rPr>
          <w:rFonts w:ascii="宋体" w:hAnsi="宋体" w:eastAsia="宋体" w:cs="宋体"/>
          <w:b/>
          <w:sz w:val="21"/>
          <w:szCs w:val="21"/>
        </w:rPr>
        <w:t xml:space="preserve">初审</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26.1响应文件初审分为资格性检查和符合性检查。</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26.1.1资格性检查。依据法律法规和采购文件的规定，采购人或者采购代理机构依法对响应人的资格进行审查。对响应文件中的资格证明等进行审查，以确定响应供应商是否具备响应资格。</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26.1.2 关于信用记录查询：</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26.1.2.1查询时间：评审开始前</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26.1.2.2查询渠道：通过“信用中国”网站、中国政府采购网等渠道查询相关主体信用记录。</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26.1.2.4信用记录使用规则：评审小组在对供应商进行资格性审查时，应根据查询结果对供应商的不良信用记录逐项甄别确认。</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26.1.3符合性检查。依据采购文件的规定，从响应文件的有效性、完整性和对采购文件的响应程度进行审查，以确定是否对采购文件的实质性要求作出响应。</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26.2开标后，评审小组将审查响应文件是否实质性响应采购文件的要求、内容是否完整、价格构成有无计算错误、文件签署是否齐全等。</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26.3在详细评审之前，评审小组将首先审查每份响应书是否实质响应了采购文件的要求。实质上的响应应该是与采购文件的全部条款、条件和规格相符，没有重大偏离或保留。所谓重大偏离或保留是指影响合同的供货范围、质量和性能等；或者在实质上与采购文件不一致〔如货物和服务的质量、数量明显不能满足采购文件的要求〕，而且限制了合同中买方的权利或响应单位的义务。这些偏离或保留将会对其他实质上响应要求的响应单位的竞争地位产生不公正的影响。</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26.4采购文件提供的工艺、材料、设备、参考的商标或样本目录号码等仅作为说明并没有限制性，响应供应商在响应中可以选用替代标准，但这些替代标准要优于或相当于技术规格中要求的标准，以满足采购单位的需要。</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26.5评审小组将允许修改响应中不构成重大偏离的微小的、非正规、不一致或不规则的地方，但这些修改不能影响任何响应单位的名次相应排列。响应单位不得对采购文件进行实质性修改，否则响应文件将被拒绝。</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26.6评审小组将对确定为实质性响应的响应进行审核，看其是否有计算上或累加上的算术错误，修正错误的原则如下：</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26.6.1响应文件中开标一览表（报价表）内容与响应文件中相应内容不一致的，以开标一览表（报价表）为准；</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26.6.2大写金额和小写金额不一致的，以大写金额为准；</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26.6.3单价金额小数点或者百分比有明显错位的，以开标一览表的总价为准，并修改单价；</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26.6.4总价金额与按单价汇总金额不一致的，以单价金额计算结果为准。</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同时出现两种以上不一致的，按照前款规定的顺序修正。修正后的报价按照本须知26.6条规定经响应人确认后产生约束力，响应人不确认的，其响应无效。</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26.7评标委员会认为投标人的报价明显低于其他通过符合性审查投标人的报价，有可能影响产品质量或者不能诚信履约的，根据财政部《关于推动解决政府采购异常低价问题的通知》（财库〔2026〕2号），应当要求其在不见面开标大厅内合理的时间内提供说明，必要时提交相关证明材料：投标人不能证明其报价合理性的，评标委员会应当将其作为无效投标处理。</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异常低价投标（响应）审查的情形和具体要求如下：</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26.7.1 投标（响应）报价低于全部通过符合性审查供应商投标（响应）报价平均值50%的，即投标（响应）报价&lt;全部通过符合性审查供应商投标（响应）报价平均值×50%；</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26.7.2 投标（响应）报价低于通过符合性审查的次低报价供应商投标（响应）报价50%的，即投标（响应）报价&lt;通过符合性审查的次低报价供应商投标（响应）报价×50%；</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26.7.3 投标（响应）报价低于采购项目最高限价45%的，即投标（响应）报价&lt;采购项目最高限价×45%；</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26.7.4 评审委员会基于专业判断，认为供应商报价过低，有可能影响产品质量或者不能诚信履约的其他情形。</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26.8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sz w:val="21"/>
          <w:szCs w:val="21"/>
        </w:rPr>
        <w:br/>
      </w:r>
      <w:r>
        <w:rPr>
          <w:rFonts w:hint="eastAsia" w:ascii="宋体" w:hAnsi="宋体" w:eastAsia="宋体" w:cs="宋体"/>
          <w:sz w:val="21"/>
          <w:szCs w:val="21"/>
        </w:rPr>
        <w:t xml:space="preserve">26.9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26.10评审小组将拒绝被确定为非实质性的响应，响应人不能通过修正或撤销不符之处而使其响应成为实质性的响应。</w:t>
      </w:r>
      <w:r/>
    </w:p>
    <w:p>
      <w:pPr>
        <w:jc w:val="left"/>
        <w:spacing w:line="440" w:lineRule="exact"/>
        <w:widowControl/>
        <w:rPr>
          <w:rFonts w:ascii="Arial" w:hAnsi="Arial" w:eastAsia="Arial"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27.响应的澄清</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27.1在响应文件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响应文件的范围或者改变响应文件的实质性内容。</w:t>
      </w:r>
      <w:r/>
    </w:p>
    <w:p>
      <w:pPr>
        <w:jc w:val="left"/>
        <w:spacing w:line="440" w:lineRule="exact"/>
        <w:widowControl/>
        <w:rPr>
          <w:rFonts w:ascii="Arial" w:hAnsi="Arial" w:eastAsia="Arial"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28.无效响应和废标</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28.1无效响应的具体情形有：  </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28.1.1响应文件未按采购文件要求签署、盖章或电子签章的；</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28.1.2不具备采购文件中规定的资格要求的；</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28.1.3报价超过采购文件中规定的预算金额或者最高限价的；</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28.1.4响应文件含有采购人不能接受的附加条件的；</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28.1.5法律、法规和采购文件规定的其他无效情形。</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28.2 在采购中，出现下列情形之一的，应予废标：</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28.2.1出现影响采购公正的违法、违规行为的；</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28.2.2响应供应商的报价均超过了采购预算，采购人不能支付的；</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28.2.3因重大变故，采购任务取消的。</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28.3 废标后，采购人应当将废标理由通知所有响应供应商。</w:t>
      </w:r>
      <w:r/>
    </w:p>
    <w:p>
      <w:pPr>
        <w:jc w:val="left"/>
        <w:spacing w:line="440" w:lineRule="exact"/>
        <w:widowControl/>
        <w:rPr>
          <w:rFonts w:hint="eastAsia" w:ascii="宋体" w:hAnsi="宋体" w:cs="宋体"/>
          <w:color w:val="0000ff"/>
          <w:sz w:val="21"/>
          <w:szCs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29. </w:t>
      </w:r>
      <w:r>
        <w:rPr>
          <w:rFonts w:hint="eastAsia" w:ascii="宋体" w:hAnsi="宋体" w:eastAsia="宋体" w:cs="宋体"/>
          <w:b/>
          <w:sz w:val="21"/>
          <w:szCs w:val="21"/>
        </w:rPr>
        <w:t xml:space="preserve">响应文件</w:t>
      </w:r>
      <w:r>
        <w:rPr>
          <w:rFonts w:ascii="宋体" w:hAnsi="宋体" w:eastAsia="宋体" w:cs="宋体"/>
          <w:b/>
          <w:sz w:val="21"/>
          <w:szCs w:val="21"/>
        </w:rPr>
        <w:t xml:space="preserve">的评价和比较</w:t>
      </w:r>
      <w:r/>
    </w:p>
    <w:p>
      <w:pPr>
        <w:ind w:firstLine="420"/>
        <w:jc w:val="left"/>
        <w:keepLines w:val="0"/>
        <w:keepNext w:val="0"/>
        <w:pageBreakBefore w:val="0"/>
        <w:spacing w:line="440" w:lineRule="exact"/>
        <w:widowControl/>
        <w:rPr>
          <w:rFonts w:hint="default"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29.1</w:t>
      </w:r>
      <w:r>
        <w:rPr>
          <w:rFonts w:hint="eastAsia" w:ascii="宋体" w:hAnsi="宋体" w:cs="宋体"/>
          <w:color w:val="auto"/>
          <w:sz w:val="21"/>
          <w:szCs w:val="21"/>
          <w:lang w:val="en-US" w:eastAsia="zh-CN"/>
        </w:rPr>
        <w:t xml:space="preserve">单一来源评审</w:t>
      </w:r>
      <w:r>
        <w:rPr>
          <w:rFonts w:hint="eastAsia" w:ascii="宋体" w:hAnsi="宋体" w:eastAsia="宋体" w:cs="宋体"/>
          <w:color w:val="auto"/>
          <w:sz w:val="21"/>
          <w:szCs w:val="21"/>
        </w:rPr>
        <w:t xml:space="preserve">协商小组根据响应文件对服务质量、技术及价格等方面的商谈进行评审，且单</w:t>
      </w:r>
      <w:r>
        <w:rPr>
          <w:rFonts w:hint="eastAsia" w:ascii="宋体" w:hAnsi="宋体" w:eastAsia="宋体" w:cs="宋体"/>
          <w:sz w:val="21"/>
          <w:szCs w:val="21"/>
        </w:rPr>
        <w:t xml:space="preserve">一来源采购响应单位的报价不超过采购单位预算价格，最终由</w:t>
      </w:r>
      <w:r>
        <w:rPr>
          <w:rFonts w:hint="eastAsia" w:ascii="宋体" w:hAnsi="宋体" w:cs="宋体"/>
          <w:sz w:val="21"/>
          <w:szCs w:val="21"/>
          <w:lang w:val="en-US" w:eastAsia="zh-CN"/>
        </w:rPr>
        <w:t xml:space="preserve">评审小组</w:t>
      </w:r>
      <w:r>
        <w:rPr>
          <w:rFonts w:hint="eastAsia" w:ascii="宋体" w:hAnsi="宋体" w:eastAsia="宋体" w:cs="宋体"/>
          <w:sz w:val="21"/>
          <w:szCs w:val="21"/>
        </w:rPr>
        <w:t xml:space="preserve">推荐成交供应商。</w:t>
      </w:r>
      <w:r/>
    </w:p>
    <w:p>
      <w:pPr>
        <w:jc w:val="left"/>
        <w:spacing w:line="440" w:lineRule="exact"/>
        <w:widowControl/>
        <w:rPr>
          <w:rFonts w:ascii="Arial" w:hAnsi="Arial" w:eastAsia="Arial"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七、授予合同</w:t>
      </w:r>
      <w:r/>
    </w:p>
    <w:p>
      <w:pPr>
        <w:jc w:val="left"/>
        <w:spacing w:line="440" w:lineRule="exact"/>
        <w:widowControl/>
        <w:rPr>
          <w:rFonts w:ascii="Arial" w:hAnsi="Arial" w:eastAsia="Arial"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30. </w:t>
      </w:r>
      <w:r>
        <w:rPr>
          <w:rFonts w:hint="eastAsia" w:ascii="宋体" w:hAnsi="宋体" w:eastAsia="宋体" w:cs="宋体"/>
          <w:b/>
          <w:sz w:val="21"/>
          <w:szCs w:val="21"/>
        </w:rPr>
        <w:t xml:space="preserve">成交供应商</w:t>
      </w:r>
      <w:r>
        <w:rPr>
          <w:rFonts w:ascii="宋体" w:hAnsi="宋体" w:eastAsia="宋体" w:cs="宋体"/>
          <w:b/>
          <w:sz w:val="21"/>
          <w:szCs w:val="21"/>
        </w:rPr>
        <w:t xml:space="preserve">的确认</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30.1评审小组按采购文件规定的评审方法和标准进行详细评审后，按采购人的委托向采购人推荐成交候选单位或根据采购人授权直接确定成交供应商。</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30.2经评审小组评审并确定成交供应商后，采购人或授权采购代理机构将在规定的时间内将成交结果在相关媒体上予以公告。</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r/>
    </w:p>
    <w:p>
      <w:pPr>
        <w:ind w:firstLine="420"/>
        <w:jc w:val="left"/>
        <w:keepLines w:val="0"/>
        <w:keepNext w:val="0"/>
        <w:pageBreakBefore w:val="0"/>
        <w:spacing w:line="440" w:lineRule="exact"/>
        <w:widowControl/>
        <w:rPr>
          <w:rFonts w:hint="eastAsia" w:ascii="Arial" w:hAnsi="Arial" w:eastAsia="宋体" w:cs="Times New Roman"/>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30.4质疑函递交地点及联系方式详见公告内容</w:t>
      </w:r>
      <w:r>
        <w:rPr>
          <w:rFonts w:hint="eastAsia" w:ascii="宋体" w:hAnsi="宋体" w:cs="宋体"/>
          <w:sz w:val="21"/>
          <w:szCs w:val="21"/>
          <w:lang w:eastAsia="zh-CN"/>
        </w:rPr>
        <w:t xml:space="preserve">。</w:t>
      </w:r>
      <w:r/>
    </w:p>
    <w:p>
      <w:pPr>
        <w:jc w:val="left"/>
        <w:spacing w:line="440" w:lineRule="exact"/>
        <w:widowControl/>
        <w:rPr>
          <w:rFonts w:ascii="Arial" w:hAnsi="Arial" w:eastAsia="Arial"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31. 合同授予标准</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31.1</w:t>
      </w:r>
      <w:r>
        <w:rPr>
          <w:rFonts w:hint="eastAsia" w:ascii="宋体" w:hAnsi="宋体" w:eastAsia="宋体" w:cs="宋体"/>
          <w:sz w:val="21"/>
          <w:szCs w:val="21"/>
          <w:lang w:eastAsia="zh-CN"/>
        </w:rPr>
        <w:t xml:space="preserve">采购人将把合同授予其响应文件在实质上响应采购文件要求和按本须知规定评选出的响应人。确定为成交的响应人必须具有实施本合同的能力和资源。</w:t>
      </w:r>
      <w:r/>
    </w:p>
    <w:p>
      <w:pPr>
        <w:ind w:firstLine="420"/>
        <w:jc w:val="left"/>
        <w:keepLines w:val="0"/>
        <w:keepNext w:val="0"/>
        <w:pageBreakBefore w:val="0"/>
        <w:spacing w:line="440" w:lineRule="exact"/>
        <w:widowControl/>
        <w:rPr>
          <w:rFonts w:hint="eastAsia" w:ascii="Arial" w:hAnsi="Arial" w:eastAsia="宋体" w:cs="Times New Roman"/>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31.2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jc w:val="left"/>
        <w:spacing w:line="440" w:lineRule="exact"/>
        <w:widowControl/>
        <w:rPr>
          <w:rFonts w:ascii="Arial" w:hAnsi="Arial" w:eastAsia="Arial"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32. </w:t>
      </w:r>
      <w:r>
        <w:rPr>
          <w:rFonts w:hint="eastAsia" w:ascii="宋体" w:hAnsi="宋体" w:eastAsia="宋体" w:cs="宋体"/>
          <w:b/>
          <w:sz w:val="21"/>
          <w:szCs w:val="21"/>
        </w:rPr>
        <w:t xml:space="preserve">成交通知书</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32.1确定出成交供应商后响应文件有效期截止前，采购代理机构应当向成交供应商发出成交通知书，成交通知书对采购人和成交供应商具有同等法律效力。成交通知书发出后，采购人改变成交结果，或者成交供应商放弃成交，应当承担相应的法律责任。</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32.2成交通知书在成交公告发布后将发布在苏采云系统中，成交通知书发布之日视为成交供应商领取之日，成交供应商自领取之日起30日内自行在苏采云系统中下载打印。</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32.3因系统存储空间有限，自中标结果公告届满之日起30日后，“苏采云”系统不再保证提供下载中标通知书服务,因未及时下载而造成的不利后果由中标供应商自行承担。</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32.4成交通知书将成为合同的组成部分。</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32.5采购代理机构对未成交供应商不承担解释未中标原因的义务。</w:t>
      </w:r>
      <w:r/>
    </w:p>
    <w:p>
      <w:pPr>
        <w:jc w:val="left"/>
        <w:spacing w:line="440" w:lineRule="exact"/>
        <w:widowControl/>
        <w:rPr>
          <w:rFonts w:ascii="Arial" w:hAnsi="Arial" w:eastAsia="Arial"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33.履约保证金</w:t>
      </w:r>
      <w:r/>
    </w:p>
    <w:p>
      <w:pPr>
        <w:ind w:firstLine="420"/>
        <w:jc w:val="left"/>
        <w:keepLines w:val="0"/>
        <w:keepNext w:val="0"/>
        <w:pageBreakBefore w:val="0"/>
        <w:spacing w:line="440" w:lineRule="exact"/>
        <w:widowControl/>
        <w:rPr>
          <w:rFonts w:hint="default"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val="en-US" w:eastAsia="zh-CN"/>
        </w:rPr>
        <w:t xml:space="preserve">无</w:t>
      </w:r>
      <w:r/>
    </w:p>
    <w:p>
      <w:pPr>
        <w:jc w:val="left"/>
        <w:spacing w:line="440" w:lineRule="exact"/>
        <w:widowControl/>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rPr>
        <w:t xml:space="preserve">34. 合同的签订</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34.1 按照《关于做好政府采购支持企业发展有关事项的通知》（苏财购〔2020〕52号）文件精神，采购人原则上应当在成交通知书发出之日起十五日内，按照采购文件及响应文件确定的事项与成交供应商签订政府采购合同。</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34.2成交供应商应按成交通知书中规定，由法定代表人或授权代理人与采购人代表签订合同，否则按放弃成交权处理。</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34.3签订合同及合同条款应以采购文件和成交供应商的响应文件及其澄清文件为依据。</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34.4成交人无正当理由拒签合同的，或在签订合同时向采购人提出附加条件或者更改合同实质性内容的，采购人可取消其成交资格，同时由成交人承担相应的法律责任</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34.5签订合同后，成交人不得将货物及其他相关服务进行转包。未经采购人同意，成交人也不得采用分包的形式履行合同，否则采购人有权终止合同。转包或分包造成采购人损失的，成交人应承担相应赔偿责任。</w:t>
      </w:r>
      <w:r/>
    </w:p>
    <w:p>
      <w:pPr>
        <w:jc w:val="left"/>
        <w:keepLines w:val="0"/>
        <w:keepNext w:val="0"/>
        <w:pageBreakBefore w:val="0"/>
        <w:spacing w:line="440" w:lineRule="exact"/>
        <w:widowControl/>
        <w:rPr>
          <w:rFonts w:hint="eastAsia" w:ascii="宋体" w:hAnsi="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lang w:val="en-US" w:eastAsia="zh-CN"/>
        </w:rPr>
        <w:t xml:space="preserve">八、政府采购政策</w:t>
      </w:r>
      <w:r/>
    </w:p>
    <w:p>
      <w:pPr>
        <w:jc w:val="left"/>
        <w:keepLines w:val="0"/>
        <w:keepNext w:val="0"/>
        <w:pageBreakBefore w:val="0"/>
        <w:spacing w:line="440" w:lineRule="exact"/>
        <w:widowControl/>
        <w:rPr>
          <w:rFonts w:hint="eastAsia" w:ascii="宋体" w:hAnsi="宋体" w:eastAsia="宋体" w:cs="宋体"/>
          <w:b/>
          <w:bCs/>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eastAsia="zh-CN"/>
        </w:rPr>
        <w:t xml:space="preserve">35</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lang w:eastAsia="zh-CN"/>
        </w:rPr>
        <w:t xml:space="preserve">本项目</w:t>
      </w:r>
      <w:r>
        <w:rPr>
          <w:rFonts w:hint="eastAsia" w:ascii="宋体" w:hAnsi="宋体" w:cs="宋体"/>
          <w:b/>
          <w:bCs/>
          <w:sz w:val="21"/>
          <w:szCs w:val="21"/>
          <w:lang w:val="en-US" w:eastAsia="zh-CN"/>
        </w:rPr>
        <w:t xml:space="preserve">非</w:t>
      </w:r>
      <w:r>
        <w:rPr>
          <w:rFonts w:hint="eastAsia" w:ascii="宋体" w:hAnsi="宋体" w:eastAsia="宋体" w:cs="宋体"/>
          <w:b/>
          <w:bCs/>
          <w:sz w:val="21"/>
          <w:szCs w:val="21"/>
          <w:lang w:eastAsia="zh-CN"/>
        </w:rPr>
        <w:t xml:space="preserve">专门面向中小企业采购</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35.1.1中小企业划分：</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（1）符合中小企业划分标准的个体工商户，在政府采购活动中视同中小企业。</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（2）中小企业划分标准详见“工信部联企业〔2011〕300号通知”</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35.1.2残疾人福利性单位政策：</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35.1.3监狱企业发展政策：</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35.1.4、中标、成交供应商享受规定的中小企业扶持政策的，其声明函及相关证明材料应当随中标、成交结果同时公告，接受社会监督。</w:t>
      </w:r>
      <w:r/>
    </w:p>
    <w:p>
      <w:pPr>
        <w:jc w:val="left"/>
        <w:spacing w:line="440" w:lineRule="exact"/>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rPr>
        <w:t xml:space="preserve">36、节能产品和环境标志产品</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r/>
    </w:p>
    <w:p>
      <w:pPr>
        <w:jc w:val="left"/>
        <w:spacing w:line="440" w:lineRule="exac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37.绿色数据中心政策</w:t>
      </w:r>
      <w:r/>
    </w:p>
    <w:p>
      <w:pPr>
        <w:ind w:firstLine="420"/>
        <w:jc w:val="left"/>
        <w:keepLines w:val="0"/>
        <w:keepNext w:val="0"/>
        <w:pageBreakBefore w:val="0"/>
        <w:spacing w:line="440" w:lineRule="exact"/>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37.1 依据《绿色数据中心政府采购需求标准（试行）》（财办库〔2023〕7 号）文件精神，采购</w:t>
      </w:r>
      <w:r>
        <w:rPr>
          <w:rFonts w:hint="eastAsia" w:ascii="宋体" w:hAnsi="宋体" w:eastAsia="宋体" w:cs="宋体"/>
          <w:sz w:val="21"/>
          <w:szCs w:val="21"/>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440" w:lineRule="exac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38.商品包装、快递包装政策</w:t>
      </w:r>
      <w:r/>
    </w:p>
    <w:p>
      <w:pPr>
        <w:ind w:firstLine="420"/>
        <w:jc w:val="left"/>
        <w:keepLines w:val="0"/>
        <w:keepNext w:val="0"/>
        <w:pageBreakBefore w:val="0"/>
        <w:spacing w:line="440" w:lineRule="exact"/>
        <w:widowControl/>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38.1 依据《关于印发〈商品包装政府采购需求标准（试行）〉、〈快递包装政府采购需求</w:t>
      </w:r>
      <w:r>
        <w:rPr>
          <w:rFonts w:hint="eastAsia" w:ascii="宋体" w:hAnsi="宋体" w:eastAsia="宋体" w:cs="宋体"/>
          <w:sz w:val="21"/>
          <w:szCs w:val="21"/>
          <w:lang w:eastAsia="zh-CN"/>
        </w:rPr>
        <w:t xml:space="preserve">标准</w:t>
      </w:r>
      <w:r>
        <w:rPr>
          <w:rFonts w:hint="eastAsia" w:ascii="宋体" w:hAnsi="宋体" w:eastAsia="宋体" w:cs="宋体"/>
          <w:sz w:val="21"/>
          <w:szCs w:val="21"/>
        </w:rPr>
        <w:t xml:space="preserve">（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jc w:val="left"/>
        <w:spacing w:line="440" w:lineRule="exact"/>
        <w:rPr>
          <w:rFonts w:hint="eastAsia" w:ascii="宋体" w:hAnsi="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39.采购本国产品的支持政策</w:t>
      </w:r>
      <w:r/>
    </w:p>
    <w:p>
      <w:pPr>
        <w:ind w:firstLine="420"/>
        <w:jc w:val="left"/>
        <w:keepLines w:val="0"/>
        <w:keepNext w:val="0"/>
        <w:pageBreakBefore w:val="0"/>
        <w:spacing w:line="440" w:lineRule="exact"/>
        <w:widowControl/>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39.2本国产品应当在中国境内生产，即在中华人民共和国</w:t>
      </w:r>
      <w:r>
        <w:rPr>
          <w:rFonts w:hint="eastAsia" w:ascii="宋体" w:hAnsi="宋体" w:eastAsia="宋体" w:cs="宋体"/>
          <w:sz w:val="21"/>
          <w:szCs w:val="21"/>
        </w:rPr>
        <w:t xml:space="preserve">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50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39.3 本项目政府采购活动中既有本国产品又有非本国产品参与竞争的，依法对本国产品给予价格评审优惠，</w:t>
      </w:r>
      <w:r>
        <w:rPr>
          <w:rFonts w:hint="eastAsia" w:ascii="宋体" w:hAnsi="宋体" w:eastAsia="宋体" w:cs="宋体"/>
          <w:b/>
          <w:sz w:val="21"/>
          <w:szCs w:val="21"/>
        </w:rPr>
        <w:t xml:space="preserve">对本国产品的报价给予20%的价格扣除，用扣除后的价格参与评审。</w:t>
      </w:r>
      <w:r/>
    </w:p>
    <w:p>
      <w:pPr>
        <w:ind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39.5 供应商需按照招标文件的要求提供《关于符合本国产品标准的声明函》（以下简称《声明函》），</w:t>
      </w:r>
      <w:r>
        <w:rPr>
          <w:rFonts w:hint="eastAsia" w:ascii="宋体" w:hAnsi="宋体" w:eastAsia="宋体" w:cs="宋体"/>
          <w:b/>
          <w:sz w:val="21"/>
          <w:szCs w:val="21"/>
        </w:rPr>
        <w:t xml:space="preserve">如不提供将不享受本国产品价格评审优惠。</w:t>
      </w:r>
      <w:r/>
    </w:p>
    <w:p>
      <w:pPr>
        <w:ind w:firstLine="420"/>
        <w:keepLines w:val="0"/>
        <w:keepNext w:val="0"/>
        <w:pageBreakBefore w:val="0"/>
        <w:spacing w:line="50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39.6</w:t>
      </w:r>
      <w:r>
        <w:rPr>
          <w:rFonts w:hint="eastAsia" w:ascii="宋体" w:hAnsi="宋体" w:eastAsia="宋体" w:cs="宋体"/>
          <w:b/>
          <w:sz w:val="21"/>
          <w:szCs w:val="21"/>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20"/>
        <w:keepLines w:val="0"/>
        <w:keepNext w:val="0"/>
        <w:pageBreakBefore w:val="0"/>
        <w:spacing w:line="50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九、其他事项</w:t>
      </w:r>
      <w:r/>
    </w:p>
    <w:p>
      <w:pPr>
        <w:spacing w:line="44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40. 监督和公证</w:t>
      </w:r>
      <w:r/>
    </w:p>
    <w:p>
      <w:pPr>
        <w:spacing w:line="44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40.1政府有关监督部门将对招投标全过程进行监督。</w:t>
      </w:r>
      <w:r/>
    </w:p>
    <w:p>
      <w:pPr>
        <w:spacing w:line="44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40.2采购代理机构的招标过程将依采购人申请，通过公证机关进行公证。</w:t>
      </w:r>
      <w:r/>
    </w:p>
    <w:p>
      <w:pPr>
        <w:spacing w:line="440" w:lineRule="exact"/>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rPr>
        <w:t xml:space="preserve">41.未尽事宜</w:t>
      </w:r>
      <w:r/>
    </w:p>
    <w:p>
      <w:pPr>
        <w:numPr>
          <w:ilvl w:val="0"/>
          <w:numId w:val="0"/>
        </w:numPr>
        <w:jc w:val="both"/>
        <w:spacing w:line="360" w:lineRule="exact"/>
        <w:rPr>
          <w:rFonts w:hint="eastAsia" w:ascii="宋体" w:hAnsi="宋体" w:eastAsia="宋体" w:cs="宋体"/>
          <w:sz w:val="21"/>
          <w:szCs w:val="21"/>
        </w:rPr>
      </w:pPr>
      <w:r>
        <w:rPr>
          <w:rFonts w:hint="eastAsia" w:ascii="宋体" w:hAnsi="宋体" w:eastAsia="宋体" w:cs="宋体"/>
          <w:sz w:val="21"/>
          <w:szCs w:val="21"/>
        </w:rPr>
        <w:t xml:space="preserve">按《中华人民共和国政府采购法》及其他有关法律法规的规定执行。</w:t>
      </w:r>
      <w:r/>
    </w:p>
    <w:p>
      <w:pPr>
        <w:rPr>
          <w:rFonts w:hint="eastAsia" w:ascii="宋体" w:hAnsi="宋体"/>
          <w:b/>
          <w:bCs/>
          <w:sz w:val="32"/>
          <w:szCs w:val="32"/>
        </w:rPr>
      </w:pPr>
      <w:r>
        <w:rPr>
          <w:rFonts w:hint="eastAsia" w:ascii="宋体" w:hAnsi="宋体"/>
          <w:b/>
          <w:bCs/>
          <w:sz w:val="32"/>
          <w:szCs w:val="32"/>
        </w:rPr>
        <w:br w:type="page" w:clear="all"/>
      </w:r>
      <w:r/>
    </w:p>
    <w:p>
      <w:pPr>
        <w:ind w:firstLine="420"/>
        <w:jc w:val="center"/>
        <w:spacing w:line="40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单一来源采购文件需求</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超高场磁共振成像系统</w:t>
      </w:r>
      <w:r>
        <w:rPr>
          <w:rFonts w:hint="eastAsia" w:ascii="宋体" w:hAnsi="宋体" w:cs="宋体"/>
          <w:color w:val="auto"/>
          <w:sz w:val="21"/>
          <w:szCs w:val="21"/>
          <w:highlight w:val="none"/>
        </w:rPr>
        <w:t xml:space="preserve">进行国内</w:t>
      </w:r>
      <w:r>
        <w:rPr>
          <w:rFonts w:hint="eastAsia" w:ascii="宋体" w:hAnsi="宋体" w:cs="宋体"/>
          <w:color w:val="auto"/>
          <w:sz w:val="21"/>
          <w:szCs w:val="21"/>
          <w:highlight w:val="none"/>
          <w:lang w:val="en-US" w:eastAsia="zh-CN"/>
        </w:rPr>
        <w:t xml:space="preserve">单一来源</w:t>
      </w:r>
      <w:r>
        <w:rPr>
          <w:rFonts w:hint="eastAsia" w:ascii="宋体" w:hAnsi="宋体" w:cs="宋体"/>
          <w:color w:val="auto"/>
          <w:sz w:val="21"/>
          <w:szCs w:val="21"/>
          <w:highlight w:val="none"/>
        </w:rPr>
        <w:t xml:space="preserve">采购。</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w:t>
      </w:r>
      <w:r>
        <w:rPr>
          <w:rFonts w:hint="eastAsia" w:ascii="宋体" w:hAnsi="宋体" w:cs="宋体"/>
          <w:color w:val="auto"/>
          <w:sz w:val="21"/>
          <w:szCs w:val="21"/>
          <w:highlight w:val="none"/>
          <w:lang w:val="en-US" w:eastAsia="zh-CN"/>
        </w:rPr>
        <w:t xml:space="preserve">D</w:t>
      </w:r>
      <w:r>
        <w:rPr>
          <w:rFonts w:hint="eastAsia" w:ascii="宋体" w:hAnsi="宋体" w:cs="宋体"/>
          <w:color w:val="auto"/>
          <w:sz w:val="21"/>
          <w:szCs w:val="21"/>
          <w:highlight w:val="none"/>
          <w:lang w:eastAsia="zh-CN"/>
        </w:rPr>
        <w:t xml:space="preserve">2026-0</w:t>
      </w:r>
      <w:r>
        <w:rPr>
          <w:rFonts w:hint="eastAsia" w:ascii="宋体" w:hAnsi="宋体" w:cs="宋体"/>
          <w:color w:val="auto"/>
          <w:sz w:val="21"/>
          <w:szCs w:val="21"/>
          <w:highlight w:val="none"/>
          <w:lang w:val="en-US" w:eastAsia="zh-CN"/>
        </w:rPr>
        <w:t xml:space="preserve">161</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超高场磁共振成像系统</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40"/>
        <w:tblW w:w="7729" w:type="dxa"/>
        <w:tblInd w:w="3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676"/>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684"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2" w:name="OLE_LINK2"/>
            <w:r/>
            <w:bookmarkStart w:id="3" w:name="OLE_LINK1"/>
            <w:r>
              <w:rPr>
                <w:rFonts w:hint="eastAsia" w:ascii="宋体" w:hAnsi="宋体" w:cs="宋体"/>
                <w:color w:val="auto"/>
                <w:sz w:val="21"/>
                <w:szCs w:val="21"/>
                <w:highlight w:val="none"/>
                <w:lang w:val="en-US" w:eastAsia="zh-CN"/>
              </w:rPr>
              <w:t xml:space="preserve">1</w:t>
            </w:r>
            <w:r/>
          </w:p>
        </w:tc>
        <w:tc>
          <w:tcPr>
            <w:tcW w:w="3684"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b w:val="0"/>
                <w:bCs w:val="0"/>
                <w:color w:val="auto"/>
                <w:sz w:val="21"/>
                <w:szCs w:val="21"/>
                <w:highlight w:val="none"/>
                <w:lang w:eastAsia="zh-CN"/>
              </w:rPr>
              <w:t xml:space="preserve">超高场磁共振成像系统</w:t>
            </w:r>
            <w:r/>
          </w:p>
        </w:tc>
        <w:tc>
          <w:tcPr>
            <w:tcW w:w="790"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不接受进口产品投标</w:t>
            </w:r>
            <w:r/>
          </w:p>
        </w:tc>
      </w:tr>
    </w:tbl>
    <w:p>
      <w:pPr>
        <w:ind w:firstLine="420"/>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u w:val="none"/>
          <w:lang w:val="en-US" w:eastAsia="zh-CN"/>
        </w:rPr>
        <w:t xml:space="preserve">四、</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产品功能等</w:t>
      </w:r>
      <w:r>
        <w:rPr>
          <w:rFonts w:hint="eastAsia" w:ascii="宋体" w:hAnsi="宋体" w:cs="宋体"/>
          <w:b/>
          <w:bCs/>
          <w:color w:val="auto"/>
          <w:sz w:val="21"/>
          <w:szCs w:val="21"/>
          <w:highlight w:val="none"/>
        </w:rPr>
        <w:t xml:space="preserve">要求</w:t>
      </w:r>
      <w:bookmarkEnd w:id="2"/>
      <w:r/>
      <w:bookmarkEnd w:id="3"/>
      <w:r/>
      <w:r/>
    </w:p>
    <w:tbl>
      <w:tblPr>
        <w:tblStyle w:val="840"/>
        <w:tblW w:w="7730" w:type="dxa"/>
        <w:tblInd w:w="373" w:type="dxa"/>
        <w:tblLayout w:type="autofit"/>
        <w:tblCellMar>
          <w:left w:w="108" w:type="dxa"/>
          <w:top w:w="0" w:type="dxa"/>
          <w:right w:w="108" w:type="dxa"/>
          <w:bottom w:w="0" w:type="dxa"/>
        </w:tblCellMar>
        <w:tblLook w:val="04A0" w:firstRow="1" w:lastRow="0" w:firstColumn="1" w:lastColumn="0" w:noHBand="0" w:noVBand="1"/>
      </w:tblPr>
      <w:tblGrid>
        <w:gridCol w:w="1565"/>
        <w:gridCol w:w="6165"/>
      </w:tblGrid>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lang w:bidi="ar"/>
              </w:rPr>
              <w:t xml:space="preserve">（一）</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jc w:val="center"/>
              <w:rPr>
                <w:rFonts w:ascii="宋体" w:hAnsi="宋体" w:cs="宋体"/>
                <w:sz w:val="21"/>
                <w:szCs w:val="21"/>
              </w:rPr>
            </w:pPr>
            <w:r>
              <w:rPr>
                <w:rFonts w:hint="eastAsia" w:ascii="宋体" w:hAnsi="宋体" w:cs="宋体"/>
                <w:sz w:val="21"/>
                <w:szCs w:val="21"/>
                <w:lang w:bidi="ar"/>
              </w:rPr>
              <w:t xml:space="preserve">总体要求</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ascii="宋体" w:hAnsi="宋体" w:cs="宋体"/>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hint="eastAsia" w:ascii="宋体" w:hAnsi="宋体" w:eastAsia="宋体" w:cs="宋体"/>
                <w:sz w:val="21"/>
                <w:szCs w:val="21"/>
                <w:lang w:val="en-US" w:eastAsia="zh-CN"/>
              </w:rPr>
            </w:pPr>
            <w:r>
              <w:rPr>
                <w:rFonts w:hint="eastAsia" w:ascii="宋体" w:hAnsi="宋体" w:cs="宋体"/>
                <w:sz w:val="21"/>
                <w:szCs w:val="21"/>
                <w:lang w:bidi="ar"/>
              </w:rPr>
              <w:t xml:space="preserve">投标机型提供经国家食品药品监督管理局（NMPA）认证的磁共振机型，</w:t>
            </w:r>
            <w:r>
              <w:rPr>
                <w:rFonts w:hint="eastAsia" w:ascii="宋体" w:hAnsi="宋体" w:cs="宋体"/>
                <w:b/>
                <w:bCs/>
                <w:sz w:val="21"/>
                <w:szCs w:val="21"/>
                <w:lang w:bidi="ar"/>
              </w:rPr>
              <w:t xml:space="preserve">提供产品NMPA注册证</w:t>
            </w:r>
            <w:r>
              <w:rPr>
                <w:rFonts w:hint="eastAsia" w:ascii="宋体" w:hAnsi="宋体" w:cs="宋体"/>
                <w:b/>
                <w:bCs/>
                <w:sz w:val="21"/>
                <w:szCs w:val="21"/>
                <w:lang w:val="en-US" w:eastAsia="zh-CN" w:bidi="ar"/>
              </w:rPr>
              <w:t xml:space="preserve">佐证</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lang w:bidi="ar"/>
              </w:rPr>
              <w:t xml:space="preserve">（二）</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磁体系统</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ascii="宋体" w:hAnsi="宋体" w:cs="宋体"/>
                <w:sz w:val="21"/>
                <w:szCs w:val="21"/>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highlight w:val="none"/>
              </w:rPr>
            </w:pPr>
            <w:r>
              <w:rPr>
                <w:rFonts w:hint="eastAsia" w:ascii="宋体" w:hAnsi="宋体" w:cs="宋体"/>
                <w:sz w:val="21"/>
                <w:szCs w:val="21"/>
                <w:highlight w:val="none"/>
                <w:lang w:bidi="ar"/>
              </w:rPr>
              <w:t xml:space="preserve">磁场强度≥5.0T（</w:t>
            </w:r>
            <w:r>
              <w:rPr>
                <w:rFonts w:hint="eastAsia" w:ascii="宋体" w:hAnsi="宋体" w:cs="宋体"/>
                <w:b/>
                <w:bCs/>
                <w:sz w:val="21"/>
                <w:szCs w:val="21"/>
                <w:highlight w:val="none"/>
                <w:lang w:bidi="ar"/>
              </w:rPr>
              <w:t xml:space="preserve">提供产品NMPA注册证佐证</w:t>
            </w:r>
            <w:r>
              <w:rPr>
                <w:rFonts w:hint="eastAsia" w:ascii="宋体" w:hAnsi="宋体" w:cs="宋体"/>
                <w:sz w:val="21"/>
                <w:szCs w:val="21"/>
                <w:highlight w:val="none"/>
                <w:lang w:bidi="ar"/>
              </w:rPr>
              <w:t xml:space="preserve">）</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ascii="宋体" w:hAnsi="宋体" w:cs="宋体"/>
                <w:sz w:val="21"/>
                <w:szCs w:val="21"/>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射频发射频率≥210MHz</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ascii="宋体" w:hAnsi="宋体" w:cs="宋体"/>
                <w:sz w:val="21"/>
                <w:szCs w:val="21"/>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磁体稳定性＜0.1ppm/h</w:t>
            </w:r>
            <w:r/>
          </w:p>
        </w:tc>
      </w:tr>
      <w:tr>
        <w:trPr>
          <w:trHeight w:val="1804"/>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color w:val="000000"/>
                <w:sz w:val="21"/>
                <w:szCs w:val="21"/>
              </w:rPr>
            </w:pPr>
            <w:r>
              <w:rPr>
                <w:rFonts w:ascii="宋体" w:hAnsi="宋体" w:cs="宋体"/>
                <w:color w:val="000000"/>
                <w:sz w:val="21"/>
                <w:szCs w:val="21"/>
                <w:lang w:bidi="ar"/>
              </w:rPr>
              <w:t xml:space="preserve">5</w:t>
            </w:r>
            <w:r/>
          </w:p>
        </w:tc>
        <w:tc>
          <w:tcPr>
            <w:shd w:val="clear" w:color="auto" w:fill="auto"/>
            <w:tcBorders>
              <w:top w:val="single" w:color="auto" w:sz="4" w:space="0"/>
              <w:left w:val="single" w:color="auto" w:sz="4" w:space="0"/>
              <w:right w:val="single" w:color="auto" w:sz="4" w:space="0"/>
            </w:tcBorders>
            <w:tcW w:w="6165" w:type="dxa"/>
            <w:vAlign w:val="center"/>
            <w:textDirection w:val="lrTb"/>
            <w:noWrap w:val="false"/>
          </w:tcPr>
          <w:p>
            <w:pPr>
              <w:rPr>
                <w:rFonts w:ascii="宋体" w:hAnsi="宋体" w:cs="宋体"/>
                <w:color w:val="000000"/>
                <w:sz w:val="21"/>
                <w:szCs w:val="21"/>
                <w:lang w:bidi="ar"/>
              </w:rPr>
            </w:pPr>
            <w:r>
              <w:rPr>
                <w:rFonts w:hint="eastAsia" w:ascii="宋体" w:hAnsi="宋体" w:cs="宋体"/>
                <w:color w:val="000000"/>
                <w:sz w:val="21"/>
                <w:szCs w:val="21"/>
                <w:lang w:bidi="ar"/>
              </w:rPr>
              <w:t xml:space="preserve">磁场均匀度，典型值(Typical)：采用V-RMS 测量法</w:t>
            </w:r>
            <w:r>
              <w:rPr>
                <w:rFonts w:hint="eastAsia" w:ascii="宋体" w:hAnsi="宋体" w:cs="宋体"/>
                <w:b/>
                <w:bCs/>
                <w:color w:val="000000"/>
                <w:sz w:val="21"/>
                <w:szCs w:val="21"/>
                <w:lang w:bidi="ar"/>
              </w:rPr>
              <w:t xml:space="preserve">（提供产品NMPA注册证佐证）</w:t>
            </w:r>
            <w:r/>
          </w:p>
          <w:p>
            <w:pPr>
              <w:rPr>
                <w:rFonts w:ascii="宋体" w:hAnsi="宋体" w:cs="宋体"/>
                <w:color w:val="000000"/>
                <w:sz w:val="21"/>
                <w:szCs w:val="21"/>
              </w:rPr>
            </w:pPr>
            <w:r>
              <w:rPr>
                <w:rFonts w:hint="eastAsia" w:ascii="宋体" w:hAnsi="宋体" w:cs="宋体"/>
                <w:color w:val="000000"/>
                <w:sz w:val="21"/>
                <w:szCs w:val="21"/>
                <w:lang w:bidi="ar"/>
              </w:rPr>
              <w:t xml:space="preserve">10 cm DSV≤0.00</w:t>
            </w:r>
            <w:r>
              <w:rPr>
                <w:rFonts w:ascii="宋体" w:hAnsi="宋体" w:cs="宋体"/>
                <w:color w:val="000000"/>
                <w:sz w:val="21"/>
                <w:szCs w:val="21"/>
                <w:lang w:bidi="ar"/>
              </w:rPr>
              <w:t xml:space="preserve">5</w:t>
            </w:r>
            <w:r>
              <w:rPr>
                <w:rFonts w:hint="eastAsia" w:ascii="宋体" w:hAnsi="宋体" w:cs="宋体"/>
                <w:color w:val="000000"/>
                <w:sz w:val="21"/>
                <w:szCs w:val="21"/>
                <w:lang w:bidi="ar"/>
              </w:rPr>
              <w:t xml:space="preserve">ppm</w:t>
            </w:r>
            <w:r/>
          </w:p>
          <w:p>
            <w:pPr>
              <w:rPr>
                <w:rFonts w:ascii="宋体" w:hAnsi="宋体" w:cs="宋体"/>
                <w:color w:val="000000"/>
                <w:sz w:val="21"/>
                <w:szCs w:val="21"/>
              </w:rPr>
            </w:pPr>
            <w:r>
              <w:rPr>
                <w:rFonts w:hint="eastAsia" w:ascii="宋体" w:hAnsi="宋体" w:cs="宋体"/>
                <w:color w:val="000000"/>
                <w:sz w:val="21"/>
                <w:szCs w:val="21"/>
                <w:lang w:bidi="ar"/>
              </w:rPr>
              <w:t xml:space="preserve">20 cm DSV≤0.0</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ppm</w:t>
            </w:r>
            <w:r/>
          </w:p>
          <w:p>
            <w:pPr>
              <w:rPr>
                <w:rFonts w:ascii="宋体" w:hAnsi="宋体" w:cs="宋体"/>
                <w:color w:val="000000"/>
                <w:sz w:val="21"/>
                <w:szCs w:val="21"/>
              </w:rPr>
            </w:pPr>
            <w:r>
              <w:rPr>
                <w:rFonts w:hint="eastAsia" w:ascii="宋体" w:hAnsi="宋体" w:cs="宋体"/>
                <w:color w:val="000000"/>
                <w:sz w:val="21"/>
                <w:szCs w:val="21"/>
                <w:lang w:bidi="ar"/>
              </w:rPr>
              <w:t xml:space="preserve">30 cm DSV≤0.</w:t>
            </w:r>
            <w:r>
              <w:rPr>
                <w:rFonts w:ascii="宋体" w:hAnsi="宋体" w:cs="宋体"/>
                <w:color w:val="000000"/>
                <w:sz w:val="21"/>
                <w:szCs w:val="21"/>
                <w:lang w:bidi="ar"/>
              </w:rPr>
              <w:t xml:space="preserve">1</w:t>
            </w:r>
            <w:r>
              <w:rPr>
                <w:rFonts w:hint="eastAsia" w:ascii="宋体" w:hAnsi="宋体" w:cs="宋体"/>
                <w:color w:val="000000"/>
                <w:sz w:val="21"/>
                <w:szCs w:val="21"/>
                <w:lang w:bidi="ar"/>
              </w:rPr>
              <w:t xml:space="preserve">ppm</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40 cm DSV≤0.</w:t>
            </w:r>
            <w:r>
              <w:rPr>
                <w:rFonts w:ascii="宋体" w:hAnsi="宋体" w:cs="宋体"/>
                <w:color w:val="000000"/>
                <w:sz w:val="21"/>
                <w:szCs w:val="21"/>
                <w:lang w:bidi="ar"/>
              </w:rPr>
              <w:t xml:space="preserve">3</w:t>
            </w:r>
            <w:r>
              <w:rPr>
                <w:rFonts w:hint="eastAsia" w:ascii="宋体" w:hAnsi="宋体" w:cs="宋体"/>
                <w:color w:val="000000"/>
                <w:sz w:val="21"/>
                <w:szCs w:val="21"/>
                <w:lang w:bidi="ar"/>
              </w:rPr>
              <w:t xml:space="preserve">ppm</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患者检查孔径≥60cm</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磁体重量（含液氦）≤15</w:t>
            </w:r>
            <w:r>
              <w:rPr>
                <w:rFonts w:ascii="宋体" w:hAnsi="宋体" w:cs="宋体"/>
                <w:color w:val="000000"/>
                <w:sz w:val="21"/>
                <w:szCs w:val="21"/>
                <w:lang w:bidi="ar"/>
              </w:rPr>
              <w:t xml:space="preserve">0</w:t>
            </w:r>
            <w:r>
              <w:rPr>
                <w:rFonts w:hint="eastAsia" w:ascii="宋体" w:hAnsi="宋体" w:cs="宋体"/>
                <w:color w:val="000000"/>
                <w:sz w:val="21"/>
                <w:szCs w:val="21"/>
                <w:lang w:bidi="ar"/>
              </w:rPr>
              <w:t xml:space="preserve">00kg</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磁体长度（不含外壳）≤2</w:t>
            </w:r>
            <w:r>
              <w:rPr>
                <w:rFonts w:ascii="宋体" w:hAnsi="宋体" w:cs="宋体"/>
                <w:color w:val="000000"/>
                <w:sz w:val="21"/>
                <w:szCs w:val="21"/>
                <w:lang w:bidi="ar"/>
              </w:rPr>
              <w:t xml:space="preserve">10</w:t>
            </w:r>
            <w:r>
              <w:rPr>
                <w:rFonts w:hint="eastAsia" w:ascii="宋体" w:hAnsi="宋体" w:cs="宋体"/>
                <w:color w:val="000000"/>
                <w:sz w:val="21"/>
                <w:szCs w:val="21"/>
                <w:lang w:bidi="ar"/>
              </w:rPr>
              <w:t xml:space="preserve">cm</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液氦容积≥1000L</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液氦消耗率（正常使用情况）≤0L/年</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lang w:bidi="ar"/>
              </w:rPr>
              <w:t xml:space="preserve">1</w:t>
            </w:r>
            <w:r>
              <w:rPr>
                <w:rFonts w:ascii="宋体" w:hAnsi="宋体" w:cs="宋体"/>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冷头类型：4k冷头</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lang w:bidi="ar"/>
              </w:rPr>
              <w:t xml:space="preserve">（三）</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梯度系统</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lang w:bidi="ar"/>
              </w:rPr>
              <w:t xml:space="preserve">1</w:t>
            </w:r>
            <w:r>
              <w:rPr>
                <w:rFonts w:ascii="宋体" w:hAnsi="宋体" w:cs="宋体"/>
                <w:sz w:val="21"/>
                <w:szCs w:val="21"/>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最大单轴梯度场强（非有效值）≥1</w:t>
            </w:r>
            <w:r>
              <w:rPr>
                <w:rFonts w:ascii="宋体" w:hAnsi="宋体" w:cs="宋体"/>
                <w:sz w:val="21"/>
                <w:szCs w:val="21"/>
                <w:lang w:bidi="ar"/>
              </w:rPr>
              <w:t xml:space="preserve">2</w:t>
            </w:r>
            <w:r>
              <w:rPr>
                <w:rFonts w:hint="eastAsia" w:ascii="宋体" w:hAnsi="宋体" w:cs="宋体"/>
                <w:sz w:val="21"/>
                <w:szCs w:val="21"/>
                <w:lang w:bidi="ar"/>
              </w:rPr>
              <w:t xml:space="preserve">0mT/m</w:t>
            </w:r>
            <w:r>
              <w:rPr>
                <w:rFonts w:hint="eastAsia" w:ascii="宋体" w:hAnsi="宋体" w:cs="宋体"/>
                <w:b/>
                <w:bCs/>
                <w:sz w:val="21"/>
                <w:szCs w:val="21"/>
                <w:lang w:bidi="ar"/>
              </w:rPr>
              <w:t xml:space="preserve">（提供产品技术白皮书佐证）</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lang w:bidi="ar"/>
              </w:rPr>
              <w:t xml:space="preserve">1</w:t>
            </w:r>
            <w:r>
              <w:rPr>
                <w:rFonts w:ascii="宋体" w:hAnsi="宋体" w:cs="宋体"/>
                <w:sz w:val="21"/>
                <w:szCs w:val="21"/>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最大单轴梯度切换率（非有效值）≥200T/m/s</w:t>
            </w:r>
            <w:r>
              <w:rPr>
                <w:rFonts w:hint="eastAsia" w:ascii="宋体" w:hAnsi="宋体" w:cs="宋体"/>
                <w:b/>
                <w:bCs/>
                <w:sz w:val="21"/>
                <w:szCs w:val="21"/>
                <w:lang w:bidi="ar"/>
              </w:rPr>
              <w:t xml:space="preserve">（提供产品技术白皮书佐证）</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最大单轴梯度场强度与最大单轴梯度切换率需能同时达到</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最大占空比:100%</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ascii="宋体" w:hAnsi="宋体" w:cs="宋体"/>
                <w:sz w:val="21"/>
                <w:szCs w:val="21"/>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屏蔽方式：主动屏蔽</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ascii="宋体" w:hAnsi="宋体" w:cs="宋体"/>
                <w:sz w:val="21"/>
                <w:szCs w:val="21"/>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梯度降噪技术：具备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（四）</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射频系统</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多发射源射频场调控技术：具备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1</w:t>
            </w:r>
            <w:r>
              <w:rPr>
                <w:rFonts w:ascii="宋体" w:hAnsi="宋体" w:cs="宋体"/>
                <w:color w:val="000000"/>
                <w:sz w:val="21"/>
                <w:szCs w:val="21"/>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独立射频放大器个数≥2个</w:t>
            </w:r>
            <w:r>
              <w:rPr>
                <w:rFonts w:hint="eastAsia" w:ascii="宋体" w:hAnsi="宋体" w:cs="宋体"/>
                <w:b/>
                <w:bCs/>
                <w:color w:val="000000"/>
                <w:sz w:val="21"/>
                <w:szCs w:val="21"/>
                <w:lang w:bidi="ar"/>
              </w:rPr>
              <w:t xml:space="preserve">（提供产品技术白皮书佐证）</w:t>
            </w:r>
            <w:r/>
          </w:p>
        </w:tc>
      </w:tr>
      <w:tr>
        <w:trPr>
          <w:trHeight w:val="416"/>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0</w:t>
            </w:r>
            <w:r/>
          </w:p>
        </w:tc>
        <w:tc>
          <w:tcPr>
            <w:shd w:val="clear" w:color="auto" w:fill="auto"/>
            <w:tcBorders>
              <w:top w:val="single" w:color="auto" w:sz="4" w:space="0"/>
              <w:left w:val="single" w:color="auto" w:sz="4" w:space="0"/>
              <w:right w:val="single" w:color="auto" w:sz="4" w:space="0"/>
            </w:tcBorders>
            <w:tcW w:w="6165" w:type="dxa"/>
            <w:vAlign w:val="center"/>
            <w:textDirection w:val="lrTb"/>
            <w:noWrap w:val="false"/>
          </w:tcPr>
          <w:p>
            <w:pPr>
              <w:rPr>
                <w:rFonts w:ascii="宋体" w:hAnsi="宋体" w:cs="宋体"/>
                <w:color w:val="000000"/>
                <w:sz w:val="21"/>
                <w:szCs w:val="21"/>
                <w:lang w:bidi="ar"/>
              </w:rPr>
            </w:pPr>
            <w:r>
              <w:rPr>
                <w:rFonts w:hint="eastAsia" w:ascii="宋体" w:hAnsi="宋体" w:cs="宋体"/>
                <w:color w:val="000000"/>
                <w:sz w:val="21"/>
                <w:szCs w:val="21"/>
                <w:lang w:bidi="ar"/>
              </w:rPr>
              <w:t xml:space="preserve">射频发射总功率≥3</w:t>
            </w:r>
            <w:r>
              <w:rPr>
                <w:rFonts w:ascii="宋体" w:hAnsi="宋体" w:cs="宋体"/>
                <w:color w:val="000000"/>
                <w:sz w:val="21"/>
                <w:szCs w:val="21"/>
                <w:lang w:bidi="ar"/>
              </w:rPr>
              <w:t xml:space="preserve">6</w:t>
            </w:r>
            <w:r>
              <w:rPr>
                <w:rFonts w:hint="eastAsia" w:ascii="宋体" w:hAnsi="宋体" w:cs="宋体"/>
                <w:color w:val="000000"/>
                <w:sz w:val="21"/>
                <w:szCs w:val="21"/>
                <w:lang w:bidi="ar"/>
              </w:rPr>
              <w:t xml:space="preserve">kW</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每个射频源可独立调节射频脉冲的相位、波形、幅度</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2</w:t>
            </w:r>
            <w:r>
              <w:rPr>
                <w:rFonts w:ascii="宋体" w:hAnsi="宋体" w:cs="宋体"/>
                <w:color w:val="000000"/>
                <w:sz w:val="21"/>
                <w:szCs w:val="21"/>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单FOV单次扫描最大独立并行射频接收通道数≥64通道</w:t>
            </w:r>
            <w:r>
              <w:rPr>
                <w:rFonts w:hint="eastAsia" w:ascii="宋体" w:hAnsi="宋体" w:cs="宋体"/>
                <w:b/>
                <w:bCs/>
                <w:color w:val="000000"/>
                <w:sz w:val="21"/>
                <w:szCs w:val="21"/>
                <w:lang w:bidi="ar"/>
              </w:rPr>
              <w:t xml:space="preserve">（提供产品技术白皮书佐证）</w:t>
            </w:r>
            <w:r/>
          </w:p>
        </w:tc>
      </w:tr>
      <w:tr>
        <w:trPr>
          <w:trHeight w:val="332"/>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3</w:t>
            </w:r>
            <w:r/>
          </w:p>
        </w:tc>
        <w:tc>
          <w:tcPr>
            <w:shd w:val="clear" w:color="auto" w:fill="auto"/>
            <w:tcBorders>
              <w:top w:val="single" w:color="auto" w:sz="4" w:space="0"/>
              <w:left w:val="single" w:color="auto" w:sz="4" w:space="0"/>
              <w:right w:val="single" w:color="auto" w:sz="4" w:space="0"/>
            </w:tcBorders>
            <w:tcW w:w="6165" w:type="dxa"/>
            <w:vAlign w:val="center"/>
            <w:textDirection w:val="lrTb"/>
            <w:noWrap w:val="false"/>
          </w:tcPr>
          <w:p>
            <w:pPr>
              <w:rPr>
                <w:rFonts w:ascii="宋体" w:hAnsi="宋体" w:cs="宋体"/>
                <w:color w:val="000000"/>
                <w:sz w:val="21"/>
                <w:szCs w:val="21"/>
                <w:lang w:bidi="ar"/>
              </w:rPr>
            </w:pPr>
            <w:r>
              <w:rPr>
                <w:rFonts w:hint="eastAsia" w:ascii="宋体" w:hAnsi="宋体" w:cs="宋体"/>
                <w:color w:val="000000"/>
                <w:sz w:val="21"/>
                <w:szCs w:val="21"/>
                <w:lang w:bidi="ar"/>
              </w:rPr>
              <w:t xml:space="preserve">不移床单FOV单次扫描最大独立接收通道数≥96通道</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lang w:bidi="ar"/>
              </w:rPr>
            </w:pPr>
            <w:r>
              <w:rPr>
                <w:rFonts w:hint="eastAsia" w:ascii="宋体" w:hAnsi="宋体" w:cs="宋体"/>
                <w:color w:val="000000"/>
                <w:sz w:val="21"/>
                <w:szCs w:val="21"/>
                <w:lang w:bidi="ar"/>
              </w:rPr>
              <w:t xml:space="preserve">为消除高场强下常见的体部射频场不均匀及图像伪影问题，</w:t>
            </w:r>
            <w:r/>
          </w:p>
          <w:p>
            <w:pPr>
              <w:rPr>
                <w:rFonts w:ascii="宋体" w:hAnsi="宋体" w:cs="宋体"/>
                <w:color w:val="000000"/>
                <w:sz w:val="21"/>
                <w:szCs w:val="21"/>
              </w:rPr>
            </w:pPr>
            <w:r>
              <w:rPr>
                <w:rFonts w:hint="eastAsia" w:ascii="宋体" w:hAnsi="宋体" w:cs="宋体"/>
                <w:color w:val="000000"/>
                <w:sz w:val="21"/>
                <w:szCs w:val="21"/>
                <w:lang w:bidi="ar"/>
              </w:rPr>
              <w:t xml:space="preserve">磁体内多通道容积发射体线圈：具备，≥8通道</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头部专用线圈：具备，≥3</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单元</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头颈联合线圈：具备，≥2</w:t>
            </w:r>
            <w:r>
              <w:rPr>
                <w:rFonts w:ascii="宋体" w:hAnsi="宋体" w:cs="宋体"/>
                <w:color w:val="000000"/>
                <w:sz w:val="21"/>
                <w:szCs w:val="21"/>
                <w:lang w:bidi="ar"/>
              </w:rPr>
              <w:t xml:space="preserve">4</w:t>
            </w:r>
            <w:r>
              <w:rPr>
                <w:rFonts w:hint="eastAsia" w:ascii="宋体" w:hAnsi="宋体" w:cs="宋体"/>
                <w:color w:val="000000"/>
                <w:sz w:val="21"/>
                <w:szCs w:val="21"/>
                <w:lang w:bidi="ar"/>
              </w:rPr>
              <w:t xml:space="preserve">单元</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脊柱相控阵线圈：具备，≥44单元</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膝关节专用线圈：具备，≥24单元</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体部相控阵线圈：具备，≥24单元</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单片体部相控阵线圈Z轴覆盖范围≥50cm</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lang w:bidi="ar"/>
              </w:rPr>
              <w:t xml:space="preserve">（五）</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计算机系统</w:t>
            </w:r>
            <w:r/>
          </w:p>
        </w:tc>
      </w:tr>
      <w:tr>
        <w:trPr>
          <w:trHeight w:val="1844"/>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1</w:t>
            </w:r>
            <w:r/>
          </w:p>
        </w:tc>
        <w:tc>
          <w:tcPr>
            <w:shd w:val="clear" w:color="auto" w:fill="auto"/>
            <w:tcBorders>
              <w:top w:val="single" w:color="auto" w:sz="4" w:space="0"/>
              <w:left w:val="single" w:color="auto" w:sz="4" w:space="0"/>
              <w:right w:val="single" w:color="auto" w:sz="4" w:space="0"/>
            </w:tcBorders>
            <w:tcW w:w="6165" w:type="dxa"/>
            <w:vAlign w:val="center"/>
            <w:textDirection w:val="lrTb"/>
            <w:noWrap w:val="false"/>
          </w:tcPr>
          <w:p>
            <w:pPr>
              <w:rPr>
                <w:rFonts w:ascii="宋体" w:hAnsi="宋体" w:cs="宋体"/>
                <w:sz w:val="21"/>
                <w:szCs w:val="21"/>
                <w:lang w:bidi="ar"/>
              </w:rPr>
            </w:pPr>
            <w:r>
              <w:rPr>
                <w:rFonts w:hint="eastAsia" w:ascii="宋体" w:hAnsi="宋体" w:cs="宋体"/>
                <w:sz w:val="21"/>
                <w:szCs w:val="21"/>
                <w:lang w:bidi="ar"/>
              </w:rPr>
              <w:t xml:space="preserve">工作站，数量1台</w:t>
            </w:r>
            <w:r/>
          </w:p>
          <w:p>
            <w:pPr>
              <w:rPr>
                <w:rFonts w:ascii="宋体" w:hAnsi="宋体" w:cs="宋体"/>
                <w:sz w:val="21"/>
                <w:szCs w:val="21"/>
              </w:rPr>
            </w:pPr>
            <w:r>
              <w:rPr>
                <w:rFonts w:hint="eastAsia" w:ascii="宋体" w:hAnsi="宋体" w:cs="宋体"/>
                <w:sz w:val="21"/>
                <w:szCs w:val="21"/>
                <w:lang w:bidi="ar"/>
              </w:rPr>
              <w:t xml:space="preserve">中央处理器≥四核，主频≥3.5GHz</w:t>
            </w:r>
            <w:r/>
          </w:p>
          <w:p>
            <w:pPr>
              <w:rPr>
                <w:rFonts w:ascii="宋体" w:hAnsi="宋体" w:cs="宋体"/>
                <w:sz w:val="21"/>
                <w:szCs w:val="21"/>
              </w:rPr>
            </w:pPr>
            <w:r>
              <w:rPr>
                <w:rFonts w:hint="eastAsia" w:ascii="宋体" w:hAnsi="宋体" w:cs="宋体"/>
                <w:sz w:val="21"/>
                <w:szCs w:val="21"/>
                <w:lang w:bidi="ar"/>
              </w:rPr>
              <w:t xml:space="preserve">内存容量≥64GB</w:t>
            </w:r>
            <w:r/>
          </w:p>
          <w:p>
            <w:pPr>
              <w:rPr>
                <w:rFonts w:ascii="宋体" w:hAnsi="宋体" w:cs="宋体"/>
                <w:sz w:val="21"/>
                <w:szCs w:val="21"/>
              </w:rPr>
            </w:pPr>
            <w:r>
              <w:rPr>
                <w:rFonts w:hint="eastAsia" w:ascii="宋体" w:hAnsi="宋体" w:cs="宋体"/>
                <w:sz w:val="21"/>
                <w:szCs w:val="21"/>
                <w:lang w:bidi="ar"/>
              </w:rPr>
              <w:t xml:space="preserve">硬盘容量≥1TB</w:t>
            </w:r>
            <w:r/>
          </w:p>
          <w:p>
            <w:pPr>
              <w:rPr>
                <w:rFonts w:ascii="宋体" w:hAnsi="宋体" w:cs="宋体"/>
                <w:sz w:val="21"/>
                <w:szCs w:val="21"/>
              </w:rPr>
            </w:pPr>
            <w:r>
              <w:rPr>
                <w:rFonts w:hint="eastAsia" w:ascii="宋体" w:hAnsi="宋体" w:cs="宋体"/>
                <w:sz w:val="21"/>
                <w:szCs w:val="21"/>
                <w:lang w:bidi="ar"/>
              </w:rPr>
              <w:t xml:space="preserve">图像存储容量（256*256）≥1,</w:t>
            </w:r>
            <w:r>
              <w:rPr>
                <w:rFonts w:ascii="宋体" w:hAnsi="宋体" w:cs="宋体"/>
                <w:sz w:val="21"/>
                <w:szCs w:val="21"/>
                <w:lang w:bidi="ar"/>
              </w:rPr>
              <w:t xml:space="preserve">0</w:t>
            </w:r>
            <w:r>
              <w:rPr>
                <w:rFonts w:hint="eastAsia" w:ascii="宋体" w:hAnsi="宋体" w:cs="宋体"/>
                <w:sz w:val="21"/>
                <w:szCs w:val="21"/>
                <w:lang w:bidi="ar"/>
              </w:rPr>
              <w:t xml:space="preserve">00,000幅</w:t>
            </w:r>
            <w:r/>
          </w:p>
          <w:p>
            <w:pPr>
              <w:rPr>
                <w:rFonts w:ascii="宋体" w:hAnsi="宋体" w:cs="宋体"/>
                <w:sz w:val="21"/>
                <w:szCs w:val="21"/>
              </w:rPr>
            </w:pPr>
            <w:r>
              <w:rPr>
                <w:rFonts w:hint="eastAsia" w:ascii="宋体" w:hAnsi="宋体" w:cs="宋体"/>
                <w:sz w:val="21"/>
                <w:szCs w:val="21"/>
                <w:lang w:bidi="ar"/>
              </w:rPr>
              <w:t xml:space="preserve">显示器尺寸≥24英寸</w:t>
            </w:r>
            <w:r/>
          </w:p>
          <w:p>
            <w:pPr>
              <w:rPr>
                <w:rFonts w:ascii="宋体" w:hAnsi="宋体" w:cs="宋体"/>
                <w:sz w:val="21"/>
                <w:szCs w:val="21"/>
              </w:rPr>
            </w:pPr>
            <w:r>
              <w:rPr>
                <w:rFonts w:hint="eastAsia" w:ascii="宋体" w:hAnsi="宋体" w:cs="宋体"/>
                <w:sz w:val="21"/>
                <w:szCs w:val="21"/>
                <w:lang w:bidi="ar"/>
              </w:rPr>
              <w:t xml:space="preserve">显示器分辨率≥1920×1200</w:t>
            </w:r>
            <w:r/>
          </w:p>
        </w:tc>
      </w:tr>
      <w:tr>
        <w:trPr>
          <w:trHeight w:val="1841"/>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2</w:t>
            </w:r>
            <w:r/>
          </w:p>
        </w:tc>
        <w:tc>
          <w:tcPr>
            <w:shd w:val="clear" w:color="auto" w:fill="auto"/>
            <w:tcBorders>
              <w:top w:val="single" w:color="auto" w:sz="4" w:space="0"/>
              <w:left w:val="single" w:color="auto" w:sz="4" w:space="0"/>
              <w:right w:val="single" w:color="auto" w:sz="4" w:space="0"/>
            </w:tcBorders>
            <w:tcW w:w="6165" w:type="dxa"/>
            <w:vAlign w:val="center"/>
            <w:textDirection w:val="lrTb"/>
            <w:noWrap w:val="false"/>
          </w:tcPr>
          <w:p>
            <w:pPr>
              <w:rPr>
                <w:rFonts w:ascii="宋体" w:hAnsi="宋体" w:cs="宋体"/>
                <w:sz w:val="21"/>
                <w:szCs w:val="21"/>
                <w:lang w:bidi="ar"/>
              </w:rPr>
            </w:pPr>
            <w:r>
              <w:rPr>
                <w:rFonts w:hint="eastAsia" w:ascii="宋体" w:hAnsi="宋体" w:cs="宋体"/>
                <w:sz w:val="21"/>
                <w:szCs w:val="21"/>
                <w:lang w:bidi="ar"/>
              </w:rPr>
              <w:t xml:space="preserve">重建计算机，数量1台</w:t>
            </w:r>
            <w:r/>
          </w:p>
          <w:p>
            <w:pPr>
              <w:rPr>
                <w:rFonts w:ascii="宋体" w:hAnsi="宋体" w:cs="宋体"/>
                <w:sz w:val="21"/>
                <w:szCs w:val="21"/>
              </w:rPr>
            </w:pPr>
            <w:r>
              <w:rPr>
                <w:rFonts w:hint="eastAsia" w:ascii="宋体" w:hAnsi="宋体" w:cs="宋体"/>
                <w:sz w:val="21"/>
                <w:szCs w:val="21"/>
                <w:lang w:bidi="ar"/>
              </w:rPr>
              <w:t xml:space="preserve">中央处理器：总核心数≥2</w:t>
            </w:r>
            <w:r>
              <w:rPr>
                <w:rFonts w:ascii="宋体" w:hAnsi="宋体" w:cs="宋体"/>
                <w:sz w:val="21"/>
                <w:szCs w:val="21"/>
                <w:lang w:bidi="ar"/>
              </w:rPr>
              <w:t xml:space="preserve">0</w:t>
            </w:r>
            <w:r>
              <w:rPr>
                <w:rFonts w:hint="eastAsia" w:ascii="宋体" w:hAnsi="宋体" w:cs="宋体"/>
                <w:sz w:val="21"/>
                <w:szCs w:val="21"/>
                <w:lang w:bidi="ar"/>
              </w:rPr>
              <w:t xml:space="preserve">核，主频≥2.0GHz</w:t>
            </w:r>
            <w:r/>
          </w:p>
          <w:p>
            <w:pPr>
              <w:rPr>
                <w:rFonts w:ascii="宋体" w:hAnsi="宋体" w:cs="宋体"/>
                <w:sz w:val="21"/>
                <w:szCs w:val="21"/>
              </w:rPr>
            </w:pPr>
            <w:r>
              <w:rPr>
                <w:rFonts w:hint="eastAsia" w:ascii="宋体" w:hAnsi="宋体" w:cs="宋体"/>
                <w:sz w:val="21"/>
                <w:szCs w:val="21"/>
                <w:lang w:bidi="ar"/>
              </w:rPr>
              <w:t xml:space="preserve">内存容量≥6</w:t>
            </w:r>
            <w:r>
              <w:rPr>
                <w:rFonts w:ascii="宋体" w:hAnsi="宋体" w:cs="宋体"/>
                <w:sz w:val="21"/>
                <w:szCs w:val="21"/>
                <w:lang w:bidi="ar"/>
              </w:rPr>
              <w:t xml:space="preserve">4</w:t>
            </w:r>
            <w:r>
              <w:rPr>
                <w:rFonts w:hint="eastAsia" w:ascii="宋体" w:hAnsi="宋体" w:cs="宋体"/>
                <w:sz w:val="21"/>
                <w:szCs w:val="21"/>
                <w:lang w:bidi="ar"/>
              </w:rPr>
              <w:t xml:space="preserve">GB</w:t>
            </w:r>
            <w:r/>
          </w:p>
          <w:p>
            <w:pPr>
              <w:rPr>
                <w:rFonts w:ascii="宋体" w:hAnsi="宋体" w:cs="宋体"/>
                <w:sz w:val="21"/>
                <w:szCs w:val="21"/>
              </w:rPr>
            </w:pPr>
            <w:r>
              <w:rPr>
                <w:rFonts w:hint="eastAsia" w:ascii="宋体" w:hAnsi="宋体" w:cs="宋体"/>
                <w:sz w:val="21"/>
                <w:szCs w:val="21"/>
                <w:lang w:bidi="ar"/>
              </w:rPr>
              <w:t xml:space="preserve">硬盘容量≥1TB</w:t>
            </w:r>
            <w:r/>
          </w:p>
          <w:p>
            <w:pPr>
              <w:rPr>
                <w:rFonts w:ascii="宋体" w:hAnsi="宋体" w:cs="宋体"/>
                <w:sz w:val="21"/>
                <w:szCs w:val="21"/>
              </w:rPr>
            </w:pPr>
            <w:r>
              <w:rPr>
                <w:rFonts w:hint="eastAsia" w:ascii="宋体" w:hAnsi="宋体" w:cs="宋体"/>
                <w:sz w:val="21"/>
                <w:szCs w:val="21"/>
                <w:lang w:bidi="ar"/>
              </w:rPr>
              <w:t xml:space="preserve">图像重建速度≥50,000幅/秒（256×256）</w:t>
            </w:r>
            <w:r/>
          </w:p>
          <w:p>
            <w:pPr>
              <w:rPr>
                <w:rFonts w:ascii="宋体" w:hAnsi="宋体" w:cs="宋体"/>
                <w:sz w:val="21"/>
                <w:szCs w:val="21"/>
              </w:rPr>
            </w:pPr>
            <w:r>
              <w:rPr>
                <w:rFonts w:hint="eastAsia" w:ascii="宋体" w:hAnsi="宋体" w:cs="宋体"/>
                <w:sz w:val="21"/>
                <w:szCs w:val="21"/>
                <w:lang w:bidi="ar"/>
              </w:rPr>
              <w:t xml:space="preserve">最大重建矩阵≥2048x2048</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六</w:t>
            </w:r>
            <w:r>
              <w:rPr>
                <w:rFonts w:hint="eastAsia" w:ascii="宋体" w:hAnsi="宋体" w:cs="宋体"/>
                <w:sz w:val="21"/>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扫描参数</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cs="宋体"/>
                <w:sz w:val="21"/>
                <w:szCs w:val="21"/>
              </w:rPr>
              <w:t xml:space="preserve">3</w:t>
            </w:r>
            <w:r>
              <w:rPr>
                <w:rFonts w:hint="eastAsia" w:ascii="宋体" w:hAnsi="宋体" w:cs="宋体"/>
                <w:sz w:val="21"/>
                <w:szCs w:val="21"/>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hint="eastAsia" w:ascii="宋体" w:hAnsi="宋体" w:cs="宋体"/>
                <w:sz w:val="21"/>
                <w:szCs w:val="21"/>
                <w:lang w:bidi="ar"/>
              </w:rPr>
            </w:pPr>
            <w:r>
              <w:rPr>
                <w:rFonts w:hint="eastAsia" w:ascii="宋体" w:hAnsi="宋体" w:cs="宋体"/>
                <w:sz w:val="21"/>
                <w:szCs w:val="21"/>
                <w:lang w:bidi="ar"/>
              </w:rPr>
              <w:t xml:space="preserve">最小扫描F</w:t>
            </w:r>
            <w:r>
              <w:rPr>
                <w:rFonts w:ascii="宋体" w:hAnsi="宋体" w:cs="宋体"/>
                <w:sz w:val="21"/>
                <w:szCs w:val="21"/>
                <w:lang w:bidi="ar"/>
              </w:rPr>
              <w:t xml:space="preserve">OV</w:t>
            </w:r>
            <w:r>
              <w:rPr>
                <w:rFonts w:hint="eastAsia" w:ascii="宋体" w:hAnsi="宋体" w:cs="宋体"/>
                <w:sz w:val="21"/>
                <w:szCs w:val="21"/>
                <w:lang w:bidi="ar"/>
              </w:rPr>
              <w:t xml:space="preserve">≤5</w:t>
            </w:r>
            <w:r>
              <w:rPr>
                <w:rFonts w:ascii="宋体" w:hAnsi="宋体" w:cs="宋体"/>
                <w:sz w:val="21"/>
                <w:szCs w:val="21"/>
                <w:lang w:bidi="ar"/>
              </w:rPr>
              <w:t xml:space="preserve">mm</w:t>
            </w:r>
            <w:r/>
          </w:p>
        </w:tc>
      </w:tr>
      <w:tr>
        <w:trPr>
          <w:trHeight w:val="544"/>
        </w:trPr>
        <w:tc>
          <w:tcPr>
            <w:shd w:val="clear" w:color="auto" w:fill="auto"/>
            <w:tcBorders>
              <w:top w:val="single" w:color="auto" w:sz="4" w:space="0"/>
              <w:left w:val="single" w:color="auto" w:sz="4" w:space="0"/>
              <w:right w:val="single" w:color="auto" w:sz="4" w:space="0"/>
            </w:tcBorders>
            <w:tcW w:w="1565"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cs="宋体"/>
                <w:sz w:val="21"/>
                <w:szCs w:val="21"/>
              </w:rPr>
              <w:t xml:space="preserve">3</w:t>
            </w:r>
            <w:r>
              <w:rPr>
                <w:rFonts w:hint="eastAsia" w:ascii="宋体" w:hAnsi="宋体" w:cs="宋体"/>
                <w:sz w:val="21"/>
                <w:szCs w:val="21"/>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hint="eastAsia" w:ascii="宋体" w:hAnsi="宋体" w:cs="宋体"/>
                <w:sz w:val="21"/>
                <w:szCs w:val="21"/>
                <w:lang w:bidi="ar"/>
              </w:rPr>
            </w:pPr>
            <w:r>
              <w:rPr>
                <w:rFonts w:hint="eastAsia" w:ascii="宋体" w:hAnsi="宋体" w:cs="宋体"/>
                <w:sz w:val="21"/>
                <w:szCs w:val="21"/>
                <w:lang w:bidi="ar"/>
              </w:rPr>
              <w:t xml:space="preserve">2</w:t>
            </w:r>
            <w:r>
              <w:rPr>
                <w:rFonts w:ascii="宋体" w:hAnsi="宋体" w:cs="宋体"/>
                <w:sz w:val="21"/>
                <w:szCs w:val="21"/>
                <w:lang w:bidi="ar"/>
              </w:rPr>
              <w:t xml:space="preserve">D</w:t>
            </w:r>
            <w:r>
              <w:rPr>
                <w:rFonts w:hint="eastAsia" w:ascii="宋体" w:hAnsi="宋体" w:cs="宋体"/>
                <w:sz w:val="21"/>
                <w:szCs w:val="21"/>
                <w:lang w:bidi="ar"/>
              </w:rPr>
              <w:t xml:space="preserve">最薄扫描层厚≤0</w:t>
            </w:r>
            <w:r>
              <w:rPr>
                <w:rFonts w:ascii="宋体" w:hAnsi="宋体" w:cs="宋体"/>
                <w:sz w:val="21"/>
                <w:szCs w:val="21"/>
                <w:lang w:bidi="ar"/>
              </w:rPr>
              <w:t xml:space="preserve">.1mm</w:t>
            </w:r>
            <w:r/>
          </w:p>
          <w:p>
            <w:pPr>
              <w:rPr>
                <w:rFonts w:hint="eastAsia" w:ascii="宋体" w:hAnsi="宋体" w:cs="宋体"/>
                <w:sz w:val="21"/>
                <w:szCs w:val="21"/>
                <w:lang w:bidi="ar"/>
              </w:rPr>
            </w:pPr>
            <w:r>
              <w:rPr>
                <w:rFonts w:ascii="宋体" w:hAnsi="宋体" w:cs="宋体"/>
                <w:sz w:val="21"/>
                <w:szCs w:val="21"/>
                <w:lang w:bidi="ar"/>
              </w:rPr>
              <w:t xml:space="preserve">3D</w:t>
            </w:r>
            <w:r>
              <w:rPr>
                <w:rFonts w:hint="eastAsia" w:ascii="宋体" w:hAnsi="宋体" w:cs="宋体"/>
                <w:sz w:val="21"/>
                <w:szCs w:val="21"/>
                <w:lang w:bidi="ar"/>
              </w:rPr>
              <w:t xml:space="preserve">最薄扫描层厚≤0</w:t>
            </w:r>
            <w:r>
              <w:rPr>
                <w:rFonts w:ascii="宋体" w:hAnsi="宋体" w:cs="宋体"/>
                <w:sz w:val="21"/>
                <w:szCs w:val="21"/>
                <w:lang w:bidi="ar"/>
              </w:rPr>
              <w:t xml:space="preserve">.05mm</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jc w:val="center"/>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七</w:t>
            </w:r>
            <w:r>
              <w:rPr>
                <w:rFonts w:hint="eastAsia" w:ascii="宋体" w:hAnsi="宋体" w:cs="宋体"/>
                <w:sz w:val="21"/>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sz w:val="21"/>
                <w:szCs w:val="21"/>
              </w:rPr>
            </w:pPr>
            <w:r>
              <w:rPr>
                <w:rFonts w:hint="eastAsia" w:ascii="宋体" w:hAnsi="宋体" w:cs="宋体"/>
                <w:sz w:val="21"/>
                <w:szCs w:val="21"/>
                <w:lang w:bidi="ar"/>
              </w:rPr>
              <w:t xml:space="preserve">高级扫描应用软件及后处理</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0"/>
              </w:numPr>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磁化率加权成像：具备，支持颅脑和体部成像</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运动伪影校正技术：具备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脑灌注成像技术：具备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弥散张量成像：具备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脑功能成像技术：具备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单体素波谱成像技术：具备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多体素波谱成像技术：具备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三维多体素波谱成像技术：具备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动态增强血管成像：具备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三维动脉自旋标记技术：具备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定量磁化率成像QSM：具备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T</w:t>
            </w:r>
            <w:r>
              <w:rPr>
                <w:rFonts w:ascii="宋体" w:hAnsi="宋体" w:cs="宋体"/>
                <w:color w:val="000000"/>
                <w:sz w:val="21"/>
                <w:szCs w:val="21"/>
                <w:lang w:bidi="ar"/>
              </w:rPr>
              <w:t xml:space="preserve">1/T2 Mapping</w:t>
            </w:r>
            <w:r>
              <w:rPr>
                <w:rFonts w:hint="eastAsia" w:ascii="宋体" w:hAnsi="宋体" w:cs="宋体"/>
                <w:color w:val="000000"/>
                <w:sz w:val="21"/>
                <w:szCs w:val="21"/>
                <w:lang w:bidi="ar"/>
              </w:rPr>
              <w:t xml:space="preserve">定量成像：具备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水脂分离成像：具备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动态增强采集技术：具备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呼吸导航技术：具备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脂肪定量技术：具备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三维屏气胰胆管造影技术：具备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虚拟弥散加权成像技术：具备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小视野弥散成像技术：具备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多次激发弥散成像：具备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不打药肾动脉成像：具备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超短TE扫描技术：具备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化学交换饱和转移技术：具备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多b值体素内不相干运动弥散成像IVIM：具备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后处理工作站和工作台：具备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73"/>
              <w:numPr>
                <w:ilvl w:val="0"/>
                <w:numId w:val="1"/>
              </w:num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65"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lang w:bidi="ar"/>
              </w:rPr>
              <w:t xml:space="preserve">工作站主机柜：具备</w:t>
            </w:r>
            <w:r/>
          </w:p>
        </w:tc>
      </w:tr>
    </w:tbl>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五</w:t>
      </w:r>
      <w:r>
        <w:rPr>
          <w:rFonts w:hint="eastAsia"/>
          <w:b/>
          <w:bCs/>
          <w:color w:val="auto"/>
          <w:sz w:val="21"/>
          <w:szCs w:val="21"/>
          <w:highlight w:val="none"/>
        </w:rPr>
        <w:t xml:space="preserve">、实施要求</w:t>
      </w:r>
      <w:r/>
    </w:p>
    <w:p>
      <w:pPr>
        <w:ind w:firstLine="0"/>
        <w:spacing w:line="380" w:lineRule="exact"/>
        <w:rPr>
          <w:rFonts w:hint="eastAsia" w:ascii="宋体" w:hAnsi="宋体" w:eastAsia="宋体" w:cs="宋体"/>
          <w:color w:val="auto"/>
          <w:sz w:val="21"/>
          <w:szCs w:val="21"/>
          <w:highlight w:val="none"/>
        </w:rPr>
      </w:pPr>
      <w:r>
        <w:rPr>
          <w:color w:val="auto"/>
          <w:sz w:val="21"/>
          <w:szCs w:val="21"/>
          <w:highlight w:val="none"/>
        </w:rPr>
        <w:t xml:space="preserve">   </w:t>
      </w:r>
      <w:r>
        <w:rPr>
          <w:rFonts w:hint="eastAsia" w:ascii="宋体" w:hAnsi="宋体" w:eastAsia="宋体" w:cs="宋体"/>
          <w:color w:val="auto"/>
          <w:sz w:val="21"/>
          <w:szCs w:val="21"/>
          <w:highlight w:val="none"/>
        </w:rPr>
        <w:t xml:space="preserve"> 1、货物到达采购单位后，在采购单位技术人员在场的情况下开箱清点货物，组织安装、调试及操作培训，并承担因此发生的一切费用。</w:t>
      </w:r>
      <w:r/>
    </w:p>
    <w:p>
      <w:pPr>
        <w:ind w:firstLine="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2、投标文件中提供实施方案，内容应包括但不限于①安装调试、系统集成、试运行、测试、调优等内容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根据项目特点和自身情况阐述设备的安装调试系统运行等内容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，②人员组织架构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提供针对本项目的人员名单和人员情况、岗位情况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，③工作时间进度表、工作程序和步骤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根据本项目特定分析工作时间进度、安排工作程序和步骤、制定工作计划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，④关键步骤的思路和要点等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例如提供在</w:t>
      </w:r>
      <w:r>
        <w:rPr>
          <w:rFonts w:hint="eastAsia" w:ascii="宋体" w:hAnsi="宋体" w:eastAsia="宋体" w:cs="宋体"/>
          <w:color w:val="auto"/>
          <w:sz w:val="21"/>
          <w:szCs w:val="21"/>
          <w:highlight w:val="none"/>
          <w:lang w:val="en-US" w:eastAsia="zh-CN"/>
        </w:rPr>
        <w:t xml:space="preserve">装机</w:t>
      </w:r>
      <w:r>
        <w:rPr>
          <w:rFonts w:hint="eastAsia" w:ascii="宋体" w:hAnsi="宋体" w:eastAsia="宋体" w:cs="宋体"/>
          <w:color w:val="auto"/>
          <w:sz w:val="21"/>
          <w:szCs w:val="21"/>
          <w:highlight w:val="none"/>
        </w:rPr>
        <w:t xml:space="preserve">实施过程中，遇到与医院现场运行环境和客观条件存在的问题和解决思路等内容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3、投标人负责保管、看护进场的设备及附配件直至完成安装调试后交付采购单位。</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六、</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1、质保期要求：提供至少5年的原厂（制造商）整体免费质保服务，并提供证明文件，</w:t>
      </w:r>
      <w:r>
        <w:rPr>
          <w:rFonts w:hint="eastAsia"/>
          <w:color w:val="auto"/>
          <w:sz w:val="21"/>
          <w:szCs w:val="21"/>
          <w:highlight w:val="none"/>
          <w:lang w:eastAsia="zh-CN"/>
        </w:rPr>
        <w:t xml:space="preserve">质保期从医院验收合格之日起计算。</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七</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r>
      <w:r/>
    </w:p>
    <w:p>
      <w:pPr>
        <w:ind w:firstLine="422"/>
        <w:spacing w:line="380" w:lineRule="exact"/>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7、产品需符合《医疗器械网络安全注册技术审查指导原则》要求，提供医疗器械相应网络安全注册申报资料。</w:t>
      </w:r>
      <w:r/>
    </w:p>
    <w:p>
      <w:pPr>
        <w:ind w:firstLine="422"/>
        <w:spacing w:line="380" w:lineRule="exact"/>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8、参考IEC80001系列标准及技术报告、IEC 60601-1第三版、IEC 82304-1、IEC 27000系列标准及技术报告、ISO/DIS 27799等技术标准，要求所投医疗器械设备具备安全更新、恶意软件监测防护、抗网络攻击功能力。</w:t>
      </w:r>
      <w:r/>
    </w:p>
    <w:p>
      <w:pPr>
        <w:ind w:firstLine="422"/>
        <w:spacing w:line="380" w:lineRule="exact"/>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9、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p>
    <w:p>
      <w:pPr>
        <w:ind w:firstLine="422"/>
        <w:spacing w:line="380" w:lineRule="exact"/>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八</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、综合说明及其</w:t>
      </w:r>
      <w:r>
        <w:rPr>
          <w:rFonts w:hint="eastAsia" w:ascii="宋体" w:hAnsi="宋体" w:cs="宋体"/>
          <w:b/>
          <w:color w:val="auto"/>
          <w:sz w:val="21"/>
          <w:szCs w:val="21"/>
          <w:highlight w:val="none"/>
          <w:lang w:eastAsia="zh-CN"/>
        </w:rPr>
        <w:t xml:space="preserve">他</w:t>
      </w:r>
      <w:r>
        <w:rPr>
          <w:rFonts w:hint="eastAsia" w:ascii="宋体" w:hAnsi="宋体" w:cs="宋体"/>
          <w:b/>
          <w:color w:val="auto"/>
          <w:sz w:val="21"/>
          <w:szCs w:val="21"/>
          <w:highlight w:val="none"/>
        </w:rPr>
        <w:t xml:space="preserve">要求：</w:t>
      </w:r>
      <w:r/>
    </w:p>
    <w:p>
      <w:pPr>
        <w:ind w:firstLine="420"/>
        <w:spacing w:line="380" w:lineRule="exact"/>
        <w:rPr>
          <w:rFonts w:hAnsi="宋体"/>
          <w:b w:val="0"/>
          <w:bCs/>
          <w:color w:val="auto"/>
          <w:sz w:val="21"/>
          <w:szCs w:val="21"/>
          <w:highlight w:val="none"/>
          <w:lang w:val="zh-CN"/>
        </w:rPr>
      </w:pPr>
      <w:r>
        <w:rPr>
          <w:rFonts w:hint="eastAsia" w:hAnsi="宋体"/>
          <w:b w:val="0"/>
          <w:bCs/>
          <w:color w:val="auto"/>
          <w:sz w:val="21"/>
          <w:szCs w:val="21"/>
          <w:highlight w:val="none"/>
          <w:lang w:val="en-US" w:eastAsia="zh-CN"/>
        </w:rPr>
        <w:t xml:space="preserve">1、本项目</w:t>
      </w:r>
      <w:r>
        <w:rPr>
          <w:rFonts w:hAnsi="宋体"/>
          <w:b w:val="0"/>
          <w:bCs/>
          <w:color w:val="auto"/>
          <w:sz w:val="21"/>
          <w:szCs w:val="21"/>
          <w:highlight w:val="none"/>
          <w:lang w:val="zh-CN"/>
        </w:rPr>
        <w:t xml:space="preserve">采购文件提供的工艺、材料、设备</w:t>
      </w:r>
      <w:r>
        <w:rPr>
          <w:rFonts w:hint="eastAsia" w:hAnsi="宋体"/>
          <w:b w:val="0"/>
          <w:bCs/>
          <w:color w:val="auto"/>
          <w:sz w:val="21"/>
          <w:szCs w:val="21"/>
          <w:highlight w:val="none"/>
          <w:lang w:val="en-US" w:eastAsia="zh-CN"/>
        </w:rPr>
        <w:t xml:space="preserve">名称</w:t>
      </w:r>
      <w:r>
        <w:rPr>
          <w:rFonts w:hAnsi="宋体"/>
          <w:b w:val="0"/>
          <w:bCs/>
          <w:color w:val="auto"/>
          <w:sz w:val="21"/>
          <w:szCs w:val="21"/>
          <w:highlight w:val="none"/>
          <w:lang w:val="zh-CN"/>
        </w:rPr>
        <w:t xml:space="preserve">、参考的商标</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或样本目录号码</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b w:val="0"/>
          <w:bCs/>
          <w:color w:val="auto"/>
          <w:sz w:val="21"/>
          <w:szCs w:val="21"/>
          <w:highlight w:val="none"/>
          <w:lang w:val="zh-CN"/>
        </w:rPr>
      </w:pPr>
      <w:r>
        <w:rPr>
          <w:rFonts w:hint="eastAsia"/>
          <w:color w:val="auto"/>
          <w:sz w:val="21"/>
          <w:szCs w:val="21"/>
          <w:highlight w:val="none"/>
          <w:lang w:val="en-US" w:eastAsia="zh-CN"/>
        </w:rPr>
        <w:t xml:space="preserve">注：</w:t>
      </w:r>
      <w:r>
        <w:rPr>
          <w:rFonts w:hint="eastAsia"/>
          <w:color w:val="auto"/>
          <w:sz w:val="21"/>
          <w:szCs w:val="21"/>
          <w:highlight w:val="none"/>
        </w:rPr>
        <w:t xml:space="preserve">本项目采购内容</w:t>
      </w:r>
      <w:r>
        <w:rPr>
          <w:rFonts w:hint="eastAsia"/>
          <w:color w:val="auto"/>
          <w:sz w:val="21"/>
          <w:szCs w:val="21"/>
          <w:highlight w:val="none"/>
          <w:lang w:val="en-US" w:eastAsia="zh-CN"/>
        </w:rPr>
        <w:t xml:space="preserve">名称</w:t>
      </w:r>
      <w:r>
        <w:rPr>
          <w:rFonts w:hint="eastAsia"/>
          <w:color w:val="auto"/>
          <w:sz w:val="21"/>
          <w:szCs w:val="21"/>
          <w:highlight w:val="none"/>
        </w:rPr>
        <w:t xml:space="preserve">、</w:t>
      </w:r>
      <w:r>
        <w:rPr>
          <w:rFonts w:hint="eastAsia"/>
          <w:color w:val="auto"/>
          <w:sz w:val="21"/>
          <w:szCs w:val="21"/>
          <w:highlight w:val="none"/>
          <w:lang w:eastAsia="zh-CN"/>
        </w:rPr>
        <w:t xml:space="preserve">采购产品</w:t>
      </w:r>
      <w:r>
        <w:rPr>
          <w:rFonts w:hint="eastAsia"/>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w:t>
      </w:r>
      <w:bookmarkStart w:id="4" w:name="OLE_LINK4"/>
      <w:r/>
      <w:bookmarkStart w:id="5" w:name="OLE_LINK3"/>
      <w:r>
        <w:rPr>
          <w:rFonts w:hint="eastAsia" w:ascii="宋体" w:hAnsi="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4"/>
      <w:r/>
      <w:bookmarkEnd w:id="5"/>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、设备生产日期要求：国产设备的生产日期与到货日期相差不超过6个月，进口设备。的生产日期与到货日期相差不超过12个月;否则乙方无条件更换符合要求的设备。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w:t>
      </w:r>
      <w:r>
        <w:rPr>
          <w:rFonts w:hAnsi="宋体"/>
          <w:color w:val="auto"/>
          <w:sz w:val="21"/>
          <w:szCs w:val="21"/>
          <w:highlight w:val="none"/>
        </w:rPr>
        <w:t xml:space="preserve">投标人对采购</w:t>
      </w:r>
      <w:r>
        <w:rPr>
          <w:rFonts w:hint="eastAsia" w:hAnsi="宋体"/>
          <w:color w:val="auto"/>
          <w:sz w:val="21"/>
          <w:szCs w:val="21"/>
          <w:highlight w:val="none"/>
        </w:rPr>
        <w:t xml:space="preserve">项目</w:t>
      </w:r>
      <w:r>
        <w:rPr>
          <w:rFonts w:hAnsi="宋体"/>
          <w:color w:val="auto"/>
          <w:sz w:val="21"/>
          <w:szCs w:val="21"/>
          <w:highlight w:val="none"/>
        </w:rPr>
        <w:t xml:space="preserve">内的全部内容响应，投标总报价一次报定，总报价包括全部</w:t>
      </w:r>
      <w:r>
        <w:rPr>
          <w:rFonts w:hAnsi="宋体"/>
          <w:bCs/>
          <w:color w:val="auto"/>
          <w:sz w:val="21"/>
          <w:szCs w:val="21"/>
          <w:highlight w:val="none"/>
        </w:rPr>
        <w:t xml:space="preserve">产品价格（包括全套产品、辅配件、</w:t>
      </w:r>
      <w:r>
        <w:rPr>
          <w:rFonts w:hint="eastAsia" w:hAnsi="宋体"/>
          <w:bCs/>
          <w:color w:val="auto"/>
          <w:sz w:val="21"/>
          <w:szCs w:val="21"/>
          <w:highlight w:val="none"/>
        </w:rPr>
        <w:t xml:space="preserve">HIS接口费（如有）、</w:t>
      </w:r>
      <w:r>
        <w:rPr>
          <w:rFonts w:hAnsi="宋体"/>
          <w:bCs/>
          <w:color w:val="auto"/>
          <w:sz w:val="21"/>
          <w:szCs w:val="21"/>
          <w:highlight w:val="none"/>
        </w:rPr>
        <w:t xml:space="preserve">随设备应提交的资料等费用）</w:t>
      </w:r>
      <w:r>
        <w:rPr>
          <w:rFonts w:hint="eastAsia"/>
          <w:bCs/>
          <w:color w:val="auto"/>
          <w:sz w:val="21"/>
          <w:szCs w:val="21"/>
          <w:highlight w:val="none"/>
          <w:lang w:val="zh-CN"/>
        </w:rPr>
        <w:t xml:space="preserve">、</w:t>
      </w:r>
      <w:r>
        <w:rPr>
          <w:rFonts w:hAnsi="宋体"/>
          <w:bCs/>
          <w:color w:val="auto"/>
          <w:sz w:val="21"/>
          <w:szCs w:val="21"/>
          <w:highlight w:val="none"/>
        </w:rPr>
        <w:t xml:space="preserve">包装、运输装卸、安装调试、</w:t>
      </w:r>
      <w:r>
        <w:rPr>
          <w:rFonts w:hint="eastAsia"/>
          <w:bCs/>
          <w:color w:val="auto"/>
          <w:sz w:val="21"/>
          <w:szCs w:val="21"/>
          <w:highlight w:val="none"/>
          <w:lang w:val="zh-CN"/>
        </w:rPr>
        <w:t xml:space="preserve">PACS系统对接（</w:t>
      </w:r>
      <w:r>
        <w:rPr>
          <w:rFonts w:hint="eastAsia"/>
          <w:bCs/>
          <w:color w:val="auto"/>
          <w:sz w:val="21"/>
          <w:szCs w:val="21"/>
          <w:highlight w:val="none"/>
        </w:rPr>
        <w:t xml:space="preserve">如有</w:t>
      </w:r>
      <w:r>
        <w:rPr>
          <w:rFonts w:hint="eastAsia"/>
          <w:bCs/>
          <w:color w:val="auto"/>
          <w:sz w:val="21"/>
          <w:szCs w:val="21"/>
          <w:highlight w:val="none"/>
          <w:lang w:val="zh-CN"/>
        </w:rPr>
        <w:t xml:space="preserve">）、</w:t>
      </w:r>
      <w:r>
        <w:rPr>
          <w:rFonts w:hAnsi="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s="宋体"/>
          <w:bCs/>
          <w:color w:val="auto"/>
          <w:sz w:val="21"/>
          <w:szCs w:val="21"/>
          <w:highlight w:val="none"/>
        </w:rPr>
        <w:t xml:space="preserve">付款方式：</w:t>
      </w:r>
      <w:r>
        <w:rPr>
          <w:rFonts w:hint="eastAsia" w:ascii="宋体" w:hAnsi="宋体"/>
          <w:color w:val="auto"/>
          <w:sz w:val="21"/>
          <w:szCs w:val="21"/>
          <w:highlight w:val="none"/>
          <w:u w:val="none"/>
          <w:lang w:val="en-US" w:eastAsia="zh-CN"/>
        </w:rPr>
        <w:t xml:space="preserve">在合同签订完毕生效后，甲方支付30%的货款作为预付款，余款70%待安装验收合格后12个月内付清。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交货要求：</w:t>
      </w:r>
      <w:r>
        <w:rPr>
          <w:rFonts w:hint="eastAsia" w:ascii="宋体" w:hAnsi="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480"/>
        <w:jc w:val="center"/>
        <w:spacing w:line="400" w:lineRule="exact"/>
        <w:rPr>
          <w:rFonts w:hAnsi="Times New Roman"/>
          <w:b/>
          <w:sz w:val="28"/>
          <w:szCs w:val="28"/>
        </w:rPr>
      </w:pPr>
      <w:r>
        <w:rPr>
          <w:rFonts w:hint="eastAsia" w:ascii="宋体" w:hAnsi="宋体" w:eastAsia="宋体" w:cs="Times New Roman"/>
          <w:sz w:val="24"/>
          <w:szCs w:val="24"/>
        </w:rPr>
        <w:br w:type="page" w:clear="all"/>
      </w:r>
      <w:r>
        <w:rPr>
          <w:rFonts w:hint="eastAsia" w:hAnsi="Times New Roman"/>
          <w:b/>
          <w:sz w:val="36"/>
          <w:szCs w:val="36"/>
        </w:rPr>
        <w:t xml:space="preserve">单一来源协商及评审程序</w:t>
      </w:r>
      <w:r/>
    </w:p>
    <w:p>
      <w:pPr>
        <w:ind w:firstLine="422"/>
        <w:jc w:val="left"/>
        <w:spacing w:line="360" w:lineRule="auto"/>
        <w:widowControl/>
        <w:rPr>
          <w:rFonts w:hint="eastAsia" w:ascii="宋体" w:hAnsi="宋体" w:cs="宋体"/>
          <w:szCs w:val="21"/>
          <w:lang w:val="en-US"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一</w:t>
      </w:r>
      <w:r>
        <w:rPr>
          <w:rFonts w:hint="eastAsia" w:ascii="宋体" w:hAnsi="宋体" w:cs="宋体"/>
          <w:szCs w:val="21"/>
          <w:lang w:eastAsia="zh-CN"/>
        </w:rPr>
        <w:t xml:space="preserve">）</w:t>
      </w:r>
      <w:r>
        <w:rPr>
          <w:rFonts w:hint="eastAsia" w:ascii="宋体" w:hAnsi="宋体" w:cs="宋体"/>
          <w:szCs w:val="21"/>
          <w:lang w:val="en-US" w:eastAsia="zh-CN"/>
        </w:rPr>
        <w:t xml:space="preserve">协商及评审程序</w:t>
      </w:r>
      <w:r/>
    </w:p>
    <w:p>
      <w:pPr>
        <w:ind w:firstLine="422"/>
        <w:jc w:val="left"/>
        <w:spacing w:line="360" w:lineRule="auto"/>
        <w:widowControl/>
        <w:rPr>
          <w:rFonts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w:t>
      </w:r>
      <w:r>
        <w:rPr>
          <w:rFonts w:hint="eastAsia" w:ascii="宋体" w:hAnsi="宋体" w:cs="宋体"/>
          <w:szCs w:val="21"/>
          <w:lang w:val="en-US" w:eastAsia="zh-CN"/>
        </w:rPr>
        <w:t xml:space="preserve">通过苏采云系统线上</w:t>
      </w:r>
      <w:r>
        <w:rPr>
          <w:rFonts w:hint="eastAsia" w:ascii="宋体" w:hAnsi="宋体" w:cs="宋体"/>
          <w:szCs w:val="21"/>
        </w:rPr>
        <w:t xml:space="preserve">向单一来源采购响应单位发出邀请书；</w:t>
      </w:r>
      <w:r/>
    </w:p>
    <w:p>
      <w:pPr>
        <w:ind w:firstLine="422"/>
        <w:jc w:val="left"/>
        <w:spacing w:line="360" w:lineRule="auto"/>
        <w:widowControl/>
        <w:rPr>
          <w:rFonts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、单一来源采购响应单位按要求制作并上传响应响应文件；</w:t>
      </w:r>
      <w:r/>
    </w:p>
    <w:p>
      <w:pPr>
        <w:ind w:firstLine="422"/>
        <w:jc w:val="left"/>
        <w:spacing w:line="360" w:lineRule="auto"/>
        <w:widowControl/>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、根据采购文件的要求，由评审小组对单一来源采购响应单位的响应文件进行审查，确定其是否满足采购文件的要求；</w:t>
      </w:r>
      <w:r/>
    </w:p>
    <w:p>
      <w:pPr>
        <w:ind w:firstLine="422"/>
        <w:jc w:val="left"/>
        <w:spacing w:line="360" w:lineRule="auto"/>
        <w:widowControl/>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双方可就价格、服务情况等技术和商务内容探讨和协商；如协商中价格有调整，则后轮次的报价不得高于前轮次的报价；响应单位必须回答评委和采购方的有关询问。响应单位必需对最终结果出具承诺，承诺内容必须包括最终商定的供货名称、规格、数量、所包含的所有附件（有</w:t>
      </w:r>
      <w:r>
        <w:rPr>
          <w:rFonts w:hint="eastAsia" w:ascii="宋体" w:hAnsi="宋体" w:cs="宋体"/>
          <w:szCs w:val="21"/>
          <w:lang w:val="en-US" w:eastAsia="zh-CN"/>
        </w:rPr>
        <w:t xml:space="preserve">增值配置</w:t>
      </w:r>
      <w:r>
        <w:rPr>
          <w:rFonts w:hint="eastAsia" w:ascii="宋体" w:hAnsi="宋体" w:cs="宋体"/>
          <w:szCs w:val="21"/>
        </w:rPr>
        <w:t xml:space="preserve">的需注明</w:t>
      </w:r>
      <w:r>
        <w:rPr>
          <w:rFonts w:hint="eastAsia" w:ascii="宋体" w:hAnsi="宋体" w:cs="宋体"/>
          <w:szCs w:val="21"/>
          <w:lang w:val="en-US" w:eastAsia="zh-CN"/>
        </w:rPr>
        <w:t xml:space="preserve">配置</w:t>
      </w:r>
      <w:r>
        <w:rPr>
          <w:rFonts w:hint="eastAsia" w:ascii="宋体" w:hAnsi="宋体" w:cs="宋体"/>
          <w:szCs w:val="21"/>
        </w:rPr>
        <w:t xml:space="preserve">的型号规格数量）、价格、保修期、交货期、售后服务等内容，以供应商上传的“最终承诺及报价”为最终报价。</w:t>
      </w:r>
      <w:r/>
    </w:p>
    <w:p>
      <w:pPr>
        <w:ind w:firstLine="422"/>
        <w:jc w:val="left"/>
        <w:spacing w:line="360" w:lineRule="auto"/>
        <w:widowControl/>
        <w:rPr>
          <w:rFonts w:ascii="宋体" w:hAnsi="宋体" w:cs="宋体"/>
          <w:szCs w:val="21"/>
        </w:rPr>
      </w:pPr>
      <w:r>
        <w:rPr>
          <w:rFonts w:hint="eastAsia" w:ascii="宋体" w:hAnsi="宋体" w:cs="宋体"/>
          <w:szCs w:val="21"/>
          <w:lang w:val="en-US" w:eastAsia="zh-CN"/>
        </w:rPr>
        <w:t xml:space="preserve">5</w:t>
      </w:r>
      <w:r>
        <w:rPr>
          <w:rFonts w:hint="eastAsia" w:ascii="宋体" w:hAnsi="宋体" w:cs="宋体"/>
          <w:szCs w:val="21"/>
          <w:lang w:eastAsia="zh-CN"/>
        </w:rPr>
        <w:t xml:space="preserve">、</w:t>
      </w:r>
      <w:r>
        <w:rPr>
          <w:rFonts w:hint="eastAsia" w:ascii="宋体" w:hAnsi="宋体" w:cs="宋体"/>
          <w:szCs w:val="21"/>
        </w:rPr>
        <w:t xml:space="preserve">小组各成员独立对供应商的响应文件（包括新的书面承诺）按采购文件规定的评审办法进行评审并给出评审意见。</w:t>
      </w:r>
      <w:r/>
    </w:p>
    <w:p>
      <w:pPr>
        <w:ind w:firstLine="422"/>
        <w:jc w:val="left"/>
        <w:spacing w:line="360" w:lineRule="auto"/>
        <w:widowControl/>
        <w:rPr>
          <w:rFonts w:ascii="宋体" w:hAnsi="宋体" w:cs="宋体"/>
          <w:szCs w:val="21"/>
        </w:rPr>
      </w:pPr>
      <w:r>
        <w:rPr>
          <w:rFonts w:hint="eastAsia" w:ascii="宋体" w:hAnsi="宋体" w:cs="宋体"/>
          <w:szCs w:val="21"/>
          <w:lang w:val="en-US" w:eastAsia="zh-CN"/>
        </w:rPr>
        <w:t xml:space="preserve">6</w:t>
      </w:r>
      <w:r>
        <w:rPr>
          <w:rFonts w:hint="eastAsia" w:ascii="宋体" w:hAnsi="宋体" w:cs="宋体"/>
          <w:szCs w:val="21"/>
          <w:lang w:eastAsia="zh-CN"/>
        </w:rPr>
        <w:t xml:space="preserve">、</w:t>
      </w:r>
      <w:r>
        <w:rPr>
          <w:rFonts w:hint="eastAsia" w:ascii="宋体" w:hAnsi="宋体" w:cs="宋体"/>
          <w:szCs w:val="21"/>
        </w:rPr>
        <w:t xml:space="preserve">协商小组根据响应文件对服务质量、技术及价格等方面的商谈进行评审，且单一来源采购响应单位的报价不超过采购单位预算价格，最终由专家评委推荐成交供应商。</w:t>
      </w:r>
      <w:r/>
    </w:p>
    <w:p>
      <w:pPr>
        <w:ind w:firstLine="422"/>
        <w:jc w:val="left"/>
        <w:spacing w:line="360" w:lineRule="auto"/>
        <w:widowControl/>
        <w:rPr>
          <w:rFonts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根据单一来源成交原则确定成交供应商。</w:t>
      </w:r>
      <w:r/>
    </w:p>
    <w:p>
      <w:pPr>
        <w:ind w:firstLine="422"/>
        <w:jc w:val="left"/>
        <w:spacing w:line="360" w:lineRule="auto"/>
        <w:widowControl/>
        <w:rPr>
          <w:rFonts w:hint="eastAsia"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、成交供应商和采购单位签订合同。</w:t>
      </w:r>
      <w:r/>
    </w:p>
    <w:p>
      <w:pPr>
        <w:ind w:firstLine="422"/>
        <w:jc w:val="left"/>
        <w:spacing w:line="360" w:lineRule="auto"/>
        <w:widowControl/>
        <w:rPr>
          <w:rFonts w:hint="eastAsia" w:ascii="宋体" w:hAnsi="宋体" w:cs="宋体"/>
          <w:szCs w:val="21"/>
        </w:rPr>
      </w:pPr>
      <w:r>
        <w:rPr>
          <w:rFonts w:hint="eastAsia"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（二）出现下列情形之一的，采购人或者采购代理机构应当终止采购活动，发布项目终止公告并说明原因，重新开展采购活动：</w:t>
      </w:r>
      <w:r/>
    </w:p>
    <w:p>
      <w:pPr>
        <w:ind w:firstLine="422"/>
        <w:jc w:val="left"/>
        <w:spacing w:line="360" w:lineRule="auto"/>
        <w:widowControl/>
        <w:rPr>
          <w:rFonts w:ascii="宋体" w:hAnsi="宋体" w:cs="宋体"/>
          <w:szCs w:val="21"/>
        </w:rPr>
      </w:pPr>
      <w:r>
        <w:rPr>
          <w:rFonts w:hint="eastAsia" w:ascii="宋体" w:hAnsi="宋体" w:cs="宋体"/>
          <w:szCs w:val="21"/>
        </w:rPr>
        <w:t xml:space="preserve">1.情况变化，不再符合规定的单一来源采购人适用情形的；</w:t>
      </w:r>
      <w:r/>
    </w:p>
    <w:p>
      <w:pPr>
        <w:ind w:firstLine="422"/>
        <w:jc w:val="left"/>
        <w:spacing w:line="360" w:lineRule="auto"/>
        <w:widowControl/>
        <w:rPr>
          <w:rFonts w:ascii="宋体" w:hAnsi="宋体" w:cs="宋体"/>
          <w:szCs w:val="21"/>
        </w:rPr>
      </w:pPr>
      <w:r>
        <w:rPr>
          <w:rFonts w:hint="eastAsia" w:ascii="宋体" w:hAnsi="宋体" w:cs="宋体"/>
          <w:szCs w:val="21"/>
        </w:rPr>
        <w:t xml:space="preserve">2.出现影响采购公正的违法、违规行为的；</w:t>
      </w:r>
      <w:r/>
    </w:p>
    <w:p>
      <w:pPr>
        <w:ind w:firstLine="422"/>
        <w:jc w:val="left"/>
        <w:spacing w:line="360" w:lineRule="auto"/>
        <w:widowControl/>
        <w:rPr>
          <w:rFonts w:ascii="宋体" w:hAnsi="宋体" w:cs="宋体"/>
          <w:szCs w:val="21"/>
        </w:rPr>
      </w:pPr>
      <w:r>
        <w:rPr>
          <w:rFonts w:hint="eastAsia" w:ascii="宋体" w:hAnsi="宋体" w:cs="宋体"/>
          <w:szCs w:val="21"/>
        </w:rPr>
        <w:t xml:space="preserve">3.响应报价超过采购预算的。</w:t>
      </w:r>
      <w:r/>
    </w:p>
    <w:p>
      <w:pPr>
        <w:rPr>
          <w:rFonts w:hint="eastAsia"/>
        </w:rPr>
      </w:pPr>
      <w:r>
        <w:rPr>
          <w:rFonts w:hint="eastAsia"/>
        </w:rPr>
        <w:br w:type="page" w:clear="all"/>
      </w:r>
      <w:r/>
    </w:p>
    <w:p>
      <w:pPr>
        <w:ind w:firstLine="422"/>
        <w:jc w:val="center"/>
        <w:spacing w:line="360" w:lineRule="auto"/>
        <w:widowControl/>
        <w:rPr>
          <w:rFonts w:hint="eastAsia"/>
          <w:b/>
          <w:bCs/>
          <w:sz w:val="36"/>
          <w:szCs w:val="36"/>
        </w:rPr>
      </w:pPr>
      <w:r/>
      <w:bookmarkStart w:id="6" w:name="_Toc58248882"/>
      <w:r/>
      <w:bookmarkStart w:id="7" w:name="_Toc62806713"/>
      <w:r/>
      <w:bookmarkStart w:id="8" w:name="_Toc23660"/>
      <w:r/>
      <w:bookmarkStart w:id="9" w:name="_Toc6898"/>
      <w:r/>
      <w:bookmarkStart w:id="10" w:name="_Toc57376408"/>
      <w:r/>
      <w:bookmarkStart w:id="11" w:name="_Toc4098"/>
      <w:r>
        <w:rPr>
          <w:rFonts w:hint="eastAsia"/>
          <w:b/>
          <w:bCs/>
          <w:sz w:val="36"/>
          <w:szCs w:val="36"/>
        </w:rPr>
        <w:t xml:space="preserve">成交原则</w:t>
      </w:r>
      <w:r/>
    </w:p>
    <w:p>
      <w:pPr>
        <w:ind w:firstLine="422"/>
        <w:jc w:val="left"/>
        <w:spacing w:line="360" w:lineRule="auto"/>
        <w:widowControl/>
        <w:rPr>
          <w:rFonts w:ascii="宋体" w:hAnsi="宋体" w:cs="宋体"/>
          <w:szCs w:val="21"/>
        </w:rPr>
      </w:pPr>
      <w:r>
        <w:rPr>
          <w:rFonts w:hint="eastAsia" w:ascii="宋体" w:hAnsi="宋体" w:cs="宋体"/>
          <w:szCs w:val="21"/>
        </w:rPr>
        <w:t xml:space="preserve">评审小组根据供应商提供的单一来源采购响应文件对服务质量、技术、价格等方面的商谈进行评审，且供应商的报价不超过采购单位预算价格，最终由评审小组推荐成交供应商。</w:t>
      </w:r>
      <w:r/>
    </w:p>
    <w:p>
      <w:pPr>
        <w:jc w:val="center"/>
        <w:spacing w:line="400" w:lineRule="exact"/>
        <w:rPr>
          <w:rFonts w:hint="eastAsia" w:ascii="宋体" w:hAnsi="宋体" w:eastAsia="宋体" w:cs="宋体"/>
          <w:b/>
          <w:bCs/>
          <w:sz w:val="36"/>
          <w:szCs w:val="36"/>
          <w:lang w:val="en-US" w:eastAsia="zh-CN"/>
        </w:rPr>
      </w:pPr>
      <w:r>
        <w:rPr>
          <w:rFonts w:hint="eastAsia" w:ascii="宋体" w:hAnsi="宋体" w:cs="宋体"/>
          <w:sz w:val="44"/>
          <w:szCs w:val="44"/>
        </w:rPr>
        <w:br w:type="page" w:clear="all"/>
      </w:r>
      <w:bookmarkEnd w:id="6"/>
      <w:r/>
      <w:bookmarkEnd w:id="7"/>
      <w:r/>
      <w:bookmarkEnd w:id="8"/>
      <w:r/>
      <w:bookmarkEnd w:id="9"/>
      <w:r/>
      <w:bookmarkEnd w:id="10"/>
      <w:r/>
      <w:bookmarkEnd w:id="11"/>
      <w:r>
        <w:rPr>
          <w:rFonts w:hint="eastAsia" w:ascii="宋体" w:hAnsi="宋体" w:eastAsia="宋体" w:cs="宋体"/>
          <w:b/>
          <w:bCs/>
          <w:sz w:val="36"/>
          <w:szCs w:val="36"/>
          <w:lang w:val="en-US" w:eastAsia="zh-CN"/>
        </w:rPr>
        <w:t xml:space="preserve">合同条款</w:t>
      </w:r>
      <w:r/>
    </w:p>
    <w:p>
      <w:pPr>
        <w:pStyle w:val="1028"/>
        <w:ind w:firstLine="884"/>
        <w:jc w:val="center"/>
        <w:rPr>
          <w:rFonts w:hint="eastAsia" w:ascii="宋体" w:hAnsi="宋体" w:cs="宋体"/>
          <w:b/>
          <w:bCs/>
          <w:color w:val="auto"/>
          <w:spacing w:val="-20"/>
          <w:sz w:val="48"/>
          <w:szCs w:val="48"/>
          <w:highlight w:val="none"/>
        </w:rPr>
      </w:pPr>
      <w:r/>
      <w:bookmarkStart w:id="12" w:name="_Toc3995"/>
      <w:r/>
      <w:r/>
    </w:p>
    <w:p>
      <w:pPr>
        <w:pStyle w:val="1028"/>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1028"/>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1028"/>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1028"/>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1028"/>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2"/>
      <w:r/>
      <w:r/>
    </w:p>
    <w:p>
      <w:pPr>
        <w:ind w:firstLine="560"/>
        <w:rPr>
          <w:rFonts w:hint="eastAsia" w:ascii="黑体" w:hAnsi="黑体" w:eastAsia="黑体"/>
          <w:color w:val="auto"/>
          <w:sz w:val="28"/>
          <w:szCs w:val="28"/>
          <w:highlight w:val="none"/>
        </w:rPr>
      </w:pPr>
      <w:r/>
      <w:bookmarkStart w:id="13" w:name="_Toc22209"/>
      <w:r>
        <w:rPr>
          <w:rFonts w:hint="eastAsia" w:ascii="黑体" w:hAnsi="黑体" w:eastAsia="黑体"/>
          <w:color w:val="auto"/>
          <w:sz w:val="28"/>
          <w:szCs w:val="28"/>
          <w:highlight w:val="none"/>
        </w:rPr>
        <w:br w:type="page" w:clear="all"/>
      </w:r>
      <w:r/>
    </w:p>
    <w:p>
      <w:pPr>
        <w:pStyle w:val="1030"/>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3"/>
      <w:r/>
      <w:r/>
    </w:p>
    <w:p>
      <w:pPr>
        <w:pStyle w:val="1030"/>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1031"/>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p>
    <w:p>
      <w:pPr>
        <w:numPr>
          <w:ilvl w:val="0"/>
          <w:numId w:val="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1031"/>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1031"/>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1031"/>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1032"/>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1032"/>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1032"/>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32"/>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1032"/>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1032"/>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1032"/>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1032"/>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1032"/>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1032"/>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1032"/>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1032"/>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1032"/>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1032"/>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1032"/>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033"/>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，余款70%待安装验收合格后12个月内付清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033"/>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1032"/>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1032"/>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1032"/>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1032"/>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  甲乙双方签字盖章之日起   </w:t>
      </w:r>
      <w:r>
        <w:rPr>
          <w:rFonts w:hint="eastAsia" w:ascii="宋体" w:hAnsi="宋体"/>
          <w:color w:val="auto"/>
          <w:sz w:val="21"/>
          <w:szCs w:val="21"/>
          <w:highlight w:val="none"/>
        </w:rPr>
        <w:t xml:space="preserve">生效。</w:t>
      </w:r>
      <w:r/>
    </w:p>
    <w:p>
      <w:pPr>
        <w:numPr>
          <w:ilvl w:val="0"/>
          <w:numId w:val="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 5 份，甲方执 2 份，乙方执 2 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tbl>
      <w:tblPr>
        <w:tblStyle w:val="840"/>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490"/>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1031"/>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1030"/>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4" w:name="_Toc27624"/>
      <w:r>
        <w:rPr>
          <w:rFonts w:hint="eastAsia" w:ascii="黑体" w:hAnsi="黑体"/>
          <w:b w:val="0"/>
          <w:bCs w:val="0"/>
          <w:color w:val="auto"/>
          <w:sz w:val="28"/>
          <w:szCs w:val="28"/>
          <w:highlight w:val="none"/>
        </w:rPr>
        <w:t xml:space="preserve">第二节 政府采购合同通用条款</w:t>
      </w:r>
      <w:bookmarkEnd w:id="14"/>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1028"/>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1028"/>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1032"/>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1032"/>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5"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5"/>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1030"/>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1028"/>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1032"/>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2"/>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1032"/>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1032"/>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103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103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1028"/>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103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103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103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032"/>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6"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1030"/>
        <w:numPr>
          <w:ilvl w:val="0"/>
          <w:numId w:val="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6"/>
      <w:r/>
      <w:r/>
    </w:p>
    <w:tbl>
      <w:tblPr>
        <w:tblStyle w:val="840"/>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1032"/>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在合同签订完毕生效后，甲方支付30%的货款，余款70%待安装验收合格后12个月内付清。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乙方除应履行按期按量交付合格标的物的义务外，还应当提供下列服务：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1、标的物的现场安装、启动、调试、监督（如果必须安装、调试的话）；</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2、提供标的物组装和一般维修所必需的工具；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4、对甲方技术人员的技术指导或培训。</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5、除合同另有规定之外，伴随服务的费用均已含在合同价款中，甲方不再另行支付。</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bookmarkStart w:id="18" w:name="_GoBack"/>
            <w:r/>
            <w:bookmarkEnd w:id="18"/>
            <w:r>
              <w:rPr>
                <w:rFonts w:hint="eastAsia" w:ascii="宋体" w:hAnsi="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p>
        </w:tc>
      </w:tr>
    </w:tbl>
    <w:p>
      <w:pPr>
        <w:ind w:firstLine="420"/>
        <w:rPr>
          <w:color w:val="auto"/>
          <w:highlight w:val="none"/>
        </w:rPr>
      </w:pPr>
      <w:r>
        <w:rPr>
          <w:color w:val="auto"/>
          <w:highlight w:val="none"/>
        </w:rPr>
      </w:r>
      <w:r/>
    </w:p>
    <w:p>
      <w:pPr>
        <w:pStyle w:val="1028"/>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both"/>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40"/>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eastAsia="en-US"/>
              </w:rPr>
              <w:t xml:space="preserve">采购人</w:t>
            </w:r>
            <w:r/>
          </w:p>
        </w:tc>
        <w:tc>
          <w:tcPr>
            <w:gridSpan w:val="3"/>
            <w:tcW w:w="5308" w:type="dxa"/>
            <w:vAlign w:val="top"/>
            <w:textDirection w:val="lrTb"/>
            <w:noWrap w:val="false"/>
          </w:tcPr>
          <w:p>
            <w:pPr>
              <w:pStyle w:val="1034"/>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eastAsia="en-US"/>
              </w:rPr>
              <w:t xml:space="preserve">项目名称</w:t>
            </w:r>
            <w:r/>
          </w:p>
        </w:tc>
        <w:tc>
          <w:tcPr>
            <w:gridSpan w:val="3"/>
            <w:tcW w:w="5308" w:type="dxa"/>
            <w:vAlign w:val="top"/>
            <w:textDirection w:val="lrTb"/>
            <w:noWrap w:val="false"/>
          </w:tcPr>
          <w:p>
            <w:pPr>
              <w:pStyle w:val="1034"/>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eastAsia="en-US"/>
              </w:rPr>
              <w:t xml:space="preserve">合同名称</w:t>
            </w:r>
            <w:r/>
          </w:p>
        </w:tc>
        <w:tc>
          <w:tcPr>
            <w:gridSpan w:val="3"/>
            <w:tcW w:w="5308" w:type="dxa"/>
            <w:vAlign w:val="top"/>
            <w:textDirection w:val="lrTb"/>
            <w:noWrap w:val="false"/>
          </w:tcPr>
          <w:p>
            <w:pPr>
              <w:pStyle w:val="1034"/>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eastAsia="en-US"/>
              </w:rPr>
              <w:t xml:space="preserve">合同编号</w:t>
            </w:r>
            <w:r/>
          </w:p>
        </w:tc>
        <w:tc>
          <w:tcPr>
            <w:tcW w:w="1961" w:type="dxa"/>
            <w:vAlign w:val="top"/>
            <w:textDirection w:val="lrTb"/>
            <w:noWrap w:val="false"/>
          </w:tcPr>
          <w:p>
            <w:pPr>
              <w:pStyle w:val="1034"/>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34" w:type="dxa"/>
            <w:vAlign w:val="top"/>
            <w:textDirection w:val="lrTb"/>
            <w:noWrap w:val="false"/>
          </w:tcPr>
          <w:p>
            <w:pPr>
              <w:jc w:val="center"/>
              <w:spacing w:before="247" w:line="213"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eastAsia="en-US"/>
              </w:rPr>
              <w:t xml:space="preserve">合同金额</w:t>
            </w:r>
            <w:r/>
          </w:p>
        </w:tc>
        <w:tc>
          <w:tcPr>
            <w:tcW w:w="1713" w:type="dxa"/>
            <w:vAlign w:val="top"/>
            <w:textDirection w:val="lrTb"/>
            <w:noWrap w:val="false"/>
          </w:tcPr>
          <w:p>
            <w:pPr>
              <w:pStyle w:val="1034"/>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lang w:eastAsia="en-US"/>
              </w:rPr>
              <w:t xml:space="preserve">验收时间</w:t>
            </w:r>
            <w:r/>
          </w:p>
        </w:tc>
        <w:tc>
          <w:tcPr>
            <w:tcW w:w="1961" w:type="dxa"/>
            <w:vAlign w:val="top"/>
            <w:textDirection w:val="lrTb"/>
            <w:noWrap w:val="false"/>
          </w:tcPr>
          <w:p>
            <w:pPr>
              <w:pStyle w:val="1034"/>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34" w:type="dxa"/>
            <w:vAlign w:val="top"/>
            <w:textDirection w:val="lrTb"/>
            <w:noWrap w:val="false"/>
          </w:tcPr>
          <w:p>
            <w:pPr>
              <w:jc w:val="center"/>
              <w:spacing w:before="248" w:line="213"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lang w:eastAsia="en-US"/>
              </w:rPr>
              <w:t xml:space="preserve">验收地点</w:t>
            </w:r>
            <w:r/>
          </w:p>
        </w:tc>
        <w:tc>
          <w:tcPr>
            <w:tcW w:w="1713" w:type="dxa"/>
            <w:vAlign w:val="top"/>
            <w:textDirection w:val="lrTb"/>
            <w:noWrap w:val="false"/>
          </w:tcPr>
          <w:p>
            <w:pPr>
              <w:pStyle w:val="1034"/>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lang w:eastAsia="en-US"/>
              </w:rPr>
              <w:t xml:space="preserve">联系人</w:t>
            </w:r>
            <w:r/>
          </w:p>
        </w:tc>
        <w:tc>
          <w:tcPr>
            <w:tcW w:w="1961" w:type="dxa"/>
            <w:vAlign w:val="top"/>
            <w:textDirection w:val="lrTb"/>
            <w:noWrap w:val="false"/>
          </w:tcPr>
          <w:p>
            <w:pPr>
              <w:pStyle w:val="1034"/>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34" w:type="dxa"/>
            <w:vAlign w:val="top"/>
            <w:textDirection w:val="lrTb"/>
            <w:noWrap w:val="false"/>
          </w:tcPr>
          <w:p>
            <w:pPr>
              <w:jc w:val="center"/>
              <w:spacing w:before="248" w:line="213"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lang w:eastAsia="en-US"/>
              </w:rPr>
              <w:t xml:space="preserve">联系电话</w:t>
            </w:r>
            <w:r/>
          </w:p>
        </w:tc>
        <w:tc>
          <w:tcPr>
            <w:tcW w:w="1713" w:type="dxa"/>
            <w:vAlign w:val="top"/>
            <w:textDirection w:val="lrTb"/>
            <w:noWrap w:val="false"/>
          </w:tcPr>
          <w:p>
            <w:pPr>
              <w:pStyle w:val="1034"/>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1034"/>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4"/>
              <w:spacing w:line="24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893" w:firstLine="236"/>
              <w:spacing w:before="75" w:line="507"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lang w:eastAsia="en-US"/>
              </w:rPr>
              <w:t xml:space="preserve">单位公章</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年</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月</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日</w:t>
            </w:r>
            <w:r/>
          </w:p>
        </w:tc>
      </w:tr>
    </w:tbl>
    <w:p>
      <w:pPr>
        <w:rPr>
          <w:color w:val="auto"/>
          <w:highlight w:val="none"/>
        </w:rPr>
        <w:sectPr>
          <w:footerReference w:type="default" r:id="rId14"/>
          <w:footerReference w:type="first" r:id="rId15"/>
          <w:footnotePr/>
          <w:endnotePr/>
          <w:type w:val="nextPage"/>
          <w:pgSz w:w="11906" w:h="16838" w:orient="portrait"/>
          <w:pgMar w:top="1440" w:right="1709" w:bottom="1440" w:left="1797" w:header="851" w:footer="992" w:gutter="0"/>
          <w:pgNumType w:start="1"/>
          <w:cols w:num="1" w:sep="0" w:space="1701" w:equalWidth="1"/>
          <w:docGrid w:linePitch="360"/>
          <w:titlePg/>
        </w:sectPr>
      </w:pPr>
      <w:r>
        <w:rPr>
          <w:color w:val="auto"/>
          <w:highlight w:val="none"/>
        </w:rPr>
      </w:r>
      <w:r/>
    </w:p>
    <w:p>
      <w:pPr>
        <w:pStyle w:val="1028"/>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40"/>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1034"/>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1034"/>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1034"/>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1034"/>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1034"/>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1034"/>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1034"/>
              <w:spacing w:line="264" w:lineRule="auto"/>
              <w:widowControl w:val="off"/>
              <w:rPr>
                <w:color w:val="auto"/>
                <w:highlight w:val="none"/>
              </w:rPr>
            </w:pPr>
            <w:r>
              <w:rPr>
                <w:color w:val="auto"/>
                <w:highlight w:val="none"/>
              </w:rPr>
            </w:r>
            <w:r/>
          </w:p>
          <w:p>
            <w:pPr>
              <w:pStyle w:val="1034"/>
              <w:spacing w:line="264" w:lineRule="auto"/>
              <w:widowControl w:val="off"/>
              <w:rPr>
                <w:color w:val="auto"/>
                <w:highlight w:val="none"/>
              </w:rPr>
            </w:pPr>
            <w:r>
              <w:rPr>
                <w:color w:val="auto"/>
                <w:highlight w:val="none"/>
              </w:rPr>
            </w:r>
            <w:r/>
          </w:p>
          <w:p>
            <w:pPr>
              <w:pStyle w:val="1034"/>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1034"/>
              <w:widowControl w:val="off"/>
              <w:rPr>
                <w:color w:val="auto"/>
                <w:highlight w:val="none"/>
              </w:rPr>
            </w:pPr>
            <w:r>
              <w:rPr>
                <w:color w:val="auto"/>
                <w:highlight w:val="none"/>
              </w:rPr>
            </w:r>
            <w:r/>
          </w:p>
        </w:tc>
        <w:tc>
          <w:tcPr>
            <w:tcW w:w="1910" w:type="dxa"/>
            <w:vAlign w:val="top"/>
            <w:textDirection w:val="lrTb"/>
            <w:noWrap w:val="false"/>
          </w:tcPr>
          <w:p>
            <w:pPr>
              <w:pStyle w:val="1034"/>
              <w:spacing w:line="264" w:lineRule="auto"/>
              <w:widowControl w:val="off"/>
              <w:rPr>
                <w:color w:val="auto"/>
                <w:highlight w:val="none"/>
              </w:rPr>
            </w:pPr>
            <w:r>
              <w:rPr>
                <w:color w:val="auto"/>
                <w:highlight w:val="none"/>
              </w:rPr>
            </w:r>
            <w:r/>
          </w:p>
          <w:p>
            <w:pPr>
              <w:pStyle w:val="1034"/>
              <w:spacing w:line="264" w:lineRule="auto"/>
              <w:widowControl w:val="off"/>
              <w:rPr>
                <w:color w:val="auto"/>
                <w:highlight w:val="none"/>
              </w:rPr>
            </w:pPr>
            <w:r>
              <w:rPr>
                <w:color w:val="auto"/>
                <w:highlight w:val="none"/>
              </w:rPr>
            </w:r>
            <w:r/>
          </w:p>
          <w:p>
            <w:pPr>
              <w:pStyle w:val="1034"/>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1034"/>
              <w:widowControl w:val="off"/>
              <w:rPr>
                <w:color w:val="auto"/>
                <w:highlight w:val="none"/>
              </w:rPr>
            </w:pPr>
            <w:r>
              <w:rPr>
                <w:color w:val="auto"/>
                <w:highlight w:val="none"/>
              </w:rPr>
            </w:r>
            <w:r/>
          </w:p>
        </w:tc>
        <w:tc>
          <w:tcPr>
            <w:tcW w:w="1729" w:type="dxa"/>
            <w:vAlign w:val="top"/>
            <w:textDirection w:val="lrTb"/>
            <w:noWrap w:val="false"/>
          </w:tcPr>
          <w:p>
            <w:pPr>
              <w:pStyle w:val="1034"/>
              <w:spacing w:line="264" w:lineRule="auto"/>
              <w:widowControl w:val="off"/>
              <w:rPr>
                <w:color w:val="auto"/>
                <w:highlight w:val="none"/>
              </w:rPr>
            </w:pPr>
            <w:r>
              <w:rPr>
                <w:color w:val="auto"/>
                <w:highlight w:val="none"/>
              </w:rPr>
            </w:r>
            <w:r/>
          </w:p>
          <w:p>
            <w:pPr>
              <w:pStyle w:val="1034"/>
              <w:spacing w:line="264" w:lineRule="auto"/>
              <w:widowControl w:val="off"/>
              <w:rPr>
                <w:color w:val="auto"/>
                <w:highlight w:val="none"/>
              </w:rPr>
            </w:pPr>
            <w:r>
              <w:rPr>
                <w:color w:val="auto"/>
                <w:highlight w:val="none"/>
              </w:rPr>
            </w:r>
            <w:r/>
          </w:p>
          <w:p>
            <w:pPr>
              <w:pStyle w:val="1034"/>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1034"/>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1034"/>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1034"/>
              <w:spacing w:line="268" w:lineRule="auto"/>
              <w:widowControl w:val="off"/>
              <w:rPr>
                <w:color w:val="auto"/>
                <w:highlight w:val="none"/>
              </w:rPr>
            </w:pPr>
            <w:r>
              <w:rPr>
                <w:color w:val="auto"/>
                <w:highlight w:val="none"/>
              </w:rPr>
            </w:r>
            <w:r/>
          </w:p>
          <w:p>
            <w:pPr>
              <w:pStyle w:val="1034"/>
              <w:spacing w:line="268" w:lineRule="auto"/>
              <w:widowControl w:val="off"/>
              <w:rPr>
                <w:color w:val="auto"/>
                <w:highlight w:val="none"/>
              </w:rPr>
            </w:pPr>
            <w:r>
              <w:rPr>
                <w:color w:val="auto"/>
                <w:highlight w:val="none"/>
              </w:rPr>
            </w:r>
            <w:r/>
          </w:p>
          <w:p>
            <w:pPr>
              <w:pStyle w:val="1034"/>
              <w:spacing w:line="268" w:lineRule="auto"/>
              <w:widowControl w:val="off"/>
              <w:rPr>
                <w:color w:val="auto"/>
                <w:highlight w:val="none"/>
              </w:rPr>
            </w:pPr>
            <w:r>
              <w:rPr>
                <w:color w:val="auto"/>
                <w:highlight w:val="none"/>
              </w:rPr>
            </w:r>
            <w:r/>
          </w:p>
          <w:p>
            <w:pPr>
              <w:pStyle w:val="1034"/>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1034"/>
              <w:spacing w:line="257" w:lineRule="auto"/>
              <w:widowControl w:val="off"/>
              <w:rPr>
                <w:color w:val="auto"/>
                <w:highlight w:val="none"/>
              </w:rPr>
            </w:pPr>
            <w:r>
              <w:rPr>
                <w:color w:val="auto"/>
                <w:highlight w:val="none"/>
              </w:rPr>
            </w:r>
            <w:r/>
          </w:p>
          <w:p>
            <w:pPr>
              <w:pStyle w:val="1034"/>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1034"/>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1034"/>
              <w:spacing w:line="257" w:lineRule="auto"/>
              <w:widowControl w:val="off"/>
              <w:rPr>
                <w:color w:val="auto"/>
                <w:highlight w:val="none"/>
              </w:rPr>
            </w:pPr>
            <w:r>
              <w:rPr>
                <w:color w:val="auto"/>
                <w:highlight w:val="none"/>
              </w:rPr>
            </w:r>
            <w:r/>
          </w:p>
          <w:p>
            <w:pPr>
              <w:pStyle w:val="1034"/>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1034"/>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1034"/>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1034"/>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1034"/>
              <w:spacing w:line="257" w:lineRule="auto"/>
              <w:widowControl w:val="off"/>
              <w:rPr>
                <w:color w:val="auto"/>
                <w:highlight w:val="none"/>
              </w:rPr>
            </w:pPr>
            <w:r>
              <w:rPr>
                <w:color w:val="auto"/>
                <w:highlight w:val="none"/>
              </w:rPr>
            </w:r>
            <w:r/>
          </w:p>
          <w:p>
            <w:pPr>
              <w:pStyle w:val="1034"/>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1034"/>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1034"/>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1034"/>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1034"/>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1034"/>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1034"/>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1034"/>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1034"/>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40"/>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1034"/>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1034"/>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1034"/>
              <w:spacing w:line="263" w:lineRule="auto"/>
              <w:widowControl w:val="off"/>
              <w:rPr>
                <w:color w:val="auto"/>
                <w:highlight w:val="none"/>
              </w:rPr>
            </w:pPr>
            <w:r>
              <w:rPr>
                <w:color w:val="auto"/>
                <w:highlight w:val="none"/>
              </w:rPr>
            </w:r>
            <w:r/>
          </w:p>
          <w:p>
            <w:pPr>
              <w:pStyle w:val="1034"/>
              <w:spacing w:line="264" w:lineRule="auto"/>
              <w:widowControl w:val="off"/>
              <w:rPr>
                <w:color w:val="auto"/>
                <w:highlight w:val="none"/>
              </w:rPr>
            </w:pPr>
            <w:r>
              <w:rPr>
                <w:color w:val="auto"/>
                <w:highlight w:val="none"/>
              </w:rPr>
            </w:r>
            <w:r/>
          </w:p>
          <w:p>
            <w:pPr>
              <w:pStyle w:val="1034"/>
              <w:spacing w:line="264" w:lineRule="auto"/>
              <w:widowControl w:val="off"/>
              <w:rPr>
                <w:color w:val="auto"/>
                <w:highlight w:val="none"/>
              </w:rPr>
            </w:pPr>
            <w:r>
              <w:rPr>
                <w:color w:val="auto"/>
                <w:highlight w:val="none"/>
              </w:rPr>
            </w:r>
            <w:r/>
          </w:p>
          <w:p>
            <w:pPr>
              <w:pStyle w:val="1034"/>
              <w:spacing w:line="264" w:lineRule="auto"/>
              <w:widowControl w:val="off"/>
              <w:rPr>
                <w:color w:val="auto"/>
                <w:highlight w:val="none"/>
              </w:rPr>
            </w:pPr>
            <w:r>
              <w:rPr>
                <w:color w:val="auto"/>
                <w:highlight w:val="none"/>
              </w:rPr>
            </w:r>
            <w:r/>
          </w:p>
          <w:p>
            <w:pPr>
              <w:pStyle w:val="1034"/>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1034"/>
              <w:spacing w:line="263" w:lineRule="auto"/>
              <w:widowControl w:val="off"/>
              <w:rPr>
                <w:color w:val="auto"/>
                <w:highlight w:val="none"/>
              </w:rPr>
            </w:pPr>
            <w:r>
              <w:rPr>
                <w:color w:val="auto"/>
                <w:highlight w:val="none"/>
              </w:rPr>
            </w:r>
            <w:r/>
          </w:p>
          <w:p>
            <w:pPr>
              <w:pStyle w:val="1034"/>
              <w:spacing w:line="264" w:lineRule="auto"/>
              <w:widowControl w:val="off"/>
              <w:rPr>
                <w:color w:val="auto"/>
                <w:highlight w:val="none"/>
              </w:rPr>
            </w:pPr>
            <w:r>
              <w:rPr>
                <w:color w:val="auto"/>
                <w:highlight w:val="none"/>
              </w:rPr>
            </w:r>
            <w:r/>
          </w:p>
          <w:p>
            <w:pPr>
              <w:pStyle w:val="1034"/>
              <w:spacing w:line="264" w:lineRule="auto"/>
              <w:widowControl w:val="off"/>
              <w:rPr>
                <w:color w:val="auto"/>
                <w:highlight w:val="none"/>
              </w:rPr>
            </w:pPr>
            <w:r>
              <w:rPr>
                <w:color w:val="auto"/>
                <w:highlight w:val="none"/>
              </w:rPr>
            </w:r>
            <w:r/>
          </w:p>
          <w:p>
            <w:pPr>
              <w:pStyle w:val="1034"/>
              <w:spacing w:line="264" w:lineRule="auto"/>
              <w:widowControl w:val="off"/>
              <w:rPr>
                <w:color w:val="auto"/>
                <w:highlight w:val="none"/>
              </w:rPr>
            </w:pPr>
            <w:r>
              <w:rPr>
                <w:color w:val="auto"/>
                <w:highlight w:val="none"/>
              </w:rPr>
            </w:r>
            <w:r/>
          </w:p>
          <w:p>
            <w:pPr>
              <w:pStyle w:val="1034"/>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1034"/>
              <w:spacing w:line="274" w:lineRule="auto"/>
              <w:widowControl w:val="off"/>
              <w:rPr>
                <w:color w:val="auto"/>
                <w:highlight w:val="none"/>
              </w:rPr>
            </w:pPr>
            <w:r>
              <w:rPr>
                <w:color w:val="auto"/>
                <w:highlight w:val="none"/>
              </w:rPr>
            </w:r>
            <w:r/>
          </w:p>
          <w:p>
            <w:pPr>
              <w:pStyle w:val="1034"/>
              <w:spacing w:line="274" w:lineRule="auto"/>
              <w:widowControl w:val="off"/>
              <w:rPr>
                <w:color w:val="auto"/>
                <w:highlight w:val="none"/>
              </w:rPr>
            </w:pPr>
            <w:r>
              <w:rPr>
                <w:color w:val="auto"/>
                <w:highlight w:val="none"/>
              </w:rPr>
            </w:r>
            <w:r/>
          </w:p>
          <w:p>
            <w:pPr>
              <w:pStyle w:val="1034"/>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rPr>
          <w:rFonts w:hint="eastAsia"/>
          <w:lang w:val="en-US" w:eastAsia="zh-CN"/>
        </w:rPr>
        <w:sectPr>
          <w:headerReference w:type="default" r:id="rId11"/>
          <w:footerReference w:type="default" r:id="rId16"/>
          <w:footnotePr/>
          <w:endnotePr/>
          <w:type w:val="nextPage"/>
          <w:pgSz w:w="16838" w:h="11906" w:orient="landscape"/>
          <w:pgMar w:top="1800" w:right="1440" w:bottom="1416" w:left="1440" w:header="851" w:footer="992" w:gutter="0"/>
          <w:cols w:num="1" w:sep="0" w:space="1701" w:equalWidth="1"/>
          <w:docGrid w:linePitch="360"/>
        </w:sectPr>
      </w:pPr>
      <w:r>
        <w:rPr>
          <w:rFonts w:hint="eastAsia"/>
          <w:lang w:val="en-US" w:eastAsia="zh-CN"/>
        </w:rPr>
      </w:r>
      <w:r/>
    </w:p>
    <w:p>
      <w:pPr>
        <w:jc w:val="center"/>
        <w:spacing w:line="400" w:lineRule="exact"/>
        <w:rPr>
          <w:rFonts w:hint="eastAsia" w:ascii="宋体" w:hAnsi="宋体"/>
          <w:b/>
          <w:bCs/>
          <w:sz w:val="36"/>
          <w:szCs w:val="36"/>
          <w:lang w:val="zh-CN"/>
        </w:rPr>
      </w:pPr>
      <w:r>
        <w:rPr>
          <w:rFonts w:hint="eastAsia" w:ascii="宋体" w:hAnsi="宋体"/>
          <w:b/>
          <w:bCs/>
          <w:sz w:val="36"/>
          <w:szCs w:val="36"/>
          <w:lang w:val="zh-CN"/>
        </w:rPr>
        <w:t xml:space="preserve">响应文件格式</w:t>
      </w:r>
      <w:bookmarkEnd w:id="0"/>
      <w:r/>
    </w:p>
    <w:p>
      <w:pPr>
        <w:jc w:val="both"/>
        <w:spacing w:line="360" w:lineRule="auto"/>
        <w:widowControl w:val="off"/>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jc w:val="both"/>
        <w:spacing w:line="360" w:lineRule="auto"/>
        <w:widowControl w:val="off"/>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格式1、响应承诺函</w:t>
      </w:r>
      <w:r/>
    </w:p>
    <w:p>
      <w:pPr>
        <w:ind w:firstLine="643"/>
        <w:jc w:val="center"/>
        <w:spacing w:line="360" w:lineRule="auto"/>
        <w:widowControl w:val="off"/>
        <w:rPr>
          <w:rFonts w:hint="eastAsia" w:ascii="宋体" w:hAnsi="宋体"/>
          <w:b/>
          <w:color w:val="auto"/>
          <w:sz w:val="28"/>
          <w:szCs w:val="28"/>
          <w:highlight w:val="none"/>
        </w:rPr>
      </w:pPr>
      <w:r>
        <w:rPr>
          <w:rFonts w:hint="eastAsia" w:ascii="宋体" w:hAnsi="宋体"/>
          <w:b/>
          <w:color w:val="auto"/>
          <w:sz w:val="28"/>
          <w:szCs w:val="28"/>
          <w:highlight w:val="none"/>
          <w:lang w:val="en-US" w:eastAsia="zh-CN"/>
        </w:rPr>
        <w:t xml:space="preserve">响应承诺</w:t>
      </w:r>
      <w:r>
        <w:rPr>
          <w:rFonts w:ascii="宋体" w:hAnsi="宋体"/>
          <w:b/>
          <w:color w:val="auto"/>
          <w:sz w:val="28"/>
          <w:szCs w:val="28"/>
          <w:highlight w:val="none"/>
          <w:lang w:val="zh-CN"/>
        </w:rPr>
        <w:t xml:space="preserve">函</w:t>
      </w:r>
      <w:r/>
    </w:p>
    <w:p>
      <w:pPr>
        <w:pStyle w:val="1024"/>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024"/>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024"/>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024"/>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024"/>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024"/>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024"/>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02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024"/>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024"/>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02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024"/>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024"/>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024"/>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02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02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024"/>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ind w:firstLine="420"/>
        <w:rPr>
          <w:rFonts w:hAnsi="宋体" w:eastAsia="宋体"/>
          <w:bCs/>
          <w:color w:val="auto"/>
          <w:sz w:val="21"/>
          <w:szCs w:val="21"/>
          <w:highlight w:val="none"/>
        </w:rPr>
      </w:pPr>
      <w:r>
        <w:rPr>
          <w:rFonts w:hAnsi="宋体" w:eastAsia="宋体"/>
          <w:bCs/>
          <w:color w:val="auto"/>
          <w:sz w:val="21"/>
          <w:szCs w:val="21"/>
          <w:highlight w:val="none"/>
        </w:rPr>
        <w:t xml:space="preserve">单位法定代表人或代理人：（签字或签章）</w:t>
      </w:r>
      <w:r/>
    </w:p>
    <w:p>
      <w:pPr>
        <w:ind w:firstLine="420"/>
        <w:rPr>
          <w:rFonts w:hAnsi="宋体" w:eastAsia="宋体"/>
          <w:bCs/>
          <w:color w:val="auto"/>
          <w:sz w:val="21"/>
          <w:szCs w:val="21"/>
          <w:highlight w:val="none"/>
        </w:rPr>
      </w:pPr>
      <w:r>
        <w:rPr>
          <w:rFonts w:hAnsi="宋体" w:eastAsia="宋体"/>
          <w:bCs/>
          <w:color w:val="auto"/>
          <w:sz w:val="21"/>
          <w:szCs w:val="21"/>
          <w:highlight w:val="none"/>
        </w:rPr>
      </w:r>
      <w:r/>
    </w:p>
    <w:p>
      <w:pPr>
        <w:ind w:firstLine="420"/>
        <w:rPr>
          <w:rFonts w:ascii="宋体" w:hAnsi="宋体"/>
          <w:b/>
          <w:bCs/>
          <w:color w:val="auto"/>
          <w:sz w:val="21"/>
          <w:szCs w:val="21"/>
          <w:highlight w:val="none"/>
        </w:rPr>
      </w:pPr>
      <w:r>
        <w:rPr>
          <w:rFonts w:hAnsi="宋体" w:eastAsia="宋体"/>
          <w:bCs/>
          <w:color w:val="auto"/>
          <w:sz w:val="21"/>
          <w:szCs w:val="21"/>
          <w:highlight w:val="none"/>
        </w:rPr>
        <w:t xml:space="preserve">  年     月     日</w:t>
      </w:r>
      <w:r/>
    </w:p>
    <w:p>
      <w:pPr>
        <w:rPr>
          <w:rFonts w:ascii="宋体" w:hAnsi="宋体"/>
          <w:b/>
          <w:bCs/>
          <w:color w:val="auto"/>
          <w:sz w:val="21"/>
          <w:szCs w:val="21"/>
          <w:highlight w:val="none"/>
        </w:rPr>
      </w:pPr>
      <w:r>
        <w:rPr>
          <w:rFonts w:ascii="宋体" w:hAnsi="宋体"/>
          <w:b/>
          <w:bCs/>
          <w:color w:val="auto"/>
          <w:sz w:val="21"/>
          <w:szCs w:val="21"/>
          <w:highlight w:val="none"/>
        </w:rPr>
        <w:br w:type="page" w:clear="all"/>
      </w:r>
      <w:r/>
    </w:p>
    <w:p>
      <w:pPr>
        <w:ind w:firstLine="420"/>
        <w:jc w:val="both"/>
        <w:spacing w:line="360" w:lineRule="auto"/>
        <w:widowControl w:val="off"/>
        <w:rPr>
          <w:rFonts w:hint="eastAsia" w:ascii="宋体" w:hAnsi="宋体"/>
          <w:b/>
          <w:bCs/>
          <w:color w:val="auto"/>
          <w:sz w:val="21"/>
          <w:szCs w:val="21"/>
          <w:highlight w:val="none"/>
        </w:rPr>
      </w:pP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17" w:name="sys_STR"/>
      <w:r/>
      <w:bookmarkEnd w:id="17"/>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40"/>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035"/>
              <w:jc w:val="center"/>
              <w:rPr>
                <w:rStyle w:val="1036"/>
                <w:rFonts w:hint="eastAsia" w:ascii="宋体" w:hAnsi="宋体" w:eastAsia="宋体" w:cs="宋体"/>
                <w:color w:val="auto"/>
                <w:sz w:val="21"/>
                <w:szCs w:val="21"/>
                <w:highlight w:val="none"/>
              </w:rPr>
            </w:pPr>
            <w:r>
              <w:rPr>
                <w:rStyle w:val="1036"/>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035"/>
              <w:jc w:val="center"/>
              <w:rPr>
                <w:rStyle w:val="1036"/>
                <w:rFonts w:hint="eastAsia" w:ascii="宋体" w:hAnsi="宋体" w:eastAsia="宋体" w:cs="宋体"/>
                <w:color w:val="auto"/>
                <w:sz w:val="21"/>
                <w:szCs w:val="21"/>
                <w:highlight w:val="none"/>
              </w:rPr>
            </w:pPr>
            <w:r>
              <w:rPr>
                <w:rStyle w:val="1036"/>
                <w:rFonts w:hint="eastAsia" w:ascii="宋体" w:hAnsi="宋体" w:eastAsia="宋体" w:cs="宋体"/>
                <w:color w:val="auto"/>
                <w:sz w:val="21"/>
                <w:szCs w:val="21"/>
                <w:highlight w:val="none"/>
              </w:rPr>
              <w:t xml:space="preserve">投标总报价</w:t>
            </w:r>
            <w:r>
              <w:rPr>
                <w:rStyle w:val="1036"/>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035"/>
              <w:jc w:val="center"/>
              <w:rPr>
                <w:rStyle w:val="103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035"/>
              <w:rPr>
                <w:rStyle w:val="103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5"/>
              <w:rPr>
                <w:rStyle w:val="1036"/>
                <w:rFonts w:hint="eastAsia" w:ascii="宋体" w:hAnsi="宋体" w:eastAsia="宋体" w:cs="宋体"/>
                <w:color w:val="auto"/>
                <w:sz w:val="21"/>
                <w:szCs w:val="21"/>
                <w:highlight w:val="none"/>
              </w:rPr>
            </w:pPr>
            <w:r>
              <w:rPr>
                <w:rStyle w:val="1036"/>
                <w:rFonts w:hint="eastAsia" w:ascii="宋体" w:hAnsi="宋体" w:eastAsia="宋体" w:cs="宋体"/>
                <w:color w:val="auto"/>
                <w:sz w:val="21"/>
                <w:szCs w:val="21"/>
                <w:highlight w:val="none"/>
              </w:rPr>
              <w:t xml:space="preserve">小写：    </w:t>
            </w:r>
            <w:r>
              <w:rPr>
                <w:rStyle w:val="1036"/>
                <w:rFonts w:hint="eastAsia" w:ascii="宋体" w:hAnsi="宋体" w:eastAsia="宋体" w:cs="宋体"/>
                <w:color w:val="auto"/>
                <w:sz w:val="21"/>
                <w:szCs w:val="21"/>
                <w:highlight w:val="none"/>
                <w:lang w:val="en-US" w:eastAsia="zh-CN"/>
              </w:rPr>
              <w:t xml:space="preserve">          </w:t>
            </w:r>
            <w:r>
              <w:rPr>
                <w:rStyle w:val="1036"/>
                <w:rFonts w:hint="eastAsia" w:ascii="宋体" w:hAnsi="宋体" w:eastAsia="宋体" w:cs="宋体"/>
                <w:color w:val="auto"/>
                <w:sz w:val="21"/>
                <w:szCs w:val="21"/>
                <w:highlight w:val="none"/>
              </w:rPr>
              <w:t xml:space="preserve">  </w:t>
            </w:r>
            <w:r>
              <w:rPr>
                <w:rStyle w:val="1036"/>
                <w:rFonts w:hint="eastAsia" w:ascii="宋体" w:hAnsi="宋体" w:eastAsia="宋体" w:cs="宋体"/>
                <w:color w:val="auto"/>
                <w:sz w:val="21"/>
                <w:szCs w:val="21"/>
                <w:highlight w:val="none"/>
                <w:lang w:val="en-US" w:eastAsia="zh-CN"/>
              </w:rPr>
              <w:t xml:space="preserve">      </w:t>
            </w:r>
            <w:r>
              <w:rPr>
                <w:rStyle w:val="1036"/>
                <w:rFonts w:hint="eastAsia" w:ascii="宋体" w:hAnsi="宋体" w:eastAsia="宋体" w:cs="宋体"/>
                <w:color w:val="auto"/>
                <w:sz w:val="21"/>
                <w:szCs w:val="21"/>
                <w:highlight w:val="none"/>
              </w:rPr>
              <w:t xml:space="preserve">元（人民币）</w:t>
            </w:r>
            <w:r/>
          </w:p>
          <w:p>
            <w:pPr>
              <w:pStyle w:val="1035"/>
              <w:rPr>
                <w:rStyle w:val="103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035"/>
              <w:rPr>
                <w:rStyle w:val="1036"/>
                <w:rFonts w:hint="eastAsia" w:ascii="宋体" w:hAnsi="宋体" w:eastAsia="宋体" w:cs="宋体"/>
                <w:color w:val="auto"/>
                <w:sz w:val="21"/>
                <w:szCs w:val="21"/>
                <w:highlight w:val="none"/>
              </w:rPr>
            </w:pPr>
            <w:r>
              <w:rPr>
                <w:rStyle w:val="1036"/>
                <w:rFonts w:ascii="宋体" w:hAnsi="宋体" w:eastAsia="宋体" w:cs="宋体"/>
                <w:color w:val="auto"/>
                <w:sz w:val="21"/>
                <w:szCs w:val="21"/>
                <w:highlight w:val="none"/>
              </w:rPr>
              <w:t xml:space="preserve">投标</w:t>
            </w:r>
            <w:r>
              <w:rPr>
                <w:rStyle w:val="1036"/>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035"/>
              <w:rPr>
                <w:rStyle w:val="1036"/>
                <w:rFonts w:hint="eastAsia" w:ascii="宋体" w:hAnsi="宋体" w:eastAsia="宋体" w:cs="宋体"/>
                <w:color w:val="auto"/>
                <w:sz w:val="21"/>
                <w:szCs w:val="21"/>
                <w:highlight w:val="none"/>
                <w:lang w:eastAsia="zh-CN"/>
              </w:rPr>
            </w:pPr>
            <w:r>
              <w:rPr>
                <w:rStyle w:val="1036"/>
                <w:rFonts w:hint="eastAsia" w:ascii="宋体" w:hAnsi="宋体" w:eastAsia="宋体" w:cs="宋体"/>
                <w:color w:val="auto"/>
                <w:sz w:val="21"/>
                <w:szCs w:val="21"/>
                <w:highlight w:val="none"/>
              </w:rPr>
              <w:t xml:space="preserve">金额大写</w:t>
            </w:r>
            <w:r>
              <w:rPr>
                <w:rStyle w:val="1036"/>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037"/>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40"/>
        <w:tblW w:w="848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1038"/>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hAnsi="宋体" w:cs="Times New Roman"/>
          <w:bCs/>
          <w:color w:val="auto"/>
          <w:sz w:val="21"/>
          <w:szCs w:val="21"/>
          <w:highlight w:val="none"/>
          <w:lang w:val="en-US" w:eastAsia="zh-CN"/>
        </w:rPr>
        <w:t xml:space="preserve">2</w:t>
      </w:r>
      <w:r>
        <w:rPr>
          <w:rFonts w:hint="eastAsia" w:ascii="Times New Roman" w:hAnsi="宋体" w:eastAsia="宋体" w:cs="Times New Roman"/>
          <w:bCs/>
          <w:color w:val="auto"/>
          <w:sz w:val="21"/>
          <w:szCs w:val="21"/>
          <w:highlight w:val="none"/>
          <w:lang w:val="en-US" w:eastAsia="zh-CN"/>
        </w:rPr>
        <w:t xml:space="preserve">、</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037"/>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039"/>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40"/>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8"/>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1038"/>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both"/>
        <w:spacing w:line="360" w:lineRule="auto"/>
        <w:widowControl w:val="off"/>
        <w:rPr>
          <w:b/>
          <w:bCs w:val="0"/>
          <w:color w:val="auto"/>
          <w:sz w:val="21"/>
          <w:szCs w:val="21"/>
          <w:highlight w:val="none"/>
        </w:rPr>
        <w:outlineLvl w:val="0"/>
      </w:pPr>
      <w:r>
        <w:rPr>
          <w:rFonts w:hAnsi="宋体"/>
          <w:b/>
          <w:bCs w:val="0"/>
          <w:color w:val="auto"/>
          <w:sz w:val="21"/>
          <w:szCs w:val="21"/>
          <w:highlight w:val="none"/>
        </w:rPr>
        <w:t xml:space="preserve">格式</w:t>
      </w:r>
      <w:r>
        <w:rPr>
          <w:b/>
          <w:bCs w:val="0"/>
          <w:color w:val="auto"/>
          <w:sz w:val="21"/>
          <w:szCs w:val="21"/>
          <w:highlight w:val="none"/>
        </w:rPr>
        <w:t xml:space="preserve">6</w:t>
      </w:r>
      <w:r>
        <w:rPr>
          <w:rFonts w:hAnsi="宋体"/>
          <w:b/>
          <w:bCs w:val="0"/>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40"/>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1038"/>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格式7、主要配件和易损件价格清单表</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如有</w:t>
      </w:r>
      <w:r>
        <w:rPr>
          <w:rFonts w:hint="eastAsia" w:ascii="宋体" w:hAnsi="宋体" w:eastAsia="宋体" w:cs="宋体"/>
          <w:b/>
          <w:bCs/>
          <w:color w:val="auto"/>
          <w:sz w:val="21"/>
          <w:szCs w:val="21"/>
          <w:highlight w:val="none"/>
          <w:lang w:eastAsia="zh-CN"/>
        </w:rPr>
        <w:t xml:space="preserve">）</w:t>
      </w:r>
      <w:r/>
    </w:p>
    <w:p>
      <w:pPr>
        <w:pStyle w:val="1038"/>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40"/>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45"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45"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45"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45"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45"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45"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1028"/>
        <w:ind w:firstLine="420"/>
        <w:rPr>
          <w:rFonts w:eastAsia="楷体_GB2312"/>
          <w:color w:val="auto"/>
          <w:highlight w:val="none"/>
        </w:rPr>
      </w:pPr>
      <w:r>
        <w:rPr>
          <w:color w:val="auto"/>
          <w:highlight w:val="none"/>
          <w:lang w:val="zh-CN"/>
        </w:rPr>
        <w:br w:type="page" w:clear="all"/>
      </w:r>
      <w:r/>
    </w:p>
    <w:p>
      <w:pPr>
        <w:pStyle w:val="1038"/>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格式8、主要耗材价格清单表</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如有</w:t>
      </w:r>
      <w:r>
        <w:rPr>
          <w:rFonts w:hint="eastAsia" w:ascii="宋体" w:hAnsi="宋体" w:eastAsia="宋体" w:cs="宋体"/>
          <w:b/>
          <w:bCs/>
          <w:color w:val="auto"/>
          <w:sz w:val="21"/>
          <w:szCs w:val="21"/>
          <w:highlight w:val="none"/>
          <w:lang w:eastAsia="zh-CN"/>
        </w:rPr>
        <w:t xml:space="preserve">）</w:t>
      </w:r>
      <w:r/>
    </w:p>
    <w:p>
      <w:pPr>
        <w:pStyle w:val="1038"/>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40"/>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164"/>
        <w:gridCol w:w="1243"/>
        <w:gridCol w:w="1227"/>
        <w:gridCol w:w="644"/>
        <w:gridCol w:w="798"/>
        <w:gridCol w:w="1197"/>
        <w:gridCol w:w="1117"/>
        <w:gridCol w:w="1204"/>
      </w:tblGrid>
      <w:tr>
        <w:trPr>
          <w:jc w:val="center"/>
          <w:trHeight w:val="1154" w:hRule="exact"/>
        </w:trPr>
        <w:tc>
          <w:tcPr>
            <w:tcBorders>
              <w:top w:val="single" w:color="auto" w:sz="4" w:space="0"/>
              <w:left w:val="single" w:color="auto" w:sz="4" w:space="0"/>
              <w:bottom w:val="single" w:color="auto" w:sz="4" w:space="0"/>
              <w:right w:val="single" w:color="auto" w:sz="4" w:space="0"/>
            </w:tcBorders>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1038"/>
        <w:ind w:left="0" w:firstLine="0"/>
        <w:spacing w:line="360" w:lineRule="auto"/>
        <w:rPr>
          <w:rFonts w:hint="eastAsia" w:ascii="宋体" w:hAnsi="宋体" w:eastAsia="宋体"/>
          <w:b/>
          <w:bCs w:val="0"/>
          <w:color w:val="auto"/>
          <w:sz w:val="21"/>
          <w:szCs w:val="21"/>
          <w:highlight w:val="none"/>
        </w:rPr>
      </w:pPr>
      <w:r>
        <w:rPr>
          <w:rFonts w:ascii="宋体" w:hAnsi="宋体" w:eastAsia="宋体"/>
          <w:b/>
          <w:bCs w:val="0"/>
          <w:color w:val="auto"/>
          <w:sz w:val="21"/>
          <w:szCs w:val="21"/>
          <w:highlight w:val="none"/>
        </w:rPr>
        <w:t xml:space="preserve">格式</w:t>
      </w:r>
      <w:r>
        <w:rPr>
          <w:rFonts w:hint="eastAsia" w:ascii="宋体" w:hAnsi="宋体" w:eastAsia="宋体"/>
          <w:b/>
          <w:bCs w:val="0"/>
          <w:color w:val="auto"/>
          <w:sz w:val="21"/>
          <w:szCs w:val="21"/>
          <w:highlight w:val="none"/>
        </w:rPr>
        <w:t xml:space="preserve">9</w:t>
      </w:r>
      <w:r>
        <w:rPr>
          <w:rFonts w:ascii="宋体" w:hAnsi="宋体" w:eastAsia="宋体"/>
          <w:b/>
          <w:bCs w:val="0"/>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40"/>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27"/>
        <w:gridCol w:w="3721"/>
        <w:gridCol w:w="1662"/>
        <w:gridCol w:w="1409"/>
      </w:tblGrid>
      <w:tr>
        <w:trPr>
          <w:trHeight w:val="68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7" w:type="dxa"/>
            <w:vAlign w:val="center"/>
            <w:textDirection w:val="lrTb"/>
            <w:noWrap w:val="false"/>
          </w:tcPr>
          <w:p>
            <w:pPr>
              <w:pStyle w:val="1040"/>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10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7" w:type="dxa"/>
            <w:vAlign w:val="center"/>
            <w:textDirection w:val="lrTb"/>
            <w:noWrap w:val="false"/>
          </w:tcPr>
          <w:p>
            <w:pPr>
              <w:pStyle w:val="10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1" w:type="dxa"/>
            <w:vAlign w:val="center"/>
            <w:textDirection w:val="lrTb"/>
            <w:noWrap w:val="false"/>
          </w:tcPr>
          <w:p>
            <w:pPr>
              <w:pStyle w:val="1041"/>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10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10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7" w:type="dxa"/>
            <w:vAlign w:val="center"/>
            <w:textDirection w:val="lrTb"/>
            <w:noWrap w:val="false"/>
          </w:tcPr>
          <w:p>
            <w:pPr>
              <w:pStyle w:val="10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1" w:type="dxa"/>
            <w:vAlign w:val="center"/>
            <w:textDirection w:val="lrTb"/>
            <w:noWrap w:val="false"/>
          </w:tcPr>
          <w:p>
            <w:pPr>
              <w:pStyle w:val="1041"/>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10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10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7" w:type="dxa"/>
            <w:vAlign w:val="center"/>
            <w:textDirection w:val="lrTb"/>
            <w:noWrap w:val="false"/>
          </w:tcPr>
          <w:p>
            <w:pPr>
              <w:pStyle w:val="10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1" w:type="dxa"/>
            <w:vAlign w:val="center"/>
            <w:textDirection w:val="lrTb"/>
            <w:noWrap w:val="false"/>
          </w:tcPr>
          <w:p>
            <w:pPr>
              <w:pStyle w:val="1041"/>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10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10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bCs/>
          <w:color w:val="auto"/>
          <w:sz w:val="21"/>
          <w:szCs w:val="21"/>
          <w:highlight w:val="none"/>
        </w:rPr>
      </w:pPr>
      <w:r>
        <w:rPr>
          <w:rFonts w:ascii="宋体" w:hAnsi="宋体"/>
          <w:color w:val="auto"/>
          <w:szCs w:val="24"/>
          <w:highlight w:val="none"/>
        </w:rPr>
        <w:br w:type="page" w:clear="all"/>
      </w:r>
      <w:r>
        <w:rPr>
          <w:rFonts w:hint="eastAsia" w:ascii="宋体" w:hAnsi="宋体"/>
          <w:b/>
          <w:bCs w:val="0"/>
          <w:color w:val="auto"/>
          <w:sz w:val="21"/>
          <w:szCs w:val="21"/>
          <w:highlight w:val="none"/>
          <w:lang w:val="en-US" w:eastAsia="zh-CN"/>
        </w:rPr>
        <w:t xml:space="preserve">格式10、</w:t>
      </w:r>
      <w:r>
        <w:rPr>
          <w:rFonts w:hAnsi="宋体"/>
          <w:b/>
          <w:bCs w:val="0"/>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rFonts w:hAnsi="宋体"/>
          <w:b/>
          <w:bCs/>
          <w:color w:val="auto"/>
          <w:sz w:val="28"/>
          <w:szCs w:val="28"/>
          <w:highlight w:val="none"/>
        </w:rPr>
      </w:pPr>
      <w:r>
        <w:rPr>
          <w:rFonts w:hAnsi="宋体"/>
          <w:b/>
          <w:bCs/>
          <w:color w:val="auto"/>
          <w:sz w:val="28"/>
          <w:szCs w:val="28"/>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1038"/>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40"/>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right="384" w:firstLine="420"/>
        <w:jc w:val="both"/>
        <w:spacing w:line="360" w:lineRule="auto"/>
        <w:rPr>
          <w:rFonts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Ansi="宋体"/>
          <w:bCs/>
          <w:color w:val="auto"/>
          <w:sz w:val="21"/>
          <w:szCs w:val="21"/>
          <w:highlight w:val="none"/>
        </w:rPr>
      </w:pPr>
      <w:r>
        <w:rPr>
          <w:rFonts w:hAnsi="宋体"/>
          <w:bCs/>
          <w:color w:val="auto"/>
          <w:sz w:val="21"/>
          <w:szCs w:val="21"/>
          <w:highlight w:val="none"/>
        </w:rPr>
        <w:br w:type="page" w:clear="all"/>
      </w:r>
      <w:r/>
    </w:p>
    <w:p>
      <w:pPr>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格式1</w:t>
      </w:r>
      <w:r>
        <w:rPr>
          <w:rFonts w:hint="eastAsia" w:ascii="宋体" w:hAnsi="宋体"/>
          <w:b/>
          <w:bCs/>
          <w:color w:val="auto"/>
          <w:sz w:val="21"/>
          <w:szCs w:val="21"/>
          <w:highlight w:val="none"/>
          <w:lang w:val="en-US" w:eastAsia="zh-CN"/>
        </w:rPr>
        <w:t xml:space="preserve">1</w:t>
      </w:r>
      <w:r>
        <w:rPr>
          <w:rFonts w:ascii="宋体" w:hAnsi="宋体"/>
          <w:b/>
          <w:bCs/>
          <w:color w:val="auto"/>
          <w:sz w:val="21"/>
          <w:szCs w:val="21"/>
          <w:highlight w:val="none"/>
          <w:lang w:val="zh-CN"/>
        </w:rPr>
        <w:t xml:space="preserve">、资格文件</w:t>
      </w:r>
      <w:r>
        <w:rPr>
          <w:rFonts w:hint="eastAsia" w:ascii="宋体" w:hAnsi="宋体"/>
          <w:b/>
          <w:bCs/>
          <w:color w:val="auto"/>
          <w:sz w:val="21"/>
          <w:szCs w:val="21"/>
          <w:highlight w:val="none"/>
          <w:lang w:val="zh-CN"/>
        </w:rPr>
        <w:t xml:space="preserve">的</w:t>
      </w:r>
      <w:r>
        <w:rPr>
          <w:rFonts w:hint="eastAsia" w:ascii="宋体" w:hAnsi="宋体"/>
          <w:b/>
          <w:bCs/>
          <w:color w:val="auto"/>
          <w:sz w:val="21"/>
          <w:szCs w:val="21"/>
          <w:highlight w:val="none"/>
        </w:rPr>
        <w:t xml:space="preserve">声明函</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r>
        <w:br w:type="page" w:clear="all"/>
      </w:r>
      <w:r/>
    </w:p>
    <w:p>
      <w:pPr>
        <w:jc w:val="both"/>
        <w:spacing w:line="360" w:lineRule="auto"/>
        <w:widowControl w:val="off"/>
        <w:rPr>
          <w:rFonts w:hint="eastAsia" w:ascii="宋体" w:hAnsi="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格式12、</w:t>
      </w:r>
      <w:r/>
    </w:p>
    <w:p>
      <w:pPr>
        <w:ind w:firstLine="420"/>
        <w:jc w:val="both"/>
        <w:keepLines w:val="0"/>
        <w:keepNext w:val="0"/>
        <w:pageBreakBefore w:val="0"/>
        <w:spacing w:line="240" w:lineRule="auto"/>
        <w:widowControl w:val="off"/>
        <w:rPr>
          <w:rFonts w:hint="eastAsia"/>
          <w:lang w:val="en-US" w:eastAsia="zh-CN"/>
        </w:rPr>
      </w:pPr>
      <w:r>
        <w:rPr>
          <w:rFonts w:hint="eastAsia"/>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lang w:val="en-US" w:eastAsia="zh-CN"/>
        </w:rPr>
      </w:pPr>
      <w:r>
        <w:rPr>
          <w:rFonts w:hint="eastAsia"/>
          <w:lang w:val="en-US" w:eastAsia="zh-CN"/>
        </w:rPr>
      </w:r>
      <w:r/>
    </w:p>
    <w:p>
      <w:pPr>
        <w:jc w:val="both"/>
        <w:rPr>
          <w:rFonts w:hint="eastAsia"/>
          <w:lang w:val="en-US" w:eastAsia="zh-CN"/>
        </w:rPr>
      </w:pPr>
      <w:r>
        <w:rPr>
          <w:rFonts w:hint="eastAsia"/>
          <w:lang w:val="en-US" w:eastAsia="zh-CN"/>
        </w:rPr>
      </w:r>
      <w:r/>
    </w:p>
    <w:p>
      <w:pPr>
        <w:jc w:val="both"/>
        <w:rPr>
          <w:rFonts w:hint="eastAsia"/>
          <w:lang w:val="en-US" w:eastAsia="zh-CN"/>
        </w:rPr>
      </w:pPr>
      <w:r>
        <w:rPr>
          <w:rFonts w:hint="eastAsia"/>
          <w:lang w:val="en-US" w:eastAsia="zh-CN"/>
        </w:rPr>
      </w:r>
      <w:r/>
    </w:p>
    <w:p>
      <w:pPr>
        <w:jc w:val="both"/>
        <w:rPr>
          <w:rFonts w:hint="eastAsia"/>
          <w:lang w:val="en-US" w:eastAsia="zh-CN"/>
        </w:rPr>
      </w:pPr>
      <w:r>
        <w:rPr>
          <w:rFonts w:hint="eastAsia"/>
          <w:lang w:val="en-US" w:eastAsia="zh-CN"/>
        </w:rPr>
      </w:r>
      <w:r/>
    </w:p>
    <w:p>
      <w:pPr>
        <w:jc w:val="center"/>
        <w:rPr>
          <w:rFonts w:hint="eastAsia" w:eastAsiaTheme="minorEastAsia"/>
          <w:b/>
          <w:sz w:val="40"/>
          <w:szCs w:val="40"/>
          <w:lang w:eastAsia="zh"/>
        </w:rPr>
      </w:pPr>
      <w:r>
        <w:rPr>
          <w:rFonts w:hint="eastAsia"/>
          <w:b/>
          <w:sz w:val="40"/>
          <w:szCs w:val="40"/>
          <w:lang w:eastAsia="zh"/>
        </w:rPr>
        <w:t xml:space="preserve">信息安全风险告知承诺函</w:t>
      </w:r>
      <w:r/>
    </w:p>
    <w:p>
      <w:pPr>
        <w:rPr>
          <w:rFonts w:hint="eastAsia" w:asciiTheme="minorEastAsia" w:hAnsiTheme="minorEastAsia"/>
          <w:b/>
          <w:sz w:val="28"/>
          <w:szCs w:val="28"/>
          <w:lang w:eastAsia="zh"/>
        </w:rPr>
      </w:pPr>
      <w:r>
        <w:rPr>
          <w:rFonts w:hint="eastAsia"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jc w:val="right"/>
        <w:rPr>
          <w:rFonts w:hint="eastAsia" w:ascii="仿宋" w:hAnsi="仿宋" w:eastAsia="仿宋" w:cs="仿宋"/>
          <w:sz w:val="24"/>
          <w:szCs w:val="24"/>
          <w:lang w:val="en-US" w:eastAsia="zh-CN"/>
        </w:rPr>
      </w:pP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sectPr>
      <w:footnotePr/>
      <w:endnotePr/>
      <w:type w:val="nextPage"/>
      <w:pgSz w:w="11906" w:h="16838" w:orient="portrait"/>
      <w:pgMar w:top="1440" w:right="141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FZXiaoBiaoSong-B05S">
    <w:panose1 w:val="020B0503020202020204"/>
  </w:font>
  <w:font w:name="汉仪书宋二S">
    <w:panose1 w:val="020B0503020202020204"/>
  </w:font>
  <w:font w:name="Symbol">
    <w:panose1 w:val="05050102010706020507"/>
  </w:font>
  <w:font w:name="Times">
    <w:panose1 w:val="02020603050405020304"/>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2438400</wp:posOffset>
              </wp:positionH>
              <wp:positionV relativeFrom="paragraph">
                <wp:posOffset>-76834</wp:posOffset>
              </wp:positionV>
              <wp:extent cx="686435" cy="2495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48"/>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48"/>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2600325</wp:posOffset>
              </wp:positionH>
              <wp:positionV relativeFrom="paragraph">
                <wp:posOffset>0</wp:posOffset>
              </wp:positionV>
              <wp:extent cx="200025"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00025" cy="1828800"/>
                      </a:xfrm>
                      <a:prstGeom prst="rect">
                        <a:avLst/>
                      </a:prstGeom>
                      <a:noFill/>
                      <a:ln>
                        <a:noFill/>
                      </a:ln>
                    </wps:spPr>
                    <wps:txbx>
                      <w:txbxContent>
                        <w:p>
                          <w:pPr>
                            <w:pStyle w:val="848"/>
                          </w:pPr>
                          <w:r>
                            <w:fldChar w:fldCharType="begin"/>
                          </w:r>
                          <w:r>
                            <w:instrText xml:space="preserve"> PAGE  \* MERGEFORMAT </w:instrText>
                          </w:r>
                          <w:r>
                            <w:fldChar w:fldCharType="separate"/>
                          </w:r>
                          <w:r>
                            <w:t xml:space="preserve">2</w:t>
                          </w:r>
                          <w:r>
                            <w:fldChar w:fldCharType="end"/>
                          </w:r>
                          <w:r/>
                        </w:p>
                      </w:txbxContent>
                    </wps:txbx>
                    <wps:bodyPr wrap="squar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argin-left:204.8pt;mso-position-horizontal:absolute;mso-position-vertical-relative:text;margin-top:0.0pt;mso-position-vertical:absolute;width:15.8pt;height:144.0pt;mso-wrap-distance-left:9.0pt;mso-wrap-distance-top:0.0pt;mso-wrap-distance-right:9.0pt;mso-wrap-distance-bottom:0.0pt;visibility:visible;" filled="f" stroked="f">
              <v:textbox inset="0,0,0,0">
                <w:txbxContent>
                  <w:p>
                    <w:pPr>
                      <w:pStyle w:val="848"/>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2438400</wp:posOffset>
              </wp:positionH>
              <wp:positionV relativeFrom="paragraph">
                <wp:posOffset>-76834</wp:posOffset>
              </wp:positionV>
              <wp:extent cx="686435" cy="2495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48"/>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xbxContent>
                    </wps:txbx>
                    <wps:bodyPr wrap="square" lIns="0" tIns="0" rIns="0" bIns="0" upright="1"/>
                  </wps:wsp>
                </a:graphicData>
              </a:graphic>
            </wp:anchor>
          </w:drawing>
        </mc:Choice>
        <mc:Fallback>
          <w:pict>
            <v:shape id="shape 3" o:spid="_x0000_s3" o:spt="202" type="#_x0000_t202" style="position:absolute;z-index:251661312;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48"/>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firstLine="360"/>
      <w:jc w:val="left"/>
      <w:rPr>
        <w:rFonts w:hint="default" w:eastAsia="宋体"/>
        <w:u w:val="single"/>
        <w:lang w:val="en-US" w:eastAsia="zh-CN"/>
      </w:rPr>
    </w:pPr>
    <w:r>
      <w:t xml:space="preserve">   </w:t>
    </w:r>
    <w:r>
      <w:rPr>
        <w:rFonts w:hint="eastAsia"/>
        <w:lang w:val="en-US" w:eastAsia="zh-CN"/>
      </w:rPr>
      <w:t xml:space="preserve">                   </w:t>
    </w:r>
    <w:r>
      <w:rPr>
        <w:rFonts w:hint="eastAsia"/>
        <w:u w:val="none"/>
        <w:lang w:val="en-US" w:eastAsia="zh-CN"/>
      </w:rPr>
      <w:t xml:space="preserve">    </w:t>
    </w:r>
    <w:r>
      <w:rPr>
        <w:rFonts w:hint="eastAsia" w:ascii="宋体" w:hAnsi="宋体"/>
        <w:u w:val="none"/>
        <w:lang w:val="en-US" w:eastAsia="zh-CN"/>
      </w:rPr>
      <w:t xml:space="preserve">          </w:t>
    </w:r>
    <w:r>
      <w:rPr>
        <w:rFonts w:hint="eastAsia" w:ascii="宋体" w:hAnsi="宋体" w:eastAsia="宋体"/>
        <w:u w:val="none"/>
      </w:rPr>
      <w:t xml:space="preserve">苏州卫康采购文件 </w:t>
    </w:r>
    <w:r>
      <w:rPr>
        <w:rFonts w:ascii="宋体" w:hAnsi="宋体" w:eastAsia="宋体"/>
        <w:u w:val="none"/>
      </w:rPr>
      <w:t xml:space="preserve">  </w:t>
    </w:r>
    <w:r>
      <w:rPr>
        <w:rFonts w:hint="eastAsia" w:ascii="宋体" w:hAnsi="宋体" w:eastAsia="宋体"/>
        <w:u w:val="none"/>
      </w:rPr>
      <w:t xml:space="preserve">  </w:t>
    </w:r>
    <w:r>
      <w:rPr>
        <w:rFonts w:hint="eastAsia" w:ascii="宋体" w:hAnsi="宋体" w:eastAsia="宋体"/>
        <w:u w:val="none"/>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-193040</wp:posOffset>
              </wp:positionH>
              <wp:positionV relativeFrom="paragraph">
                <wp:posOffset>38735</wp:posOffset>
              </wp:positionV>
              <wp:extent cx="494030" cy="23177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94030" cy="231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5.2pt;mso-position-horizontal:absolute;mso-position-vertical-relative:text;margin-top:3.0pt;mso-position-vertical:absolute;width:38.9pt;height:18.2pt;mso-wrap-distance-left:0.0pt;mso-wrap-distance-top:0.0pt;mso-wrap-distance-right:0.0pt;mso-wrap-distance-bottom:0.0pt;" stroked="f">
              <v:path textboxrect="0,0,0,0"/>
              <w10:wrap type="square"/>
              <v:imagedata r:id="rId1" o:title=""/>
            </v:shape>
          </w:pict>
        </mc:Fallback>
      </mc:AlternateContent>
    </w:r>
    <w:r>
      <w:rPr>
        <w:rFonts w:hint="eastAsia"/>
      </w:rPr>
      <w:t xml:space="preserve"> </w:t>
    </w:r>
    <w:r>
      <w:t xml:space="preserve">    </w:t>
    </w:r>
    <w:r>
      <w:rPr>
        <w:rFonts w:hint="eastAsia"/>
      </w:rPr>
      <w:t xml:space="preserve">苏州卫康采购文件 </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36"/>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3"/>
  </w:num>
  <w:num w:numId="3">
    <w:abstractNumId w:val="6"/>
  </w:num>
  <w:num w:numId="4">
    <w:abstractNumId w:val="0"/>
  </w:num>
  <w:num w:numId="5">
    <w:abstractNumId w:val="5"/>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default="1">
    <w:name w:val="Normal"/>
    <w:link w:val="103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0">
    <w:name w:val="Heading 1"/>
    <w:basedOn w:val="829"/>
    <w:next w:val="829"/>
    <w:link w:val="864"/>
    <w:uiPriority w:val="9"/>
    <w:qFormat/>
    <w:pPr>
      <w:keepLines/>
      <w:keepNext/>
      <w:spacing w:before="480" w:after="200"/>
      <w:outlineLvl w:val="0"/>
    </w:pPr>
    <w:rPr>
      <w:rFonts w:ascii="Arial" w:hAnsi="Arial" w:eastAsia="Arial" w:cs="Arial"/>
      <w:sz w:val="40"/>
      <w:szCs w:val="40"/>
    </w:rPr>
  </w:style>
  <w:style w:type="paragraph" w:styleId="831">
    <w:name w:val="Heading 2"/>
    <w:basedOn w:val="829"/>
    <w:next w:val="829"/>
    <w:link w:val="865"/>
    <w:uiPriority w:val="9"/>
    <w:unhideWhenUsed/>
    <w:qFormat/>
    <w:pPr>
      <w:keepLines/>
      <w:keepNext/>
      <w:spacing w:before="360" w:after="200"/>
      <w:outlineLvl w:val="1"/>
    </w:pPr>
    <w:rPr>
      <w:rFonts w:ascii="Arial" w:hAnsi="Arial" w:eastAsia="Arial" w:cs="Arial"/>
      <w:sz w:val="34"/>
    </w:rPr>
  </w:style>
  <w:style w:type="paragraph" w:styleId="832">
    <w:name w:val="Heading 3"/>
    <w:basedOn w:val="829"/>
    <w:next w:val="829"/>
    <w:link w:val="866"/>
    <w:uiPriority w:val="9"/>
    <w:unhideWhenUsed/>
    <w:qFormat/>
    <w:pPr>
      <w:keepLines/>
      <w:keepNext/>
      <w:spacing w:before="320" w:after="200"/>
      <w:outlineLvl w:val="2"/>
    </w:pPr>
    <w:rPr>
      <w:rFonts w:ascii="Arial" w:hAnsi="Arial" w:eastAsia="Arial" w:cs="Arial"/>
      <w:sz w:val="30"/>
      <w:szCs w:val="30"/>
    </w:rPr>
  </w:style>
  <w:style w:type="paragraph" w:styleId="833">
    <w:name w:val="Heading 4"/>
    <w:basedOn w:val="829"/>
    <w:next w:val="829"/>
    <w:link w:val="867"/>
    <w:uiPriority w:val="9"/>
    <w:unhideWhenUsed/>
    <w:qFormat/>
    <w:pPr>
      <w:keepLines/>
      <w:keepNext/>
      <w:spacing w:before="320" w:after="200"/>
      <w:outlineLvl w:val="3"/>
    </w:pPr>
    <w:rPr>
      <w:rFonts w:ascii="Arial" w:hAnsi="Arial" w:eastAsia="Arial" w:cs="Arial"/>
      <w:b/>
      <w:bCs/>
      <w:sz w:val="26"/>
      <w:szCs w:val="26"/>
    </w:rPr>
  </w:style>
  <w:style w:type="paragraph" w:styleId="834">
    <w:name w:val="Heading 5"/>
    <w:basedOn w:val="829"/>
    <w:next w:val="829"/>
    <w:link w:val="868"/>
    <w:uiPriority w:val="9"/>
    <w:unhideWhenUsed/>
    <w:qFormat/>
    <w:pPr>
      <w:keepLines/>
      <w:keepNext/>
      <w:spacing w:before="320" w:after="200"/>
      <w:outlineLvl w:val="4"/>
    </w:pPr>
    <w:rPr>
      <w:rFonts w:ascii="Arial" w:hAnsi="Arial" w:eastAsia="Arial" w:cs="Arial"/>
      <w:b/>
      <w:bCs/>
      <w:sz w:val="24"/>
      <w:szCs w:val="24"/>
    </w:rPr>
  </w:style>
  <w:style w:type="paragraph" w:styleId="835">
    <w:name w:val="Heading 6"/>
    <w:basedOn w:val="829"/>
    <w:next w:val="829"/>
    <w:link w:val="869"/>
    <w:uiPriority w:val="9"/>
    <w:unhideWhenUsed/>
    <w:qFormat/>
    <w:pPr>
      <w:keepLines/>
      <w:keepNext/>
      <w:spacing w:before="320" w:after="200"/>
      <w:outlineLvl w:val="5"/>
    </w:pPr>
    <w:rPr>
      <w:rFonts w:ascii="Arial" w:hAnsi="Arial" w:eastAsia="Arial" w:cs="Arial"/>
      <w:b/>
      <w:bCs/>
      <w:sz w:val="22"/>
      <w:szCs w:val="22"/>
    </w:rPr>
  </w:style>
  <w:style w:type="paragraph" w:styleId="836">
    <w:name w:val="Heading 7"/>
    <w:basedOn w:val="829"/>
    <w:next w:val="829"/>
    <w:link w:val="870"/>
    <w:uiPriority w:val="9"/>
    <w:unhideWhenUsed/>
    <w:qFormat/>
    <w:pPr>
      <w:keepLines/>
      <w:keepNext/>
      <w:spacing w:before="320" w:after="200"/>
      <w:outlineLvl w:val="6"/>
    </w:pPr>
    <w:rPr>
      <w:rFonts w:ascii="Arial" w:hAnsi="Arial" w:eastAsia="Arial" w:cs="Arial"/>
      <w:b/>
      <w:bCs/>
      <w:i/>
      <w:iCs/>
      <w:sz w:val="22"/>
      <w:szCs w:val="22"/>
    </w:rPr>
  </w:style>
  <w:style w:type="paragraph" w:styleId="837">
    <w:name w:val="Heading 8"/>
    <w:basedOn w:val="829"/>
    <w:next w:val="829"/>
    <w:link w:val="871"/>
    <w:uiPriority w:val="9"/>
    <w:unhideWhenUsed/>
    <w:qFormat/>
    <w:pPr>
      <w:keepLines/>
      <w:keepNext/>
      <w:spacing w:before="320" w:after="200"/>
      <w:outlineLvl w:val="7"/>
    </w:pPr>
    <w:rPr>
      <w:rFonts w:ascii="Arial" w:hAnsi="Arial" w:eastAsia="Arial" w:cs="Arial"/>
      <w:i/>
      <w:iCs/>
      <w:sz w:val="22"/>
      <w:szCs w:val="22"/>
    </w:rPr>
  </w:style>
  <w:style w:type="paragraph" w:styleId="838">
    <w:name w:val="Heading 9"/>
    <w:basedOn w:val="829"/>
    <w:next w:val="829"/>
    <w:link w:val="872"/>
    <w:uiPriority w:val="9"/>
    <w:unhideWhenUsed/>
    <w:qFormat/>
    <w:pPr>
      <w:keepLines/>
      <w:keepNext/>
      <w:spacing w:before="320" w:after="200"/>
      <w:outlineLvl w:val="8"/>
    </w:pPr>
    <w:rPr>
      <w:rFonts w:ascii="Arial" w:hAnsi="Arial" w:eastAsia="Arial" w:cs="Arial"/>
      <w:i/>
      <w:iCs/>
      <w:sz w:val="21"/>
      <w:szCs w:val="21"/>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toc 7"/>
    <w:basedOn w:val="829"/>
    <w:next w:val="829"/>
    <w:uiPriority w:val="39"/>
    <w:unhideWhenUsed/>
    <w:qFormat/>
    <w:pPr>
      <w:ind w:left="1701" w:right="0" w:firstLine="0"/>
      <w:spacing w:after="57"/>
    </w:pPr>
  </w:style>
  <w:style w:type="paragraph" w:styleId="842">
    <w:name w:val="Normal Indent"/>
    <w:basedOn w:val="829"/>
    <w:uiPriority w:val="0"/>
    <w:qFormat/>
    <w:pPr>
      <w:ind w:firstLine="420"/>
    </w:pPr>
    <w:rPr>
      <w:szCs w:val="20"/>
    </w:rPr>
  </w:style>
  <w:style w:type="paragraph" w:styleId="843">
    <w:name w:val="Caption"/>
    <w:basedOn w:val="829"/>
    <w:next w:val="829"/>
    <w:uiPriority w:val="35"/>
    <w:semiHidden/>
    <w:unhideWhenUsed/>
    <w:qFormat/>
    <w:pPr>
      <w:spacing w:line="276" w:lineRule="auto"/>
    </w:pPr>
    <w:rPr>
      <w:b/>
      <w:bCs/>
      <w:color w:val="4f81bd" w:themeColor="accent1"/>
      <w:sz w:val="18"/>
      <w:szCs w:val="18"/>
    </w:rPr>
  </w:style>
  <w:style w:type="paragraph" w:styleId="844">
    <w:name w:val="toc 5"/>
    <w:basedOn w:val="829"/>
    <w:next w:val="829"/>
    <w:uiPriority w:val="39"/>
    <w:unhideWhenUsed/>
    <w:qFormat/>
    <w:pPr>
      <w:ind w:left="1134" w:right="0" w:firstLine="0"/>
      <w:spacing w:after="57"/>
    </w:pPr>
  </w:style>
  <w:style w:type="paragraph" w:styleId="845">
    <w:name w:val="toc 3"/>
    <w:basedOn w:val="829"/>
    <w:next w:val="829"/>
    <w:uiPriority w:val="39"/>
    <w:unhideWhenUsed/>
    <w:qFormat/>
    <w:pPr>
      <w:ind w:left="567" w:right="0" w:firstLine="0"/>
      <w:spacing w:after="57"/>
    </w:pPr>
  </w:style>
  <w:style w:type="paragraph" w:styleId="846">
    <w:name w:val="toc 8"/>
    <w:basedOn w:val="829"/>
    <w:next w:val="829"/>
    <w:uiPriority w:val="39"/>
    <w:unhideWhenUsed/>
    <w:qFormat/>
    <w:pPr>
      <w:ind w:left="1984" w:right="0" w:firstLine="0"/>
      <w:spacing w:after="57"/>
    </w:pPr>
  </w:style>
  <w:style w:type="paragraph" w:styleId="847">
    <w:name w:val="endnote text"/>
    <w:basedOn w:val="829"/>
    <w:link w:val="1010"/>
    <w:uiPriority w:val="99"/>
    <w:semiHidden/>
    <w:unhideWhenUsed/>
    <w:qFormat/>
    <w:pPr>
      <w:spacing w:after="0" w:line="240" w:lineRule="auto"/>
    </w:pPr>
    <w:rPr>
      <w:sz w:val="20"/>
    </w:rPr>
  </w:style>
  <w:style w:type="paragraph" w:styleId="848">
    <w:name w:val="Footer"/>
    <w:basedOn w:val="829"/>
    <w:link w:val="883"/>
    <w:uiPriority w:val="99"/>
    <w:unhideWhenUsed/>
    <w:qFormat/>
    <w:pPr>
      <w:spacing w:after="0" w:line="240" w:lineRule="auto"/>
      <w:tabs>
        <w:tab w:val="center" w:pos="7143" w:leader="none"/>
        <w:tab w:val="right" w:pos="14287" w:leader="none"/>
      </w:tabs>
    </w:pPr>
  </w:style>
  <w:style w:type="paragraph" w:styleId="849">
    <w:name w:val="Header"/>
    <w:basedOn w:val="829"/>
    <w:link w:val="881"/>
    <w:uiPriority w:val="99"/>
    <w:unhideWhenUsed/>
    <w:qFormat/>
    <w:pPr>
      <w:spacing w:after="0" w:line="240" w:lineRule="auto"/>
      <w:tabs>
        <w:tab w:val="center" w:pos="7143" w:leader="none"/>
        <w:tab w:val="right" w:pos="14287" w:leader="none"/>
      </w:tabs>
    </w:pPr>
  </w:style>
  <w:style w:type="paragraph" w:styleId="850">
    <w:name w:val="toc 1"/>
    <w:basedOn w:val="829"/>
    <w:next w:val="829"/>
    <w:uiPriority w:val="39"/>
    <w:unhideWhenUsed/>
    <w:qFormat/>
    <w:pPr>
      <w:ind w:left="0" w:right="0" w:firstLine="0"/>
      <w:spacing w:after="57"/>
    </w:pPr>
  </w:style>
  <w:style w:type="paragraph" w:styleId="851">
    <w:name w:val="toc 4"/>
    <w:basedOn w:val="829"/>
    <w:next w:val="829"/>
    <w:uiPriority w:val="39"/>
    <w:unhideWhenUsed/>
    <w:qFormat/>
    <w:pPr>
      <w:ind w:left="850" w:right="0" w:firstLine="0"/>
      <w:spacing w:after="57"/>
    </w:pPr>
  </w:style>
  <w:style w:type="paragraph" w:styleId="852">
    <w:name w:val="Subtitle"/>
    <w:basedOn w:val="829"/>
    <w:next w:val="829"/>
    <w:link w:val="876"/>
    <w:uiPriority w:val="11"/>
    <w:qFormat/>
    <w:pPr>
      <w:spacing w:before="200" w:after="200"/>
    </w:pPr>
    <w:rPr>
      <w:sz w:val="24"/>
      <w:szCs w:val="24"/>
    </w:rPr>
  </w:style>
  <w:style w:type="paragraph" w:styleId="853">
    <w:name w:val="footnote text"/>
    <w:basedOn w:val="829"/>
    <w:link w:val="1009"/>
    <w:uiPriority w:val="99"/>
    <w:semiHidden/>
    <w:unhideWhenUsed/>
    <w:qFormat/>
    <w:pPr>
      <w:spacing w:after="40" w:line="240" w:lineRule="auto"/>
    </w:pPr>
    <w:rPr>
      <w:sz w:val="18"/>
    </w:rPr>
  </w:style>
  <w:style w:type="paragraph" w:styleId="854">
    <w:name w:val="toc 6"/>
    <w:basedOn w:val="829"/>
    <w:next w:val="829"/>
    <w:uiPriority w:val="39"/>
    <w:unhideWhenUsed/>
    <w:qFormat/>
    <w:pPr>
      <w:ind w:left="1417" w:right="0" w:firstLine="0"/>
      <w:spacing w:after="57"/>
    </w:pPr>
  </w:style>
  <w:style w:type="paragraph" w:styleId="855">
    <w:name w:val="Body Text Indent 3"/>
    <w:basedOn w:val="829"/>
    <w:uiPriority w:val="0"/>
    <w:qFormat/>
    <w:pPr>
      <w:ind w:left="420"/>
      <w:spacing w:after="120"/>
    </w:pPr>
    <w:rPr>
      <w:sz w:val="16"/>
    </w:rPr>
  </w:style>
  <w:style w:type="paragraph" w:styleId="856">
    <w:name w:val="table of figures"/>
    <w:basedOn w:val="829"/>
    <w:next w:val="829"/>
    <w:uiPriority w:val="99"/>
    <w:unhideWhenUsed/>
    <w:qFormat/>
    <w:pPr>
      <w:spacing w:after="0" w:afterAutospacing="0"/>
    </w:pPr>
  </w:style>
  <w:style w:type="paragraph" w:styleId="857">
    <w:name w:val="toc 2"/>
    <w:basedOn w:val="829"/>
    <w:next w:val="829"/>
    <w:uiPriority w:val="39"/>
    <w:unhideWhenUsed/>
    <w:qFormat/>
    <w:pPr>
      <w:ind w:left="283" w:right="0" w:firstLine="0"/>
      <w:spacing w:after="57"/>
    </w:pPr>
  </w:style>
  <w:style w:type="paragraph" w:styleId="858">
    <w:name w:val="toc 9"/>
    <w:basedOn w:val="829"/>
    <w:next w:val="829"/>
    <w:uiPriority w:val="39"/>
    <w:unhideWhenUsed/>
    <w:qFormat/>
    <w:pPr>
      <w:ind w:left="2268" w:right="0" w:firstLine="0"/>
      <w:spacing w:after="57"/>
    </w:pPr>
  </w:style>
  <w:style w:type="paragraph" w:styleId="859">
    <w:name w:val="Title"/>
    <w:basedOn w:val="829"/>
    <w:next w:val="829"/>
    <w:link w:val="875"/>
    <w:uiPriority w:val="10"/>
    <w:qFormat/>
    <w:pPr>
      <w:contextualSpacing/>
      <w:spacing w:before="300" w:after="200"/>
    </w:pPr>
    <w:rPr>
      <w:sz w:val="48"/>
      <w:szCs w:val="48"/>
    </w:rPr>
  </w:style>
  <w:style w:type="table" w:styleId="8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endnote reference"/>
    <w:uiPriority w:val="99"/>
    <w:semiHidden/>
    <w:unhideWhenUsed/>
    <w:qFormat/>
    <w:rPr>
      <w:vertAlign w:val="superscript"/>
    </w:rPr>
  </w:style>
  <w:style w:type="character" w:styleId="862">
    <w:name w:val="Hyperlink"/>
    <w:uiPriority w:val="99"/>
    <w:unhideWhenUsed/>
    <w:qFormat/>
    <w:rPr>
      <w:color w:val="0000ff" w:themeColor="hyperlink"/>
      <w:u w:val="single"/>
    </w:rPr>
  </w:style>
  <w:style w:type="character" w:styleId="863">
    <w:name w:val="footnote reference"/>
    <w:uiPriority w:val="99"/>
    <w:unhideWhenUsed/>
    <w:qFormat/>
    <w:rPr>
      <w:vertAlign w:val="superscript"/>
    </w:rPr>
  </w:style>
  <w:style w:type="character" w:styleId="864" w:customStyle="1">
    <w:name w:val="Heading 1 Char"/>
    <w:link w:val="830"/>
    <w:uiPriority w:val="9"/>
    <w:qFormat/>
    <w:rPr>
      <w:rFonts w:ascii="Arial" w:hAnsi="Arial" w:eastAsia="Arial" w:cs="Arial"/>
      <w:sz w:val="40"/>
      <w:szCs w:val="40"/>
    </w:rPr>
  </w:style>
  <w:style w:type="character" w:styleId="865" w:customStyle="1">
    <w:name w:val="Heading 2 Char"/>
    <w:link w:val="831"/>
    <w:uiPriority w:val="9"/>
    <w:qFormat/>
    <w:rPr>
      <w:rFonts w:ascii="Arial" w:hAnsi="Arial" w:eastAsia="Arial" w:cs="Arial"/>
      <w:sz w:val="34"/>
    </w:rPr>
  </w:style>
  <w:style w:type="character" w:styleId="866" w:customStyle="1">
    <w:name w:val="Heading 3 Char"/>
    <w:link w:val="832"/>
    <w:uiPriority w:val="9"/>
    <w:qFormat/>
    <w:rPr>
      <w:rFonts w:ascii="Arial" w:hAnsi="Arial" w:eastAsia="Arial" w:cs="Arial"/>
      <w:sz w:val="30"/>
      <w:szCs w:val="30"/>
    </w:rPr>
  </w:style>
  <w:style w:type="character" w:styleId="867" w:customStyle="1">
    <w:name w:val="Heading 4 Char"/>
    <w:link w:val="833"/>
    <w:uiPriority w:val="9"/>
    <w:qFormat/>
    <w:rPr>
      <w:rFonts w:ascii="Arial" w:hAnsi="Arial" w:eastAsia="Arial" w:cs="Arial"/>
      <w:b/>
      <w:bCs/>
      <w:sz w:val="26"/>
      <w:szCs w:val="26"/>
    </w:rPr>
  </w:style>
  <w:style w:type="character" w:styleId="868" w:customStyle="1">
    <w:name w:val="Heading 5 Char"/>
    <w:link w:val="834"/>
    <w:uiPriority w:val="9"/>
    <w:qFormat/>
    <w:rPr>
      <w:rFonts w:ascii="Arial" w:hAnsi="Arial" w:eastAsia="Arial" w:cs="Arial"/>
      <w:b/>
      <w:bCs/>
      <w:sz w:val="24"/>
      <w:szCs w:val="24"/>
    </w:rPr>
  </w:style>
  <w:style w:type="character" w:styleId="869" w:customStyle="1">
    <w:name w:val="Heading 6 Char"/>
    <w:link w:val="835"/>
    <w:uiPriority w:val="9"/>
    <w:qFormat/>
    <w:rPr>
      <w:rFonts w:ascii="Arial" w:hAnsi="Arial" w:eastAsia="Arial" w:cs="Arial"/>
      <w:b/>
      <w:bCs/>
      <w:sz w:val="22"/>
      <w:szCs w:val="22"/>
    </w:rPr>
  </w:style>
  <w:style w:type="character" w:styleId="870" w:customStyle="1">
    <w:name w:val="Heading 7 Char"/>
    <w:link w:val="836"/>
    <w:uiPriority w:val="9"/>
    <w:qFormat/>
    <w:rPr>
      <w:rFonts w:ascii="Arial" w:hAnsi="Arial" w:eastAsia="Arial" w:cs="Arial"/>
      <w:b/>
      <w:bCs/>
      <w:i/>
      <w:iCs/>
      <w:sz w:val="22"/>
      <w:szCs w:val="22"/>
    </w:rPr>
  </w:style>
  <w:style w:type="character" w:styleId="871" w:customStyle="1">
    <w:name w:val="Heading 8 Char"/>
    <w:link w:val="837"/>
    <w:uiPriority w:val="9"/>
    <w:qFormat/>
    <w:rPr>
      <w:rFonts w:ascii="Arial" w:hAnsi="Arial" w:eastAsia="Arial" w:cs="Arial"/>
      <w:i/>
      <w:iCs/>
      <w:sz w:val="22"/>
      <w:szCs w:val="22"/>
    </w:rPr>
  </w:style>
  <w:style w:type="character" w:styleId="872" w:customStyle="1">
    <w:name w:val="Heading 9 Char"/>
    <w:link w:val="838"/>
    <w:uiPriority w:val="9"/>
    <w:qFormat/>
    <w:rPr>
      <w:rFonts w:ascii="Arial" w:hAnsi="Arial" w:eastAsia="Arial" w:cs="Arial"/>
      <w:i/>
      <w:iCs/>
      <w:sz w:val="21"/>
      <w:szCs w:val="21"/>
    </w:rPr>
  </w:style>
  <w:style w:type="paragraph" w:styleId="873">
    <w:name w:val="List Paragraph"/>
    <w:basedOn w:val="829"/>
    <w:uiPriority w:val="34"/>
    <w:qFormat/>
    <w:pPr>
      <w:contextualSpacing/>
      <w:ind w:left="720"/>
    </w:pPr>
  </w:style>
  <w:style w:type="paragraph" w:styleId="874">
    <w:name w:val="No Spacing"/>
    <w:uiPriority w:val="1"/>
    <w:qFormat/>
    <w:pPr>
      <w:spacing w:before="0" w:after="0" w:line="240" w:lineRule="auto"/>
    </w:pPr>
    <w:rPr>
      <w:rFonts w:hint="default" w:ascii="Times New Roman" w:hAnsi="Times New Roman" w:eastAsia="宋体" w:cs="Times New Roman"/>
    </w:rPr>
  </w:style>
  <w:style w:type="character" w:styleId="875" w:customStyle="1">
    <w:name w:val="Title Char"/>
    <w:link w:val="859"/>
    <w:uiPriority w:val="10"/>
    <w:qFormat/>
    <w:rPr>
      <w:sz w:val="48"/>
      <w:szCs w:val="48"/>
    </w:rPr>
  </w:style>
  <w:style w:type="character" w:styleId="876" w:customStyle="1">
    <w:name w:val="Subtitle Char"/>
    <w:link w:val="852"/>
    <w:uiPriority w:val="11"/>
    <w:qFormat/>
    <w:rPr>
      <w:sz w:val="24"/>
      <w:szCs w:val="24"/>
    </w:rPr>
  </w:style>
  <w:style w:type="paragraph" w:styleId="877">
    <w:name w:val="Quote"/>
    <w:basedOn w:val="829"/>
    <w:next w:val="829"/>
    <w:link w:val="878"/>
    <w:uiPriority w:val="29"/>
    <w:qFormat/>
    <w:pPr>
      <w:ind w:left="720" w:right="720"/>
    </w:pPr>
    <w:rPr>
      <w:i/>
    </w:rPr>
  </w:style>
  <w:style w:type="character" w:styleId="878" w:customStyle="1">
    <w:name w:val="Quote Char"/>
    <w:link w:val="877"/>
    <w:uiPriority w:val="29"/>
    <w:qFormat/>
    <w:rPr>
      <w:i/>
    </w:rPr>
  </w:style>
  <w:style w:type="paragraph" w:styleId="879">
    <w:name w:val="Intense Quote"/>
    <w:basedOn w:val="829"/>
    <w:next w:val="829"/>
    <w:link w:val="8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Intense Quote Char"/>
    <w:link w:val="879"/>
    <w:uiPriority w:val="30"/>
    <w:qFormat/>
    <w:rPr>
      <w:i/>
    </w:rPr>
  </w:style>
  <w:style w:type="character" w:styleId="881" w:customStyle="1">
    <w:name w:val="Header Char"/>
    <w:link w:val="849"/>
    <w:uiPriority w:val="99"/>
    <w:qFormat/>
  </w:style>
  <w:style w:type="character" w:styleId="882" w:customStyle="1">
    <w:name w:val="Footer Char"/>
    <w:link w:val="848"/>
    <w:uiPriority w:val="99"/>
    <w:qFormat/>
  </w:style>
  <w:style w:type="character" w:styleId="883" w:customStyle="1">
    <w:name w:val="Caption Char"/>
    <w:link w:val="848"/>
    <w:uiPriority w:val="99"/>
    <w:qFormat/>
  </w:style>
  <w:style w:type="table" w:styleId="8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Footnote Text Char"/>
    <w:link w:val="853"/>
    <w:uiPriority w:val="99"/>
    <w:qFormat/>
    <w:rPr>
      <w:sz w:val="18"/>
    </w:rPr>
  </w:style>
  <w:style w:type="character" w:styleId="1010" w:customStyle="1">
    <w:name w:val="Endnote Text Char"/>
    <w:link w:val="847"/>
    <w:uiPriority w:val="99"/>
    <w:qFormat/>
    <w:rPr>
      <w:sz w:val="20"/>
    </w:rPr>
  </w:style>
  <w:style w:type="paragraph" w:styleId="1011" w:customStyle="1">
    <w:name w:val="TOC Heading"/>
    <w:uiPriority w:val="39"/>
    <w:unhideWhenUsed/>
    <w:qFormat/>
    <w:rPr>
      <w:rFonts w:hint="default" w:ascii="Times New Roman" w:hAnsi="Times New Roman" w:eastAsia="宋体" w:cs="Times New Roman"/>
    </w:rPr>
  </w:style>
  <w:style w:type="character" w:styleId="1012" w:customStyle="1">
    <w:name w:val="默认段落字体1"/>
    <w:link w:val="829"/>
    <w:uiPriority w:val="1"/>
    <w:unhideWhenUsed/>
    <w:qFormat/>
  </w:style>
  <w:style w:type="table" w:styleId="1013" w:customStyle="1">
    <w:name w:val="普通表格1"/>
    <w:uiPriority w:val="99"/>
    <w:unhideWhenUsed/>
    <w:qFormat/>
    <w:tblPr/>
  </w:style>
  <w:style w:type="paragraph" w:styleId="1014" w:customStyle="1">
    <w:name w:val="正文缩进1"/>
    <w:basedOn w:val="829"/>
    <w:link w:val="1015"/>
    <w:uiPriority w:val="0"/>
    <w:qFormat/>
    <w:pPr>
      <w:ind w:firstLine="420"/>
      <w:jc w:val="left"/>
    </w:pPr>
    <w:rPr>
      <w:rFonts w:ascii="Times New Roman" w:hAnsi="Times New Roman" w:eastAsia="楷体_GB2312"/>
      <w:sz w:val="24"/>
      <w:szCs w:val="20"/>
    </w:rPr>
  </w:style>
  <w:style w:type="character" w:styleId="1015" w:customStyle="1">
    <w:name w:val="正文缩进 字符"/>
    <w:link w:val="1014"/>
    <w:uiPriority w:val="0"/>
    <w:qFormat/>
    <w:rPr>
      <w:rFonts w:ascii="Times New Roman" w:hAnsi="Times New Roman" w:eastAsia="楷体_GB2312" w:cs="Times New Roman"/>
      <w:sz w:val="24"/>
      <w:szCs w:val="20"/>
    </w:rPr>
  </w:style>
  <w:style w:type="paragraph" w:styleId="1016" w:customStyle="1">
    <w:name w:val="正文文本1"/>
    <w:basedOn w:val="829"/>
    <w:uiPriority w:val="0"/>
    <w:semiHidden/>
    <w:qFormat/>
    <w:rPr>
      <w:rFonts w:ascii="宋体" w:hAnsi="宋体" w:eastAsia="宋体" w:cs="宋体"/>
      <w:sz w:val="23"/>
      <w:szCs w:val="23"/>
      <w:lang w:val="en-US" w:eastAsia="en-US" w:bidi="ar-SA"/>
    </w:rPr>
  </w:style>
  <w:style w:type="paragraph" w:styleId="1017" w:customStyle="1">
    <w:name w:val="页脚1"/>
    <w:basedOn w:val="829"/>
    <w:link w:val="1018"/>
    <w:uiPriority w:val="99"/>
    <w:unhideWhenUsed/>
    <w:qFormat/>
    <w:pPr>
      <w:jc w:val="left"/>
      <w:tabs>
        <w:tab w:val="center" w:pos="4153" w:leader="none"/>
        <w:tab w:val="right" w:pos="8306" w:leader="none"/>
      </w:tabs>
    </w:pPr>
    <w:rPr>
      <w:sz w:val="18"/>
      <w:szCs w:val="18"/>
    </w:rPr>
  </w:style>
  <w:style w:type="character" w:styleId="1018" w:customStyle="1">
    <w:name w:val="页脚 字符"/>
    <w:link w:val="1017"/>
    <w:uiPriority w:val="99"/>
    <w:qFormat/>
    <w:rPr>
      <w:rFonts w:ascii="Calibri" w:hAnsi="Calibri" w:eastAsia="宋体" w:cs="Times New Roman"/>
      <w:sz w:val="18"/>
      <w:szCs w:val="18"/>
    </w:rPr>
  </w:style>
  <w:style w:type="paragraph" w:styleId="1019" w:customStyle="1">
    <w:name w:val="页眉1"/>
    <w:basedOn w:val="829"/>
    <w:link w:val="102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20" w:customStyle="1">
    <w:name w:val="页眉 字符"/>
    <w:link w:val="1019"/>
    <w:uiPriority w:val="99"/>
    <w:qFormat/>
    <w:rPr>
      <w:rFonts w:ascii="Calibri" w:hAnsi="Calibri" w:eastAsia="宋体" w:cs="Times New Roman"/>
      <w:sz w:val="18"/>
      <w:szCs w:val="18"/>
    </w:rPr>
  </w:style>
  <w:style w:type="table" w:styleId="1021" w:customStyle="1">
    <w:name w:val="网格型1"/>
    <w:basedOn w:val="1013"/>
    <w:uiPriority w:val="59"/>
    <w:qFormat/>
    <w:tblPr/>
  </w:style>
  <w:style w:type="paragraph" w:styleId="1022" w:customStyle="1">
    <w:name w:val="列表段落"/>
    <w:basedOn w:val="829"/>
    <w:uiPriority w:val="34"/>
    <w:qFormat/>
    <w:pPr>
      <w:ind w:firstLine="420"/>
    </w:pPr>
  </w:style>
  <w:style w:type="character" w:styleId="1023" w:customStyle="1">
    <w:name w:val="Plain Text Char1"/>
    <w:link w:val="1024"/>
    <w:uiPriority w:val="0"/>
    <w:qFormat/>
    <w:rPr>
      <w:rFonts w:ascii="宋体" w:hAnsi="Courier New" w:eastAsia="楷体_GB2312"/>
      <w:sz w:val="26"/>
    </w:rPr>
  </w:style>
  <w:style w:type="paragraph" w:styleId="1024" w:customStyle="1">
    <w:name w:val="纯文本1"/>
    <w:basedOn w:val="829"/>
    <w:link w:val="1023"/>
    <w:uiPriority w:val="0"/>
    <w:qFormat/>
    <w:rPr>
      <w:rFonts w:ascii="宋体" w:hAnsi="Courier New" w:eastAsia="楷体_GB2312" w:cs="Times New Roman"/>
      <w:sz w:val="26"/>
    </w:rPr>
  </w:style>
  <w:style w:type="paragraph" w:styleId="1025" w:customStyle="1">
    <w:name w:val="正文1"/>
    <w:basedOn w:val="829"/>
    <w:uiPriority w:val="0"/>
    <w:qFormat/>
    <w:pPr>
      <w:ind w:left="420" w:firstLine="527"/>
      <w:spacing w:before="120" w:line="360" w:lineRule="auto"/>
    </w:pPr>
    <w:rPr>
      <w:rFonts w:ascii="宋体" w:hAnsi="宋体"/>
    </w:rPr>
  </w:style>
  <w:style w:type="paragraph" w:styleId="1026" w:customStyle="1">
    <w:name w:val="Normal_43"/>
    <w:uiPriority w:val="0"/>
    <w:qFormat/>
    <w:rPr>
      <w:rFonts w:hint="default" w:ascii="Times New Roman" w:hAnsi="Times New Roman" w:eastAsia="Times New Roman" w:cs="Times New Roman"/>
      <w:sz w:val="24"/>
      <w:szCs w:val="24"/>
    </w:rPr>
  </w:style>
  <w:style w:type="paragraph" w:styleId="1027" w:customStyle="1">
    <w:name w:val="正文文本缩进 311"/>
    <w:basedOn w:val="829"/>
    <w:uiPriority w:val="0"/>
    <w:qFormat/>
    <w:pPr>
      <w:ind w:left="420"/>
      <w:spacing w:after="120"/>
    </w:pPr>
    <w:rPr>
      <w:sz w:val="16"/>
    </w:rPr>
  </w:style>
  <w:style w:type="paragraph" w:styleId="1028" w:customStyle="1">
    <w:name w:val="正文文本11"/>
    <w:basedOn w:val="829"/>
    <w:uiPriority w:val="0"/>
    <w:qFormat/>
  </w:style>
  <w:style w:type="paragraph" w:styleId="1029" w:customStyle="1">
    <w:name w:val="日期11"/>
    <w:basedOn w:val="829"/>
    <w:next w:val="829"/>
    <w:uiPriority w:val="0"/>
    <w:qFormat/>
    <w:rPr>
      <w:rFonts w:ascii="宋体" w:hAnsi="宋体" w:eastAsia="楷体_GB2312"/>
    </w:rPr>
  </w:style>
  <w:style w:type="paragraph" w:styleId="1030" w:customStyle="1">
    <w:name w:val="标题 211"/>
    <w:basedOn w:val="829"/>
    <w:next w:val="829"/>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1031" w:customStyle="1">
    <w:name w:val="正文文本缩进11"/>
    <w:basedOn w:val="829"/>
    <w:uiPriority w:val="0"/>
    <w:qFormat/>
    <w:pPr>
      <w:ind w:firstLine="425"/>
      <w:spacing w:line="360" w:lineRule="auto"/>
    </w:pPr>
  </w:style>
  <w:style w:type="paragraph" w:styleId="103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3" w:customStyle="1">
    <w:name w:val="列出段落1"/>
    <w:basedOn w:val="829"/>
    <w:uiPriority w:val="99"/>
    <w:qFormat/>
    <w:pPr>
      <w:ind w:firstLine="420"/>
    </w:pPr>
    <w:rPr>
      <w:szCs w:val="24"/>
    </w:rPr>
  </w:style>
  <w:style w:type="paragraph" w:styleId="1034" w:customStyle="1">
    <w:name w:val="Table Text"/>
    <w:basedOn w:val="829"/>
    <w:uiPriority w:val="0"/>
    <w:qFormat/>
    <w:rPr>
      <w:rFonts w:ascii="Times" w:hAnsi="Times" w:eastAsia="Times New Roman"/>
      <w:szCs w:val="24"/>
    </w:rPr>
  </w:style>
  <w:style w:type="paragraph" w:styleId="1035"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1036" w:customStyle="1">
    <w:name w:val="默认段落字体11"/>
    <w:link w:val="829"/>
    <w:uiPriority w:val="0"/>
    <w:qFormat/>
    <w:rPr>
      <w:rFonts w:ascii="Calibri" w:hAnsi="Calibri" w:eastAsia="宋体" w:cs="Times New Roman"/>
    </w:rPr>
  </w:style>
  <w:style w:type="paragraph" w:styleId="1037" w:customStyle="1">
    <w:name w:val="Plain Text1"/>
    <w:basedOn w:val="829"/>
    <w:uiPriority w:val="0"/>
    <w:qFormat/>
    <w:pPr>
      <w:jc w:val="both"/>
      <w:widowControl w:val="off"/>
    </w:pPr>
    <w:rPr>
      <w:rFonts w:ascii="宋体" w:hAnsi="Courier New" w:eastAsia="楷体_GB2312"/>
      <w:sz w:val="26"/>
    </w:rPr>
  </w:style>
  <w:style w:type="paragraph" w:styleId="1038" w:customStyle="1">
    <w:name w:val="正文缩进11"/>
    <w:basedOn w:val="829"/>
    <w:uiPriority w:val="0"/>
    <w:qFormat/>
    <w:pPr>
      <w:ind w:firstLine="420"/>
    </w:pPr>
    <w:rPr>
      <w:rFonts w:eastAsia="楷体_GB2312"/>
    </w:rPr>
  </w:style>
  <w:style w:type="paragraph" w:styleId="1039" w:customStyle="1">
    <w:name w:val="纯文本5"/>
    <w:basedOn w:val="829"/>
    <w:uiPriority w:val="0"/>
    <w:qFormat/>
    <w:rPr>
      <w:rFonts w:ascii="宋体" w:hAnsi="Courier New" w:eastAsia="楷体_GB2312"/>
      <w:sz w:val="26"/>
    </w:rPr>
  </w:style>
  <w:style w:type="paragraph" w:styleId="1040"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041" w:customStyle="1">
    <w:name w:val="Normal_0_3"/>
    <w:uiPriority w:val="0"/>
    <w:qFormat/>
    <w:rPr>
      <w:rFonts w:hint="default" w:ascii="Times New Roman" w:hAnsi="Times New Roman" w:eastAsia="Times New Roman" w:cs="Times New Roman"/>
      <w:sz w:val="24"/>
      <w:szCs w:val="24"/>
    </w:rPr>
  </w:style>
  <w:style w:type="numbering" w:styleId="143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textRotate="1"/>
    <customShpInfo spid="_x0000_s2051" textRotate="1"/>
    <customShpInfo spid="_x0000_s2050" textRotate="1"/>
    <customShpInfo spid="_x0000_s2052" textRotate="1"/>
    <customShpInfo spid="_x0000_s205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李晶晶</cp:lastModifiedBy>
  <cp:revision>6</cp:revision>
  <dcterms:created xsi:type="dcterms:W3CDTF">2021-11-02T00:42:00Z</dcterms:created>
  <dcterms:modified xsi:type="dcterms:W3CDTF">2026-06-24T09:57:43Z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2052-12.1.0.26895</vt:lpwstr>
  </property>
  <property fmtid="{D5CDD505-2E9C-101B-9397-08002B2CF9AE}" pid="4" name="ICV">
    <vt:lpwstr>6E396D14C33246EF8F96DBA509823096_12</vt:lpwstr>
  </property>
</Properties>
</file>