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AF523">
      <w:pPr>
        <w:pStyle w:val="201"/>
        <w:jc w:val="center"/>
        <w:rPr>
          <w:rFonts w:eastAsia="黑体"/>
          <w:b/>
          <w:bCs/>
          <w:color w:val="auto"/>
          <w:sz w:val="84"/>
          <w:highlight w:val="none"/>
        </w:rPr>
      </w:pPr>
    </w:p>
    <w:p w14:paraId="32FE45C5">
      <w:pPr>
        <w:pStyle w:val="201"/>
        <w:ind w:firstLine="643"/>
        <w:jc w:val="both"/>
        <w:rPr>
          <w:rFonts w:eastAsia="黑体"/>
          <w:b/>
          <w:bCs/>
          <w:color w:val="auto"/>
          <w:sz w:val="32"/>
          <w:szCs w:val="10"/>
          <w:highlight w:val="none"/>
        </w:rPr>
      </w:pPr>
    </w:p>
    <w:p w14:paraId="1AA582A5">
      <w:pPr>
        <w:pStyle w:val="201"/>
        <w:ind w:firstLine="0"/>
        <w:jc w:val="center"/>
        <w:rPr>
          <w:rFonts w:ascii="微软雅黑" w:hAnsi="微软雅黑" w:eastAsia="微软雅黑" w:cs="微软雅黑"/>
          <w:b/>
          <w:bCs/>
          <w:color w:val="auto"/>
          <w:sz w:val="84"/>
          <w:highlight w:val="none"/>
        </w:rPr>
      </w:pPr>
      <w:r>
        <w:rPr>
          <w:rFonts w:hint="eastAsia" w:ascii="微软雅黑" w:hAnsi="微软雅黑" w:eastAsia="微软雅黑" w:cs="微软雅黑"/>
          <w:b/>
          <w:bCs/>
          <w:color w:val="auto"/>
          <w:sz w:val="96"/>
          <w:szCs w:val="28"/>
          <w:highlight w:val="none"/>
        </w:rPr>
        <w:t>招　标　文　件</w:t>
      </w:r>
    </w:p>
    <w:p w14:paraId="4CA878EF">
      <w:pPr>
        <w:pStyle w:val="201"/>
        <w:ind w:firstLine="640"/>
        <w:rPr>
          <w:rFonts w:ascii="微软雅黑" w:hAnsi="微软雅黑" w:eastAsia="微软雅黑" w:cs="微软雅黑"/>
          <w:b/>
          <w:bCs/>
          <w:color w:val="auto"/>
          <w:sz w:val="32"/>
          <w:highlight w:val="none"/>
        </w:rPr>
      </w:pPr>
      <w:r>
        <w:rPr>
          <w:rFonts w:ascii="微软雅黑" w:hAnsi="微软雅黑" w:eastAsia="微软雅黑" w:cs="微软雅黑"/>
          <w:b/>
          <w:bCs/>
          <w:color w:val="auto"/>
          <w:sz w:val="32"/>
          <w:highlight w:val="none"/>
        </w:rPr>
        <w:t xml:space="preserve"> </w:t>
      </w:r>
    </w:p>
    <w:p w14:paraId="1A9CA5C3">
      <w:pPr>
        <w:pStyle w:val="201"/>
        <w:ind w:firstLine="640"/>
        <w:rPr>
          <w:rFonts w:ascii="微软雅黑" w:hAnsi="微软雅黑" w:eastAsia="微软雅黑" w:cs="微软雅黑"/>
          <w:b/>
          <w:bCs/>
          <w:color w:val="auto"/>
          <w:sz w:val="32"/>
          <w:highlight w:val="none"/>
        </w:rPr>
      </w:pPr>
    </w:p>
    <w:p w14:paraId="0C8A5F5A">
      <w:pPr>
        <w:pStyle w:val="201"/>
        <w:ind w:firstLine="640"/>
        <w:rPr>
          <w:rFonts w:hint="eastAsia" w:ascii="微软雅黑" w:hAnsi="微软雅黑" w:eastAsia="微软雅黑" w:cs="微软雅黑"/>
          <w:b/>
          <w:bCs/>
          <w:color w:val="auto"/>
          <w:sz w:val="32"/>
          <w:highlight w:val="none"/>
          <w:u w:val="single"/>
          <w:lang w:eastAsia="zh-CN"/>
        </w:rPr>
      </w:pPr>
      <w:r>
        <w:rPr>
          <w:rFonts w:hint="eastAsia" w:ascii="微软雅黑" w:hAnsi="微软雅黑" w:eastAsia="微软雅黑" w:cs="微软雅黑"/>
          <w:b/>
          <w:bCs/>
          <w:color w:val="auto"/>
          <w:sz w:val="32"/>
          <w:highlight w:val="none"/>
        </w:rPr>
        <w:t>项目名称：</w:t>
      </w:r>
      <w:r>
        <w:rPr>
          <w:rFonts w:hint="eastAsia" w:ascii="微软雅黑" w:hAnsi="微软雅黑" w:eastAsia="微软雅黑" w:cs="微软雅黑"/>
          <w:b/>
          <w:bCs/>
          <w:color w:val="auto"/>
          <w:sz w:val="32"/>
          <w:highlight w:val="none"/>
          <w:lang w:eastAsia="zh-CN"/>
        </w:rPr>
        <w:t>南京医科大学疫苗平台步入式洗笼机项目（第二次）</w:t>
      </w:r>
    </w:p>
    <w:p w14:paraId="2834969E">
      <w:pPr>
        <w:pStyle w:val="201"/>
        <w:ind w:firstLine="260"/>
        <w:rPr>
          <w:rFonts w:ascii="微软雅黑" w:hAnsi="微软雅黑" w:eastAsia="微软雅黑" w:cs="微软雅黑"/>
          <w:b/>
          <w:bCs/>
          <w:color w:val="auto"/>
          <w:sz w:val="13"/>
          <w:szCs w:val="10"/>
          <w:highlight w:val="none"/>
          <w:u w:val="single"/>
        </w:rPr>
      </w:pPr>
    </w:p>
    <w:p w14:paraId="17AB9FC1">
      <w:pPr>
        <w:pStyle w:val="201"/>
        <w:ind w:firstLine="640"/>
        <w:rPr>
          <w:rFonts w:hint="eastAsia" w:ascii="宋体" w:hAnsi="宋体" w:eastAsia="微软雅黑" w:cs="宋体"/>
          <w:color w:val="auto"/>
          <w:highlight w:val="none"/>
          <w:lang w:eastAsia="zh-CN"/>
        </w:rPr>
      </w:pPr>
      <w:r>
        <w:rPr>
          <w:rFonts w:hint="eastAsia" w:ascii="微软雅黑" w:hAnsi="微软雅黑" w:eastAsia="微软雅黑" w:cs="微软雅黑"/>
          <w:b/>
          <w:bCs/>
          <w:color w:val="auto"/>
          <w:sz w:val="32"/>
          <w:highlight w:val="none"/>
        </w:rPr>
        <w:t>项目编号：</w:t>
      </w:r>
      <w:r>
        <w:rPr>
          <w:rFonts w:hint="eastAsia" w:ascii="微软雅黑" w:hAnsi="微软雅黑" w:eastAsia="微软雅黑" w:cs="微软雅黑"/>
          <w:b/>
          <w:bCs/>
          <w:color w:val="auto"/>
          <w:sz w:val="32"/>
          <w:highlight w:val="none"/>
          <w:lang w:eastAsia="zh-CN"/>
        </w:rPr>
        <w:t>JSZC-320000-HTMY-G2026-0014</w:t>
      </w:r>
    </w:p>
    <w:p w14:paraId="56524DBE">
      <w:pPr>
        <w:pStyle w:val="201"/>
        <w:rPr>
          <w:rFonts w:ascii="宋体" w:hAnsi="宋体" w:cs="宋体"/>
          <w:color w:val="auto"/>
          <w:highlight w:val="none"/>
        </w:rPr>
      </w:pPr>
    </w:p>
    <w:p w14:paraId="0904A0F0">
      <w:pPr>
        <w:ind w:firstLine="640"/>
        <w:jc w:val="both"/>
        <w:rPr>
          <w:rFonts w:ascii="宋体" w:hAnsi="宋体"/>
          <w:b/>
          <w:color w:val="auto"/>
          <w:sz w:val="32"/>
          <w:szCs w:val="28"/>
          <w:highlight w:val="none"/>
        </w:rPr>
      </w:pPr>
      <w:r>
        <w:rPr>
          <w:rFonts w:hint="eastAsia" w:ascii="微软雅黑" w:hAnsi="微软雅黑" w:eastAsia="微软雅黑" w:cs="微软雅黑"/>
          <w:b/>
          <w:bCs/>
          <w:color w:val="auto"/>
          <w:sz w:val="32"/>
          <w:szCs w:val="24"/>
          <w:highlight w:val="none"/>
        </w:rPr>
        <w:t>采购代理机构：江苏汉唐国际贸易集团有限公司</w:t>
      </w:r>
    </w:p>
    <w:p w14:paraId="2EE92698">
      <w:pPr>
        <w:pStyle w:val="201"/>
        <w:rPr>
          <w:rFonts w:ascii="宋体" w:hAnsi="宋体"/>
          <w:color w:val="auto"/>
          <w:highlight w:val="none"/>
        </w:rPr>
      </w:pPr>
    </w:p>
    <w:p w14:paraId="71776D68">
      <w:pPr>
        <w:pStyle w:val="201"/>
        <w:rPr>
          <w:rFonts w:ascii="宋体" w:hAnsi="宋体"/>
          <w:color w:val="auto"/>
          <w:highlight w:val="none"/>
        </w:rPr>
      </w:pPr>
    </w:p>
    <w:p w14:paraId="6DE8F87F">
      <w:pPr>
        <w:pStyle w:val="201"/>
        <w:ind w:left="0" w:firstLine="0"/>
        <w:jc w:val="center"/>
        <w:rPr>
          <w:rFonts w:ascii="宋体" w:hAnsi="宋体" w:cs="宋体"/>
          <w:b/>
          <w:color w:val="auto"/>
          <w:sz w:val="44"/>
          <w:szCs w:val="28"/>
          <w:highlight w:val="none"/>
        </w:rPr>
      </w:pPr>
      <w:r>
        <w:rPr>
          <w:rFonts w:hint="eastAsia" w:ascii="微软雅黑" w:hAnsi="微软雅黑" w:eastAsia="微软雅黑" w:cs="微软雅黑"/>
          <w:b/>
          <w:bCs/>
          <w:color w:val="auto"/>
          <w:sz w:val="32"/>
          <w:highlight w:val="none"/>
        </w:rPr>
        <w:t>二零二六年</w:t>
      </w:r>
      <w:r>
        <w:rPr>
          <w:rFonts w:hint="eastAsia" w:ascii="微软雅黑" w:hAnsi="微软雅黑" w:eastAsia="微软雅黑" w:cs="微软雅黑"/>
          <w:b/>
          <w:bCs/>
          <w:color w:val="auto"/>
          <w:sz w:val="32"/>
          <w:highlight w:val="none"/>
          <w:lang w:val="en-US" w:eastAsia="zh-CN"/>
        </w:rPr>
        <w:t>七</w:t>
      </w:r>
      <w:r>
        <w:rPr>
          <w:rFonts w:hint="eastAsia" w:ascii="微软雅黑" w:hAnsi="微软雅黑" w:eastAsia="微软雅黑" w:cs="微软雅黑"/>
          <w:b/>
          <w:bCs/>
          <w:color w:val="auto"/>
          <w:sz w:val="32"/>
          <w:highlight w:val="none"/>
        </w:rPr>
        <w:t>月</w:t>
      </w:r>
      <w:bookmarkStart w:id="0" w:name="_Toc517190880"/>
      <w:bookmarkStart w:id="1" w:name="_Toc120614210"/>
      <w:bookmarkStart w:id="2" w:name="_Toc513029200"/>
      <w:bookmarkStart w:id="3" w:name="_Toc16938516"/>
      <w:bookmarkStart w:id="4" w:name="_Toc523127445"/>
      <w:bookmarkStart w:id="5" w:name="_Toc479757206"/>
      <w:bookmarkStart w:id="6" w:name="_Toc20823272"/>
      <w:r>
        <w:rPr>
          <w:rFonts w:hint="eastAsia" w:ascii="宋体" w:hAnsi="宋体" w:cs="宋体"/>
          <w:b/>
          <w:color w:val="auto"/>
          <w:sz w:val="44"/>
          <w:szCs w:val="28"/>
          <w:highlight w:val="none"/>
        </w:rPr>
        <w:br w:type="page" w:clear="all"/>
      </w:r>
    </w:p>
    <w:p w14:paraId="27144E6C">
      <w:pPr>
        <w:pStyle w:val="201"/>
        <w:ind w:firstLine="883"/>
        <w:jc w:val="center"/>
        <w:rPr>
          <w:rFonts w:ascii="宋体" w:hAnsi="宋体" w:cs="宋体"/>
          <w:b/>
          <w:bCs/>
          <w:color w:val="auto"/>
          <w:sz w:val="32"/>
          <w:highlight w:val="none"/>
        </w:rPr>
      </w:pPr>
      <w:r>
        <w:rPr>
          <w:rFonts w:hint="eastAsia" w:ascii="宋体" w:hAnsi="宋体" w:cs="宋体"/>
          <w:b/>
          <w:color w:val="auto"/>
          <w:sz w:val="44"/>
          <w:szCs w:val="28"/>
          <w:highlight w:val="none"/>
        </w:rPr>
        <w:t>目  录</w:t>
      </w:r>
      <w:bookmarkEnd w:id="0"/>
    </w:p>
    <w:p w14:paraId="26862D5D">
      <w:pPr>
        <w:pStyle w:val="28"/>
        <w:tabs>
          <w:tab w:val="right" w:leader="dot" w:pos="8306"/>
        </w:tabs>
        <w:rPr>
          <w:color w:val="auto"/>
          <w:highlight w:val="none"/>
        </w:rPr>
      </w:pPr>
      <w:r>
        <w:rPr>
          <w:rFonts w:hint="eastAsia" w:ascii="宋体" w:hAnsi="宋体" w:cs="宋体"/>
          <w:b w:val="0"/>
          <w:color w:val="auto"/>
          <w:sz w:val="24"/>
          <w:szCs w:val="24"/>
          <w:highlight w:val="none"/>
        </w:rPr>
        <w:fldChar w:fldCharType="begin"/>
      </w:r>
      <w:r>
        <w:rPr>
          <w:rFonts w:hint="eastAsia" w:ascii="宋体" w:hAnsi="宋体" w:cs="宋体"/>
          <w:b w:val="0"/>
          <w:color w:val="auto"/>
          <w:sz w:val="24"/>
          <w:szCs w:val="24"/>
          <w:highlight w:val="none"/>
        </w:rPr>
        <w:instrText xml:space="preserve"> TOC \o "1-3" \h \z \u </w:instrText>
      </w:r>
      <w:r>
        <w:rPr>
          <w:rFonts w:hint="eastAsia" w:ascii="宋体" w:hAnsi="宋体" w:cs="宋体"/>
          <w:b w:val="0"/>
          <w:color w:val="auto"/>
          <w:sz w:val="24"/>
          <w:szCs w:val="24"/>
          <w:highlight w:val="none"/>
        </w:rPr>
        <w:fldChar w:fldCharType="separate"/>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_Toc5087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_Toc5087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cs="宋体"/>
          <w:color w:val="auto"/>
          <w:szCs w:val="24"/>
          <w:highlight w:val="none"/>
        </w:rPr>
        <w:fldChar w:fldCharType="end"/>
      </w:r>
    </w:p>
    <w:p w14:paraId="5D0F3005">
      <w:pPr>
        <w:pStyle w:val="28"/>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_Toc25279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_Toc25279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cs="宋体"/>
          <w:color w:val="auto"/>
          <w:szCs w:val="24"/>
          <w:highlight w:val="none"/>
        </w:rPr>
        <w:fldChar w:fldCharType="end"/>
      </w:r>
    </w:p>
    <w:p w14:paraId="11923DA8">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_Toc12960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_Toc12960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cs="宋体"/>
          <w:color w:val="auto"/>
          <w:szCs w:val="24"/>
          <w:highlight w:val="none"/>
        </w:rPr>
        <w:fldChar w:fldCharType="end"/>
      </w:r>
    </w:p>
    <w:p w14:paraId="44675B29">
      <w:pPr>
        <w:pStyle w:val="28"/>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_Toc23532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第三章  项目需求</w:t>
      </w:r>
      <w:r>
        <w:rPr>
          <w:color w:val="auto"/>
          <w:highlight w:val="none"/>
        </w:rPr>
        <w:tab/>
      </w:r>
      <w:r>
        <w:rPr>
          <w:color w:val="auto"/>
          <w:highlight w:val="none"/>
        </w:rPr>
        <w:fldChar w:fldCharType="begin"/>
      </w:r>
      <w:r>
        <w:rPr>
          <w:color w:val="auto"/>
          <w:highlight w:val="none"/>
        </w:rPr>
        <w:instrText xml:space="preserve"> PAGEREF _Toc23532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cs="宋体"/>
          <w:color w:val="auto"/>
          <w:szCs w:val="24"/>
          <w:highlight w:val="none"/>
        </w:rPr>
        <w:fldChar w:fldCharType="end"/>
      </w:r>
    </w:p>
    <w:p w14:paraId="488CC4AC">
      <w:pPr>
        <w:pStyle w:val="28"/>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_Toc27121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第四章  评标方法与评标标准</w:t>
      </w:r>
      <w:r>
        <w:rPr>
          <w:color w:val="auto"/>
          <w:highlight w:val="none"/>
        </w:rPr>
        <w:tab/>
      </w:r>
      <w:r>
        <w:rPr>
          <w:color w:val="auto"/>
          <w:highlight w:val="none"/>
        </w:rPr>
        <w:fldChar w:fldCharType="begin"/>
      </w:r>
      <w:r>
        <w:rPr>
          <w:color w:val="auto"/>
          <w:highlight w:val="none"/>
        </w:rPr>
        <w:instrText xml:space="preserve"> PAGEREF _Toc27121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cs="宋体"/>
          <w:color w:val="auto"/>
          <w:szCs w:val="24"/>
          <w:highlight w:val="none"/>
        </w:rPr>
        <w:fldChar w:fldCharType="end"/>
      </w:r>
    </w:p>
    <w:p w14:paraId="72A4C5B7">
      <w:pPr>
        <w:pStyle w:val="28"/>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_Toc25626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第五章 合同主要条款及格式（货物类）</w:t>
      </w:r>
      <w:r>
        <w:rPr>
          <w:color w:val="auto"/>
          <w:highlight w:val="none"/>
        </w:rPr>
        <w:tab/>
      </w:r>
      <w:r>
        <w:rPr>
          <w:color w:val="auto"/>
          <w:highlight w:val="none"/>
        </w:rPr>
        <w:fldChar w:fldCharType="begin"/>
      </w:r>
      <w:r>
        <w:rPr>
          <w:color w:val="auto"/>
          <w:highlight w:val="none"/>
        </w:rPr>
        <w:instrText xml:space="preserve"> PAGEREF _Toc25626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cs="宋体"/>
          <w:color w:val="auto"/>
          <w:szCs w:val="24"/>
          <w:highlight w:val="none"/>
        </w:rPr>
        <w:fldChar w:fldCharType="end"/>
      </w:r>
    </w:p>
    <w:p w14:paraId="08241040">
      <w:pPr>
        <w:pStyle w:val="28"/>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_Toc804 </w:instrText>
      </w:r>
      <w:r>
        <w:rPr>
          <w:rFonts w:hint="eastAsia" w:ascii="宋体" w:hAnsi="宋体" w:cs="宋体"/>
          <w:color w:val="auto"/>
          <w:szCs w:val="24"/>
          <w:highlight w:val="none"/>
        </w:rPr>
        <w:fldChar w:fldCharType="separate"/>
      </w:r>
      <w:r>
        <w:rPr>
          <w:rFonts w:hint="eastAsia" w:asciiTheme="majorEastAsia" w:hAnsiTheme="majorEastAsia" w:eastAsiaTheme="majorEastAsia" w:cstheme="minorBidi"/>
          <w:color w:val="auto"/>
          <w:szCs w:val="32"/>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_Toc804 \h </w:instrText>
      </w:r>
      <w:r>
        <w:rPr>
          <w:color w:val="auto"/>
          <w:highlight w:val="none"/>
        </w:rPr>
        <w:fldChar w:fldCharType="separate"/>
      </w:r>
      <w:r>
        <w:rPr>
          <w:color w:val="auto"/>
          <w:highlight w:val="none"/>
        </w:rPr>
        <w:t>41</w:t>
      </w:r>
      <w:r>
        <w:rPr>
          <w:color w:val="auto"/>
          <w:highlight w:val="none"/>
        </w:rPr>
        <w:fldChar w:fldCharType="end"/>
      </w:r>
      <w:r>
        <w:rPr>
          <w:rFonts w:hint="eastAsia" w:ascii="宋体" w:hAnsi="宋体" w:cs="宋体"/>
          <w:color w:val="auto"/>
          <w:szCs w:val="24"/>
          <w:highlight w:val="none"/>
        </w:rPr>
        <w:fldChar w:fldCharType="end"/>
      </w:r>
    </w:p>
    <w:p w14:paraId="78320AF3">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_Toc20196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投标函</w:t>
      </w:r>
      <w:r>
        <w:rPr>
          <w:color w:val="auto"/>
          <w:highlight w:val="none"/>
        </w:rPr>
        <w:tab/>
      </w:r>
      <w:r>
        <w:rPr>
          <w:color w:val="auto"/>
          <w:highlight w:val="none"/>
        </w:rPr>
        <w:fldChar w:fldCharType="begin"/>
      </w:r>
      <w:r>
        <w:rPr>
          <w:color w:val="auto"/>
          <w:highlight w:val="none"/>
        </w:rPr>
        <w:instrText xml:space="preserve"> PAGEREF _Toc20196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cs="宋体"/>
          <w:color w:val="auto"/>
          <w:szCs w:val="24"/>
          <w:highlight w:val="none"/>
        </w:rPr>
        <w:fldChar w:fldCharType="end"/>
      </w:r>
    </w:p>
    <w:p w14:paraId="2895CB2A">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_Toc15543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授权书</w:t>
      </w:r>
      <w:r>
        <w:rPr>
          <w:color w:val="auto"/>
          <w:highlight w:val="none"/>
        </w:rPr>
        <w:tab/>
      </w:r>
      <w:r>
        <w:rPr>
          <w:color w:val="auto"/>
          <w:highlight w:val="none"/>
        </w:rPr>
        <w:fldChar w:fldCharType="begin"/>
      </w:r>
      <w:r>
        <w:rPr>
          <w:color w:val="auto"/>
          <w:highlight w:val="none"/>
        </w:rPr>
        <w:instrText xml:space="preserve"> PAGEREF _Toc15543 \h </w:instrText>
      </w:r>
      <w:r>
        <w:rPr>
          <w:color w:val="auto"/>
          <w:highlight w:val="none"/>
        </w:rPr>
        <w:fldChar w:fldCharType="separate"/>
      </w:r>
      <w:r>
        <w:rPr>
          <w:color w:val="auto"/>
          <w:highlight w:val="none"/>
        </w:rPr>
        <w:t>45</w:t>
      </w:r>
      <w:r>
        <w:rPr>
          <w:color w:val="auto"/>
          <w:highlight w:val="none"/>
        </w:rPr>
        <w:fldChar w:fldCharType="end"/>
      </w:r>
      <w:r>
        <w:rPr>
          <w:rFonts w:hint="eastAsia" w:ascii="宋体" w:hAnsi="宋体" w:cs="宋体"/>
          <w:color w:val="auto"/>
          <w:szCs w:val="24"/>
          <w:highlight w:val="none"/>
        </w:rPr>
        <w:fldChar w:fldCharType="end"/>
      </w:r>
    </w:p>
    <w:p w14:paraId="41BBD43F">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_Toc23798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开标一览表（具体格式以系统内为准）</w:t>
      </w:r>
      <w:r>
        <w:rPr>
          <w:color w:val="auto"/>
          <w:highlight w:val="none"/>
        </w:rPr>
        <w:tab/>
      </w:r>
      <w:r>
        <w:rPr>
          <w:color w:val="auto"/>
          <w:highlight w:val="none"/>
        </w:rPr>
        <w:fldChar w:fldCharType="begin"/>
      </w:r>
      <w:r>
        <w:rPr>
          <w:color w:val="auto"/>
          <w:highlight w:val="none"/>
        </w:rPr>
        <w:instrText xml:space="preserve"> PAGEREF _Toc23798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cs="宋体"/>
          <w:color w:val="auto"/>
          <w:szCs w:val="24"/>
          <w:highlight w:val="none"/>
        </w:rPr>
        <w:fldChar w:fldCharType="end"/>
      </w:r>
    </w:p>
    <w:p w14:paraId="461E7D9D">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_Toc26687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投标产品配置及分项报价表</w:t>
      </w:r>
      <w:r>
        <w:rPr>
          <w:color w:val="auto"/>
          <w:highlight w:val="none"/>
        </w:rPr>
        <w:tab/>
      </w:r>
      <w:r>
        <w:rPr>
          <w:color w:val="auto"/>
          <w:highlight w:val="none"/>
        </w:rPr>
        <w:fldChar w:fldCharType="begin"/>
      </w:r>
      <w:r>
        <w:rPr>
          <w:color w:val="auto"/>
          <w:highlight w:val="none"/>
        </w:rPr>
        <w:instrText xml:space="preserve"> PAGEREF _Toc26687 \h </w:instrText>
      </w:r>
      <w:r>
        <w:rPr>
          <w:color w:val="auto"/>
          <w:highlight w:val="none"/>
        </w:rPr>
        <w:fldChar w:fldCharType="separate"/>
      </w:r>
      <w:r>
        <w:rPr>
          <w:color w:val="auto"/>
          <w:highlight w:val="none"/>
        </w:rPr>
        <w:t>47</w:t>
      </w:r>
      <w:r>
        <w:rPr>
          <w:color w:val="auto"/>
          <w:highlight w:val="none"/>
        </w:rPr>
        <w:fldChar w:fldCharType="end"/>
      </w:r>
      <w:r>
        <w:rPr>
          <w:rFonts w:hint="eastAsia" w:ascii="宋体" w:hAnsi="宋体" w:cs="宋体"/>
          <w:color w:val="auto"/>
          <w:szCs w:val="24"/>
          <w:highlight w:val="none"/>
        </w:rPr>
        <w:fldChar w:fldCharType="end"/>
      </w:r>
    </w:p>
    <w:p w14:paraId="4A0F0774">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_Toc18114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商务条款响应表</w:t>
      </w:r>
      <w:r>
        <w:rPr>
          <w:color w:val="auto"/>
          <w:highlight w:val="none"/>
        </w:rPr>
        <w:tab/>
      </w:r>
      <w:r>
        <w:rPr>
          <w:color w:val="auto"/>
          <w:highlight w:val="none"/>
        </w:rPr>
        <w:fldChar w:fldCharType="begin"/>
      </w:r>
      <w:r>
        <w:rPr>
          <w:color w:val="auto"/>
          <w:highlight w:val="none"/>
        </w:rPr>
        <w:instrText xml:space="preserve"> PAGEREF _Toc18114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cs="宋体"/>
          <w:color w:val="auto"/>
          <w:szCs w:val="24"/>
          <w:highlight w:val="none"/>
        </w:rPr>
        <w:fldChar w:fldCharType="end"/>
      </w:r>
    </w:p>
    <w:p w14:paraId="6176FD49">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_Toc7379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技术参数响应表</w:t>
      </w:r>
      <w:r>
        <w:rPr>
          <w:color w:val="auto"/>
          <w:highlight w:val="none"/>
        </w:rPr>
        <w:tab/>
      </w:r>
      <w:r>
        <w:rPr>
          <w:color w:val="auto"/>
          <w:highlight w:val="none"/>
        </w:rPr>
        <w:fldChar w:fldCharType="begin"/>
      </w:r>
      <w:r>
        <w:rPr>
          <w:color w:val="auto"/>
          <w:highlight w:val="none"/>
        </w:rPr>
        <w:instrText xml:space="preserve"> PAGEREF _Toc7379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cs="宋体"/>
          <w:color w:val="auto"/>
          <w:szCs w:val="24"/>
          <w:highlight w:val="none"/>
        </w:rPr>
        <w:fldChar w:fldCharType="end"/>
      </w:r>
    </w:p>
    <w:p w14:paraId="69A2F8F6">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_Toc11716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无重大违法记录声明</w:t>
      </w:r>
      <w:r>
        <w:rPr>
          <w:color w:val="auto"/>
          <w:highlight w:val="none"/>
        </w:rPr>
        <w:tab/>
      </w:r>
      <w:r>
        <w:rPr>
          <w:color w:val="auto"/>
          <w:highlight w:val="none"/>
        </w:rPr>
        <w:fldChar w:fldCharType="begin"/>
      </w:r>
      <w:r>
        <w:rPr>
          <w:color w:val="auto"/>
          <w:highlight w:val="none"/>
        </w:rPr>
        <w:instrText xml:space="preserve"> PAGEREF _Toc11716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szCs w:val="24"/>
          <w:highlight w:val="none"/>
        </w:rPr>
        <w:fldChar w:fldCharType="end"/>
      </w:r>
    </w:p>
    <w:p w14:paraId="5AD1A467">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_Toc18868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具备履行合同所必需的设备和专业技术能力声明</w:t>
      </w:r>
      <w:r>
        <w:rPr>
          <w:color w:val="auto"/>
          <w:highlight w:val="none"/>
        </w:rPr>
        <w:tab/>
      </w:r>
      <w:r>
        <w:rPr>
          <w:color w:val="auto"/>
          <w:highlight w:val="none"/>
        </w:rPr>
        <w:fldChar w:fldCharType="begin"/>
      </w:r>
      <w:r>
        <w:rPr>
          <w:color w:val="auto"/>
          <w:highlight w:val="none"/>
        </w:rPr>
        <w:instrText xml:space="preserve"> PAGEREF _Toc18868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cs="宋体"/>
          <w:color w:val="auto"/>
          <w:szCs w:val="24"/>
          <w:highlight w:val="none"/>
        </w:rPr>
        <w:fldChar w:fldCharType="end"/>
      </w:r>
    </w:p>
    <w:p w14:paraId="57B45CC2">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_Toc12556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中小企业声明函（货物）</w:t>
      </w:r>
      <w:r>
        <w:rPr>
          <w:color w:val="auto"/>
          <w:highlight w:val="none"/>
        </w:rPr>
        <w:tab/>
      </w:r>
      <w:r>
        <w:rPr>
          <w:color w:val="auto"/>
          <w:highlight w:val="none"/>
        </w:rPr>
        <w:fldChar w:fldCharType="begin"/>
      </w:r>
      <w:r>
        <w:rPr>
          <w:color w:val="auto"/>
          <w:highlight w:val="none"/>
        </w:rPr>
        <w:instrText xml:space="preserve"> PAGEREF _Toc12556 \h </w:instrText>
      </w:r>
      <w:r>
        <w:rPr>
          <w:color w:val="auto"/>
          <w:highlight w:val="none"/>
        </w:rPr>
        <w:fldChar w:fldCharType="separate"/>
      </w:r>
      <w:r>
        <w:rPr>
          <w:color w:val="auto"/>
          <w:highlight w:val="none"/>
        </w:rPr>
        <w:t>52</w:t>
      </w:r>
      <w:r>
        <w:rPr>
          <w:color w:val="auto"/>
          <w:highlight w:val="none"/>
        </w:rPr>
        <w:fldChar w:fldCharType="end"/>
      </w:r>
      <w:r>
        <w:rPr>
          <w:rFonts w:hint="eastAsia" w:ascii="宋体" w:hAnsi="宋体" w:cs="宋体"/>
          <w:color w:val="auto"/>
          <w:szCs w:val="24"/>
          <w:highlight w:val="none"/>
        </w:rPr>
        <w:fldChar w:fldCharType="end"/>
      </w:r>
    </w:p>
    <w:p w14:paraId="0ED2F7F1">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_Toc4927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残疾人福利性单位声明函</w:t>
      </w:r>
      <w:r>
        <w:rPr>
          <w:color w:val="auto"/>
          <w:highlight w:val="none"/>
        </w:rPr>
        <w:tab/>
      </w:r>
      <w:r>
        <w:rPr>
          <w:color w:val="auto"/>
          <w:highlight w:val="none"/>
        </w:rPr>
        <w:fldChar w:fldCharType="begin"/>
      </w:r>
      <w:r>
        <w:rPr>
          <w:color w:val="auto"/>
          <w:highlight w:val="none"/>
        </w:rPr>
        <w:instrText xml:space="preserve"> PAGEREF _Toc4927 \h </w:instrText>
      </w:r>
      <w:r>
        <w:rPr>
          <w:color w:val="auto"/>
          <w:highlight w:val="none"/>
        </w:rPr>
        <w:fldChar w:fldCharType="separate"/>
      </w:r>
      <w:r>
        <w:rPr>
          <w:color w:val="auto"/>
          <w:highlight w:val="none"/>
        </w:rPr>
        <w:t>54</w:t>
      </w:r>
      <w:r>
        <w:rPr>
          <w:color w:val="auto"/>
          <w:highlight w:val="none"/>
        </w:rPr>
        <w:fldChar w:fldCharType="end"/>
      </w:r>
      <w:r>
        <w:rPr>
          <w:rFonts w:hint="eastAsia" w:ascii="宋体" w:hAnsi="宋体" w:cs="宋体"/>
          <w:color w:val="auto"/>
          <w:szCs w:val="24"/>
          <w:highlight w:val="none"/>
        </w:rPr>
        <w:fldChar w:fldCharType="end"/>
      </w:r>
    </w:p>
    <w:p w14:paraId="51E7241A">
      <w:pPr>
        <w:pStyle w:val="34"/>
        <w:tabs>
          <w:tab w:val="right" w:leader="dot" w:pos="8306"/>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_Toc1763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关于符合本国产品标准的声明函</w:t>
      </w:r>
      <w:r>
        <w:rPr>
          <w:color w:val="auto"/>
          <w:highlight w:val="none"/>
        </w:rPr>
        <w:tab/>
      </w:r>
      <w:r>
        <w:rPr>
          <w:color w:val="auto"/>
          <w:highlight w:val="none"/>
        </w:rPr>
        <w:fldChar w:fldCharType="begin"/>
      </w:r>
      <w:r>
        <w:rPr>
          <w:color w:val="auto"/>
          <w:highlight w:val="none"/>
        </w:rPr>
        <w:instrText xml:space="preserve"> PAGEREF _Toc1763 \h </w:instrText>
      </w:r>
      <w:r>
        <w:rPr>
          <w:color w:val="auto"/>
          <w:highlight w:val="none"/>
        </w:rPr>
        <w:fldChar w:fldCharType="separate"/>
      </w:r>
      <w:r>
        <w:rPr>
          <w:color w:val="auto"/>
          <w:highlight w:val="none"/>
        </w:rPr>
        <w:t>55</w:t>
      </w:r>
      <w:r>
        <w:rPr>
          <w:color w:val="auto"/>
          <w:highlight w:val="none"/>
        </w:rPr>
        <w:fldChar w:fldCharType="end"/>
      </w:r>
      <w:r>
        <w:rPr>
          <w:rFonts w:hint="eastAsia" w:ascii="宋体" w:hAnsi="宋体" w:cs="宋体"/>
          <w:color w:val="auto"/>
          <w:szCs w:val="24"/>
          <w:highlight w:val="none"/>
        </w:rPr>
        <w:fldChar w:fldCharType="end"/>
      </w:r>
    </w:p>
    <w:p w14:paraId="64427A91">
      <w:pPr>
        <w:spacing w:line="288" w:lineRule="auto"/>
        <w:ind w:firstLine="440"/>
        <w:rPr>
          <w:color w:val="auto"/>
          <w:highlight w:val="none"/>
        </w:rPr>
      </w:pPr>
      <w:r>
        <w:rPr>
          <w:rFonts w:hint="eastAsia" w:ascii="宋体" w:hAnsi="宋体" w:cs="宋体"/>
          <w:color w:val="auto"/>
          <w:szCs w:val="24"/>
          <w:highlight w:val="none"/>
        </w:rPr>
        <w:fldChar w:fldCharType="end"/>
      </w:r>
    </w:p>
    <w:p w14:paraId="70F40D8A">
      <w:pPr>
        <w:spacing w:line="480" w:lineRule="auto"/>
        <w:ind w:firstLine="562"/>
        <w:rPr>
          <w:rFonts w:ascii="仿宋_GB2312" w:hAnsi="Arial" w:eastAsia="仿宋_GB2312"/>
          <w:b/>
          <w:color w:val="auto"/>
          <w:sz w:val="28"/>
          <w:highlight w:val="none"/>
        </w:rPr>
      </w:pPr>
    </w:p>
    <w:p w14:paraId="5CB2E7C2">
      <w:pPr>
        <w:ind w:firstLine="440"/>
        <w:rPr>
          <w:color w:val="auto"/>
          <w:highlight w:val="none"/>
        </w:rPr>
      </w:pPr>
    </w:p>
    <w:bookmarkEnd w:id="1"/>
    <w:p w14:paraId="7EDE94D8">
      <w:pPr>
        <w:ind w:firstLine="440"/>
        <w:rPr>
          <w:color w:val="auto"/>
          <w:highlight w:val="none"/>
        </w:rPr>
      </w:pPr>
    </w:p>
    <w:p w14:paraId="5447B401">
      <w:pPr>
        <w:pStyle w:val="2"/>
        <w:pageBreakBefore/>
        <w:spacing w:after="120"/>
        <w:ind w:firstLine="643"/>
        <w:rPr>
          <w:rFonts w:asciiTheme="majorEastAsia" w:hAnsiTheme="majorEastAsia" w:eastAsiaTheme="majorEastAsia"/>
          <w:b/>
          <w:color w:val="auto"/>
          <w:sz w:val="32"/>
          <w:szCs w:val="32"/>
          <w:highlight w:val="none"/>
        </w:rPr>
      </w:pPr>
      <w:bookmarkStart w:id="7" w:name="_Toc5087"/>
      <w:r>
        <w:rPr>
          <w:rFonts w:hint="eastAsia" w:asciiTheme="majorEastAsia" w:hAnsiTheme="majorEastAsia" w:eastAsiaTheme="majorEastAsia"/>
          <w:b/>
          <w:color w:val="auto"/>
          <w:sz w:val="32"/>
          <w:szCs w:val="32"/>
          <w:highlight w:val="none"/>
        </w:rPr>
        <w:t>第一章  招标公告</w:t>
      </w:r>
      <w:bookmarkEnd w:id="7"/>
    </w:p>
    <w:bookmarkEnd w:id="2"/>
    <w:bookmarkEnd w:id="3"/>
    <w:bookmarkEnd w:id="4"/>
    <w:bookmarkEnd w:id="5"/>
    <w:bookmarkEnd w:id="6"/>
    <w:p w14:paraId="15E98E02">
      <w:pPr>
        <w:ind w:firstLine="440"/>
        <w:rPr>
          <w:color w:val="auto"/>
          <w:highlight w:val="none"/>
        </w:rPr>
      </w:pPr>
    </w:p>
    <w:p w14:paraId="2FEEE50E">
      <w:pPr>
        <w:spacing w:before="120" w:after="120"/>
        <w:ind w:firstLine="480"/>
        <w:rPr>
          <w:rFonts w:ascii="宋体" w:hAnsi="宋体" w:cs="宋体"/>
          <w:color w:val="auto"/>
          <w:sz w:val="24"/>
          <w:szCs w:val="24"/>
          <w:highlight w:val="none"/>
        </w:rPr>
      </w:pPr>
      <w:bookmarkStart w:id="8" w:name="_Toc120614211"/>
      <w:bookmarkStart w:id="9" w:name="_Toc120614221"/>
      <w:bookmarkStart w:id="10" w:name="_Toc479757207"/>
      <w:bookmarkStart w:id="11" w:name="OLE_LINK2"/>
      <w:bookmarkStart w:id="12" w:name="_Toc16938558"/>
      <w:bookmarkStart w:id="13" w:name="OLE_LINK1"/>
      <w:bookmarkStart w:id="14" w:name="_Toc513029242"/>
      <w:bookmarkStart w:id="15" w:name="_Toc20823314"/>
      <w:bookmarkStart w:id="16" w:name="_Toc444669970"/>
      <w:r>
        <w:rPr>
          <w:rFonts w:hint="eastAsia" w:ascii="宋体" w:hAnsi="宋体" w:cs="宋体"/>
          <w:color w:val="auto"/>
          <w:sz w:val="24"/>
          <w:szCs w:val="24"/>
          <w:highlight w:val="none"/>
        </w:rPr>
        <w:t>南京医科大学就</w:t>
      </w:r>
      <w:r>
        <w:rPr>
          <w:rFonts w:hint="eastAsia" w:ascii="宋体" w:hAnsi="宋体" w:cs="宋体"/>
          <w:color w:val="auto"/>
          <w:sz w:val="24"/>
          <w:szCs w:val="24"/>
          <w:highlight w:val="none"/>
          <w:lang w:eastAsia="zh-CN"/>
        </w:rPr>
        <w:t>南京医科大学疫苗平台步入式洗笼机项目（第二次）</w:t>
      </w:r>
      <w:r>
        <w:rPr>
          <w:rFonts w:hint="eastAsia" w:ascii="宋体" w:hAnsi="宋体" w:cs="宋体"/>
          <w:color w:val="auto"/>
          <w:sz w:val="24"/>
          <w:szCs w:val="24"/>
          <w:highlight w:val="none"/>
        </w:rPr>
        <w:t>公开招标，相应资金已落实，欢迎符合招标公告资质要求的投标人前来投标。</w:t>
      </w:r>
    </w:p>
    <w:p w14:paraId="409321EE">
      <w:pPr>
        <w:spacing w:before="120" w:after="120"/>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一、项目基本情况</w:t>
      </w:r>
    </w:p>
    <w:p w14:paraId="070C6D59">
      <w:pPr>
        <w:spacing w:after="120"/>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1.1项目名称：</w:t>
      </w:r>
      <w:r>
        <w:rPr>
          <w:rFonts w:hint="eastAsia" w:ascii="宋体" w:hAnsi="宋体" w:cs="宋体"/>
          <w:color w:val="auto"/>
          <w:sz w:val="24"/>
          <w:szCs w:val="24"/>
          <w:highlight w:val="none"/>
          <w:lang w:eastAsia="zh-CN"/>
        </w:rPr>
        <w:t>南京医科大学疫苗平台步入式洗笼机项目（第二次）</w:t>
      </w:r>
    </w:p>
    <w:p w14:paraId="42285434">
      <w:pPr>
        <w:spacing w:after="120"/>
        <w:ind w:left="480" w:firstLine="0"/>
        <w:rPr>
          <w:rFonts w:ascii="宋体" w:hAnsi="宋体" w:cs="宋体"/>
          <w:color w:val="auto"/>
          <w:sz w:val="24"/>
          <w:szCs w:val="24"/>
          <w:highlight w:val="none"/>
        </w:rPr>
      </w:pPr>
      <w:r>
        <w:rPr>
          <w:rFonts w:hint="eastAsia" w:ascii="宋体" w:hAnsi="宋体" w:cs="宋体"/>
          <w:color w:val="auto"/>
          <w:sz w:val="24"/>
          <w:szCs w:val="24"/>
          <w:highlight w:val="none"/>
        </w:rPr>
        <w:t>1.2项目编号：</w:t>
      </w:r>
      <w:r>
        <w:rPr>
          <w:rFonts w:hint="eastAsia" w:ascii="宋体" w:hAnsi="宋体" w:cs="宋体"/>
          <w:color w:val="auto"/>
          <w:sz w:val="24"/>
          <w:szCs w:val="24"/>
          <w:highlight w:val="none"/>
          <w:lang w:eastAsia="zh-CN"/>
        </w:rPr>
        <w:t>JSZC-320000-HTMY-G2026-0014</w:t>
      </w:r>
      <w:r>
        <w:rPr>
          <w:rFonts w:hint="eastAsia" w:ascii="宋体" w:hAnsi="宋体" w:cs="宋体"/>
          <w:color w:val="auto"/>
          <w:sz w:val="24"/>
          <w:szCs w:val="24"/>
          <w:highlight w:val="none"/>
        </w:rPr>
        <w:t>，采购机构内部编号：1678-264102029HTT</w:t>
      </w:r>
    </w:p>
    <w:p w14:paraId="64077923">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1.3项目预算：人民币119万元 </w:t>
      </w:r>
    </w:p>
    <w:p w14:paraId="495CF042">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1.4最高总限价：人民币119万元，投标报价超过最高限价的为无效投标 </w:t>
      </w:r>
    </w:p>
    <w:p w14:paraId="2CEB47C0">
      <w:pPr>
        <w:spacing w:before="120" w:after="120"/>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二、项目需求</w:t>
      </w:r>
    </w:p>
    <w:p w14:paraId="2313F3EA">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2.1采购需求：</w:t>
      </w:r>
    </w:p>
    <w:tbl>
      <w:tblPr>
        <w:tblStyle w:val="40"/>
        <w:tblW w:w="8397" w:type="dxa"/>
        <w:jc w:val="center"/>
        <w:tblLayout w:type="fixed"/>
        <w:tblCellMar>
          <w:top w:w="283" w:type="dxa"/>
          <w:left w:w="0" w:type="dxa"/>
          <w:bottom w:w="0" w:type="dxa"/>
          <w:right w:w="0" w:type="dxa"/>
        </w:tblCellMar>
      </w:tblPr>
      <w:tblGrid>
        <w:gridCol w:w="645"/>
        <w:gridCol w:w="2766"/>
        <w:gridCol w:w="843"/>
        <w:gridCol w:w="720"/>
        <w:gridCol w:w="3423"/>
      </w:tblGrid>
      <w:tr w14:paraId="08289F07">
        <w:tblPrEx>
          <w:tblCellMar>
            <w:top w:w="283" w:type="dxa"/>
            <w:left w:w="0" w:type="dxa"/>
            <w:bottom w:w="0" w:type="dxa"/>
            <w:right w:w="0" w:type="dxa"/>
          </w:tblCellMar>
        </w:tblPrEx>
        <w:trPr>
          <w:trHeight w:val="510" w:hRule="atLeast"/>
          <w:jc w:val="center"/>
        </w:trPr>
        <w:tc>
          <w:tcPr>
            <w:tcW w:w="645" w:type="dxa"/>
            <w:tcBorders>
              <w:top w:val="single" w:color="000000" w:sz="4" w:space="0"/>
              <w:left w:val="single" w:color="000000" w:sz="4" w:space="0"/>
              <w:bottom w:val="nil"/>
              <w:right w:val="single" w:color="000000" w:sz="4" w:space="0"/>
            </w:tcBorders>
            <w:noWrap w:val="0"/>
            <w:vAlign w:val="center"/>
          </w:tcPr>
          <w:p w14:paraId="487CA671">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2766" w:type="dxa"/>
            <w:tcBorders>
              <w:top w:val="single" w:color="000000" w:sz="4" w:space="0"/>
              <w:left w:val="single" w:color="000000" w:sz="4" w:space="0"/>
              <w:bottom w:val="nil"/>
              <w:right w:val="single" w:color="000000" w:sz="4" w:space="0"/>
            </w:tcBorders>
            <w:noWrap w:val="0"/>
            <w:vAlign w:val="center"/>
          </w:tcPr>
          <w:p w14:paraId="420C2810">
            <w:pPr>
              <w:jc w:val="center"/>
              <w:rPr>
                <w:rFonts w:ascii="宋体" w:hAnsi="宋体" w:cs="宋体"/>
                <w:b/>
                <w:bCs/>
                <w:color w:val="auto"/>
                <w:sz w:val="24"/>
                <w:highlight w:val="none"/>
              </w:rPr>
            </w:pPr>
            <w:r>
              <w:rPr>
                <w:rFonts w:hint="eastAsia" w:ascii="宋体" w:hAnsi="宋体" w:cs="宋体"/>
                <w:b/>
                <w:bCs/>
                <w:color w:val="auto"/>
                <w:sz w:val="24"/>
                <w:highlight w:val="none"/>
              </w:rPr>
              <w:t>采购名称</w:t>
            </w:r>
          </w:p>
        </w:tc>
        <w:tc>
          <w:tcPr>
            <w:tcW w:w="843" w:type="dxa"/>
            <w:tcBorders>
              <w:top w:val="single" w:color="000000" w:sz="4" w:space="0"/>
              <w:left w:val="single" w:color="000000" w:sz="4" w:space="0"/>
              <w:bottom w:val="nil"/>
              <w:right w:val="single" w:color="000000" w:sz="4" w:space="0"/>
            </w:tcBorders>
            <w:noWrap w:val="0"/>
            <w:vAlign w:val="center"/>
          </w:tcPr>
          <w:p w14:paraId="0E95EEE7">
            <w:pPr>
              <w:jc w:val="center"/>
              <w:rPr>
                <w:rFonts w:ascii="宋体" w:hAnsi="宋体" w:cs="宋体"/>
                <w:b/>
                <w:bCs/>
                <w:color w:val="auto"/>
                <w:sz w:val="24"/>
                <w:highlight w:val="none"/>
              </w:rPr>
            </w:pPr>
            <w:r>
              <w:rPr>
                <w:rFonts w:hint="eastAsia" w:ascii="宋体" w:hAnsi="宋体" w:cs="宋体"/>
                <w:b/>
                <w:bCs/>
                <w:color w:val="auto"/>
                <w:sz w:val="24"/>
                <w:highlight w:val="none"/>
                <w:lang w:bidi="ar"/>
              </w:rPr>
              <w:t>数量</w:t>
            </w:r>
          </w:p>
        </w:tc>
        <w:tc>
          <w:tcPr>
            <w:tcW w:w="720" w:type="dxa"/>
            <w:tcBorders>
              <w:top w:val="single" w:color="000000" w:sz="4" w:space="0"/>
              <w:left w:val="single" w:color="000000" w:sz="4" w:space="0"/>
              <w:bottom w:val="nil"/>
              <w:right w:val="single" w:color="000000" w:sz="4" w:space="0"/>
            </w:tcBorders>
            <w:noWrap w:val="0"/>
            <w:vAlign w:val="center"/>
          </w:tcPr>
          <w:p w14:paraId="18AD34FC">
            <w:pPr>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单位</w:t>
            </w:r>
          </w:p>
        </w:tc>
        <w:tc>
          <w:tcPr>
            <w:tcW w:w="3423" w:type="dxa"/>
            <w:tcBorders>
              <w:top w:val="single" w:color="000000" w:sz="4" w:space="0"/>
              <w:left w:val="single" w:color="000000" w:sz="4" w:space="0"/>
              <w:bottom w:val="nil"/>
              <w:right w:val="single" w:color="000000" w:sz="4" w:space="0"/>
            </w:tcBorders>
            <w:noWrap w:val="0"/>
            <w:vAlign w:val="center"/>
          </w:tcPr>
          <w:p w14:paraId="58F1F8C3">
            <w:pPr>
              <w:jc w:val="center"/>
              <w:rPr>
                <w:rFonts w:ascii="宋体" w:hAnsi="宋体" w:cs="宋体"/>
                <w:b/>
                <w:bCs/>
                <w:color w:val="auto"/>
                <w:sz w:val="24"/>
                <w:highlight w:val="none"/>
              </w:rPr>
            </w:pPr>
            <w:r>
              <w:rPr>
                <w:rFonts w:hint="eastAsia" w:ascii="宋体" w:hAnsi="宋体" w:cs="宋体"/>
                <w:b/>
                <w:bCs/>
                <w:color w:val="auto"/>
                <w:sz w:val="24"/>
                <w:highlight w:val="none"/>
                <w:lang w:bidi="ar"/>
              </w:rPr>
              <w:t>是否接受进口货物投标</w:t>
            </w:r>
          </w:p>
        </w:tc>
      </w:tr>
      <w:tr w14:paraId="162FA55C">
        <w:tblPrEx>
          <w:tblCellMar>
            <w:top w:w="283" w:type="dxa"/>
            <w:left w:w="0" w:type="dxa"/>
            <w:bottom w:w="0" w:type="dxa"/>
            <w:right w:w="0" w:type="dxa"/>
          </w:tblCellMar>
        </w:tblPrEx>
        <w:trPr>
          <w:jc w:val="center"/>
        </w:trPr>
        <w:tc>
          <w:tcPr>
            <w:tcW w:w="645" w:type="dxa"/>
            <w:tcBorders>
              <w:top w:val="single" w:color="000000" w:sz="4" w:space="0"/>
              <w:left w:val="single" w:color="000000" w:sz="4" w:space="0"/>
              <w:bottom w:val="single" w:color="000000" w:sz="4" w:space="0"/>
              <w:right w:val="single" w:color="000000" w:sz="4" w:space="0"/>
            </w:tcBorders>
            <w:noWrap/>
            <w:vAlign w:val="center"/>
          </w:tcPr>
          <w:p w14:paraId="429586D4">
            <w:pPr>
              <w:spacing w:after="120"/>
              <w:jc w:val="center"/>
              <w:rPr>
                <w:rFonts w:ascii="宋体" w:hAnsi="宋体" w:cs="宋体"/>
                <w:color w:val="auto"/>
                <w:sz w:val="28"/>
                <w:szCs w:val="28"/>
                <w:highlight w:val="none"/>
              </w:rPr>
            </w:pPr>
            <w:r>
              <w:rPr>
                <w:rFonts w:hint="eastAsia" w:ascii="宋体" w:hAnsi="宋体" w:cs="宋体"/>
                <w:color w:val="auto"/>
                <w:sz w:val="24"/>
                <w:szCs w:val="24"/>
                <w:highlight w:val="none"/>
              </w:rPr>
              <w:t>1</w:t>
            </w:r>
          </w:p>
        </w:tc>
        <w:tc>
          <w:tcPr>
            <w:tcW w:w="2766" w:type="dxa"/>
            <w:tcBorders>
              <w:top w:val="single" w:color="000000" w:sz="4" w:space="0"/>
              <w:left w:val="single" w:color="000000" w:sz="4" w:space="0"/>
              <w:bottom w:val="single" w:color="000000" w:sz="4" w:space="0"/>
              <w:right w:val="single" w:color="000000" w:sz="4" w:space="0"/>
            </w:tcBorders>
            <w:noWrap w:val="0"/>
            <w:vAlign w:val="center"/>
          </w:tcPr>
          <w:p w14:paraId="265E1B1F">
            <w:pPr>
              <w:spacing w:after="120"/>
              <w:jc w:val="center"/>
              <w:rPr>
                <w:rFonts w:ascii="宋体" w:hAnsi="宋体" w:cs="宋体"/>
                <w:color w:val="auto"/>
                <w:sz w:val="28"/>
                <w:szCs w:val="28"/>
                <w:highlight w:val="none"/>
              </w:rPr>
            </w:pPr>
            <w:r>
              <w:rPr>
                <w:rFonts w:hint="eastAsia" w:ascii="宋体" w:hAnsi="宋体" w:cs="宋体"/>
                <w:color w:val="auto"/>
                <w:sz w:val="24"/>
                <w:szCs w:val="24"/>
                <w:highlight w:val="none"/>
              </w:rPr>
              <w:t>步入式洗笼机</w:t>
            </w:r>
          </w:p>
        </w:tc>
        <w:tc>
          <w:tcPr>
            <w:tcW w:w="843" w:type="dxa"/>
            <w:tcBorders>
              <w:top w:val="single" w:color="000000" w:sz="4" w:space="0"/>
              <w:left w:val="single" w:color="000000" w:sz="4" w:space="0"/>
              <w:bottom w:val="single" w:color="000000" w:sz="4" w:space="0"/>
              <w:right w:val="single" w:color="000000" w:sz="4" w:space="0"/>
            </w:tcBorders>
            <w:noWrap/>
            <w:vAlign w:val="center"/>
          </w:tcPr>
          <w:p w14:paraId="15BBED3A">
            <w:pPr>
              <w:spacing w:after="120"/>
              <w:jc w:val="center"/>
              <w:rPr>
                <w:rFonts w:ascii="宋体" w:hAnsi="宋体" w:cs="宋体"/>
                <w:color w:val="auto"/>
                <w:sz w:val="28"/>
                <w:szCs w:val="28"/>
                <w:highlight w:val="none"/>
              </w:rPr>
            </w:pPr>
            <w:r>
              <w:rPr>
                <w:rFonts w:hint="eastAsia" w:ascii="宋体" w:hAnsi="宋体" w:cs="宋体"/>
                <w:color w:val="auto"/>
                <w:sz w:val="24"/>
                <w:szCs w:val="24"/>
                <w:highlight w:val="none"/>
              </w:rPr>
              <w:t>1</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A6260C">
            <w:pPr>
              <w:spacing w:after="120"/>
              <w:jc w:val="center"/>
              <w:rPr>
                <w:rFonts w:ascii="宋体" w:hAnsi="宋体" w:cs="宋体"/>
                <w:color w:val="auto"/>
                <w:sz w:val="28"/>
                <w:szCs w:val="28"/>
                <w:highlight w:val="none"/>
              </w:rPr>
            </w:pPr>
            <w:r>
              <w:rPr>
                <w:rFonts w:hint="eastAsia" w:ascii="宋体" w:hAnsi="宋体" w:cs="宋体"/>
                <w:color w:val="auto"/>
                <w:sz w:val="24"/>
                <w:szCs w:val="24"/>
                <w:highlight w:val="none"/>
              </w:rPr>
              <w:t>套</w:t>
            </w:r>
          </w:p>
        </w:tc>
        <w:tc>
          <w:tcPr>
            <w:tcW w:w="3423" w:type="dxa"/>
            <w:tcBorders>
              <w:top w:val="single" w:color="000000" w:sz="4" w:space="0"/>
              <w:left w:val="single" w:color="000000" w:sz="4" w:space="0"/>
              <w:bottom w:val="single" w:color="000000" w:sz="4" w:space="0"/>
              <w:right w:val="single" w:color="000000" w:sz="4" w:space="0"/>
            </w:tcBorders>
            <w:noWrap/>
            <w:vAlign w:val="center"/>
          </w:tcPr>
          <w:p w14:paraId="6EBE7213">
            <w:pPr>
              <w:spacing w:after="120"/>
              <w:jc w:val="center"/>
              <w:rPr>
                <w:rFonts w:ascii="宋体" w:hAnsi="宋体" w:cs="宋体"/>
                <w:color w:val="auto"/>
                <w:sz w:val="28"/>
                <w:szCs w:val="28"/>
                <w:highlight w:val="none"/>
              </w:rPr>
            </w:pPr>
            <w:r>
              <w:rPr>
                <w:rFonts w:hint="eastAsia" w:ascii="宋体" w:hAnsi="宋体" w:cs="宋体"/>
                <w:b/>
                <w:bCs/>
                <w:color w:val="auto"/>
                <w:sz w:val="24"/>
                <w:szCs w:val="24"/>
                <w:highlight w:val="none"/>
              </w:rPr>
              <w:t>是</w:t>
            </w:r>
          </w:p>
        </w:tc>
      </w:tr>
    </w:tbl>
    <w:p w14:paraId="002E93F2">
      <w:pPr>
        <w:ind w:firstLine="480"/>
        <w:rPr>
          <w:rFonts w:hint="eastAsia" w:ascii="宋体" w:hAnsi="宋体" w:cs="宋体"/>
          <w:color w:val="auto"/>
          <w:sz w:val="24"/>
          <w:szCs w:val="24"/>
          <w:highlight w:val="none"/>
        </w:rPr>
      </w:pPr>
    </w:p>
    <w:p w14:paraId="08263AA8">
      <w:pPr>
        <w:ind w:firstLine="480"/>
        <w:rPr>
          <w:rFonts w:ascii="宋体" w:hAnsi="宋体" w:cs="宋体"/>
          <w:color w:val="auto"/>
          <w:sz w:val="24"/>
          <w:szCs w:val="24"/>
          <w:highlight w:val="none"/>
        </w:rPr>
      </w:pPr>
      <w:r>
        <w:rPr>
          <w:rFonts w:hint="eastAsia" w:ascii="宋体" w:hAnsi="宋体" w:cs="宋体"/>
          <w:color w:val="auto"/>
          <w:sz w:val="24"/>
          <w:szCs w:val="24"/>
          <w:highlight w:val="none"/>
        </w:rPr>
        <w:t>采购一套步入式洗笼机，实现笼具、饮水瓶、笼架、运输车和托盘等物品的自动化清洗。步入式洗笼机能够对大型、不规则形状物品进行全方位清洗，且清洗效果达到巴氏灭菌效果，既实现高效、高质量清洗要求，同时也可以降低工作人员在洗笼过程中接触污染源或过敏原的职业暴露风险，具体技术参数见采购文件第三章“项目需求”。</w:t>
      </w:r>
    </w:p>
    <w:p w14:paraId="6478FAB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2.2合同履行期限：</w:t>
      </w:r>
      <w:r>
        <w:rPr>
          <w:rFonts w:hint="eastAsia" w:ascii="宋体" w:hAnsi="宋体" w:cs="宋体"/>
          <w:color w:val="auto"/>
          <w:sz w:val="24"/>
          <w:szCs w:val="24"/>
          <w:highlight w:val="none"/>
          <w:lang w:val="zh-CN"/>
        </w:rPr>
        <w:t>合同签订生效后，进口设备（免税）三个月内、国产设备及进口设备（非免税）一个月内全部设备、材料运抵现场，并安装、调试结束，验收合格，交付采购方使用。</w:t>
      </w:r>
    </w:p>
    <w:p w14:paraId="59FE3D91">
      <w:pPr>
        <w:ind w:firstLine="480"/>
        <w:rPr>
          <w:rFonts w:ascii="宋体" w:hAnsi="宋体" w:cs="宋体"/>
          <w:color w:val="auto"/>
          <w:sz w:val="24"/>
          <w:szCs w:val="24"/>
          <w:highlight w:val="none"/>
        </w:rPr>
      </w:pPr>
      <w:r>
        <w:rPr>
          <w:rFonts w:hint="eastAsia" w:ascii="宋体" w:hAnsi="宋体" w:cs="宋体"/>
          <w:color w:val="auto"/>
          <w:sz w:val="24"/>
          <w:szCs w:val="24"/>
          <w:highlight w:val="none"/>
        </w:rPr>
        <w:t>2.3本项目</w:t>
      </w:r>
      <w:r>
        <w:rPr>
          <w:rFonts w:hint="eastAsia" w:ascii="宋体" w:hAnsi="宋体" w:cs="宋体"/>
          <w:b/>
          <w:bCs/>
          <w:color w:val="auto"/>
          <w:sz w:val="24"/>
          <w:szCs w:val="24"/>
          <w:highlight w:val="none"/>
        </w:rPr>
        <w:t>不接受</w:t>
      </w:r>
      <w:r>
        <w:rPr>
          <w:rFonts w:hint="eastAsia" w:ascii="宋体" w:hAnsi="宋体" w:cs="宋体"/>
          <w:color w:val="auto"/>
          <w:sz w:val="24"/>
          <w:szCs w:val="24"/>
          <w:highlight w:val="none"/>
        </w:rPr>
        <w:t>联合体投标。</w:t>
      </w:r>
    </w:p>
    <w:p w14:paraId="5EF47721">
      <w:pPr>
        <w:spacing w:before="120" w:after="120"/>
        <w:ind w:firstLine="482"/>
        <w:rPr>
          <w:rFonts w:ascii="宋体" w:hAnsi="宋体" w:cs="宋体"/>
          <w:b/>
          <w:bCs/>
          <w:color w:val="auto"/>
          <w:sz w:val="24"/>
          <w:szCs w:val="24"/>
          <w:highlight w:val="none"/>
        </w:rPr>
      </w:pPr>
      <w:r>
        <w:rPr>
          <w:rFonts w:hint="eastAsia" w:ascii="宋体" w:hAnsi="宋体" w:cs="宋体"/>
          <w:b/>
          <w:color w:val="auto"/>
          <w:sz w:val="24"/>
          <w:szCs w:val="24"/>
          <w:highlight w:val="none"/>
        </w:rPr>
        <w:t>三、</w:t>
      </w:r>
      <w:r>
        <w:rPr>
          <w:rFonts w:hint="eastAsia" w:ascii="宋体" w:hAnsi="宋体" w:cs="宋体"/>
          <w:b/>
          <w:bCs/>
          <w:color w:val="auto"/>
          <w:sz w:val="24"/>
          <w:szCs w:val="24"/>
          <w:highlight w:val="none"/>
        </w:rPr>
        <w:t>申请人的资格要求</w:t>
      </w:r>
    </w:p>
    <w:p w14:paraId="58FA9A05">
      <w:pPr>
        <w:ind w:firstLine="480"/>
        <w:rPr>
          <w:rFonts w:ascii="宋体" w:hAnsi="宋体" w:cs="宋体"/>
          <w:color w:val="auto"/>
          <w:sz w:val="24"/>
          <w:szCs w:val="24"/>
          <w:highlight w:val="none"/>
        </w:rPr>
      </w:pPr>
      <w:bookmarkStart w:id="17" w:name="_Hlk219318826"/>
      <w:r>
        <w:rPr>
          <w:rFonts w:hint="eastAsia" w:ascii="宋体" w:hAnsi="宋体" w:cs="宋体"/>
          <w:color w:val="auto"/>
          <w:sz w:val="24"/>
          <w:szCs w:val="24"/>
          <w:highlight w:val="none"/>
        </w:rPr>
        <w:t xml:space="preserve">3.1满足《中华人民共和国政府采购法》第二十二条规定，提供下列材料： </w:t>
      </w:r>
    </w:p>
    <w:p w14:paraId="4C80D142">
      <w:pPr>
        <w:ind w:firstLine="480"/>
        <w:rPr>
          <w:rFonts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（1）具有独立承担民事责任的能力：法人或者其他组织的</w:t>
      </w:r>
      <w:r>
        <w:rPr>
          <w:rFonts w:hint="eastAsia" w:ascii="宋体" w:hAnsi="宋体" w:cs="宋体"/>
          <w:b/>
          <w:bCs/>
          <w:color w:val="auto"/>
          <w:sz w:val="24"/>
          <w:szCs w:val="24"/>
          <w:highlight w:val="none"/>
        </w:rPr>
        <w:t>营业执照</w:t>
      </w:r>
      <w:r>
        <w:rPr>
          <w:rFonts w:hint="eastAsia" w:ascii="宋体" w:hAnsi="宋体" w:cs="宋体"/>
          <w:color w:val="auto"/>
          <w:sz w:val="24"/>
          <w:szCs w:val="24"/>
          <w:highlight w:val="none"/>
        </w:rPr>
        <w:t>（投标人为自然人的提供其</w:t>
      </w:r>
      <w:r>
        <w:rPr>
          <w:rFonts w:hint="eastAsia" w:ascii="宋体" w:hAnsi="宋体" w:cs="宋体"/>
          <w:b/>
          <w:bCs/>
          <w:color w:val="auto"/>
          <w:sz w:val="24"/>
          <w:szCs w:val="24"/>
          <w:highlight w:val="none"/>
        </w:rPr>
        <w:t>身份证</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法定代表人和授权代表</w:t>
      </w:r>
      <w:r>
        <w:rPr>
          <w:rFonts w:hint="eastAsia" w:ascii="宋体" w:hAnsi="宋体" w:cs="宋体"/>
          <w:color w:val="auto"/>
          <w:sz w:val="24"/>
          <w:szCs w:val="24"/>
          <w:highlight w:val="none"/>
        </w:rPr>
        <w:t>的</w:t>
      </w:r>
      <w:r>
        <w:rPr>
          <w:rFonts w:hint="eastAsia" w:ascii="宋体" w:hAnsi="宋体" w:cs="宋体"/>
          <w:b/>
          <w:bCs/>
          <w:color w:val="auto"/>
          <w:sz w:val="24"/>
          <w:szCs w:val="24"/>
          <w:highlight w:val="none"/>
        </w:rPr>
        <w:t>身份证。</w:t>
      </w:r>
      <w:r>
        <w:rPr>
          <w:rFonts w:hint="eastAsia" w:ascii="宋体" w:hAnsi="宋体" w:cs="宋体"/>
          <w:color w:val="auto"/>
          <w:sz w:val="24"/>
          <w:szCs w:val="24"/>
          <w:highlight w:val="none"/>
        </w:rPr>
        <w:t>（提供相关证明材料</w:t>
      </w:r>
      <w:r>
        <w:rPr>
          <w:rFonts w:hint="eastAsia" w:ascii="宋体" w:hAnsi="宋体" w:cs="宋体"/>
          <w:b/>
          <w:bCs/>
          <w:color w:val="auto"/>
          <w:sz w:val="24"/>
          <w:szCs w:val="24"/>
          <w:highlight w:val="none"/>
        </w:rPr>
        <w:t>复印件并加盖公章</w:t>
      </w:r>
      <w:r>
        <w:rPr>
          <w:rFonts w:hint="eastAsia" w:ascii="宋体" w:hAnsi="宋体" w:cs="宋体"/>
          <w:color w:val="auto"/>
          <w:sz w:val="24"/>
          <w:szCs w:val="24"/>
          <w:highlight w:val="none"/>
        </w:rPr>
        <w:t>）；</w:t>
      </w:r>
    </w:p>
    <w:p w14:paraId="42212F00">
      <w:pPr>
        <w:ind w:firstLine="480"/>
        <w:rPr>
          <w:rFonts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w:t>
      </w:r>
      <w:r>
        <w:rPr>
          <w:rFonts w:hint="eastAsia" w:ascii="宋体" w:hAnsi="宋体" w:cs="宋体"/>
          <w:b/>
          <w:bCs/>
          <w:color w:val="auto"/>
          <w:sz w:val="24"/>
          <w:szCs w:val="24"/>
          <w:highlight w:val="none"/>
        </w:rPr>
        <w:t>2024年度或2025年度审计报告</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或</w:t>
      </w:r>
      <w:r>
        <w:rPr>
          <w:rFonts w:hint="eastAsia" w:ascii="宋体" w:hAnsi="宋体" w:cs="宋体"/>
          <w:color w:val="auto"/>
          <w:sz w:val="24"/>
          <w:szCs w:val="24"/>
          <w:highlight w:val="none"/>
        </w:rPr>
        <w:t>招标截止时间前六个月内</w:t>
      </w:r>
      <w:r>
        <w:rPr>
          <w:rFonts w:hint="eastAsia" w:ascii="宋体" w:hAnsi="宋体" w:cs="宋体"/>
          <w:b/>
          <w:bCs/>
          <w:color w:val="auto"/>
          <w:sz w:val="24"/>
          <w:szCs w:val="24"/>
          <w:highlight w:val="none"/>
        </w:rPr>
        <w:t>任一月的财务报告</w:t>
      </w:r>
      <w:r>
        <w:rPr>
          <w:rFonts w:hint="eastAsia" w:ascii="宋体" w:hAnsi="宋体" w:cs="宋体"/>
          <w:color w:val="auto"/>
          <w:sz w:val="24"/>
          <w:szCs w:val="24"/>
          <w:highlight w:val="none"/>
        </w:rPr>
        <w:t>（至少包含资产负债表和利润表），或投标截止时间前三个月内银行出具的资信证明，或财政部门认可的专业担保机构出具的担保函；</w:t>
      </w:r>
    </w:p>
    <w:p w14:paraId="77EEFCBB">
      <w:pPr>
        <w:ind w:firstLine="480"/>
        <w:rPr>
          <w:rFonts w:ascii="宋体" w:hAnsi="宋体" w:cs="宋体"/>
          <w:color w:val="auto"/>
          <w:sz w:val="24"/>
          <w:szCs w:val="24"/>
          <w:highlight w:val="none"/>
        </w:rPr>
      </w:pPr>
      <w:r>
        <w:rPr>
          <w:rFonts w:hint="eastAsia" w:ascii="宋体" w:hAnsi="宋体" w:cs="宋体"/>
          <w:color w:val="auto"/>
          <w:sz w:val="24"/>
          <w:szCs w:val="24"/>
          <w:highlight w:val="none"/>
        </w:rPr>
        <w:t>（3）具有履行合同所必需的</w:t>
      </w:r>
      <w:r>
        <w:rPr>
          <w:rFonts w:hint="eastAsia" w:ascii="宋体" w:hAnsi="宋体" w:cs="宋体"/>
          <w:b/>
          <w:bCs/>
          <w:color w:val="auto"/>
          <w:sz w:val="24"/>
          <w:szCs w:val="24"/>
          <w:highlight w:val="none"/>
        </w:rPr>
        <w:t>设备和专业技术能力</w:t>
      </w:r>
      <w:r>
        <w:rPr>
          <w:rFonts w:hint="eastAsia" w:ascii="宋体" w:hAnsi="宋体" w:cs="宋体"/>
          <w:color w:val="auto"/>
          <w:sz w:val="24"/>
          <w:szCs w:val="24"/>
          <w:highlight w:val="none"/>
        </w:rPr>
        <w:t>（格式详见附件）；</w:t>
      </w:r>
    </w:p>
    <w:p w14:paraId="486EBB2D">
      <w:pPr>
        <w:ind w:firstLine="480"/>
        <w:rPr>
          <w:rFonts w:ascii="宋体" w:hAnsi="宋体" w:cs="宋体"/>
          <w:color w:val="auto"/>
          <w:sz w:val="24"/>
          <w:szCs w:val="24"/>
          <w:highlight w:val="none"/>
        </w:rPr>
      </w:pPr>
      <w:r>
        <w:rPr>
          <w:rFonts w:hint="eastAsia" w:ascii="宋体" w:hAnsi="宋体" w:cs="宋体"/>
          <w:color w:val="auto"/>
          <w:sz w:val="24"/>
          <w:szCs w:val="24"/>
          <w:highlight w:val="none"/>
        </w:rPr>
        <w:t>（4）有依法</w:t>
      </w:r>
      <w:r>
        <w:rPr>
          <w:rFonts w:hint="eastAsia" w:ascii="宋体" w:hAnsi="宋体" w:cs="宋体"/>
          <w:b/>
          <w:bCs/>
          <w:color w:val="auto"/>
          <w:sz w:val="24"/>
          <w:szCs w:val="24"/>
          <w:highlight w:val="none"/>
        </w:rPr>
        <w:t>缴纳税收和社会保障资金</w:t>
      </w:r>
      <w:r>
        <w:rPr>
          <w:rFonts w:hint="eastAsia" w:ascii="宋体" w:hAnsi="宋体" w:cs="宋体"/>
          <w:color w:val="auto"/>
          <w:sz w:val="24"/>
          <w:szCs w:val="24"/>
          <w:highlight w:val="none"/>
        </w:rPr>
        <w:t>的良好记录：提供</w:t>
      </w:r>
      <w:r>
        <w:rPr>
          <w:rFonts w:hint="eastAsia" w:ascii="宋体" w:hAnsi="宋体" w:cs="宋体"/>
          <w:b/>
          <w:bCs/>
          <w:color w:val="auto"/>
          <w:sz w:val="24"/>
          <w:szCs w:val="24"/>
          <w:highlight w:val="none"/>
        </w:rPr>
        <w:t>招标截止时间前六个月内任一月</w:t>
      </w:r>
      <w:r>
        <w:rPr>
          <w:rFonts w:hint="eastAsia" w:ascii="宋体" w:hAnsi="宋体" w:cs="宋体"/>
          <w:color w:val="auto"/>
          <w:sz w:val="24"/>
          <w:szCs w:val="24"/>
          <w:highlight w:val="none"/>
        </w:rPr>
        <w:t>缴纳增值税，或营业税，或企业所得税的凭据；并提供缴纳社会保险的凭据（专用收据，或社会保险缴纳清单等）；</w:t>
      </w:r>
    </w:p>
    <w:p w14:paraId="6D0D4042">
      <w:pPr>
        <w:ind w:firstLine="480"/>
        <w:rPr>
          <w:rFonts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w:t>
      </w:r>
      <w:r>
        <w:rPr>
          <w:rFonts w:hint="eastAsia" w:ascii="宋体" w:hAnsi="宋体" w:cs="宋体"/>
          <w:b/>
          <w:bCs/>
          <w:color w:val="auto"/>
          <w:sz w:val="24"/>
          <w:szCs w:val="24"/>
          <w:highlight w:val="none"/>
        </w:rPr>
        <w:t>没有重大违法记录</w:t>
      </w:r>
      <w:r>
        <w:rPr>
          <w:rFonts w:hint="eastAsia" w:ascii="宋体" w:hAnsi="宋体" w:cs="宋体"/>
          <w:color w:val="auto"/>
          <w:sz w:val="24"/>
          <w:szCs w:val="24"/>
          <w:highlight w:val="none"/>
        </w:rPr>
        <w:t>（格式详见附件）；</w:t>
      </w:r>
    </w:p>
    <w:p w14:paraId="357DE700">
      <w:pPr>
        <w:ind w:firstLine="480"/>
        <w:rPr>
          <w:rFonts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14:paraId="0EA84258">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3.2本项目的特定资格要求：</w:t>
      </w:r>
    </w:p>
    <w:p w14:paraId="015EFED6">
      <w:pPr>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本项目接受进口产品，若提供进口产品的供应商不是所投产品的制造商，须提供以下证明文件：</w:t>
      </w:r>
    </w:p>
    <w:p w14:paraId="16B7671A">
      <w:pPr>
        <w:numPr>
          <w:ilvl w:val="0"/>
          <w:numId w:val="2"/>
        </w:num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制造厂家的授权书或有效授权证明文件</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（提供相关证明文件复印件加盖公章）</w:t>
      </w:r>
    </w:p>
    <w:p w14:paraId="1C5117C8">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3.3落实政府采购政策需满足的资格要求：</w:t>
      </w:r>
      <w:r>
        <w:rPr>
          <w:rFonts w:hint="eastAsia" w:ascii="宋体" w:hAnsi="宋体" w:cs="宋体"/>
          <w:b/>
          <w:bCs/>
          <w:color w:val="auto"/>
          <w:sz w:val="24"/>
          <w:szCs w:val="24"/>
          <w:highlight w:val="none"/>
        </w:rPr>
        <w:t>无</w:t>
      </w:r>
    </w:p>
    <w:p w14:paraId="1E6F8EDE">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3.4拒绝下述投标人参加本次采购活动：</w:t>
      </w:r>
    </w:p>
    <w:p w14:paraId="11D3E62E">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（1）投标人单位负责人为同一人或者存在直接控股、管理关系的不同投标人，不得参加同一合同项下的采购活动。</w:t>
      </w:r>
    </w:p>
    <w:p w14:paraId="61DFE844">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（2）凡为采购项目提供整体设计、规范编制或者项目管理、监理、检测等服务的投标人，不得再参加本项目的采购活动。</w:t>
      </w:r>
    </w:p>
    <w:p w14:paraId="6E16FD8D">
      <w:pPr>
        <w:ind w:firstLine="480"/>
        <w:rPr>
          <w:rFonts w:ascii="宋体" w:hAnsi="宋体" w:cs="宋体"/>
          <w:color w:val="auto"/>
          <w:sz w:val="24"/>
          <w:szCs w:val="24"/>
          <w:highlight w:val="none"/>
        </w:rPr>
      </w:pPr>
      <w:r>
        <w:rPr>
          <w:rFonts w:hint="eastAsia" w:ascii="宋体" w:hAnsi="宋体" w:cs="宋体"/>
          <w:color w:val="auto"/>
          <w:sz w:val="24"/>
          <w:szCs w:val="24"/>
          <w:highlight w:val="none"/>
        </w:rPr>
        <w:t>（3）拒绝列入失信被执行人、重大税收违法失信主体、政府采购严重违法失信行为记录名单中的投标人参加本项目的采购活动。采购人或采购代理机构通过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bookmarkEnd w:id="17"/>
    </w:p>
    <w:p w14:paraId="6986A609">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四、公告发布媒体</w:t>
      </w:r>
    </w:p>
    <w:p w14:paraId="1AD999C3">
      <w:pPr>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本项目在江苏政府采购网发布</w:t>
      </w:r>
      <w:r>
        <w:rPr>
          <w:rFonts w:hint="eastAsia" w:ascii="宋体" w:hAnsi="宋体" w:cs="宋体"/>
          <w:color w:val="auto"/>
          <w:sz w:val="24"/>
          <w:szCs w:val="24"/>
          <w:highlight w:val="none"/>
          <w:lang w:val="zh-CN"/>
        </w:rPr>
        <w:t>公告</w:t>
      </w:r>
      <w:r>
        <w:rPr>
          <w:rFonts w:hint="eastAsia" w:ascii="宋体" w:hAnsi="宋体" w:cs="宋体"/>
          <w:color w:val="auto"/>
          <w:sz w:val="24"/>
          <w:szCs w:val="24"/>
          <w:highlight w:val="none"/>
        </w:rPr>
        <w:t>。</w:t>
      </w:r>
    </w:p>
    <w:p w14:paraId="2AD8E2B5">
      <w:pPr>
        <w:numPr>
          <w:ilvl w:val="0"/>
          <w:numId w:val="3"/>
        </w:num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获取招标文件</w:t>
      </w:r>
    </w:p>
    <w:p w14:paraId="7055A14D">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5.1时间：公告发布之日起5个工作日</w:t>
      </w:r>
    </w:p>
    <w:p w14:paraId="566B02B8">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5.2 方式：</w:t>
      </w:r>
      <w:r>
        <w:rPr>
          <w:rFonts w:hint="eastAsia" w:ascii="宋体" w:hAnsi="宋体" w:cs="宋体"/>
          <w:color w:val="auto"/>
          <w:sz w:val="24"/>
          <w:szCs w:val="24"/>
          <w:highlight w:val="none"/>
        </w:rPr>
        <w:t>在“江苏政府采购网”自行免费下载招标文件。</w:t>
      </w:r>
    </w:p>
    <w:p w14:paraId="76F931CD">
      <w:pPr>
        <w:ind w:firstLine="480"/>
        <w:rPr>
          <w:rFonts w:ascii="宋体" w:hAnsi="宋体" w:cs="宋体"/>
          <w:bCs/>
          <w:color w:val="auto"/>
          <w:sz w:val="24"/>
          <w:szCs w:val="24"/>
          <w:highlight w:val="none"/>
        </w:rPr>
      </w:pPr>
      <w:bookmarkStart w:id="18" w:name="_Hlk182862024"/>
      <w:r>
        <w:rPr>
          <w:rFonts w:hint="eastAsia" w:ascii="宋体" w:hAnsi="宋体" w:cs="宋体"/>
          <w:bCs/>
          <w:color w:val="auto"/>
          <w:sz w:val="24"/>
          <w:szCs w:val="24"/>
          <w:highlight w:val="none"/>
        </w:rPr>
        <w:t>5.3</w:t>
      </w:r>
      <w:r>
        <w:rPr>
          <w:rFonts w:ascii="宋体" w:hAnsi="宋体" w:cs="宋体"/>
          <w:bCs/>
          <w:color w:val="auto"/>
          <w:sz w:val="24"/>
          <w:szCs w:val="24"/>
          <w:highlight w:val="none"/>
        </w:rPr>
        <w:t>售价：</w:t>
      </w:r>
      <w:r>
        <w:rPr>
          <w:rFonts w:hint="eastAsia" w:ascii="宋体" w:hAnsi="宋体" w:cs="宋体"/>
          <w:bCs/>
          <w:color w:val="auto"/>
          <w:sz w:val="24"/>
          <w:szCs w:val="24"/>
          <w:highlight w:val="none"/>
        </w:rPr>
        <w:t>免费</w:t>
      </w:r>
      <w:r>
        <w:rPr>
          <w:rFonts w:ascii="宋体" w:hAnsi="宋体" w:cs="宋体"/>
          <w:bCs/>
          <w:color w:val="auto"/>
          <w:sz w:val="24"/>
          <w:szCs w:val="24"/>
          <w:highlight w:val="none"/>
        </w:rPr>
        <w:t>。</w:t>
      </w:r>
      <w:bookmarkEnd w:id="18"/>
    </w:p>
    <w:p w14:paraId="2E61C49D">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六、投标截止时间及开标信息</w:t>
      </w:r>
    </w:p>
    <w:p w14:paraId="75A6BB6A">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6.1投标文件接收截止时间及开标时间：2026年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00分</w:t>
      </w:r>
    </w:p>
    <w:p w14:paraId="76AFC3DA">
      <w:pPr>
        <w:ind w:firstLine="480"/>
        <w:rPr>
          <w:rFonts w:ascii="宋体" w:hAnsi="宋体" w:cs="宋体"/>
          <w:color w:val="auto"/>
          <w:sz w:val="24"/>
          <w:szCs w:val="24"/>
          <w:highlight w:val="none"/>
        </w:rPr>
      </w:pPr>
      <w:r>
        <w:rPr>
          <w:rFonts w:hint="eastAsia" w:ascii="宋体" w:hAnsi="宋体" w:cs="宋体"/>
          <w:color w:val="auto"/>
          <w:sz w:val="24"/>
          <w:szCs w:val="24"/>
          <w:highlight w:val="none"/>
        </w:rPr>
        <w:t>6.2开标地点：</w:t>
      </w:r>
      <w:r>
        <w:rPr>
          <w:rFonts w:hint="eastAsia" w:ascii="宋体" w:hAnsi="宋体"/>
          <w:color w:val="auto"/>
          <w:sz w:val="24"/>
          <w:szCs w:val="24"/>
          <w:highlight w:val="none"/>
        </w:rPr>
        <w:t>“苏采云”政府采购交易系统。</w:t>
      </w:r>
    </w:p>
    <w:p w14:paraId="591C5EF0">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七、</w:t>
      </w:r>
      <w:bookmarkStart w:id="19" w:name="_Toc211033425"/>
      <w:bookmarkStart w:id="20" w:name="_Toc214612912"/>
      <w:r>
        <w:rPr>
          <w:rFonts w:hint="eastAsia" w:ascii="宋体" w:hAnsi="宋体" w:cs="宋体"/>
          <w:b/>
          <w:color w:val="auto"/>
          <w:sz w:val="24"/>
          <w:szCs w:val="24"/>
          <w:highlight w:val="none"/>
        </w:rPr>
        <w:t>公告期限</w:t>
      </w:r>
      <w:bookmarkEnd w:id="19"/>
      <w:bookmarkEnd w:id="20"/>
    </w:p>
    <w:p w14:paraId="1DCC8D17">
      <w:pPr>
        <w:ind w:firstLine="480"/>
        <w:rPr>
          <w:rFonts w:ascii="宋体" w:hAnsi="宋体" w:cs="宋体"/>
          <w:color w:val="auto"/>
          <w:sz w:val="24"/>
          <w:szCs w:val="24"/>
          <w:highlight w:val="none"/>
        </w:rPr>
      </w:pPr>
      <w:r>
        <w:rPr>
          <w:rFonts w:hint="eastAsia" w:ascii="宋体" w:hAnsi="宋体" w:cs="宋体"/>
          <w:color w:val="auto"/>
          <w:sz w:val="24"/>
          <w:szCs w:val="24"/>
          <w:highlight w:val="none"/>
        </w:rPr>
        <w:t>自招标公告发布之日起5个工作日</w:t>
      </w:r>
    </w:p>
    <w:p w14:paraId="4E6BE85C">
      <w:pPr>
        <w:ind w:firstLine="482"/>
        <w:rPr>
          <w:rFonts w:ascii="宋体" w:hAnsi="宋体" w:cs="宋体"/>
          <w:b/>
          <w:color w:val="auto"/>
          <w:sz w:val="24"/>
          <w:szCs w:val="24"/>
          <w:highlight w:val="none"/>
        </w:rPr>
      </w:pPr>
      <w:bookmarkStart w:id="21" w:name="_Toc214612913"/>
      <w:bookmarkStart w:id="22" w:name="_Toc116802036"/>
      <w:r>
        <w:rPr>
          <w:rFonts w:hint="eastAsia" w:ascii="宋体" w:hAnsi="宋体" w:cs="宋体"/>
          <w:b/>
          <w:color w:val="auto"/>
          <w:sz w:val="24"/>
          <w:szCs w:val="24"/>
          <w:highlight w:val="none"/>
        </w:rPr>
        <w:t>八、其他补充事宜</w:t>
      </w:r>
      <w:bookmarkEnd w:id="21"/>
      <w:bookmarkEnd w:id="22"/>
    </w:p>
    <w:p w14:paraId="7E7C9B5D">
      <w:pPr>
        <w:ind w:firstLine="480"/>
        <w:rPr>
          <w:rFonts w:ascii="宋体" w:hAnsi="宋体" w:cs="宋体"/>
          <w:color w:val="auto"/>
          <w:sz w:val="24"/>
          <w:szCs w:val="24"/>
          <w:highlight w:val="none"/>
        </w:rPr>
      </w:pPr>
      <w:r>
        <w:rPr>
          <w:rFonts w:hint="eastAsia" w:ascii="宋体" w:hAnsi="宋体" w:cs="宋体"/>
          <w:color w:val="auto"/>
          <w:sz w:val="24"/>
          <w:szCs w:val="24"/>
          <w:highlight w:val="none"/>
        </w:rPr>
        <w:t>1.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宋体" w:hAnsi="宋体" w:cs="宋体"/>
          <w:color w:val="auto"/>
          <w:sz w:val="24"/>
          <w:szCs w:val="24"/>
          <w:highlight w:val="none"/>
        </w:rPr>
        <w:t>等政府采购</w:t>
      </w:r>
      <w:r>
        <w:rPr>
          <w:rFonts w:hint="eastAsia" w:ascii="宋体" w:hAnsi="宋体" w:cs="宋体"/>
          <w:color w:val="auto"/>
          <w:sz w:val="24"/>
          <w:szCs w:val="24"/>
          <w:highlight w:val="none"/>
        </w:rPr>
        <w:t>政策</w:t>
      </w:r>
      <w:r>
        <w:rPr>
          <w:rFonts w:ascii="宋体" w:hAnsi="宋体" w:cs="宋体"/>
          <w:color w:val="auto"/>
          <w:sz w:val="24"/>
          <w:szCs w:val="24"/>
          <w:highlight w:val="none"/>
        </w:rPr>
        <w:t>文件</w:t>
      </w:r>
      <w:r>
        <w:rPr>
          <w:rFonts w:hint="eastAsia" w:ascii="宋体" w:hAnsi="宋体" w:cs="宋体"/>
          <w:color w:val="auto"/>
          <w:sz w:val="24"/>
          <w:szCs w:val="24"/>
          <w:highlight w:val="none"/>
        </w:rPr>
        <w:t>。</w:t>
      </w:r>
    </w:p>
    <w:p w14:paraId="273AAC99">
      <w:pPr>
        <w:ind w:firstLine="480"/>
        <w:rPr>
          <w:rFonts w:ascii="宋体" w:hAnsi="宋体" w:cs="宋体"/>
          <w:color w:val="auto"/>
          <w:sz w:val="24"/>
          <w:szCs w:val="24"/>
          <w:highlight w:val="none"/>
        </w:rPr>
      </w:pPr>
      <w:r>
        <w:rPr>
          <w:rFonts w:hint="eastAsia" w:ascii="宋体" w:hAnsi="宋体" w:cs="宋体"/>
          <w:color w:val="auto"/>
          <w:sz w:val="24"/>
          <w:szCs w:val="24"/>
          <w:highlight w:val="none"/>
        </w:rPr>
        <w:t>2.代理机构内部编号：1678-264102029HTT</w:t>
      </w:r>
    </w:p>
    <w:p w14:paraId="1AFB7FB5">
      <w:pPr>
        <w:ind w:firstLine="480"/>
        <w:rPr>
          <w:rFonts w:ascii="宋体" w:hAnsi="宋体" w:cs="宋体"/>
          <w:color w:val="auto"/>
          <w:sz w:val="24"/>
          <w:szCs w:val="24"/>
          <w:highlight w:val="none"/>
        </w:rPr>
      </w:pPr>
      <w:r>
        <w:rPr>
          <w:rFonts w:hint="eastAsia" w:ascii="宋体" w:hAnsi="宋体" w:cs="宋体"/>
          <w:color w:val="auto"/>
          <w:sz w:val="24"/>
          <w:szCs w:val="24"/>
          <w:highlight w:val="none"/>
        </w:rPr>
        <w:t>3.“CA数字证书”的获取（如有更新以最新要求为准）</w:t>
      </w:r>
    </w:p>
    <w:p w14:paraId="24C45507">
      <w:pPr>
        <w:ind w:firstLine="480"/>
        <w:rPr>
          <w:rFonts w:ascii="宋体" w:hAnsi="宋体" w:cs="宋体"/>
          <w:color w:val="auto"/>
          <w:sz w:val="24"/>
          <w:szCs w:val="24"/>
          <w:highlight w:val="none"/>
        </w:rPr>
      </w:pPr>
      <w:r>
        <w:rPr>
          <w:rFonts w:hint="eastAsia" w:ascii="宋体" w:hAnsi="宋体" w:cs="宋体"/>
          <w:color w:val="auto"/>
          <w:sz w:val="24"/>
          <w:szCs w:val="24"/>
          <w:highlight w:val="none"/>
        </w:rPr>
        <w:t>（1）本项目通过电子交易平台进行采购，请在投标前详细阅读《苏采云系统供应商操作手册》（网址：http://www.ccgp-jiangsu.gov.cn/）；</w:t>
      </w:r>
    </w:p>
    <w:p w14:paraId="58506284">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（2）投标人投标需提前办理数字认证证书，办理方式和注意事项详见： http://jsxcmm.com/help/help.html。</w:t>
      </w:r>
    </w:p>
    <w:p w14:paraId="4C2E4022">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九、项目联系信息</w:t>
      </w:r>
    </w:p>
    <w:p w14:paraId="210F42D4">
      <w:pPr>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采购人信息</w:t>
      </w:r>
    </w:p>
    <w:p w14:paraId="2FD96074">
      <w:pPr>
        <w:ind w:firstLine="480"/>
        <w:rPr>
          <w:rFonts w:ascii="宋体" w:hAnsi="宋体" w:cs="宋体"/>
          <w:color w:val="auto"/>
          <w:sz w:val="24"/>
          <w:szCs w:val="24"/>
          <w:highlight w:val="none"/>
        </w:rPr>
      </w:pPr>
      <w:r>
        <w:rPr>
          <w:rFonts w:hint="eastAsia" w:ascii="宋体" w:hAnsi="宋体" w:cs="宋体"/>
          <w:color w:val="auto"/>
          <w:sz w:val="24"/>
          <w:szCs w:val="24"/>
          <w:highlight w:val="none"/>
        </w:rPr>
        <w:t>名称：南京医科大学</w:t>
      </w:r>
    </w:p>
    <w:p w14:paraId="56F6EAD6">
      <w:pPr>
        <w:ind w:firstLine="480"/>
        <w:rPr>
          <w:rFonts w:ascii="宋体" w:hAnsi="宋体" w:cs="宋体"/>
          <w:color w:val="auto"/>
          <w:sz w:val="24"/>
          <w:szCs w:val="24"/>
          <w:highlight w:val="none"/>
        </w:rPr>
      </w:pPr>
      <w:r>
        <w:rPr>
          <w:rFonts w:hint="eastAsia" w:ascii="宋体" w:hAnsi="宋体" w:cs="宋体"/>
          <w:color w:val="auto"/>
          <w:sz w:val="24"/>
          <w:szCs w:val="24"/>
          <w:highlight w:val="none"/>
        </w:rPr>
        <w:t>地址：</w:t>
      </w:r>
      <w:bookmarkStart w:id="23" w:name="_Hlk153870315"/>
      <w:r>
        <w:rPr>
          <w:rFonts w:hint="eastAsia" w:ascii="宋体" w:hAnsi="宋体" w:cs="宋体"/>
          <w:color w:val="auto"/>
          <w:sz w:val="24"/>
          <w:szCs w:val="24"/>
          <w:highlight w:val="none"/>
        </w:rPr>
        <w:t>南京市江宁区龙眠大道101号</w:t>
      </w:r>
      <w:bookmarkEnd w:id="23"/>
    </w:p>
    <w:p w14:paraId="40829CE7">
      <w:pPr>
        <w:ind w:firstLine="480"/>
        <w:rPr>
          <w:rFonts w:ascii="宋体" w:hAnsi="宋体" w:cs="宋体"/>
          <w:color w:val="auto"/>
          <w:sz w:val="24"/>
          <w:szCs w:val="24"/>
          <w:highlight w:val="none"/>
        </w:rPr>
      </w:pPr>
      <w:r>
        <w:rPr>
          <w:rFonts w:hint="eastAsia" w:ascii="宋体" w:hAnsi="宋体" w:cs="宋体"/>
          <w:color w:val="auto"/>
          <w:sz w:val="24"/>
          <w:szCs w:val="24"/>
          <w:highlight w:val="none"/>
        </w:rPr>
        <w:t>联系人：王老师</w:t>
      </w:r>
    </w:p>
    <w:p w14:paraId="364F6139">
      <w:pPr>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联系方式：025-86868572</w:t>
      </w:r>
    </w:p>
    <w:p w14:paraId="0CE85A42">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2.采购代理机构信息</w:t>
      </w:r>
    </w:p>
    <w:p w14:paraId="3DB55FAA">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名称：江苏汉唐国际贸易集团有限公司</w:t>
      </w:r>
    </w:p>
    <w:p w14:paraId="587E16C2">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地址：南京市玄武区北京东路22号和平大厦1810室</w:t>
      </w:r>
    </w:p>
    <w:p w14:paraId="76E797B3">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联系方式：025-86975797</w:t>
      </w:r>
    </w:p>
    <w:p w14:paraId="1018CBA1">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联系人：苍盛、</w:t>
      </w:r>
      <w:r>
        <w:rPr>
          <w:rFonts w:hint="eastAsia" w:ascii="宋体" w:hAnsi="宋体" w:cs="宋体"/>
          <w:bCs/>
          <w:color w:val="auto"/>
          <w:sz w:val="24"/>
          <w:szCs w:val="24"/>
          <w:highlight w:val="none"/>
          <w:lang w:val="en-US" w:eastAsia="zh-CN"/>
        </w:rPr>
        <w:t>杨涛、</w:t>
      </w:r>
      <w:r>
        <w:rPr>
          <w:rFonts w:hint="eastAsia" w:ascii="宋体" w:hAnsi="宋体" w:cs="宋体"/>
          <w:bCs/>
          <w:color w:val="auto"/>
          <w:sz w:val="24"/>
          <w:szCs w:val="24"/>
          <w:highlight w:val="none"/>
        </w:rPr>
        <w:t>王梦珂、徐琳、唐虹</w:t>
      </w:r>
    </w:p>
    <w:p w14:paraId="663F841C">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邮箱：jshtzb18@sina.com</w:t>
      </w:r>
    </w:p>
    <w:p w14:paraId="0A925866">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3.项目联系方式</w:t>
      </w:r>
    </w:p>
    <w:p w14:paraId="52324A2C">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项目联系人：苍盛、</w:t>
      </w:r>
      <w:r>
        <w:rPr>
          <w:rFonts w:hint="eastAsia" w:ascii="宋体" w:hAnsi="宋体" w:cs="宋体"/>
          <w:bCs/>
          <w:color w:val="auto"/>
          <w:sz w:val="24"/>
          <w:szCs w:val="24"/>
          <w:highlight w:val="none"/>
          <w:lang w:val="en-US" w:eastAsia="zh-CN"/>
        </w:rPr>
        <w:t>杨涛、</w:t>
      </w:r>
      <w:r>
        <w:rPr>
          <w:rFonts w:hint="eastAsia" w:ascii="宋体" w:hAnsi="宋体" w:cs="宋体"/>
          <w:bCs/>
          <w:color w:val="auto"/>
          <w:sz w:val="24"/>
          <w:szCs w:val="24"/>
          <w:highlight w:val="none"/>
        </w:rPr>
        <w:t>王梦珂、徐琳、唐虹</w:t>
      </w:r>
    </w:p>
    <w:p w14:paraId="0B799DB2">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电话：025-86975797</w:t>
      </w:r>
      <w:bookmarkEnd w:id="8"/>
      <w:bookmarkEnd w:id="9"/>
      <w:bookmarkEnd w:id="10"/>
      <w:bookmarkEnd w:id="11"/>
      <w:bookmarkEnd w:id="12"/>
      <w:bookmarkEnd w:id="13"/>
      <w:bookmarkEnd w:id="14"/>
      <w:bookmarkEnd w:id="15"/>
      <w:bookmarkEnd w:id="16"/>
    </w:p>
    <w:p w14:paraId="57C73C8B">
      <w:pPr>
        <w:pStyle w:val="2"/>
        <w:pageBreakBefore/>
        <w:numPr>
          <w:ilvl w:val="0"/>
          <w:numId w:val="4"/>
        </w:numPr>
        <w:spacing w:after="120"/>
        <w:ind w:firstLine="643"/>
        <w:rPr>
          <w:rFonts w:asciiTheme="majorEastAsia" w:hAnsiTheme="majorEastAsia" w:eastAsiaTheme="majorEastAsia"/>
          <w:b/>
          <w:color w:val="auto"/>
          <w:sz w:val="32"/>
          <w:szCs w:val="32"/>
          <w:highlight w:val="none"/>
        </w:rPr>
      </w:pPr>
      <w:r>
        <w:rPr>
          <w:rFonts w:hint="eastAsia" w:asciiTheme="majorEastAsia" w:hAnsiTheme="majorEastAsia" w:eastAsiaTheme="majorEastAsia"/>
          <w:b/>
          <w:color w:val="auto"/>
          <w:sz w:val="32"/>
          <w:szCs w:val="32"/>
          <w:highlight w:val="none"/>
        </w:rPr>
        <w:t xml:space="preserve"> </w:t>
      </w:r>
      <w:bookmarkStart w:id="24" w:name="_Toc25279"/>
      <w:bookmarkStart w:id="25" w:name="_Toc120614213"/>
      <w:bookmarkStart w:id="26" w:name="_Toc20823274"/>
      <w:bookmarkStart w:id="27" w:name="_Toc513029202"/>
      <w:bookmarkStart w:id="28" w:name="_Toc16938518"/>
      <w:r>
        <w:rPr>
          <w:rFonts w:hint="eastAsia" w:asciiTheme="majorEastAsia" w:hAnsiTheme="majorEastAsia" w:eastAsiaTheme="majorEastAsia"/>
          <w:b/>
          <w:color w:val="auto"/>
          <w:sz w:val="32"/>
          <w:szCs w:val="32"/>
          <w:highlight w:val="none"/>
        </w:rPr>
        <w:t>投标人须知</w:t>
      </w:r>
      <w:bookmarkEnd w:id="24"/>
      <w:bookmarkEnd w:id="25"/>
      <w:bookmarkEnd w:id="26"/>
      <w:bookmarkEnd w:id="27"/>
      <w:bookmarkEnd w:id="28"/>
    </w:p>
    <w:p w14:paraId="33AA009C">
      <w:pPr>
        <w:ind w:firstLine="440"/>
        <w:rPr>
          <w:color w:val="auto"/>
          <w:highlight w:val="none"/>
        </w:rPr>
      </w:pPr>
      <w:bookmarkStart w:id="29" w:name="_Toc219214697"/>
    </w:p>
    <w:p w14:paraId="3DC41C1B">
      <w:pPr>
        <w:ind w:left="238" w:firstLine="482"/>
        <w:jc w:val="center"/>
        <w:outlineLvl w:val="1"/>
        <w:rPr>
          <w:rFonts w:ascii="宋体" w:hAnsi="宋体"/>
          <w:b/>
          <w:color w:val="auto"/>
          <w:sz w:val="24"/>
          <w:szCs w:val="24"/>
          <w:highlight w:val="none"/>
        </w:rPr>
      </w:pPr>
      <w:bookmarkStart w:id="30" w:name="_Toc12960"/>
      <w:r>
        <w:rPr>
          <w:rFonts w:hint="eastAsia" w:ascii="宋体" w:hAnsi="宋体" w:cs="宋体"/>
          <w:b/>
          <w:bCs/>
          <w:color w:val="auto"/>
          <w:sz w:val="24"/>
          <w:szCs w:val="24"/>
          <w:highlight w:val="none"/>
        </w:rPr>
        <w:t>供应商须知前附表</w:t>
      </w:r>
      <w:bookmarkEnd w:id="29"/>
      <w:bookmarkEnd w:id="30"/>
    </w:p>
    <w:tbl>
      <w:tblPr>
        <w:tblStyle w:val="40"/>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8079"/>
      </w:tblGrid>
      <w:tr w14:paraId="27A648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A3497F1">
            <w:pPr>
              <w:ind w:firstLine="29"/>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条款号</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513DE71E">
            <w:pPr>
              <w:ind w:firstLine="29"/>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内容、要求</w:t>
            </w:r>
          </w:p>
        </w:tc>
      </w:tr>
      <w:tr w14:paraId="7A10CF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6FE9432">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6E8CC3AD">
            <w:pPr>
              <w:ind w:firstLine="2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南京医科大学疫苗平台步入式洗笼机项目（第二次）</w:t>
            </w:r>
          </w:p>
          <w:p w14:paraId="38C63005">
            <w:pPr>
              <w:ind w:firstLine="29"/>
              <w:rPr>
                <w:rFonts w:hint="eastAsia" w:ascii="宋体" w:hAnsi="宋体" w:cs="宋体"/>
                <w:color w:val="auto"/>
                <w:sz w:val="24"/>
                <w:szCs w:val="24"/>
                <w:highlight w:val="none"/>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JSZC-320000-HTMY-G2026-0014</w:t>
            </w:r>
          </w:p>
          <w:p w14:paraId="3C6794EB">
            <w:pPr>
              <w:ind w:firstLine="29"/>
              <w:rPr>
                <w:rFonts w:ascii="宋体" w:hAnsi="宋体" w:cs="宋体"/>
                <w:color w:val="auto"/>
                <w:sz w:val="24"/>
                <w:szCs w:val="24"/>
                <w:highlight w:val="none"/>
              </w:rPr>
            </w:pPr>
            <w:r>
              <w:rPr>
                <w:rFonts w:hint="eastAsia" w:ascii="宋体" w:hAnsi="宋体" w:cs="宋体"/>
                <w:color w:val="auto"/>
                <w:sz w:val="24"/>
                <w:szCs w:val="24"/>
                <w:highlight w:val="none"/>
              </w:rPr>
              <w:t>采购机构内部编号：1678-264102029HTT</w:t>
            </w:r>
          </w:p>
        </w:tc>
      </w:tr>
      <w:tr w14:paraId="58E15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8132222">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163B3A88">
            <w:pPr>
              <w:ind w:firstLine="29"/>
              <w:rPr>
                <w:rFonts w:ascii="宋体" w:hAnsi="宋体" w:cs="宋体"/>
                <w:color w:val="auto"/>
                <w:sz w:val="24"/>
                <w:szCs w:val="24"/>
                <w:highlight w:val="none"/>
              </w:rPr>
            </w:pPr>
            <w:r>
              <w:rPr>
                <w:rFonts w:hint="eastAsia" w:ascii="宋体" w:hAnsi="宋体" w:cs="宋体"/>
                <w:color w:val="auto"/>
                <w:sz w:val="24"/>
                <w:szCs w:val="24"/>
                <w:highlight w:val="none"/>
              </w:rPr>
              <w:t>公告发布媒体：江苏政府采购网</w:t>
            </w:r>
          </w:p>
        </w:tc>
      </w:tr>
      <w:tr w14:paraId="01151B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202953E0">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6FAD17D7">
            <w:pPr>
              <w:ind w:firstLine="29"/>
              <w:rPr>
                <w:rFonts w:ascii="宋体" w:hAnsi="宋体" w:cs="宋体"/>
                <w:color w:val="auto"/>
                <w:sz w:val="24"/>
                <w:szCs w:val="24"/>
                <w:highlight w:val="none"/>
              </w:rPr>
            </w:pPr>
            <w:r>
              <w:rPr>
                <w:rFonts w:hint="eastAsia" w:ascii="宋体" w:hAnsi="宋体" w:cs="宋体"/>
                <w:color w:val="auto"/>
                <w:sz w:val="24"/>
                <w:szCs w:val="24"/>
                <w:highlight w:val="none"/>
              </w:rPr>
              <w:t>资金来源：财政性资金</w:t>
            </w:r>
          </w:p>
        </w:tc>
      </w:tr>
      <w:tr w14:paraId="070BB0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DF3E8E9">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2446FF29">
            <w:pPr>
              <w:ind w:firstLine="29"/>
              <w:rPr>
                <w:rFonts w:ascii="宋体" w:hAnsi="宋体" w:cs="宋体"/>
                <w:color w:val="auto"/>
                <w:sz w:val="24"/>
                <w:szCs w:val="24"/>
                <w:highlight w:val="none"/>
              </w:rPr>
            </w:pPr>
            <w:r>
              <w:rPr>
                <w:rFonts w:hint="eastAsia" w:ascii="宋体" w:hAnsi="宋体" w:cs="宋体"/>
                <w:color w:val="auto"/>
                <w:sz w:val="24"/>
                <w:szCs w:val="24"/>
                <w:highlight w:val="none"/>
              </w:rPr>
              <w:t>预算总金额/最高总限价：119万元，超过预算金额或最高限价作无效响应处理。</w:t>
            </w:r>
          </w:p>
        </w:tc>
      </w:tr>
      <w:tr w14:paraId="0964D7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99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902441">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807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7FFB93A">
            <w:pPr>
              <w:ind w:firstLine="29"/>
              <w:rPr>
                <w:rFonts w:ascii="宋体" w:hAnsi="宋体" w:cs="宋体"/>
                <w:color w:val="auto"/>
                <w:sz w:val="24"/>
                <w:szCs w:val="24"/>
                <w:highlight w:val="none"/>
              </w:rPr>
            </w:pPr>
            <w:r>
              <w:rPr>
                <w:rFonts w:hint="eastAsia" w:ascii="宋体" w:hAnsi="宋体" w:cs="宋体"/>
                <w:color w:val="auto"/>
                <w:sz w:val="24"/>
                <w:szCs w:val="24"/>
                <w:highlight w:val="none"/>
              </w:rPr>
              <w:t>采购方式：公开招标</w:t>
            </w:r>
          </w:p>
        </w:tc>
      </w:tr>
      <w:tr w14:paraId="7A9B64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99693EE">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3CB20AC8">
            <w:pPr>
              <w:ind w:firstLine="29"/>
              <w:rPr>
                <w:rFonts w:ascii="宋体" w:hAnsi="宋体" w:cs="宋体"/>
                <w:color w:val="auto"/>
                <w:sz w:val="24"/>
                <w:szCs w:val="24"/>
                <w:highlight w:val="none"/>
              </w:rPr>
            </w:pPr>
            <w:r>
              <w:rPr>
                <w:rFonts w:hint="eastAsia" w:ascii="宋体" w:hAnsi="宋体" w:cs="宋体"/>
                <w:color w:val="auto"/>
                <w:sz w:val="24"/>
                <w:szCs w:val="24"/>
                <w:highlight w:val="none"/>
              </w:rPr>
              <w:t>信用信息：</w:t>
            </w:r>
          </w:p>
          <w:p w14:paraId="372BE891">
            <w:pPr>
              <w:pStyle w:val="207"/>
              <w:numPr>
                <w:ilvl w:val="0"/>
                <w:numId w:val="5"/>
              </w:numPr>
              <w:ind w:left="0" w:firstLine="29"/>
              <w:rPr>
                <w:color w:val="auto"/>
                <w:highlight w:val="none"/>
              </w:rPr>
            </w:pPr>
            <w:r>
              <w:rPr>
                <w:rFonts w:hint="eastAsia"/>
                <w:color w:val="auto"/>
                <w:highlight w:val="none"/>
              </w:rPr>
              <w:t>信用信息查询渠道：“信用中国”网站(www.creditchina.gov.cn)、中国政府采购网(www.ccgp.gov.cn)等。</w:t>
            </w:r>
          </w:p>
          <w:p w14:paraId="70C23987">
            <w:pPr>
              <w:pStyle w:val="207"/>
              <w:numPr>
                <w:ilvl w:val="0"/>
                <w:numId w:val="5"/>
              </w:numPr>
              <w:ind w:left="0" w:firstLine="29"/>
              <w:rPr>
                <w:color w:val="auto"/>
                <w:highlight w:val="none"/>
              </w:rPr>
            </w:pPr>
            <w:r>
              <w:rPr>
                <w:rFonts w:hint="eastAsia"/>
                <w:color w:val="auto"/>
                <w:highlight w:val="none"/>
              </w:rPr>
              <w:t>信用信息查询截止时点：提交响应文件截止之日24时内（由采购代理机构负责查询）。</w:t>
            </w:r>
          </w:p>
          <w:p w14:paraId="6555A36A">
            <w:pPr>
              <w:pStyle w:val="207"/>
              <w:numPr>
                <w:ilvl w:val="0"/>
                <w:numId w:val="5"/>
              </w:numPr>
              <w:ind w:left="0" w:firstLine="29"/>
              <w:rPr>
                <w:color w:val="auto"/>
                <w:highlight w:val="none"/>
              </w:rPr>
            </w:pPr>
            <w:r>
              <w:rPr>
                <w:rFonts w:hint="eastAsia"/>
                <w:color w:val="auto"/>
                <w:highlight w:val="none"/>
              </w:rPr>
              <w:t>信用信息查询记录和证据留存的具体方式：信用信息查询记录将以网站截图打印稿形式与其他采购文件一并保存。</w:t>
            </w:r>
          </w:p>
          <w:p w14:paraId="2AAD44AF">
            <w:pPr>
              <w:pStyle w:val="207"/>
              <w:numPr>
                <w:ilvl w:val="0"/>
                <w:numId w:val="5"/>
              </w:numPr>
              <w:ind w:left="0" w:firstLine="29"/>
              <w:rPr>
                <w:color w:val="auto"/>
                <w:highlight w:val="none"/>
              </w:rPr>
            </w:pPr>
            <w:r>
              <w:rPr>
                <w:rFonts w:hint="eastAsia"/>
                <w:color w:val="auto"/>
                <w:highlight w:val="none"/>
              </w:rPr>
              <w:t>信用信息的使用规则：拒绝列入失信被执行人、重大税收违法案件当事人名单、政府采购严重违法失信行为记录名单的供应商参与政府采购活动。联合体成员存在不良信用记录的，视同联合体存在不良信用记录。</w:t>
            </w:r>
          </w:p>
        </w:tc>
      </w:tr>
      <w:tr w14:paraId="21ABE0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63"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7A3541C6">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743742EF">
            <w:pPr>
              <w:ind w:firstLine="29"/>
              <w:rPr>
                <w:rFonts w:ascii="宋体" w:hAnsi="宋体" w:cs="宋体"/>
                <w:color w:val="auto"/>
                <w:sz w:val="24"/>
                <w:szCs w:val="24"/>
                <w:highlight w:val="none"/>
              </w:rPr>
            </w:pPr>
            <w:r>
              <w:rPr>
                <w:rFonts w:hint="eastAsia" w:ascii="宋体" w:hAnsi="宋体" w:cs="宋体"/>
                <w:color w:val="auto"/>
                <w:sz w:val="24"/>
                <w:szCs w:val="24"/>
                <w:highlight w:val="none"/>
              </w:rPr>
              <w:t>7.1投标保证金：本项目</w:t>
            </w:r>
            <w:r>
              <w:rPr>
                <w:rFonts w:hint="eastAsia" w:ascii="宋体" w:hAnsi="宋体" w:cs="宋体"/>
                <w:b/>
                <w:bCs/>
                <w:color w:val="auto"/>
                <w:sz w:val="24"/>
                <w:szCs w:val="24"/>
                <w:highlight w:val="none"/>
              </w:rPr>
              <w:t>不收取投标</w:t>
            </w:r>
            <w:r>
              <w:rPr>
                <w:rFonts w:hint="eastAsia" w:ascii="宋体" w:hAnsi="宋体" w:cs="宋体"/>
                <w:color w:val="auto"/>
                <w:sz w:val="24"/>
                <w:szCs w:val="24"/>
                <w:highlight w:val="none"/>
              </w:rPr>
              <w:t>保证金，本文件中涉及保证金的条款均不适用。</w:t>
            </w:r>
          </w:p>
          <w:p w14:paraId="08CBACFC">
            <w:pPr>
              <w:ind w:firstLine="29"/>
              <w:rPr>
                <w:rFonts w:ascii="宋体" w:hAnsi="宋体" w:cs="宋体"/>
                <w:color w:val="auto"/>
                <w:sz w:val="24"/>
                <w:szCs w:val="24"/>
                <w:highlight w:val="none"/>
              </w:rPr>
            </w:pPr>
            <w:r>
              <w:rPr>
                <w:rFonts w:hint="eastAsia" w:ascii="宋体" w:hAnsi="宋体" w:cs="宋体"/>
                <w:color w:val="auto"/>
                <w:sz w:val="24"/>
                <w:szCs w:val="24"/>
                <w:highlight w:val="none"/>
              </w:rPr>
              <w:t>7.2履约保证金：</w:t>
            </w:r>
          </w:p>
          <w:p w14:paraId="357C0AD7">
            <w:pPr>
              <w:pStyle w:val="207"/>
              <w:ind w:firstLine="29"/>
              <w:rPr>
                <w:rFonts w:ascii="宋体" w:hAnsi="宋体" w:eastAsia="宋体"/>
                <w:bCs/>
                <w:color w:val="auto"/>
                <w:highlight w:val="none"/>
              </w:rPr>
            </w:pPr>
            <w:r>
              <w:rPr>
                <w:rFonts w:hint="eastAsia" w:ascii="宋体" w:hAnsi="宋体" w:eastAsia="宋体"/>
                <w:bCs/>
                <w:color w:val="auto"/>
                <w:highlight w:val="none"/>
              </w:rPr>
              <w:t>1、</w:t>
            </w:r>
            <w:r>
              <w:rPr>
                <w:rFonts w:ascii="宋体" w:hAnsi="宋体" w:eastAsia="宋体"/>
                <w:bCs/>
                <w:color w:val="auto"/>
                <w:highlight w:val="none"/>
              </w:rPr>
              <w:t>缴纳履约保证金</w:t>
            </w:r>
          </w:p>
          <w:p w14:paraId="47E7CFEF">
            <w:pPr>
              <w:pStyle w:val="207"/>
              <w:ind w:firstLine="29"/>
              <w:rPr>
                <w:rFonts w:ascii="宋体" w:hAnsi="宋体" w:eastAsia="宋体"/>
                <w:bCs/>
                <w:color w:val="auto"/>
                <w:highlight w:val="none"/>
              </w:rPr>
            </w:pPr>
            <w:r>
              <w:rPr>
                <w:rFonts w:ascii="宋体" w:hAnsi="宋体" w:eastAsia="宋体"/>
                <w:bCs/>
                <w:color w:val="auto"/>
                <w:highlight w:val="none"/>
              </w:rPr>
              <w:t>供应商中标后7个工作日内，将中标合同金额10%的履约保证金以银行对公转账形式支付至学校指定账户，并将加盖单位公章的银行回执单或网银截图递交至</w:t>
            </w:r>
            <w:r>
              <w:rPr>
                <w:rFonts w:hint="eastAsia" w:ascii="宋体" w:hAnsi="宋体" w:eastAsia="宋体"/>
                <w:bCs/>
                <w:color w:val="auto"/>
                <w:highlight w:val="none"/>
              </w:rPr>
              <w:t>学校</w:t>
            </w:r>
            <w:r>
              <w:rPr>
                <w:rFonts w:ascii="宋体" w:hAnsi="宋体" w:eastAsia="宋体"/>
                <w:bCs/>
                <w:color w:val="auto"/>
                <w:highlight w:val="none"/>
              </w:rPr>
              <w:t>，</w:t>
            </w:r>
            <w:r>
              <w:rPr>
                <w:rFonts w:hint="eastAsia" w:ascii="宋体" w:hAnsi="宋体" w:eastAsia="宋体"/>
                <w:bCs/>
                <w:color w:val="auto"/>
                <w:highlight w:val="none"/>
              </w:rPr>
              <w:t>学校</w:t>
            </w:r>
            <w:r>
              <w:rPr>
                <w:rFonts w:ascii="宋体" w:hAnsi="宋体" w:eastAsia="宋体"/>
                <w:bCs/>
                <w:color w:val="auto"/>
                <w:highlight w:val="none"/>
              </w:rPr>
              <w:t>凭付款凭证及财务处到款情况办理合同签订相关手续。</w:t>
            </w:r>
          </w:p>
          <w:p w14:paraId="70F4A781">
            <w:pPr>
              <w:pStyle w:val="207"/>
              <w:ind w:firstLine="29"/>
              <w:rPr>
                <w:rFonts w:ascii="宋体" w:hAnsi="宋体" w:eastAsia="宋体"/>
                <w:bCs/>
                <w:color w:val="auto"/>
                <w:highlight w:val="none"/>
              </w:rPr>
            </w:pPr>
            <w:r>
              <w:rPr>
                <w:rFonts w:ascii="宋体" w:hAnsi="宋体" w:eastAsia="宋体"/>
                <w:bCs/>
                <w:color w:val="auto"/>
                <w:highlight w:val="none"/>
              </w:rPr>
              <w:t>南京医科大学指定账户信息具体如下：</w:t>
            </w:r>
          </w:p>
          <w:p w14:paraId="2183B77C">
            <w:pPr>
              <w:pStyle w:val="207"/>
              <w:ind w:firstLine="29"/>
              <w:rPr>
                <w:rFonts w:ascii="宋体" w:hAnsi="宋体" w:eastAsia="宋体"/>
                <w:bCs/>
                <w:color w:val="auto"/>
                <w:highlight w:val="none"/>
              </w:rPr>
            </w:pPr>
            <w:r>
              <w:rPr>
                <w:rFonts w:ascii="宋体" w:hAnsi="宋体" w:eastAsia="宋体"/>
                <w:bCs/>
                <w:color w:val="auto"/>
                <w:highlight w:val="none"/>
              </w:rPr>
              <w:t>单位名称：南京医科大学</w:t>
            </w:r>
          </w:p>
          <w:p w14:paraId="79E51455">
            <w:pPr>
              <w:pStyle w:val="207"/>
              <w:ind w:firstLine="29"/>
              <w:rPr>
                <w:rFonts w:ascii="宋体" w:hAnsi="宋体" w:eastAsia="宋体"/>
                <w:bCs/>
                <w:color w:val="auto"/>
                <w:highlight w:val="none"/>
              </w:rPr>
            </w:pPr>
            <w:r>
              <w:rPr>
                <w:rFonts w:ascii="宋体" w:hAnsi="宋体" w:eastAsia="宋体"/>
                <w:bCs/>
                <w:color w:val="auto"/>
                <w:highlight w:val="none"/>
              </w:rPr>
              <w:t xml:space="preserve">开 户 行：南京市工行汉中门支行                          </w:t>
            </w:r>
          </w:p>
          <w:p w14:paraId="6CEC83B9">
            <w:pPr>
              <w:pStyle w:val="207"/>
              <w:ind w:firstLine="29"/>
              <w:rPr>
                <w:rFonts w:ascii="宋体" w:hAnsi="宋体" w:eastAsia="宋体"/>
                <w:bCs/>
                <w:color w:val="auto"/>
                <w:highlight w:val="none"/>
              </w:rPr>
            </w:pPr>
            <w:r>
              <w:rPr>
                <w:rFonts w:ascii="宋体" w:hAnsi="宋体" w:eastAsia="宋体"/>
                <w:bCs/>
                <w:color w:val="auto"/>
                <w:highlight w:val="none"/>
              </w:rPr>
              <w:t>账    号：4301010109001038622</w:t>
            </w:r>
          </w:p>
          <w:p w14:paraId="004FECD2">
            <w:pPr>
              <w:pStyle w:val="207"/>
              <w:ind w:firstLine="29"/>
              <w:rPr>
                <w:rFonts w:ascii="宋体" w:hAnsi="宋体" w:eastAsia="宋体"/>
                <w:bCs/>
                <w:color w:val="auto"/>
                <w:highlight w:val="none"/>
              </w:rPr>
            </w:pPr>
            <w:r>
              <w:rPr>
                <w:rFonts w:ascii="宋体" w:hAnsi="宋体" w:eastAsia="宋体"/>
                <w:bCs/>
                <w:color w:val="auto"/>
                <w:highlight w:val="none"/>
              </w:rPr>
              <w:t>注：请在转账时备注“项目名称+履约保证金”字样。</w:t>
            </w:r>
          </w:p>
          <w:p w14:paraId="127D1AC8">
            <w:pPr>
              <w:pStyle w:val="207"/>
              <w:ind w:firstLine="29"/>
              <w:rPr>
                <w:rFonts w:ascii="宋体" w:hAnsi="宋体" w:eastAsia="宋体"/>
                <w:bCs/>
                <w:color w:val="auto"/>
                <w:highlight w:val="none"/>
              </w:rPr>
            </w:pPr>
            <w:r>
              <w:rPr>
                <w:rFonts w:hint="eastAsia" w:ascii="宋体" w:hAnsi="宋体" w:eastAsia="宋体"/>
                <w:bCs/>
                <w:color w:val="auto"/>
                <w:highlight w:val="none"/>
              </w:rPr>
              <w:t>2、</w:t>
            </w:r>
            <w:r>
              <w:rPr>
                <w:rFonts w:ascii="宋体" w:hAnsi="宋体" w:eastAsia="宋体"/>
                <w:bCs/>
                <w:color w:val="auto"/>
                <w:highlight w:val="none"/>
              </w:rPr>
              <w:t>若</w:t>
            </w:r>
            <w:r>
              <w:rPr>
                <w:rFonts w:hint="eastAsia" w:ascii="宋体" w:hAnsi="宋体" w:eastAsia="宋体"/>
                <w:bCs/>
                <w:color w:val="auto"/>
                <w:highlight w:val="none"/>
              </w:rPr>
              <w:t>供应商</w:t>
            </w:r>
            <w:r>
              <w:rPr>
                <w:rFonts w:ascii="宋体" w:hAnsi="宋体" w:eastAsia="宋体"/>
                <w:bCs/>
                <w:color w:val="auto"/>
                <w:highlight w:val="none"/>
              </w:rPr>
              <w:t>中标后无故拖延、拒绝缴纳或逾期缴纳履约保证金，则视为中标</w:t>
            </w:r>
            <w:r>
              <w:rPr>
                <w:rFonts w:hint="eastAsia" w:ascii="宋体" w:hAnsi="宋体" w:eastAsia="宋体"/>
                <w:bCs/>
                <w:color w:val="auto"/>
                <w:highlight w:val="none"/>
              </w:rPr>
              <w:t>供应商</w:t>
            </w:r>
            <w:r>
              <w:rPr>
                <w:rFonts w:ascii="宋体" w:hAnsi="宋体" w:eastAsia="宋体"/>
                <w:bCs/>
                <w:color w:val="auto"/>
                <w:highlight w:val="none"/>
              </w:rPr>
              <w:t>放弃中标资格，</w:t>
            </w:r>
            <w:r>
              <w:rPr>
                <w:rFonts w:hint="eastAsia" w:ascii="宋体" w:hAnsi="宋体" w:eastAsia="宋体"/>
                <w:bCs/>
                <w:color w:val="auto"/>
                <w:highlight w:val="none"/>
              </w:rPr>
              <w:t>学校</w:t>
            </w:r>
            <w:r>
              <w:rPr>
                <w:rFonts w:ascii="宋体" w:hAnsi="宋体" w:eastAsia="宋体"/>
                <w:bCs/>
                <w:color w:val="auto"/>
                <w:highlight w:val="none"/>
              </w:rPr>
              <w:t>有权取消其中标结果，按照评审报告推荐的中标或者成交候选人名单排序，确定下一候选人为中标或者成交供应商，或者重新组织招标。</w:t>
            </w:r>
          </w:p>
          <w:p w14:paraId="788565CB">
            <w:pPr>
              <w:pStyle w:val="207"/>
              <w:ind w:firstLine="29"/>
              <w:rPr>
                <w:rFonts w:ascii="宋体" w:hAnsi="宋体" w:eastAsia="宋体"/>
                <w:bCs/>
                <w:color w:val="auto"/>
                <w:highlight w:val="none"/>
              </w:rPr>
            </w:pPr>
            <w:r>
              <w:rPr>
                <w:rFonts w:hint="eastAsia" w:ascii="宋体" w:hAnsi="宋体" w:eastAsia="宋体"/>
                <w:bCs/>
                <w:color w:val="auto"/>
                <w:highlight w:val="none"/>
              </w:rPr>
              <w:t>3、</w:t>
            </w:r>
            <w:r>
              <w:rPr>
                <w:rFonts w:ascii="宋体" w:hAnsi="宋体" w:eastAsia="宋体"/>
                <w:bCs/>
                <w:color w:val="auto"/>
                <w:highlight w:val="none"/>
              </w:rPr>
              <w:t>合同履行过程中，若经</w:t>
            </w:r>
            <w:r>
              <w:rPr>
                <w:rFonts w:hint="eastAsia" w:ascii="宋体" w:hAnsi="宋体" w:eastAsia="宋体"/>
                <w:bCs/>
                <w:color w:val="auto"/>
                <w:highlight w:val="none"/>
              </w:rPr>
              <w:t>学校</w:t>
            </w:r>
            <w:r>
              <w:rPr>
                <w:rFonts w:ascii="宋体" w:hAnsi="宋体" w:eastAsia="宋体"/>
                <w:bCs/>
                <w:color w:val="auto"/>
                <w:highlight w:val="none"/>
              </w:rPr>
              <w:t>核实存在货物质量问题或中标</w:t>
            </w:r>
            <w:r>
              <w:rPr>
                <w:rFonts w:hint="eastAsia" w:ascii="宋体" w:hAnsi="宋体" w:eastAsia="宋体"/>
                <w:bCs/>
                <w:color w:val="auto"/>
                <w:highlight w:val="none"/>
              </w:rPr>
              <w:t>供应商</w:t>
            </w:r>
            <w:r>
              <w:rPr>
                <w:rFonts w:ascii="宋体" w:hAnsi="宋体" w:eastAsia="宋体"/>
                <w:bCs/>
                <w:color w:val="auto"/>
                <w:highlight w:val="none"/>
              </w:rPr>
              <w:t>违约情形，</w:t>
            </w:r>
            <w:r>
              <w:rPr>
                <w:rFonts w:hint="eastAsia" w:ascii="宋体" w:hAnsi="宋体" w:eastAsia="宋体"/>
                <w:bCs/>
                <w:color w:val="auto"/>
                <w:highlight w:val="none"/>
              </w:rPr>
              <w:t>学校</w:t>
            </w:r>
            <w:r>
              <w:rPr>
                <w:rFonts w:ascii="宋体" w:hAnsi="宋体" w:eastAsia="宋体"/>
                <w:bCs/>
                <w:color w:val="auto"/>
                <w:highlight w:val="none"/>
              </w:rPr>
              <w:t>有权在通知中标</w:t>
            </w:r>
            <w:r>
              <w:rPr>
                <w:rFonts w:hint="eastAsia" w:ascii="宋体" w:hAnsi="宋体" w:eastAsia="宋体"/>
                <w:bCs/>
                <w:color w:val="auto"/>
                <w:highlight w:val="none"/>
              </w:rPr>
              <w:t>供应商</w:t>
            </w:r>
            <w:r>
              <w:rPr>
                <w:rFonts w:ascii="宋体" w:hAnsi="宋体" w:eastAsia="宋体"/>
                <w:bCs/>
                <w:color w:val="auto"/>
                <w:highlight w:val="none"/>
              </w:rPr>
              <w:t>后，从履约保证金中抵扣相应的补偿或赔偿款项。</w:t>
            </w:r>
          </w:p>
          <w:p w14:paraId="601D031D">
            <w:pPr>
              <w:pStyle w:val="207"/>
              <w:ind w:firstLine="29"/>
              <w:rPr>
                <w:rFonts w:ascii="宋体" w:hAnsi="宋体" w:eastAsia="宋体"/>
                <w:bCs/>
                <w:color w:val="auto"/>
                <w:highlight w:val="none"/>
              </w:rPr>
            </w:pPr>
            <w:r>
              <w:rPr>
                <w:rFonts w:hint="eastAsia" w:ascii="宋体" w:hAnsi="宋体" w:eastAsia="宋体"/>
                <w:bCs/>
                <w:color w:val="auto"/>
                <w:highlight w:val="none"/>
              </w:rPr>
              <w:t>4、</w:t>
            </w:r>
            <w:r>
              <w:rPr>
                <w:rFonts w:ascii="宋体" w:hAnsi="宋体" w:eastAsia="宋体"/>
                <w:bCs/>
                <w:color w:val="auto"/>
                <w:highlight w:val="none"/>
              </w:rPr>
              <w:t>履约保证金退还流程</w:t>
            </w:r>
          </w:p>
          <w:p w14:paraId="6D5A99A8">
            <w:pPr>
              <w:pStyle w:val="207"/>
              <w:ind w:firstLine="29"/>
              <w:rPr>
                <w:rFonts w:ascii="宋体" w:hAnsi="宋体" w:eastAsia="宋体"/>
                <w:bCs/>
                <w:color w:val="auto"/>
                <w:highlight w:val="none"/>
              </w:rPr>
            </w:pPr>
            <w:r>
              <w:rPr>
                <w:rFonts w:hint="eastAsia" w:ascii="宋体" w:hAnsi="宋体" w:eastAsia="宋体"/>
                <w:bCs/>
                <w:color w:val="auto"/>
                <w:highlight w:val="none"/>
              </w:rPr>
              <w:t>（1）</w:t>
            </w:r>
            <w:r>
              <w:rPr>
                <w:rFonts w:ascii="宋体" w:hAnsi="宋体" w:eastAsia="宋体"/>
                <w:bCs/>
                <w:color w:val="auto"/>
                <w:highlight w:val="none"/>
              </w:rPr>
              <w:t>自货物验收合格之日起12个月后，中标供应商可向</w:t>
            </w:r>
            <w:r>
              <w:rPr>
                <w:rFonts w:hint="eastAsia" w:ascii="宋体" w:hAnsi="宋体" w:eastAsia="宋体"/>
                <w:bCs/>
                <w:color w:val="auto"/>
                <w:highlight w:val="none"/>
              </w:rPr>
              <w:t>学校</w:t>
            </w:r>
            <w:r>
              <w:rPr>
                <w:rFonts w:ascii="宋体" w:hAnsi="宋体" w:eastAsia="宋体"/>
                <w:bCs/>
                <w:color w:val="auto"/>
                <w:highlight w:val="none"/>
              </w:rPr>
              <w:t>出具货物最终验收单，并同步提交填写完整的《履约保证金退还申请单》。</w:t>
            </w:r>
          </w:p>
          <w:p w14:paraId="5E4F2183">
            <w:pPr>
              <w:ind w:firstLine="29"/>
              <w:rPr>
                <w:rFonts w:ascii="宋体" w:hAnsi="宋体" w:cs="宋体"/>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经最终用户签字确认，核实无质量问题且供应商无违约情形后，</w:t>
            </w:r>
            <w:r>
              <w:rPr>
                <w:rFonts w:hint="eastAsia" w:ascii="宋体" w:hAnsi="宋体" w:cs="宋体"/>
                <w:bCs/>
                <w:color w:val="auto"/>
                <w:sz w:val="24"/>
                <w:szCs w:val="24"/>
                <w:highlight w:val="none"/>
              </w:rPr>
              <w:t>学校</w:t>
            </w:r>
            <w:r>
              <w:rPr>
                <w:rFonts w:ascii="宋体" w:hAnsi="宋体" w:cs="宋体"/>
                <w:bCs/>
                <w:color w:val="auto"/>
                <w:sz w:val="24"/>
                <w:szCs w:val="24"/>
                <w:highlight w:val="none"/>
              </w:rPr>
              <w:t>于确认完成后一个月内，将履约保证金一次性无息退还中标供应商。</w:t>
            </w:r>
          </w:p>
        </w:tc>
      </w:tr>
      <w:tr w14:paraId="115200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12"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C238F29">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2C2827A9">
            <w:pPr>
              <w:ind w:firstLine="29"/>
              <w:rPr>
                <w:rFonts w:ascii="宋体" w:hAnsi="宋体" w:cs="宋体"/>
                <w:color w:val="auto"/>
                <w:sz w:val="24"/>
                <w:szCs w:val="24"/>
                <w:highlight w:val="none"/>
              </w:rPr>
            </w:pPr>
            <w:r>
              <w:rPr>
                <w:rFonts w:hint="eastAsia" w:ascii="宋体" w:hAnsi="宋体" w:cs="宋体"/>
                <w:color w:val="auto"/>
                <w:sz w:val="24"/>
                <w:szCs w:val="24"/>
                <w:highlight w:val="none"/>
              </w:rPr>
              <w:t>代理服务费：</w:t>
            </w:r>
          </w:p>
          <w:p w14:paraId="12B94C54">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中标人应在中标后向采购代理机构支付代理服务费。</w:t>
            </w:r>
          </w:p>
          <w:p w14:paraId="04820F10">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招标代理费金额:根据国家现行取费政策,以代理项目中标金额为结算依据,按照以下计算方法确定招标代理费金额:中标供应商按&lt;&lt;招标代理服务收费管理暂行办法&gt;&gt;(国家发展计划委员会计价格[2002]1980号),招标收费基准费率</w:t>
            </w:r>
            <w:r>
              <w:rPr>
                <w:rFonts w:hint="eastAsia" w:ascii="宋体" w:hAnsi="宋体" w:cs="宋体"/>
                <w:b/>
                <w:bCs/>
                <w:color w:val="auto"/>
                <w:sz w:val="24"/>
                <w:szCs w:val="24"/>
                <w:highlight w:val="none"/>
                <w:u w:val="single"/>
              </w:rPr>
              <w:t>50%</w:t>
            </w:r>
            <w:r>
              <w:rPr>
                <w:rFonts w:hint="eastAsia" w:ascii="宋体" w:hAnsi="宋体" w:cs="宋体"/>
                <w:color w:val="auto"/>
                <w:sz w:val="24"/>
                <w:szCs w:val="24"/>
                <w:highlight w:val="none"/>
              </w:rPr>
              <w:t>计算，超过人民币贰万元的按固定金额人民币贰万元计算。</w:t>
            </w:r>
          </w:p>
          <w:p w14:paraId="411FF9B8">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汇款地址同</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rPr>
              <w:t>文件《第一章：招标公告》中购买采购文件汇款地址。</w:t>
            </w:r>
          </w:p>
        </w:tc>
      </w:tr>
      <w:tr w14:paraId="030FB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29"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7B2DFBD">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421E67EC">
            <w:pPr>
              <w:pStyle w:val="207"/>
              <w:ind w:hanging="76"/>
              <w:rPr>
                <w:color w:val="auto"/>
                <w:highlight w:val="none"/>
              </w:rPr>
            </w:pPr>
            <w:r>
              <w:rPr>
                <w:rFonts w:hint="eastAsia"/>
                <w:color w:val="auto"/>
                <w:highlight w:val="none"/>
              </w:rPr>
              <w:t>投标报价：</w:t>
            </w:r>
          </w:p>
          <w:p w14:paraId="511443AE">
            <w:pPr>
              <w:pStyle w:val="207"/>
              <w:ind w:hanging="76"/>
              <w:rPr>
                <w:color w:val="auto"/>
                <w:highlight w:val="none"/>
              </w:rPr>
            </w:pPr>
            <w:r>
              <w:rPr>
                <w:rFonts w:hint="eastAsia"/>
                <w:color w:val="auto"/>
                <w:highlight w:val="none"/>
              </w:rPr>
              <w:t>（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p>
          <w:p w14:paraId="02DF5E11">
            <w:pPr>
              <w:pStyle w:val="207"/>
              <w:ind w:hanging="76"/>
              <w:rPr>
                <w:color w:val="auto"/>
                <w:highlight w:val="none"/>
              </w:rPr>
            </w:pPr>
            <w:r>
              <w:rPr>
                <w:rFonts w:hint="eastAsia"/>
                <w:color w:val="auto"/>
                <w:highlight w:val="none"/>
              </w:rPr>
              <w:t>如进口免税货物在国务院税委会公告的加征关税商品清单中，加征的关税应包含在投标总价中，即采购人在按照政府采购合同规定的付款方式和金额支付完货款后，不承担任何其他的或后续的费用。</w:t>
            </w:r>
          </w:p>
          <w:p w14:paraId="47C075AE">
            <w:pPr>
              <w:pStyle w:val="207"/>
              <w:ind w:hanging="76"/>
              <w:rPr>
                <w:color w:val="auto"/>
                <w:highlight w:val="none"/>
              </w:rPr>
            </w:pPr>
            <w:r>
              <w:rPr>
                <w:rFonts w:hint="eastAsia"/>
                <w:color w:val="auto"/>
                <w:highlight w:val="none"/>
              </w:rPr>
              <w:t>（2）报价时应充分考虑所有可能影响到报价的因素，一旦评审结束最终成交，如发生漏、缺、少项都将被认为是成交供应商的报价让利行为，损失自负。</w:t>
            </w:r>
          </w:p>
          <w:p w14:paraId="352DEE09">
            <w:pPr>
              <w:pStyle w:val="207"/>
              <w:ind w:hanging="76"/>
              <w:rPr>
                <w:color w:val="auto"/>
                <w:highlight w:val="none"/>
              </w:rPr>
            </w:pPr>
            <w:r>
              <w:rPr>
                <w:rFonts w:hint="eastAsia"/>
                <w:color w:val="auto"/>
                <w:highlight w:val="none"/>
              </w:rPr>
              <w:t>（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p>
          <w:p w14:paraId="477683DD">
            <w:pPr>
              <w:pStyle w:val="207"/>
              <w:ind w:hanging="76"/>
              <w:rPr>
                <w:color w:val="auto"/>
                <w:highlight w:val="none"/>
              </w:rPr>
            </w:pPr>
            <w:r>
              <w:rPr>
                <w:rFonts w:hint="eastAsia"/>
                <w:color w:val="auto"/>
                <w:highlight w:val="none"/>
              </w:rPr>
              <w:t>各档代理费率为:</w:t>
            </w:r>
          </w:p>
          <w:tbl>
            <w:tblPr>
              <w:tblStyle w:val="41"/>
              <w:tblW w:w="7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4219"/>
              <w:gridCol w:w="2621"/>
            </w:tblGrid>
            <w:tr w14:paraId="1E34D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2A530BF1">
                  <w:pPr>
                    <w:pStyle w:val="207"/>
                    <w:widowControl w:val="0"/>
                    <w:ind w:hanging="48"/>
                    <w:jc w:val="both"/>
                    <w:rPr>
                      <w:color w:val="auto"/>
                      <w:highlight w:val="none"/>
                    </w:rPr>
                  </w:pPr>
                  <w:r>
                    <w:rPr>
                      <w:rFonts w:hint="eastAsia"/>
                      <w:color w:val="auto"/>
                      <w:highlight w:val="none"/>
                    </w:rPr>
                    <w:t>档列</w:t>
                  </w:r>
                </w:p>
              </w:tc>
              <w:tc>
                <w:tcPr>
                  <w:tcW w:w="4219" w:type="dxa"/>
                  <w:noWrap w:val="0"/>
                  <w:vAlign w:val="center"/>
                </w:tcPr>
                <w:p w14:paraId="3CF1DDFB">
                  <w:pPr>
                    <w:pStyle w:val="207"/>
                    <w:widowControl w:val="0"/>
                    <w:ind w:hanging="48"/>
                    <w:jc w:val="both"/>
                    <w:rPr>
                      <w:color w:val="auto"/>
                      <w:highlight w:val="none"/>
                    </w:rPr>
                  </w:pPr>
                  <w:r>
                    <w:rPr>
                      <w:rFonts w:hint="eastAsia"/>
                      <w:color w:val="auto"/>
                      <w:highlight w:val="none"/>
                    </w:rPr>
                    <w:t>合同价(单位:美元)</w:t>
                  </w:r>
                </w:p>
              </w:tc>
              <w:tc>
                <w:tcPr>
                  <w:tcW w:w="2621" w:type="dxa"/>
                  <w:noWrap w:val="0"/>
                  <w:vAlign w:val="center"/>
                </w:tcPr>
                <w:p w14:paraId="52EC4A09">
                  <w:pPr>
                    <w:pStyle w:val="207"/>
                    <w:widowControl w:val="0"/>
                    <w:ind w:hanging="48"/>
                    <w:jc w:val="both"/>
                    <w:rPr>
                      <w:color w:val="auto"/>
                      <w:highlight w:val="none"/>
                    </w:rPr>
                  </w:pPr>
                  <w:r>
                    <w:rPr>
                      <w:rFonts w:hint="eastAsia"/>
                      <w:color w:val="auto"/>
                      <w:highlight w:val="none"/>
                    </w:rPr>
                    <w:t>每段代理费率</w:t>
                  </w:r>
                </w:p>
              </w:tc>
            </w:tr>
            <w:tr w14:paraId="6D5C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4E753E89">
                  <w:pPr>
                    <w:pStyle w:val="207"/>
                    <w:widowControl w:val="0"/>
                    <w:ind w:hanging="48"/>
                    <w:jc w:val="both"/>
                    <w:rPr>
                      <w:color w:val="auto"/>
                      <w:highlight w:val="none"/>
                    </w:rPr>
                  </w:pPr>
                  <w:r>
                    <w:rPr>
                      <w:rFonts w:hint="eastAsia"/>
                      <w:color w:val="auto"/>
                      <w:highlight w:val="none"/>
                    </w:rPr>
                    <w:t>1</w:t>
                  </w:r>
                </w:p>
              </w:tc>
              <w:tc>
                <w:tcPr>
                  <w:tcW w:w="4219" w:type="dxa"/>
                  <w:noWrap w:val="0"/>
                  <w:vAlign w:val="center"/>
                </w:tcPr>
                <w:p w14:paraId="080CF41C">
                  <w:pPr>
                    <w:pStyle w:val="207"/>
                    <w:widowControl w:val="0"/>
                    <w:ind w:hanging="48"/>
                    <w:jc w:val="both"/>
                    <w:rPr>
                      <w:color w:val="auto"/>
                      <w:highlight w:val="none"/>
                    </w:rPr>
                  </w:pPr>
                  <w:r>
                    <w:rPr>
                      <w:rFonts w:hint="eastAsia" w:ascii="宋体" w:hAnsi="宋体" w:eastAsia="宋体"/>
                      <w:bCs/>
                      <w:color w:val="auto"/>
                      <w:highlight w:val="none"/>
                    </w:rPr>
                    <w:t>合同价＜10000</w:t>
                  </w:r>
                </w:p>
              </w:tc>
              <w:tc>
                <w:tcPr>
                  <w:tcW w:w="2621" w:type="dxa"/>
                  <w:noWrap w:val="0"/>
                  <w:vAlign w:val="center"/>
                </w:tcPr>
                <w:p w14:paraId="581D4DF5">
                  <w:pPr>
                    <w:pStyle w:val="207"/>
                    <w:widowControl w:val="0"/>
                    <w:ind w:hanging="48"/>
                    <w:jc w:val="both"/>
                    <w:rPr>
                      <w:color w:val="auto"/>
                      <w:highlight w:val="none"/>
                    </w:rPr>
                  </w:pPr>
                  <w:r>
                    <w:rPr>
                      <w:rFonts w:hint="eastAsia"/>
                      <w:color w:val="auto"/>
                      <w:highlight w:val="none"/>
                    </w:rPr>
                    <w:t>0.13</w:t>
                  </w:r>
                </w:p>
              </w:tc>
            </w:tr>
            <w:tr w14:paraId="79BF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215EBE74">
                  <w:pPr>
                    <w:pStyle w:val="207"/>
                    <w:widowControl w:val="0"/>
                    <w:ind w:hanging="48"/>
                    <w:jc w:val="both"/>
                    <w:rPr>
                      <w:color w:val="auto"/>
                      <w:highlight w:val="none"/>
                    </w:rPr>
                  </w:pPr>
                  <w:r>
                    <w:rPr>
                      <w:rFonts w:hint="eastAsia"/>
                      <w:color w:val="auto"/>
                      <w:highlight w:val="none"/>
                    </w:rPr>
                    <w:t>2</w:t>
                  </w:r>
                </w:p>
              </w:tc>
              <w:tc>
                <w:tcPr>
                  <w:tcW w:w="4219" w:type="dxa"/>
                  <w:noWrap w:val="0"/>
                  <w:vAlign w:val="center"/>
                </w:tcPr>
                <w:p w14:paraId="7EA71EE0">
                  <w:pPr>
                    <w:pStyle w:val="207"/>
                    <w:widowControl w:val="0"/>
                    <w:ind w:hanging="48"/>
                    <w:jc w:val="both"/>
                    <w:rPr>
                      <w:color w:val="auto"/>
                      <w:highlight w:val="none"/>
                    </w:rPr>
                  </w:pPr>
                  <w:r>
                    <w:rPr>
                      <w:rFonts w:hint="eastAsia" w:ascii="宋体" w:hAnsi="宋体" w:eastAsia="宋体"/>
                      <w:bCs/>
                      <w:color w:val="auto"/>
                      <w:highlight w:val="none"/>
                    </w:rPr>
                    <w:t>10，000≤合同价＜30，000</w:t>
                  </w:r>
                </w:p>
              </w:tc>
              <w:tc>
                <w:tcPr>
                  <w:tcW w:w="2621" w:type="dxa"/>
                  <w:noWrap w:val="0"/>
                  <w:vAlign w:val="center"/>
                </w:tcPr>
                <w:p w14:paraId="6B228DA6">
                  <w:pPr>
                    <w:pStyle w:val="207"/>
                    <w:widowControl w:val="0"/>
                    <w:ind w:hanging="48"/>
                    <w:jc w:val="both"/>
                    <w:rPr>
                      <w:color w:val="auto"/>
                      <w:highlight w:val="none"/>
                    </w:rPr>
                  </w:pPr>
                  <w:r>
                    <w:rPr>
                      <w:rFonts w:hint="eastAsia"/>
                      <w:color w:val="auto"/>
                      <w:highlight w:val="none"/>
                    </w:rPr>
                    <w:t>0.11</w:t>
                  </w:r>
                </w:p>
              </w:tc>
            </w:tr>
            <w:tr w14:paraId="47F1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22127265">
                  <w:pPr>
                    <w:pStyle w:val="207"/>
                    <w:widowControl w:val="0"/>
                    <w:ind w:hanging="48"/>
                    <w:jc w:val="both"/>
                    <w:rPr>
                      <w:color w:val="auto"/>
                      <w:highlight w:val="none"/>
                    </w:rPr>
                  </w:pPr>
                  <w:r>
                    <w:rPr>
                      <w:rFonts w:hint="eastAsia"/>
                      <w:color w:val="auto"/>
                      <w:highlight w:val="none"/>
                    </w:rPr>
                    <w:t>3</w:t>
                  </w:r>
                </w:p>
              </w:tc>
              <w:tc>
                <w:tcPr>
                  <w:tcW w:w="4219" w:type="dxa"/>
                  <w:noWrap w:val="0"/>
                  <w:vAlign w:val="center"/>
                </w:tcPr>
                <w:p w14:paraId="19C7B598">
                  <w:pPr>
                    <w:pStyle w:val="207"/>
                    <w:widowControl w:val="0"/>
                    <w:ind w:hanging="48"/>
                    <w:jc w:val="both"/>
                    <w:rPr>
                      <w:color w:val="auto"/>
                      <w:highlight w:val="none"/>
                    </w:rPr>
                  </w:pPr>
                  <w:r>
                    <w:rPr>
                      <w:rFonts w:hint="eastAsia" w:ascii="宋体" w:hAnsi="宋体" w:eastAsia="宋体"/>
                      <w:bCs/>
                      <w:color w:val="auto"/>
                      <w:highlight w:val="none"/>
                    </w:rPr>
                    <w:t>30，000≤合同价＜50，000</w:t>
                  </w:r>
                </w:p>
              </w:tc>
              <w:tc>
                <w:tcPr>
                  <w:tcW w:w="2621" w:type="dxa"/>
                  <w:noWrap w:val="0"/>
                  <w:vAlign w:val="center"/>
                </w:tcPr>
                <w:p w14:paraId="2CD32E08">
                  <w:pPr>
                    <w:pStyle w:val="207"/>
                    <w:widowControl w:val="0"/>
                    <w:ind w:hanging="48"/>
                    <w:jc w:val="both"/>
                    <w:rPr>
                      <w:color w:val="auto"/>
                      <w:highlight w:val="none"/>
                    </w:rPr>
                  </w:pPr>
                  <w:r>
                    <w:rPr>
                      <w:rFonts w:hint="eastAsia"/>
                      <w:color w:val="auto"/>
                      <w:highlight w:val="none"/>
                    </w:rPr>
                    <w:t>0.07</w:t>
                  </w:r>
                </w:p>
              </w:tc>
            </w:tr>
            <w:tr w14:paraId="360A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4A3BCCAD">
                  <w:pPr>
                    <w:pStyle w:val="207"/>
                    <w:widowControl w:val="0"/>
                    <w:ind w:hanging="48"/>
                    <w:jc w:val="both"/>
                    <w:rPr>
                      <w:color w:val="auto"/>
                      <w:highlight w:val="none"/>
                    </w:rPr>
                  </w:pPr>
                  <w:r>
                    <w:rPr>
                      <w:rFonts w:hint="eastAsia"/>
                      <w:color w:val="auto"/>
                      <w:highlight w:val="none"/>
                    </w:rPr>
                    <w:t>4</w:t>
                  </w:r>
                </w:p>
              </w:tc>
              <w:tc>
                <w:tcPr>
                  <w:tcW w:w="4219" w:type="dxa"/>
                  <w:noWrap w:val="0"/>
                  <w:vAlign w:val="center"/>
                </w:tcPr>
                <w:p w14:paraId="52E99BD7">
                  <w:pPr>
                    <w:pStyle w:val="207"/>
                    <w:widowControl w:val="0"/>
                    <w:ind w:hanging="48"/>
                    <w:jc w:val="both"/>
                    <w:rPr>
                      <w:color w:val="auto"/>
                      <w:highlight w:val="none"/>
                    </w:rPr>
                  </w:pPr>
                  <w:r>
                    <w:rPr>
                      <w:rFonts w:hint="eastAsia" w:ascii="宋体" w:hAnsi="宋体" w:eastAsia="宋体"/>
                      <w:bCs/>
                      <w:color w:val="auto"/>
                      <w:highlight w:val="none"/>
                    </w:rPr>
                    <w:t>50，000≤合同价＜100，000</w:t>
                  </w:r>
                </w:p>
              </w:tc>
              <w:tc>
                <w:tcPr>
                  <w:tcW w:w="2621" w:type="dxa"/>
                  <w:noWrap w:val="0"/>
                  <w:vAlign w:val="center"/>
                </w:tcPr>
                <w:p w14:paraId="005D0B99">
                  <w:pPr>
                    <w:pStyle w:val="207"/>
                    <w:widowControl w:val="0"/>
                    <w:ind w:hanging="48"/>
                    <w:jc w:val="both"/>
                    <w:rPr>
                      <w:color w:val="auto"/>
                      <w:highlight w:val="none"/>
                    </w:rPr>
                  </w:pPr>
                  <w:r>
                    <w:rPr>
                      <w:rFonts w:hint="eastAsia"/>
                      <w:color w:val="auto"/>
                      <w:highlight w:val="none"/>
                    </w:rPr>
                    <w:t>0.05</w:t>
                  </w:r>
                </w:p>
              </w:tc>
            </w:tr>
            <w:tr w14:paraId="5915B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7D202A33">
                  <w:pPr>
                    <w:pStyle w:val="207"/>
                    <w:widowControl w:val="0"/>
                    <w:ind w:hanging="48"/>
                    <w:jc w:val="both"/>
                    <w:rPr>
                      <w:color w:val="auto"/>
                      <w:highlight w:val="none"/>
                    </w:rPr>
                  </w:pPr>
                  <w:r>
                    <w:rPr>
                      <w:rFonts w:hint="eastAsia"/>
                      <w:color w:val="auto"/>
                      <w:highlight w:val="none"/>
                    </w:rPr>
                    <w:t>5</w:t>
                  </w:r>
                </w:p>
              </w:tc>
              <w:tc>
                <w:tcPr>
                  <w:tcW w:w="4219" w:type="dxa"/>
                  <w:noWrap w:val="0"/>
                  <w:vAlign w:val="center"/>
                </w:tcPr>
                <w:p w14:paraId="0AABC2D3">
                  <w:pPr>
                    <w:pStyle w:val="207"/>
                    <w:widowControl w:val="0"/>
                    <w:ind w:hanging="48"/>
                    <w:jc w:val="both"/>
                    <w:rPr>
                      <w:color w:val="auto"/>
                      <w:highlight w:val="none"/>
                    </w:rPr>
                  </w:pPr>
                  <w:r>
                    <w:rPr>
                      <w:rFonts w:hint="eastAsia" w:ascii="宋体" w:hAnsi="宋体" w:eastAsia="宋体"/>
                      <w:bCs/>
                      <w:color w:val="auto"/>
                      <w:highlight w:val="none"/>
                    </w:rPr>
                    <w:t>100，000≤合同价＜200，000</w:t>
                  </w:r>
                </w:p>
              </w:tc>
              <w:tc>
                <w:tcPr>
                  <w:tcW w:w="2621" w:type="dxa"/>
                  <w:noWrap w:val="0"/>
                  <w:vAlign w:val="center"/>
                </w:tcPr>
                <w:p w14:paraId="2DA0249E">
                  <w:pPr>
                    <w:pStyle w:val="207"/>
                    <w:widowControl w:val="0"/>
                    <w:ind w:hanging="48"/>
                    <w:jc w:val="both"/>
                    <w:rPr>
                      <w:color w:val="auto"/>
                      <w:highlight w:val="none"/>
                    </w:rPr>
                  </w:pPr>
                  <w:r>
                    <w:rPr>
                      <w:rFonts w:hint="eastAsia"/>
                      <w:color w:val="auto"/>
                      <w:highlight w:val="none"/>
                    </w:rPr>
                    <w:t>0.04</w:t>
                  </w:r>
                </w:p>
              </w:tc>
            </w:tr>
            <w:tr w14:paraId="0EE2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7863" w:type="dxa"/>
                  <w:gridSpan w:val="3"/>
                  <w:noWrap w:val="0"/>
                  <w:vAlign w:val="center"/>
                </w:tcPr>
                <w:p w14:paraId="06659E4F">
                  <w:pPr>
                    <w:pStyle w:val="207"/>
                    <w:widowControl w:val="0"/>
                    <w:ind w:firstLine="0"/>
                    <w:jc w:val="both"/>
                    <w:rPr>
                      <w:color w:val="auto"/>
                      <w:highlight w:val="none"/>
                    </w:rPr>
                  </w:pPr>
                  <w:r>
                    <w:rPr>
                      <w:rFonts w:hint="eastAsia"/>
                      <w:color w:val="auto"/>
                      <w:highlight w:val="none"/>
                    </w:rPr>
                    <w:t>合同价为20万美元及以上的，代理费率不高于上述代理费中最低一档。</w:t>
                  </w:r>
                </w:p>
              </w:tc>
            </w:tr>
          </w:tbl>
          <w:p w14:paraId="68CECC56">
            <w:pPr>
              <w:pStyle w:val="207"/>
              <w:ind w:hanging="76"/>
              <w:rPr>
                <w:color w:val="auto"/>
                <w:highlight w:val="none"/>
              </w:rPr>
            </w:pPr>
            <w:r>
              <w:rPr>
                <w:rFonts w:hint="eastAsia"/>
                <w:color w:val="auto"/>
                <w:highlight w:val="none"/>
              </w:rPr>
              <w:t>如潜在供应商所投产品为进口(免税)产品，请自行综合考虑外贸代理费等报价事宜。</w:t>
            </w:r>
          </w:p>
        </w:tc>
      </w:tr>
      <w:tr w14:paraId="619DB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6D074A8D">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0EEBE0BC">
            <w:pPr>
              <w:ind w:firstLine="29"/>
              <w:rPr>
                <w:rFonts w:ascii="宋体" w:hAnsi="宋体" w:cs="宋体"/>
                <w:bCs/>
                <w:color w:val="auto"/>
                <w:sz w:val="24"/>
                <w:szCs w:val="24"/>
                <w:highlight w:val="none"/>
              </w:rPr>
            </w:pPr>
            <w:r>
              <w:rPr>
                <w:rFonts w:hint="eastAsia" w:ascii="宋体" w:hAnsi="宋体" w:cs="宋体"/>
                <w:color w:val="auto"/>
                <w:sz w:val="24"/>
                <w:szCs w:val="24"/>
                <w:highlight w:val="none"/>
              </w:rPr>
              <w:t>投标有效期：</w:t>
            </w:r>
            <w:r>
              <w:rPr>
                <w:rFonts w:hint="eastAsia" w:ascii="宋体" w:hAnsi="宋体" w:cs="宋体"/>
                <w:color w:val="auto"/>
                <w:sz w:val="24"/>
                <w:szCs w:val="24"/>
                <w:highlight w:val="none"/>
                <w:lang w:val="zh-CN"/>
              </w:rPr>
              <w:t>自开标之日起90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zh-CN"/>
              </w:rPr>
              <w:t>，投标文件应保持有效，</w:t>
            </w:r>
            <w:r>
              <w:rPr>
                <w:rFonts w:hint="eastAsia" w:ascii="宋体" w:hAnsi="宋体" w:cs="宋体"/>
                <w:b/>
                <w:bCs/>
                <w:color w:val="auto"/>
                <w:sz w:val="24"/>
                <w:szCs w:val="24"/>
                <w:highlight w:val="none"/>
                <w:lang w:val="zh-CN"/>
              </w:rPr>
              <w:t>有效期短于此规定的投标文件</w:t>
            </w:r>
            <w:r>
              <w:rPr>
                <w:rFonts w:hint="eastAsia" w:ascii="宋体" w:hAnsi="宋体" w:cs="宋体"/>
                <w:b/>
                <w:bCs/>
                <w:color w:val="auto"/>
                <w:sz w:val="24"/>
                <w:szCs w:val="24"/>
                <w:highlight w:val="none"/>
              </w:rPr>
              <w:t>将作无效投标处理</w:t>
            </w:r>
            <w:r>
              <w:rPr>
                <w:rFonts w:hint="eastAsia" w:ascii="宋体" w:hAnsi="宋体" w:cs="宋体"/>
                <w:b/>
                <w:bCs/>
                <w:color w:val="auto"/>
                <w:sz w:val="24"/>
                <w:szCs w:val="24"/>
                <w:highlight w:val="none"/>
                <w:lang w:val="zh-CN"/>
              </w:rPr>
              <w:t>。</w:t>
            </w:r>
          </w:p>
        </w:tc>
      </w:tr>
      <w:tr w14:paraId="196A6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367BE483">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40074F4B">
            <w:pPr>
              <w:ind w:firstLine="29"/>
              <w:rPr>
                <w:rFonts w:ascii="宋体" w:hAnsi="宋体" w:cs="宋体"/>
                <w:color w:val="auto"/>
                <w:sz w:val="24"/>
                <w:szCs w:val="24"/>
                <w:highlight w:val="none"/>
              </w:rPr>
            </w:pPr>
            <w:r>
              <w:rPr>
                <w:rFonts w:hint="eastAsia" w:ascii="宋体" w:hAnsi="宋体" w:cs="宋体"/>
                <w:color w:val="auto"/>
                <w:sz w:val="24"/>
                <w:szCs w:val="24"/>
                <w:highlight w:val="none"/>
              </w:rPr>
              <w:t>评标办法：综合评分法</w:t>
            </w:r>
          </w:p>
        </w:tc>
      </w:tr>
      <w:tr w14:paraId="7301D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6331BA6">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5D057F03">
            <w:pPr>
              <w:ind w:firstLine="29"/>
              <w:rPr>
                <w:rFonts w:ascii="宋体" w:hAnsi="宋体" w:cs="宋体"/>
                <w:color w:val="auto"/>
                <w:sz w:val="24"/>
                <w:szCs w:val="24"/>
                <w:highlight w:val="none"/>
              </w:rPr>
            </w:pPr>
            <w:r>
              <w:rPr>
                <w:rFonts w:hint="eastAsia" w:ascii="宋体" w:hAnsi="宋体" w:cs="宋体"/>
                <w:color w:val="auto"/>
                <w:sz w:val="24"/>
                <w:szCs w:val="24"/>
                <w:highlight w:val="none"/>
              </w:rPr>
              <w:t>投标人数量的认定：</w:t>
            </w:r>
          </w:p>
          <w:p w14:paraId="791F3070">
            <w:pPr>
              <w:ind w:firstLine="29"/>
              <w:rPr>
                <w:rFonts w:ascii="宋体" w:hAnsi="宋体" w:cs="宋体"/>
                <w:color w:val="auto"/>
                <w:sz w:val="24"/>
                <w:szCs w:val="24"/>
                <w:highlight w:val="none"/>
              </w:rPr>
            </w:pPr>
            <w:r>
              <w:rPr>
                <w:rFonts w:hint="eastAsia" w:ascii="宋体" w:hAnsi="宋体" w:cs="宋体"/>
                <w:color w:val="auto"/>
                <w:sz w:val="24"/>
                <w:szCs w:val="24"/>
                <w:highlight w:val="none"/>
              </w:rPr>
              <w:t>（1）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p>
          <w:p w14:paraId="0CA5035D">
            <w:pPr>
              <w:ind w:firstLine="29"/>
              <w:rPr>
                <w:rFonts w:ascii="宋体" w:hAnsi="宋体" w:cs="宋体"/>
                <w:color w:val="auto"/>
                <w:sz w:val="24"/>
                <w:szCs w:val="24"/>
                <w:highlight w:val="none"/>
              </w:rPr>
            </w:pPr>
            <w:r>
              <w:rPr>
                <w:rFonts w:hint="eastAsia" w:ascii="宋体" w:hAnsi="宋体" w:cs="宋体"/>
                <w:color w:val="auto"/>
                <w:sz w:val="24"/>
                <w:szCs w:val="24"/>
                <w:highlight w:val="none"/>
              </w:rPr>
              <w:t>（2）非单一产品采购项目，根据第三部分需求中的核心产品；多家投标人提供的核心产品品牌相同的，按第(1)条规定处理。</w:t>
            </w:r>
          </w:p>
        </w:tc>
      </w:tr>
      <w:tr w14:paraId="06A99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93" w:type="dxa"/>
            <w:tcBorders>
              <w:top w:val="single" w:color="auto" w:sz="4" w:space="0"/>
              <w:left w:val="single" w:color="auto" w:sz="4" w:space="0"/>
              <w:bottom w:val="single" w:color="auto" w:sz="4" w:space="0"/>
              <w:right w:val="single" w:color="auto" w:sz="4" w:space="0"/>
            </w:tcBorders>
            <w:noWrap w:val="0"/>
            <w:vAlign w:val="center"/>
          </w:tcPr>
          <w:p w14:paraId="1CD48C40">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8079" w:type="dxa"/>
            <w:tcBorders>
              <w:top w:val="single" w:color="auto" w:sz="4" w:space="0"/>
              <w:left w:val="single" w:color="auto" w:sz="4" w:space="0"/>
              <w:bottom w:val="single" w:color="auto" w:sz="4" w:space="0"/>
              <w:right w:val="single" w:color="auto" w:sz="4" w:space="0"/>
            </w:tcBorders>
            <w:noWrap w:val="0"/>
            <w:vAlign w:val="center"/>
          </w:tcPr>
          <w:p w14:paraId="2A285703">
            <w:pPr>
              <w:ind w:firstLine="29"/>
              <w:rPr>
                <w:rFonts w:ascii="宋体" w:hAnsi="宋体" w:cs="宋体"/>
                <w:color w:val="auto"/>
                <w:sz w:val="24"/>
                <w:szCs w:val="24"/>
                <w:highlight w:val="none"/>
              </w:rPr>
            </w:pPr>
            <w:r>
              <w:rPr>
                <w:rFonts w:hint="eastAsia" w:ascii="宋体" w:hAnsi="宋体" w:cs="宋体"/>
                <w:color w:val="auto"/>
                <w:sz w:val="24"/>
                <w:szCs w:val="24"/>
                <w:highlight w:val="none"/>
              </w:rPr>
              <w:t>勘察：具体内容详见第三章 项目需求</w:t>
            </w:r>
          </w:p>
        </w:tc>
      </w:tr>
    </w:tbl>
    <w:p w14:paraId="0C0ABD3F">
      <w:pPr>
        <w:ind w:firstLine="440"/>
        <w:rPr>
          <w:color w:val="auto"/>
          <w:highlight w:val="none"/>
        </w:rPr>
      </w:pPr>
    </w:p>
    <w:p w14:paraId="1DAF3032">
      <w:pPr>
        <w:ind w:firstLine="482"/>
        <w:rPr>
          <w:rFonts w:ascii="宋体" w:hAnsi="宋体" w:cs="宋体"/>
          <w:b/>
          <w:bCs/>
          <w:color w:val="auto"/>
          <w:sz w:val="24"/>
          <w:szCs w:val="24"/>
          <w:highlight w:val="none"/>
          <w:lang w:val="zh-CN"/>
        </w:rPr>
      </w:pPr>
      <w:bookmarkStart w:id="31" w:name="_Toc20823275"/>
      <w:bookmarkStart w:id="32" w:name="_Toc16938519"/>
      <w:bookmarkStart w:id="33" w:name="_Toc120614214"/>
      <w:bookmarkStart w:id="34" w:name="_Toc513029203"/>
      <w:r>
        <w:rPr>
          <w:rFonts w:hint="eastAsia" w:ascii="宋体" w:hAnsi="宋体" w:cs="宋体"/>
          <w:b/>
          <w:bCs/>
          <w:color w:val="auto"/>
          <w:sz w:val="24"/>
          <w:szCs w:val="24"/>
          <w:highlight w:val="none"/>
          <w:lang w:val="zh-CN"/>
        </w:rPr>
        <w:br w:type="page" w:clear="all"/>
      </w:r>
    </w:p>
    <w:p w14:paraId="7DF92BCB">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一、总则</w:t>
      </w:r>
    </w:p>
    <w:p w14:paraId="70272DDF">
      <w:pPr>
        <w:spacing w:after="120"/>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1、适用法律</w:t>
      </w:r>
    </w:p>
    <w:p w14:paraId="256960C2">
      <w:pPr>
        <w:spacing w:after="120"/>
        <w:ind w:firstLine="480"/>
        <w:rPr>
          <w:rFonts w:ascii="宋体" w:hAnsi="宋体" w:cs="宋体"/>
          <w:b/>
          <w:bCs/>
          <w:color w:val="auto"/>
          <w:sz w:val="24"/>
          <w:szCs w:val="24"/>
          <w:highlight w:val="none"/>
          <w:lang w:val="zh-CN"/>
        </w:rPr>
      </w:pPr>
      <w:r>
        <w:rPr>
          <w:rFonts w:hint="eastAsia" w:ascii="宋体" w:hAnsi="宋体" w:cs="宋体"/>
          <w:color w:val="auto"/>
          <w:sz w:val="24"/>
          <w:szCs w:val="24"/>
          <w:highlight w:val="none"/>
          <w:lang w:val="zh-CN"/>
        </w:rPr>
        <w:t>1.1 《中华人民共和国政府采购法》《中华人民共和国政府采购法实施条例》《政府采购货物和服务招标投标管理办法》等有关法律、规章和规定等。</w:t>
      </w:r>
    </w:p>
    <w:p w14:paraId="2D3CAF9E">
      <w:pPr>
        <w:spacing w:after="120"/>
        <w:ind w:firstLine="482"/>
        <w:rPr>
          <w:rFonts w:ascii="宋体" w:hAnsi="宋体" w:cs="宋体"/>
          <w:b/>
          <w:bCs/>
          <w:color w:val="auto"/>
          <w:sz w:val="24"/>
          <w:szCs w:val="24"/>
          <w:highlight w:val="none"/>
          <w:lang w:val="zh-CN"/>
        </w:rPr>
      </w:pPr>
      <w:bookmarkStart w:id="35" w:name="_Toc25367"/>
      <w:bookmarkStart w:id="36" w:name="_Toc14852"/>
      <w:r>
        <w:rPr>
          <w:rFonts w:hint="eastAsia" w:ascii="宋体" w:hAnsi="宋体" w:cs="宋体"/>
          <w:b/>
          <w:bCs/>
          <w:color w:val="auto"/>
          <w:sz w:val="24"/>
          <w:szCs w:val="24"/>
          <w:highlight w:val="none"/>
          <w:lang w:val="zh-CN"/>
        </w:rPr>
        <w:t>2、定义</w:t>
      </w:r>
      <w:bookmarkEnd w:id="35"/>
      <w:bookmarkEnd w:id="36"/>
    </w:p>
    <w:p w14:paraId="7EB99797">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2.1 “投标人”是指参加投标竞争，并符合招标文件规定资格条件的法人、其他组织或者自然人。</w:t>
      </w:r>
    </w:p>
    <w:p w14:paraId="3D6F86A8">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2.2 “产品”指本招标文件中所述产品及相关服务。</w:t>
      </w:r>
    </w:p>
    <w:p w14:paraId="5F036AC8">
      <w:pPr>
        <w:spacing w:after="120"/>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3、政策功能</w:t>
      </w:r>
    </w:p>
    <w:p w14:paraId="6C646CED">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5B88761">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2EB765E">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828BE7C">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供应商应当提供国家确定的认证机构出具的、处于有效期之内的节能产品、环境标志产品认证证书。</w:t>
      </w:r>
    </w:p>
    <w:p w14:paraId="0EA0576E">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3.5强制采购信息安全产品。参加政府采购活动的信息安全产品供应商应当选择经国家认证的信息安全产品投标，并提供由国家信息安全认证中心按国家标准认证颁发的有效认证证书。</w:t>
      </w:r>
    </w:p>
    <w:p w14:paraId="7815CCC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3.6进口产品政策</w:t>
      </w:r>
    </w:p>
    <w:p w14:paraId="1A0B343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（1）除采购公告载明接受进口产品参加外，不允许进口产品参加。进口产品认定依照《财政部关于政府采购进口产品管理有关问题的通知》（财办库〔2008〕248号）的规定。</w:t>
      </w:r>
    </w:p>
    <w:p w14:paraId="6A174DD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（2）允许进口产品参加的，满足需求的国内产品可以参加。</w:t>
      </w:r>
    </w:p>
    <w:p w14:paraId="2C28B53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（3）允许进口产品参加的，优先采购向我国企业转让技术、与我国企业签订消化吸收再创新方案的供应商的进口产品。</w:t>
      </w:r>
    </w:p>
    <w:p w14:paraId="43F4714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 本国产品支持政策</w:t>
      </w:r>
    </w:p>
    <w:p w14:paraId="7A3886B6">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 </w:t>
      </w:r>
      <w:r>
        <w:rPr>
          <w:rFonts w:ascii="宋体" w:hAnsi="宋体" w:cs="宋体"/>
          <w:color w:val="auto"/>
          <w:sz w:val="24"/>
          <w:szCs w:val="24"/>
          <w:highlight w:val="none"/>
          <w:lang w:val="zh-CN"/>
        </w:rPr>
        <w:t>本国产品应当符合以下条件：</w:t>
      </w:r>
    </w:p>
    <w:p w14:paraId="322F99C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3.7.1.1</w:t>
      </w:r>
      <w:r>
        <w:rPr>
          <w:rFonts w:ascii="宋体" w:hAnsi="宋体" w:cs="宋体"/>
          <w:color w:val="auto"/>
          <w:sz w:val="24"/>
          <w:szCs w:val="24"/>
          <w:highlight w:val="none"/>
          <w:lang w:val="zh-CN"/>
        </w:rPr>
        <w:t>在中国境内生产</w:t>
      </w:r>
    </w:p>
    <w:p w14:paraId="1C404B9D">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产品应当在中国境内生产，即在中华人民共和国关境内实现从原材料、组件到产品的属性改变。</w:t>
      </w:r>
    </w:p>
    <w:p w14:paraId="03BC247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属性改变是指经过制造、加工或者组装等工序，产生完全不同于原材料、组件的新产品，并具有新的名称和特征（用途）。属性改变不包括以下细微操作：</w:t>
      </w:r>
    </w:p>
    <w:p w14:paraId="107028C6">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①为确保产品在运输或者储存期间保持某种状态而进行的操作；</w:t>
      </w:r>
    </w:p>
    <w:p w14:paraId="3F36BE7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②为产品运输或者销售进行的包装或者展示；</w:t>
      </w:r>
    </w:p>
    <w:p w14:paraId="283B315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③在产品或者其包装上粘贴或者印刷品牌、标志、标识以及其他用于区别的标记；</w:t>
      </w:r>
    </w:p>
    <w:p w14:paraId="6D85359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④简单的上漆、磨光和分装；</w:t>
      </w:r>
    </w:p>
    <w:p w14:paraId="5BD8E82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⑤其他不属于属性改变的情形。</w:t>
      </w:r>
    </w:p>
    <w:p w14:paraId="05CAA36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3.7.1.2 </w:t>
      </w:r>
      <w:r>
        <w:rPr>
          <w:rFonts w:ascii="宋体" w:hAnsi="宋体" w:cs="宋体"/>
          <w:color w:val="auto"/>
          <w:sz w:val="24"/>
          <w:szCs w:val="24"/>
          <w:highlight w:val="none"/>
          <w:lang w:val="zh-CN"/>
        </w:rPr>
        <w:t>在中国境内生产的组件成本占比达到规定比例</w:t>
      </w:r>
    </w:p>
    <w:p w14:paraId="6970375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3.7.1.3 </w:t>
      </w:r>
      <w:r>
        <w:rPr>
          <w:rFonts w:ascii="宋体" w:hAnsi="宋体" w:cs="宋体"/>
          <w:color w:val="auto"/>
          <w:sz w:val="24"/>
          <w:szCs w:val="24"/>
          <w:highlight w:val="none"/>
          <w:lang w:val="zh-CN"/>
        </w:rPr>
        <w:t>特定产品的关键组件、关键工序符合相关要求</w:t>
      </w:r>
    </w:p>
    <w:p w14:paraId="2BBA7329">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3.7.1.2及3.7.1.3</w:t>
      </w:r>
      <w:r>
        <w:rPr>
          <w:rFonts w:ascii="宋体" w:hAnsi="宋体" w:cs="宋体"/>
          <w:color w:val="auto"/>
          <w:sz w:val="24"/>
          <w:szCs w:val="24"/>
          <w:highlight w:val="none"/>
          <w:lang w:val="zh-CN"/>
        </w:rPr>
        <w:t>待财政部会同有关行业主管部门确定在中国境内生产的组件成本占比要求及特定产品的关键组件、关键工序相关要求，出台具体要求时，</w:t>
      </w:r>
      <w:r>
        <w:rPr>
          <w:rFonts w:hint="eastAsia" w:ascii="宋体" w:hAnsi="宋体" w:cs="宋体"/>
          <w:color w:val="auto"/>
          <w:sz w:val="24"/>
          <w:szCs w:val="24"/>
          <w:highlight w:val="none"/>
          <w:lang w:val="zh-CN"/>
        </w:rPr>
        <w:t>以新出台的文件规定执行</w:t>
      </w:r>
      <w:r>
        <w:rPr>
          <w:rFonts w:ascii="宋体" w:hAnsi="宋体" w:cs="宋体"/>
          <w:color w:val="auto"/>
          <w:sz w:val="24"/>
          <w:szCs w:val="24"/>
          <w:highlight w:val="none"/>
          <w:lang w:val="zh-CN"/>
        </w:rPr>
        <w:t>。</w:t>
      </w:r>
    </w:p>
    <w:p w14:paraId="50A918F6">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 </w:t>
      </w:r>
      <w:r>
        <w:rPr>
          <w:rFonts w:ascii="宋体" w:hAnsi="宋体" w:cs="宋体"/>
          <w:color w:val="auto"/>
          <w:sz w:val="24"/>
          <w:szCs w:val="24"/>
          <w:highlight w:val="none"/>
          <w:lang w:val="zh-CN"/>
        </w:rPr>
        <w:t>本国产品</w:t>
      </w:r>
      <w:r>
        <w:rPr>
          <w:rFonts w:hint="eastAsia" w:ascii="宋体" w:hAnsi="宋体" w:cs="宋体"/>
          <w:color w:val="auto"/>
          <w:sz w:val="24"/>
          <w:szCs w:val="24"/>
          <w:highlight w:val="none"/>
          <w:lang w:val="zh-CN"/>
        </w:rPr>
        <w:t>参加投标享受的政策</w:t>
      </w:r>
      <w:r>
        <w:rPr>
          <w:rFonts w:ascii="宋体" w:hAnsi="宋体" w:cs="宋体"/>
          <w:color w:val="auto"/>
          <w:sz w:val="24"/>
          <w:szCs w:val="24"/>
          <w:highlight w:val="none"/>
          <w:lang w:val="zh-CN"/>
        </w:rPr>
        <w:t>：</w:t>
      </w:r>
    </w:p>
    <w:p w14:paraId="6F29539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3.7.2.1 </w:t>
      </w:r>
      <w:r>
        <w:rPr>
          <w:rFonts w:ascii="宋体" w:hAnsi="宋体" w:cs="宋体"/>
          <w:color w:val="auto"/>
          <w:sz w:val="24"/>
          <w:szCs w:val="24"/>
          <w:highlight w:val="none"/>
          <w:lang w:val="zh-CN"/>
        </w:rPr>
        <w:t>政府采购活动中既有本国产品又有非本国产品参与竞争的，依法对本国产品给予价格评审优惠，用扣除后的价格参与评审。</w:t>
      </w:r>
    </w:p>
    <w:p w14:paraId="0003875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3.7.2.2 </w:t>
      </w:r>
      <w:r>
        <w:rPr>
          <w:rFonts w:ascii="宋体" w:hAnsi="宋体" w:cs="宋体"/>
          <w:color w:val="auto"/>
          <w:sz w:val="24"/>
          <w:szCs w:val="24"/>
          <w:highlight w:val="none"/>
          <w:lang w:val="zh-CN"/>
        </w:rPr>
        <w:t>当采购项目或者采购包中含有多种产品，</w:t>
      </w: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为该采购项目或者采购包提供的符合本国产品标准的产品成本之和占该</w:t>
      </w: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提供的全部产品成本之和的比例达到80%以上时，依法对该</w:t>
      </w: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提供的全部产品给予价格评审优惠，用扣除后的价格参与评审。</w:t>
      </w:r>
    </w:p>
    <w:p w14:paraId="7BDCFF1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3.7.3 本国产品参加投标时提供的</w:t>
      </w:r>
      <w:r>
        <w:rPr>
          <w:rFonts w:ascii="宋体" w:hAnsi="宋体" w:cs="宋体"/>
          <w:color w:val="auto"/>
          <w:sz w:val="24"/>
          <w:szCs w:val="24"/>
          <w:highlight w:val="none"/>
          <w:lang w:val="zh-CN"/>
        </w:rPr>
        <w:t>有关证明文件</w:t>
      </w:r>
    </w:p>
    <w:p w14:paraId="5B7283B1">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提供的货物为</w:t>
      </w:r>
      <w:r>
        <w:rPr>
          <w:rFonts w:hint="eastAsia" w:ascii="宋体" w:hAnsi="宋体" w:cs="宋体"/>
          <w:color w:val="auto"/>
          <w:sz w:val="24"/>
          <w:szCs w:val="24"/>
          <w:highlight w:val="none"/>
          <w:lang w:val="zh-CN"/>
        </w:rPr>
        <w:t>本国产品</w:t>
      </w:r>
      <w:r>
        <w:rPr>
          <w:rFonts w:ascii="宋体" w:hAnsi="宋体" w:cs="宋体"/>
          <w:color w:val="auto"/>
          <w:sz w:val="24"/>
          <w:szCs w:val="24"/>
          <w:highlight w:val="none"/>
          <w:lang w:val="zh-CN"/>
        </w:rPr>
        <w:t>的,投标时提供招标文件规定的《关于符合本国产品标准的声明函》（格式详见</w:t>
      </w:r>
      <w:r>
        <w:rPr>
          <w:rFonts w:hint="eastAsia" w:ascii="宋体" w:hAnsi="宋体" w:cs="宋体"/>
          <w:color w:val="auto"/>
          <w:sz w:val="24"/>
          <w:szCs w:val="24"/>
          <w:highlight w:val="none"/>
          <w:lang w:val="zh-CN"/>
        </w:rPr>
        <w:t>“投标文件格式”</w:t>
      </w:r>
      <w:r>
        <w:rPr>
          <w:rFonts w:ascii="宋体" w:hAnsi="宋体" w:cs="宋体"/>
          <w:color w:val="auto"/>
          <w:sz w:val="24"/>
          <w:szCs w:val="24"/>
          <w:highlight w:val="none"/>
          <w:lang w:val="zh-CN"/>
        </w:rPr>
        <w:t>，以下简称《声明函》）或财政部会同有关部门规定的有关证明文件，并对声明函或有关证明文件的真实性负责，出具符合要求的《声明函》或有关证明文件的，该产品视为本国产品，采购人、采购代理机构不得再要求</w:t>
      </w: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提供其他证明材料。未提供不予享受评审中价格扣除等</w:t>
      </w:r>
      <w:r>
        <w:rPr>
          <w:rFonts w:hint="eastAsia" w:ascii="宋体" w:hAnsi="宋体" w:cs="宋体"/>
          <w:color w:val="auto"/>
          <w:sz w:val="24"/>
          <w:szCs w:val="24"/>
          <w:highlight w:val="none"/>
          <w:lang w:val="zh-CN"/>
        </w:rPr>
        <w:t>优惠</w:t>
      </w:r>
      <w:r>
        <w:rPr>
          <w:rFonts w:ascii="宋体" w:hAnsi="宋体" w:cs="宋体"/>
          <w:color w:val="auto"/>
          <w:sz w:val="24"/>
          <w:szCs w:val="24"/>
          <w:highlight w:val="none"/>
          <w:lang w:val="zh-CN"/>
        </w:rPr>
        <w:t>政策。</w:t>
      </w:r>
      <w:r>
        <w:rPr>
          <w:rFonts w:hint="eastAsia" w:ascii="宋体" w:hAnsi="宋体" w:cs="宋体"/>
          <w:color w:val="auto"/>
          <w:sz w:val="24"/>
          <w:szCs w:val="24"/>
          <w:highlight w:val="none"/>
          <w:lang w:val="zh-CN"/>
        </w:rPr>
        <w:t>投标人</w:t>
      </w:r>
      <w:r>
        <w:rPr>
          <w:rFonts w:ascii="宋体" w:hAnsi="宋体" w:cs="宋体"/>
          <w:color w:val="auto"/>
          <w:sz w:val="24"/>
          <w:szCs w:val="24"/>
          <w:highlight w:val="none"/>
          <w:lang w:val="zh-CN"/>
        </w:rPr>
        <w:t>提供虚假《声明函》、虚假证明文件谋取中标、成交的，依照《中华人民共和国政府采购法》等法律法规规定追究相应责任。</w:t>
      </w:r>
    </w:p>
    <w:p w14:paraId="4B4E815C">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3.7.4</w:t>
      </w:r>
      <w:r>
        <w:rPr>
          <w:rFonts w:ascii="宋体" w:hAnsi="宋体" w:cs="宋体"/>
          <w:color w:val="auto"/>
          <w:sz w:val="24"/>
          <w:szCs w:val="24"/>
          <w:highlight w:val="none"/>
          <w:lang w:val="zh-CN"/>
        </w:rPr>
        <w:t>本国产品标准的适用范围</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BB523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3.7.5本国产品支持政策详见《国务院办公厅关于在政府采购中实施本国产品标准及相关政策的通知》（国办发〔2025〕34号）。</w:t>
      </w:r>
    </w:p>
    <w:p w14:paraId="565EB1E4">
      <w:pPr>
        <w:ind w:firstLine="47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3.8未按要求提供相关材料的，不享受相关政策。</w:t>
      </w:r>
    </w:p>
    <w:p w14:paraId="2D8981CE">
      <w:pPr>
        <w:ind w:firstLine="472"/>
        <w:rPr>
          <w:rFonts w:ascii="宋体" w:hAnsi="宋体" w:cs="宋体"/>
          <w:b/>
          <w:color w:val="auto"/>
          <w:sz w:val="24"/>
          <w:szCs w:val="24"/>
          <w:highlight w:val="none"/>
        </w:rPr>
      </w:pPr>
      <w:r>
        <w:rPr>
          <w:rFonts w:hint="eastAsia" w:ascii="宋体" w:hAnsi="宋体" w:cs="宋体"/>
          <w:b/>
          <w:color w:val="auto"/>
          <w:sz w:val="24"/>
          <w:szCs w:val="24"/>
          <w:highlight w:val="none"/>
        </w:rPr>
        <w:t>二、招标文件</w:t>
      </w:r>
    </w:p>
    <w:p w14:paraId="7F8D09BB">
      <w:pPr>
        <w:spacing w:after="120"/>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4、招标文件组成</w:t>
      </w:r>
    </w:p>
    <w:p w14:paraId="1BA22195">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zh-CN"/>
        </w:rPr>
        <w:t>4.1 招标文件组成：</w:t>
      </w:r>
      <w:r>
        <w:rPr>
          <w:rFonts w:hint="eastAsia" w:ascii="宋体" w:hAnsi="宋体" w:cs="宋体"/>
          <w:color w:val="auto"/>
          <w:sz w:val="24"/>
          <w:szCs w:val="24"/>
          <w:highlight w:val="none"/>
        </w:rPr>
        <w:t>招标公告</w:t>
      </w:r>
      <w:r>
        <w:rPr>
          <w:rFonts w:hint="eastAsia" w:ascii="宋体" w:hAnsi="宋体" w:cs="宋体"/>
          <w:color w:val="auto"/>
          <w:sz w:val="24"/>
          <w:szCs w:val="24"/>
          <w:highlight w:val="none"/>
          <w:lang w:val="zh-CN"/>
        </w:rPr>
        <w:t>、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p>
    <w:p w14:paraId="3C2BB37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4.2 招标的最小单位是</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val="zh-CN"/>
        </w:rPr>
        <w:t>包。招标服务数量及技术要求中未分包的，投标人对要求提供的产品和服务不得部分投标；招标产品和服务数量及技术要求中已经分包的，应当以包为单位投标。</w:t>
      </w:r>
    </w:p>
    <w:p w14:paraId="234FDDFD">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4.3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E77F293">
      <w:pPr>
        <w:ind w:firstLine="482"/>
        <w:rPr>
          <w:rFonts w:ascii="宋体" w:hAnsi="宋体" w:cs="宋体"/>
          <w:b/>
          <w:bCs/>
          <w:color w:val="auto"/>
          <w:sz w:val="24"/>
          <w:szCs w:val="24"/>
          <w:highlight w:val="none"/>
          <w:lang w:val="zh-CN"/>
        </w:rPr>
      </w:pPr>
      <w:bookmarkStart w:id="37" w:name="_Toc30037"/>
      <w:bookmarkStart w:id="38" w:name="_Toc16293"/>
      <w:r>
        <w:rPr>
          <w:rFonts w:hint="eastAsia" w:ascii="宋体" w:hAnsi="宋体" w:cs="宋体"/>
          <w:b/>
          <w:bCs/>
          <w:color w:val="auto"/>
          <w:sz w:val="24"/>
          <w:szCs w:val="24"/>
          <w:highlight w:val="none"/>
          <w:lang w:val="zh-CN"/>
        </w:rPr>
        <w:t>5、招标文件的澄清、修改</w:t>
      </w:r>
      <w:bookmarkEnd w:id="37"/>
      <w:bookmarkEnd w:id="38"/>
    </w:p>
    <w:p w14:paraId="6E65234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5.1采购人和采购代理机构可以对已发出的招标文件进行必要的澄清或者修改，在招标文件要求提交投标文件截止时间</w:t>
      </w:r>
      <w:r>
        <w:rPr>
          <w:rFonts w:hint="eastAsia" w:ascii="宋体" w:hAnsi="宋体" w:cs="宋体"/>
          <w:b/>
          <w:bCs/>
          <w:color w:val="auto"/>
          <w:sz w:val="24"/>
          <w:szCs w:val="24"/>
          <w:highlight w:val="none"/>
          <w:lang w:val="zh-CN"/>
        </w:rPr>
        <w:t>十五日</w:t>
      </w:r>
      <w:r>
        <w:rPr>
          <w:rFonts w:hint="eastAsia" w:ascii="宋体" w:hAnsi="宋体" w:cs="宋体"/>
          <w:color w:val="auto"/>
          <w:sz w:val="24"/>
          <w:szCs w:val="24"/>
          <w:highlight w:val="none"/>
          <w:lang w:val="zh-CN"/>
        </w:rPr>
        <w:t>前，在原招标公告媒体发布更正公告，不足15日的，采购人和采购代理机构顺延提交投标文件的截止时间。澄清或者修改的内容为招标文件的组成部分。</w:t>
      </w:r>
    </w:p>
    <w:p w14:paraId="4F17191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投标人</w:t>
      </w:r>
      <w:r>
        <w:rPr>
          <w:rFonts w:hint="eastAsia" w:ascii="宋体" w:hAnsi="宋体" w:cs="宋体"/>
          <w:color w:val="auto"/>
          <w:sz w:val="24"/>
          <w:szCs w:val="24"/>
          <w:highlight w:val="none"/>
          <w:lang w:val="zh-CN"/>
        </w:rPr>
        <w:t>应在投标截止时间前关注</w:t>
      </w:r>
      <w:r>
        <w:rPr>
          <w:rFonts w:hint="eastAsia" w:ascii="宋体" w:hAnsi="宋体" w:cs="宋体"/>
          <w:color w:val="auto"/>
          <w:sz w:val="24"/>
          <w:szCs w:val="24"/>
          <w:highlight w:val="none"/>
        </w:rPr>
        <w:t>原招标信息发布媒体上</w:t>
      </w:r>
      <w:r>
        <w:rPr>
          <w:rFonts w:hint="eastAsia" w:ascii="宋体" w:hAnsi="宋体" w:cs="宋体"/>
          <w:color w:val="auto"/>
          <w:sz w:val="24"/>
          <w:szCs w:val="24"/>
          <w:highlight w:val="none"/>
          <w:lang w:val="zh-CN"/>
        </w:rPr>
        <w:t>有关本招标项目有无变更公告。</w:t>
      </w:r>
    </w:p>
    <w:p w14:paraId="3A6BFBD9">
      <w:pPr>
        <w:ind w:firstLine="482"/>
        <w:rPr>
          <w:rFonts w:ascii="宋体" w:hAnsi="宋体" w:cs="宋体"/>
          <w:b/>
          <w:color w:val="auto"/>
          <w:sz w:val="24"/>
          <w:szCs w:val="24"/>
          <w:highlight w:val="none"/>
          <w:lang w:val="zh-CN"/>
        </w:rPr>
      </w:pPr>
      <w:bookmarkStart w:id="39" w:name="_Toc1785"/>
      <w:bookmarkStart w:id="40" w:name="_Toc29531"/>
      <w:r>
        <w:rPr>
          <w:rFonts w:hint="eastAsia" w:ascii="宋体" w:hAnsi="宋体" w:cs="宋体"/>
          <w:b/>
          <w:color w:val="auto"/>
          <w:sz w:val="24"/>
          <w:szCs w:val="24"/>
          <w:highlight w:val="none"/>
          <w:lang w:val="zh-CN"/>
        </w:rPr>
        <w:t>三、投标</w:t>
      </w:r>
      <w:bookmarkEnd w:id="39"/>
      <w:bookmarkEnd w:id="40"/>
    </w:p>
    <w:p w14:paraId="21E606F1">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6、投标文件的语言、计量单位、货币和编制</w:t>
      </w:r>
    </w:p>
    <w:p w14:paraId="40AC04D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6.1 投标人提交的投标文件、技术文件和资料，包括图纸中的说明，以及投标人与</w:t>
      </w:r>
      <w:r>
        <w:rPr>
          <w:rFonts w:hint="eastAsia" w:ascii="宋体" w:hAnsi="宋体" w:cs="宋体"/>
          <w:color w:val="auto"/>
          <w:sz w:val="24"/>
          <w:szCs w:val="24"/>
          <w:highlight w:val="none"/>
        </w:rPr>
        <w:t>招标人</w:t>
      </w:r>
      <w:r>
        <w:rPr>
          <w:rFonts w:hint="eastAsia" w:ascii="宋体" w:hAnsi="宋体" w:cs="宋体"/>
          <w:color w:val="auto"/>
          <w:sz w:val="24"/>
          <w:szCs w:val="24"/>
          <w:highlight w:val="none"/>
          <w:lang w:val="zh-CN"/>
        </w:rPr>
        <w:t>就有关投标的所有来往函电均应使用</w:t>
      </w:r>
      <w:r>
        <w:rPr>
          <w:rFonts w:hint="eastAsia" w:ascii="宋体" w:hAnsi="宋体" w:cs="宋体"/>
          <w:b/>
          <w:bCs/>
          <w:color w:val="auto"/>
          <w:sz w:val="24"/>
          <w:szCs w:val="24"/>
          <w:highlight w:val="none"/>
          <w:lang w:val="zh-CN"/>
        </w:rPr>
        <w:t>中文</w:t>
      </w:r>
      <w:r>
        <w:rPr>
          <w:rFonts w:hint="eastAsia" w:ascii="宋体" w:hAnsi="宋体" w:cs="宋体"/>
          <w:color w:val="auto"/>
          <w:sz w:val="24"/>
          <w:szCs w:val="24"/>
          <w:highlight w:val="none"/>
          <w:lang w:val="zh-CN"/>
        </w:rPr>
        <w:t>。投标文件中若有英文或其他语言文字的资料，应提供相应的中文翻译资料。对不同文本投标文件的解释发生异议的，以中文文本为准。</w:t>
      </w:r>
    </w:p>
    <w:p w14:paraId="25A1FC9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6.2 投标人所使用的计量单位应为国家法定计量单位。</w:t>
      </w:r>
    </w:p>
    <w:p w14:paraId="2818A14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6.3 投标人应使用人民币报价，不接受其他币种报价。</w:t>
      </w:r>
    </w:p>
    <w:p w14:paraId="00D8EAC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6.4 投标文件应字迹清楚、内容齐全、不得涂改。如有修改，修改处须有投标人公章和法定代表人或其授权的投标人代表签字。</w:t>
      </w:r>
    </w:p>
    <w:p w14:paraId="4694739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6.5 投标文件应按照招标文件规定的顺序，逐页编码并编制目录，由于编排混乱导致投标文件被误读或查找不到，责任由投标人承担。</w:t>
      </w:r>
    </w:p>
    <w:p w14:paraId="302FA9B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6.6 投标人应自行承担所有与准备和参加投标有关的费用。</w:t>
      </w:r>
    </w:p>
    <w:p w14:paraId="16713D9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6.7</w:t>
      </w:r>
      <w:r>
        <w:rPr>
          <w:rFonts w:hint="eastAsia" w:ascii="宋体" w:hAnsi="宋体" w:cs="宋体"/>
          <w:color w:val="auto"/>
          <w:sz w:val="24"/>
          <w:szCs w:val="24"/>
          <w:highlight w:val="none"/>
          <w:lang w:val="zh-CN"/>
        </w:rPr>
        <w:t>如标书制作工具中格式和内容与“江苏政府采购网”发布的招标文件不一致，请以“江苏政府采购网”发布的招标文件为准。</w:t>
      </w:r>
    </w:p>
    <w:p w14:paraId="59C551BB">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7、投标文件组成</w:t>
      </w:r>
    </w:p>
    <w:p w14:paraId="54673346">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 xml:space="preserve"> 投标文件由商务部分、技术部分、价格部分，以及其他部分组成。</w:t>
      </w:r>
    </w:p>
    <w:p w14:paraId="405AEF6E">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投标人应当根据招标文件要求编制投标文件，投标文件应对招标文件提出的要求和条件作出实质性响应并逐条标明满足与否。</w:t>
      </w:r>
    </w:p>
    <w:p w14:paraId="22A504D1">
      <w:pPr>
        <w:ind w:firstLine="480"/>
        <w:rPr>
          <w:rFonts w:ascii="宋体" w:hAnsi="宋体" w:cs="宋体"/>
          <w:color w:val="auto"/>
          <w:sz w:val="24"/>
          <w:szCs w:val="24"/>
          <w:highlight w:val="none"/>
        </w:rPr>
      </w:pPr>
      <w:r>
        <w:rPr>
          <w:rFonts w:hint="eastAsia" w:ascii="宋体" w:hAnsi="宋体" w:cs="宋体"/>
          <w:color w:val="auto"/>
          <w:sz w:val="24"/>
          <w:szCs w:val="24"/>
          <w:highlight w:val="none"/>
        </w:rPr>
        <w:t>7.3 投标人根据招标文件载明的标的采购项目实际情况，拟在中标后将中标项目的非主体、非关键性工作交由他人完成的，应当在投标文件中载明。</w:t>
      </w:r>
    </w:p>
    <w:p w14:paraId="286D8E4B">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8、投标文件的商务部分</w:t>
      </w:r>
    </w:p>
    <w:p w14:paraId="6A3485F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zh-CN"/>
        </w:rPr>
        <w:t>.1 商务部分是证明投标人有资格参加投标和中标后有能力履行合同的文件，</w:t>
      </w:r>
      <w:r>
        <w:rPr>
          <w:rFonts w:hint="eastAsia" w:ascii="宋体" w:hAnsi="宋体" w:cs="宋体"/>
          <w:color w:val="auto"/>
          <w:sz w:val="24"/>
          <w:szCs w:val="24"/>
          <w:highlight w:val="none"/>
        </w:rPr>
        <w:t>这些文件应能满足招标的要求</w:t>
      </w:r>
      <w:r>
        <w:rPr>
          <w:rFonts w:hint="eastAsia" w:ascii="宋体" w:hAnsi="宋体" w:cs="宋体"/>
          <w:color w:val="auto"/>
          <w:sz w:val="24"/>
          <w:szCs w:val="24"/>
          <w:highlight w:val="none"/>
          <w:lang w:val="zh-CN"/>
        </w:rPr>
        <w:t>，包括但不限于下列文件：</w:t>
      </w:r>
    </w:p>
    <w:p w14:paraId="0660A4F4">
      <w:pPr>
        <w:ind w:firstLine="480"/>
        <w:rPr>
          <w:rFonts w:ascii="宋体" w:hAnsi="宋体" w:cs="宋体"/>
          <w:color w:val="auto"/>
          <w:sz w:val="24"/>
          <w:szCs w:val="24"/>
          <w:highlight w:val="none"/>
        </w:rPr>
      </w:pPr>
      <w:bookmarkStart w:id="41" w:name="_Hlk219320384"/>
      <w:r>
        <w:rPr>
          <w:rFonts w:hint="eastAsia" w:ascii="宋体" w:hAnsi="宋体" w:cs="宋体"/>
          <w:color w:val="auto"/>
          <w:sz w:val="24"/>
          <w:szCs w:val="24"/>
          <w:highlight w:val="none"/>
        </w:rPr>
        <w:t>（1）投标函；</w:t>
      </w:r>
    </w:p>
    <w:p w14:paraId="3F1961A7">
      <w:pPr>
        <w:ind w:firstLine="480"/>
        <w:rPr>
          <w:rFonts w:ascii="宋体" w:hAnsi="宋体" w:cs="宋体"/>
          <w:color w:val="auto"/>
          <w:sz w:val="24"/>
          <w:szCs w:val="24"/>
          <w:highlight w:val="none"/>
        </w:rPr>
      </w:pPr>
      <w:r>
        <w:rPr>
          <w:rFonts w:hint="eastAsia" w:ascii="宋体" w:hAnsi="宋体" w:cs="宋体"/>
          <w:color w:val="auto"/>
          <w:sz w:val="24"/>
          <w:szCs w:val="24"/>
          <w:highlight w:val="none"/>
        </w:rPr>
        <w:t>（2）营业执照、授权委托书；</w:t>
      </w:r>
    </w:p>
    <w:p w14:paraId="6DC1C120">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（3）法定代表人及授权代表身份证明复印件； </w:t>
      </w:r>
    </w:p>
    <w:p w14:paraId="05EF4740">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（4）资格条件证明文件、承诺书；   </w:t>
      </w:r>
    </w:p>
    <w:p w14:paraId="5C25A343">
      <w:pPr>
        <w:ind w:firstLine="480"/>
        <w:rPr>
          <w:rFonts w:ascii="宋体" w:hAnsi="宋体" w:cs="宋体"/>
          <w:color w:val="auto"/>
          <w:sz w:val="24"/>
          <w:szCs w:val="24"/>
          <w:highlight w:val="none"/>
        </w:rPr>
      </w:pPr>
      <w:r>
        <w:rPr>
          <w:rFonts w:hint="eastAsia" w:ascii="宋体" w:hAnsi="宋体" w:cs="宋体"/>
          <w:color w:val="auto"/>
          <w:sz w:val="24"/>
          <w:szCs w:val="24"/>
          <w:highlight w:val="none"/>
        </w:rPr>
        <w:t>（5）《开标一览表》、《商务条款偏离表》；</w:t>
      </w:r>
    </w:p>
    <w:p w14:paraId="32798970">
      <w:pPr>
        <w:ind w:firstLine="480"/>
        <w:rPr>
          <w:rFonts w:ascii="宋体" w:hAnsi="宋体" w:cs="宋体"/>
          <w:color w:val="auto"/>
          <w:sz w:val="24"/>
          <w:szCs w:val="24"/>
          <w:highlight w:val="none"/>
        </w:rPr>
      </w:pPr>
      <w:r>
        <w:rPr>
          <w:rFonts w:hint="eastAsia" w:ascii="宋体" w:hAnsi="宋体" w:cs="宋体"/>
          <w:color w:val="auto"/>
          <w:sz w:val="24"/>
          <w:szCs w:val="24"/>
          <w:highlight w:val="none"/>
        </w:rPr>
        <w:t>（6）投标人认为需要提供的其他资格证明文件和商务资料。</w:t>
      </w:r>
      <w:bookmarkEnd w:id="41"/>
    </w:p>
    <w:p w14:paraId="2EC36991">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9、投标文件的技术部分</w:t>
      </w:r>
    </w:p>
    <w:p w14:paraId="5B33A58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zh-CN"/>
        </w:rPr>
        <w:t>.1 技术部分是证明</w:t>
      </w:r>
      <w:r>
        <w:rPr>
          <w:rFonts w:hint="eastAsia" w:ascii="宋体" w:hAnsi="宋体" w:cs="宋体"/>
          <w:color w:val="auto"/>
          <w:sz w:val="24"/>
          <w:szCs w:val="24"/>
          <w:highlight w:val="none"/>
        </w:rPr>
        <w:t>投标人提供的产品和服务是合格的、并符合招标文件要求的证明文件，以及</w:t>
      </w:r>
      <w:r>
        <w:rPr>
          <w:rFonts w:hint="eastAsia" w:ascii="宋体" w:hAnsi="宋体" w:cs="宋体"/>
          <w:color w:val="auto"/>
          <w:sz w:val="24"/>
          <w:szCs w:val="24"/>
          <w:highlight w:val="none"/>
          <w:lang w:val="zh-CN"/>
        </w:rPr>
        <w:t>对投标报价表中的产品和服务的详细说明，这些文件可以是文字资料、图纸和数据等。</w:t>
      </w:r>
    </w:p>
    <w:p w14:paraId="137E0F39">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zh-CN"/>
        </w:rPr>
        <w:t>.2 若技术性能无特殊说明，则按国家有关部门最新颁布的标准及规范为准；</w:t>
      </w:r>
    </w:p>
    <w:p w14:paraId="21E8532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zh-CN"/>
        </w:rPr>
        <w:t>.3 提供的产品和服务如与招标文件要求有不符之处，应说明其差别之所在，并在《技术条款偏离表》中逐条予以说明。</w:t>
      </w:r>
    </w:p>
    <w:p w14:paraId="5B7A764C">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10、投标文件的价格部分</w:t>
      </w:r>
    </w:p>
    <w:p w14:paraId="3F34304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zh-CN"/>
        </w:rPr>
        <w:t>.1价格部分是对投标服务价格构成的说明，每一项服务仅接受一个价格。</w:t>
      </w:r>
    </w:p>
    <w:p w14:paraId="1427D92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zh-CN"/>
        </w:rPr>
        <w:t>.2报价应包含为履行本项目合同项下所有义务的全部含税费用（包括但不限于货物设计、制造、包装、仓储、运输装缷、保险、安装(含设备运行配套</w:t>
      </w:r>
      <w:r>
        <w:rPr>
          <w:rFonts w:ascii="宋体" w:hAnsi="宋体" w:cs="宋体"/>
          <w:color w:val="auto"/>
          <w:sz w:val="24"/>
          <w:szCs w:val="24"/>
          <w:highlight w:val="none"/>
          <w:lang w:val="zh-CN"/>
        </w:rPr>
        <w:t>的</w:t>
      </w:r>
      <w:r>
        <w:rPr>
          <w:rFonts w:hint="eastAsia" w:ascii="宋体" w:hAnsi="宋体" w:cs="宋体"/>
          <w:color w:val="auto"/>
          <w:sz w:val="24"/>
          <w:szCs w:val="24"/>
          <w:highlight w:val="none"/>
          <w:lang w:val="zh-CN"/>
        </w:rPr>
        <w:t>软</w:t>
      </w:r>
      <w:r>
        <w:rPr>
          <w:rFonts w:ascii="宋体" w:hAnsi="宋体" w:cs="宋体"/>
          <w:color w:val="auto"/>
          <w:sz w:val="24"/>
          <w:szCs w:val="24"/>
          <w:highlight w:val="none"/>
          <w:lang w:val="zh-CN"/>
        </w:rPr>
        <w:t>水机</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排风机、空气压缩机、蒸汽疏水阀</w:t>
      </w:r>
      <w:r>
        <w:rPr>
          <w:rFonts w:hint="eastAsia" w:ascii="宋体" w:hAnsi="宋体" w:cs="宋体"/>
          <w:color w:val="auto"/>
          <w:sz w:val="24"/>
          <w:szCs w:val="24"/>
          <w:highlight w:val="none"/>
          <w:lang w:val="zh-CN"/>
        </w:rPr>
        <w:t>等组件及相应的水、电、汽管路连接和现场结构改造等等)、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57F8A1B6">
      <w:pPr>
        <w:ind w:firstLine="480"/>
        <w:rPr>
          <w:rFonts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zh-CN"/>
        </w:rPr>
        <w:t>.3投标人的任何错漏、优惠、竞争性报价不得作为减轻责任、减少服</w:t>
      </w:r>
      <w:r>
        <w:rPr>
          <w:rFonts w:hint="eastAsia" w:ascii="宋体" w:hAnsi="宋体" w:cs="宋体"/>
          <w:color w:val="auto"/>
          <w:sz w:val="24"/>
          <w:szCs w:val="24"/>
          <w:highlight w:val="none"/>
        </w:rPr>
        <w:t>务、增加收费、降低质量的理由。</w:t>
      </w:r>
    </w:p>
    <w:p w14:paraId="1EBA892C">
      <w:pPr>
        <w:ind w:firstLine="480"/>
        <w:rPr>
          <w:rFonts w:ascii="宋体" w:hAnsi="宋体" w:cs="宋体"/>
          <w:color w:val="auto"/>
          <w:sz w:val="24"/>
          <w:szCs w:val="24"/>
          <w:highlight w:val="none"/>
        </w:rPr>
      </w:pPr>
      <w:r>
        <w:rPr>
          <w:rFonts w:hint="eastAsia" w:ascii="宋体" w:hAnsi="宋体" w:cs="宋体"/>
          <w:color w:val="auto"/>
          <w:sz w:val="24"/>
          <w:szCs w:val="24"/>
          <w:highlight w:val="none"/>
        </w:rPr>
        <w:t>10.4评审过程中出现下列情形之一的，评审委员会应当启动异常低价投标（响应）审查程序：</w:t>
      </w:r>
    </w:p>
    <w:p w14:paraId="1CCFB801">
      <w:pPr>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投标（响应）报价低于全部通过符合性审查供应商投标（响应）报价平均值50%的，即投标（响应）报价&lt;全部通过符合性审查供应商投标（响应）报价平均值×50%；</w:t>
      </w:r>
    </w:p>
    <w:p w14:paraId="57954132">
      <w:pPr>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投标（响应）报价低于通过符合性审查的次低报价供应商投标（响应）报价50%的，即投标（响应）报价&lt;通过符合性审查的次低报价供应商投标（响应）报价×50%；</w:t>
      </w:r>
    </w:p>
    <w:p w14:paraId="5A857ACD">
      <w:pPr>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ascii="宋体" w:hAnsi="宋体" w:cs="宋体"/>
          <w:color w:val="auto"/>
          <w:sz w:val="24"/>
          <w:szCs w:val="24"/>
          <w:highlight w:val="none"/>
        </w:rPr>
        <w:t>投标（响应）报价低于采购项目最高限价45%的，即投标（响应）报价&lt;采购项目最高限价×45%；</w:t>
      </w:r>
    </w:p>
    <w:p w14:paraId="797F37D9">
      <w:pPr>
        <w:ind w:firstLine="480"/>
        <w:rPr>
          <w:rFonts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评审委员会基于专业判断，认为供应商报价过低，有可能影响产品质量或者不能诚信履约的其他情形。</w:t>
      </w:r>
    </w:p>
    <w:p w14:paraId="320D6E9E">
      <w:pPr>
        <w:ind w:firstLine="480"/>
        <w:rPr>
          <w:rFonts w:ascii="宋体" w:hAnsi="宋体" w:cs="宋体"/>
          <w:color w:val="auto"/>
          <w:sz w:val="24"/>
          <w:szCs w:val="24"/>
          <w:highlight w:val="none"/>
        </w:rPr>
      </w:pPr>
      <w:r>
        <w:rPr>
          <w:rFonts w:hint="eastAsia" w:ascii="宋体" w:hAnsi="宋体" w:cs="宋体"/>
          <w:color w:val="auto"/>
          <w:sz w:val="24"/>
          <w:szCs w:val="24"/>
          <w:highlight w:val="none"/>
        </w:rPr>
        <w:t>启动异常低价投标（响应）审查后，评审委员会</w:t>
      </w:r>
      <w:r>
        <w:rPr>
          <w:rFonts w:ascii="宋体" w:hAnsi="宋体" w:cs="宋体"/>
          <w:color w:val="auto"/>
          <w:sz w:val="24"/>
          <w:szCs w:val="24"/>
          <w:highlight w:val="none"/>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color w:val="auto"/>
          <w:sz w:val="24"/>
          <w:szCs w:val="24"/>
          <w:highlight w:val="none"/>
        </w:rPr>
        <w:t>。</w:t>
      </w:r>
      <w:r>
        <w:rPr>
          <w:rFonts w:ascii="宋体" w:hAnsi="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3B10F7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10</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投标人应在《开标一览表》、《投标分项报价》等标明提供产品和服务的单价、总价以及分项报价。</w:t>
      </w:r>
    </w:p>
    <w:p w14:paraId="0B99BF32">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11、投标有效期</w:t>
      </w:r>
    </w:p>
    <w:p w14:paraId="383B2A7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w:t>
      </w:r>
      <w:r>
        <w:rPr>
          <w:rFonts w:hint="eastAsia" w:ascii="宋体" w:hAnsi="宋体" w:cs="宋体"/>
          <w:b/>
          <w:bCs/>
          <w:color w:val="auto"/>
          <w:sz w:val="24"/>
          <w:szCs w:val="24"/>
          <w:highlight w:val="none"/>
        </w:rPr>
        <w:t>投标有效期为</w:t>
      </w:r>
      <w:r>
        <w:rPr>
          <w:rFonts w:hint="eastAsia" w:ascii="宋体" w:hAnsi="宋体" w:cs="宋体"/>
          <w:b/>
          <w:bCs/>
          <w:color w:val="auto"/>
          <w:sz w:val="24"/>
          <w:szCs w:val="24"/>
          <w:highlight w:val="none"/>
          <w:lang w:val="zh-CN"/>
        </w:rPr>
        <w:t>90天</w:t>
      </w:r>
      <w:r>
        <w:rPr>
          <w:rFonts w:hint="eastAsia" w:ascii="宋体" w:hAnsi="宋体" w:cs="宋体"/>
          <w:color w:val="auto"/>
          <w:sz w:val="24"/>
          <w:szCs w:val="24"/>
          <w:highlight w:val="none"/>
          <w:lang w:val="zh-CN"/>
        </w:rPr>
        <w:t>，投标有效期从提交投标文件的截止之日起算。投标文件中承诺的投标有效期应当不少于招标文件中载明的投标有效期。</w:t>
      </w:r>
    </w:p>
    <w:p w14:paraId="6E38C98C">
      <w:pPr>
        <w:numPr>
          <w:ilvl w:val="0"/>
          <w:numId w:val="7"/>
        </w:num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投标文件的递交</w:t>
      </w:r>
    </w:p>
    <w:p w14:paraId="7C35F47C">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12.1本项目通过</w:t>
      </w:r>
      <w:r>
        <w:rPr>
          <w:rFonts w:hint="eastAsia" w:ascii="宋体" w:hAnsi="宋体" w:cs="宋体"/>
          <w:color w:val="auto"/>
          <w:sz w:val="24"/>
          <w:szCs w:val="24"/>
          <w:highlight w:val="none"/>
          <w:lang w:val="zh-CN"/>
        </w:rPr>
        <w:t>苏采云电子交易平台进行采购，投标人须通过“苏采云”平台在线制作并提交投标文件。至提交投标文件截止时间，电子交易平台投标通道将关闭，投标人未完成电子投标文件有效提交的，其投标将被拒绝。</w:t>
      </w:r>
    </w:p>
    <w:p w14:paraId="57C8311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.2 投标人须在招标文件规定的提交投标文件截止时间前，通过响应文件编制软件或登录电子交易平台在规定时间内完成提交，提交成功后系统将发送投标回执。时间以电子交易平台时间为准。</w:t>
      </w:r>
    </w:p>
    <w:p w14:paraId="0B4106E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.3 截止时间以后提交的投标文件，电子交易平台将拒绝接收。投标人应充分考虑网络环境、网络带宽等风险因素。</w:t>
      </w:r>
    </w:p>
    <w:p w14:paraId="3C935A1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.4 提交投标文件时，投标人须使用制作该投标文件的同一数字认证证书进行提交操作。</w:t>
      </w:r>
    </w:p>
    <w:p w14:paraId="34D55DE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12</w:t>
      </w:r>
      <w:r>
        <w:rPr>
          <w:rFonts w:hint="eastAsia" w:ascii="宋体" w:hAnsi="宋体" w:cs="宋体"/>
          <w:color w:val="auto"/>
          <w:sz w:val="24"/>
          <w:szCs w:val="24"/>
          <w:highlight w:val="none"/>
          <w:lang w:val="zh-CN"/>
        </w:rPr>
        <w:t>.5 提交完成后至解密前，投标人不能对加密投标文件时所使用的数字认证证书进行更新、续费，否则可能引起的投标文件解密失败等相关后果由投标人自行承担。</w:t>
      </w:r>
    </w:p>
    <w:p w14:paraId="10A9976C">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w:t>
      </w:r>
      <w:r>
        <w:rPr>
          <w:rFonts w:hint="eastAsia" w:ascii="宋体" w:hAnsi="宋体" w:cs="宋体"/>
          <w:b/>
          <w:bCs/>
          <w:color w:val="auto"/>
          <w:sz w:val="24"/>
          <w:szCs w:val="24"/>
          <w:highlight w:val="none"/>
        </w:rPr>
        <w:t>3</w:t>
      </w:r>
      <w:r>
        <w:rPr>
          <w:rFonts w:hint="eastAsia" w:ascii="宋体" w:hAnsi="宋体" w:cs="宋体"/>
          <w:b/>
          <w:bCs/>
          <w:color w:val="auto"/>
          <w:sz w:val="24"/>
          <w:szCs w:val="24"/>
          <w:highlight w:val="none"/>
          <w:lang w:val="zh-CN"/>
        </w:rPr>
        <w:t>、投标文件的修改和撤回</w:t>
      </w:r>
    </w:p>
    <w:p w14:paraId="7B01292A">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 xml:space="preserve"> 投标人可在提交投标文件截止时间前对投标文件进行补充、修改。</w:t>
      </w:r>
    </w:p>
    <w:p w14:paraId="4848BFA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 xml:space="preserve"> 投标人不得在投标截止时间以后修改、撤回投标文件。</w:t>
      </w:r>
    </w:p>
    <w:p w14:paraId="43C20CC1">
      <w:pPr>
        <w:ind w:firstLine="482"/>
        <w:rPr>
          <w:rFonts w:ascii="宋体" w:hAnsi="宋体" w:cs="宋体"/>
          <w:b/>
          <w:color w:val="auto"/>
          <w:sz w:val="24"/>
          <w:szCs w:val="24"/>
          <w:highlight w:val="none"/>
          <w:lang w:val="zh-CN"/>
        </w:rPr>
      </w:pPr>
      <w:bookmarkStart w:id="42" w:name="_Toc17243"/>
      <w:bookmarkStart w:id="43" w:name="_Toc21540"/>
      <w:r>
        <w:rPr>
          <w:rFonts w:hint="eastAsia" w:ascii="宋体" w:hAnsi="宋体" w:cs="宋体"/>
          <w:b/>
          <w:color w:val="auto"/>
          <w:sz w:val="24"/>
          <w:szCs w:val="24"/>
          <w:highlight w:val="none"/>
          <w:lang w:val="zh-CN"/>
        </w:rPr>
        <w:t>四、开标、评标与确定中标投标人</w:t>
      </w:r>
      <w:bookmarkEnd w:id="42"/>
      <w:bookmarkEnd w:id="43"/>
    </w:p>
    <w:p w14:paraId="6D51326D">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w:t>
      </w: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zh-CN"/>
        </w:rPr>
        <w:t>、开标</w:t>
      </w:r>
    </w:p>
    <w:p w14:paraId="155D3DDA">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.1 采购代理机构按招标文件规定的时间和地点组织公开开标。</w:t>
      </w:r>
    </w:p>
    <w:p w14:paraId="6DCAC2A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.2 本项目采用网上开标方式，请投标人事先做好电脑环境准备，自行选择互联网连接畅通的场地，使用与制作投标文件的同一数字认证证书准时参加开标，请各投标人在开标时间前提前登录开标大厅做好准备。</w:t>
      </w:r>
    </w:p>
    <w:p w14:paraId="2A7A0A7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.3 投标人不足3家，不进入解密程序。</w:t>
      </w:r>
    </w:p>
    <w:p w14:paraId="4D33FF9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.4 开标时，采购代理机构将在系统内公布投标人名单，发出解密的指令，投标人自行实施解密，</w:t>
      </w:r>
      <w:r>
        <w:rPr>
          <w:rFonts w:hint="eastAsia" w:ascii="宋体" w:hAnsi="宋体"/>
          <w:color w:val="auto"/>
          <w:sz w:val="24"/>
          <w:szCs w:val="24"/>
          <w:highlight w:val="none"/>
        </w:rPr>
        <w:t>在苏采云系统规定的时间</w:t>
      </w:r>
      <w:r>
        <w:rPr>
          <w:rFonts w:hint="eastAsia" w:ascii="宋体" w:hAnsi="宋体" w:cs="宋体"/>
          <w:color w:val="auto"/>
          <w:sz w:val="24"/>
          <w:szCs w:val="24"/>
          <w:highlight w:val="none"/>
          <w:lang w:val="zh-CN"/>
        </w:rPr>
        <w:t>内完成。解密时，投标人必须使用与制作投标文件的同一数字认证证书对投标文件进行解密，否则解密将会失败。</w:t>
      </w:r>
    </w:p>
    <w:p w14:paraId="2D3A03E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.5 因投标人原因造成投标文件未解密或解密失败或无法正常打开投标文件的，采购代理机构将拒绝其投标。部分投标人投标文件未解密或解密失败的，程序可以继续进行。若解密成功的投标人不足三家，不进入后续程序。</w:t>
      </w:r>
    </w:p>
    <w:p w14:paraId="3A3D35C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.6 本项目在限定的解密时间内，只要有任一家投标人解密成功，即视为电子交易平台运行无故障。</w:t>
      </w:r>
    </w:p>
    <w:p w14:paraId="787D8E0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.7 电子投标文件解密全部完成后，按投标文件解密成功顺序向所有投标人宣布投标人名称、投标价格以及招标文件规定的其他内容。</w:t>
      </w:r>
    </w:p>
    <w:p w14:paraId="4099742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.8 电子交易平台自动记录开标过程，由参加开标的各投标人代表和相关工作人员确认开标结果。</w:t>
      </w:r>
    </w:p>
    <w:p w14:paraId="3666BED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.9 投标人代表如对开标过程和开标记录有疑义，应在主持人发布确认指令后</w:t>
      </w:r>
      <w:bookmarkStart w:id="44" w:name="EBbc6d2ab378c5413598f314d1f7af5109"/>
      <w:r>
        <w:rPr>
          <w:rFonts w:hint="eastAsia" w:ascii="宋体" w:hAnsi="宋体" w:cs="宋体"/>
          <w:color w:val="auto"/>
          <w:sz w:val="24"/>
          <w:szCs w:val="24"/>
          <w:highlight w:val="none"/>
          <w:lang w:val="zh-CN"/>
        </w:rPr>
        <w:t>3分钟内提出</w:t>
      </w:r>
      <w:bookmarkEnd w:id="44"/>
      <w:r>
        <w:rPr>
          <w:rFonts w:hint="eastAsia" w:ascii="宋体" w:hAnsi="宋体" w:cs="宋体"/>
          <w:color w:val="auto"/>
          <w:sz w:val="24"/>
          <w:szCs w:val="24"/>
          <w:highlight w:val="none"/>
          <w:lang w:val="zh-CN"/>
        </w:rPr>
        <w:t>询问，采购代理机构将及时处理投标人代表提出的询问。如在规定时间内未提出，视同认可开标结果。</w:t>
      </w:r>
    </w:p>
    <w:p w14:paraId="103193BD">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.10 投标人须配合开标工作，未按时加入开标会议区并完成登录操作的或未能在开标会议区内全程参与交互的，视为放弃交互和放弃对开标全过程提出异议的权利，投标人将无法看到解密指令、异议回复、唱标等实时情况，并承担由此导致的一切后果。</w:t>
      </w:r>
    </w:p>
    <w:p w14:paraId="7A46E1B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11</w:t>
      </w:r>
      <w:r>
        <w:rPr>
          <w:rFonts w:hint="eastAsia" w:ascii="宋体" w:hAnsi="宋体" w:cs="宋体"/>
          <w:color w:val="auto"/>
          <w:sz w:val="24"/>
          <w:szCs w:val="24"/>
          <w:highlight w:val="none"/>
          <w:lang w:val="zh-CN"/>
        </w:rPr>
        <w:t xml:space="preserve"> 开标时，《开标一览表》内容与投标文件中相应内容不一致的，以《开标一览表》为准。</w:t>
      </w:r>
    </w:p>
    <w:p w14:paraId="7CF11E4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12</w:t>
      </w:r>
      <w:r>
        <w:rPr>
          <w:rFonts w:hint="eastAsia" w:ascii="宋体" w:hAnsi="宋体" w:cs="宋体"/>
          <w:color w:val="auto"/>
          <w:sz w:val="24"/>
          <w:szCs w:val="24"/>
          <w:highlight w:val="none"/>
          <w:lang w:val="zh-CN"/>
        </w:rPr>
        <w:t xml:space="preserve"> 投标文件、《开标一览表》中报价的大写金额与小写金额不一致的，以大写金额为准。</w:t>
      </w:r>
    </w:p>
    <w:p w14:paraId="760B0A1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13</w:t>
      </w:r>
      <w:r>
        <w:rPr>
          <w:rFonts w:hint="eastAsia" w:ascii="宋体" w:hAnsi="宋体" w:cs="宋体"/>
          <w:color w:val="auto"/>
          <w:sz w:val="24"/>
          <w:szCs w:val="24"/>
          <w:highlight w:val="none"/>
          <w:lang w:val="zh-CN"/>
        </w:rPr>
        <w:t xml:space="preserve"> 单价金额小数点或者百分比有明显错位的，以《开标一览表》的总价为准，并修改单价；</w:t>
      </w:r>
    </w:p>
    <w:p w14:paraId="465C389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14</w:t>
      </w:r>
      <w:r>
        <w:rPr>
          <w:rFonts w:hint="eastAsia" w:ascii="宋体" w:hAnsi="宋体" w:cs="宋体"/>
          <w:color w:val="auto"/>
          <w:sz w:val="24"/>
          <w:szCs w:val="24"/>
          <w:highlight w:val="none"/>
          <w:lang w:val="zh-CN"/>
        </w:rPr>
        <w:t xml:space="preserve"> 总价金额与按单价汇总金额不一致的，以单价金额计算结果为准；</w:t>
      </w:r>
    </w:p>
    <w:p w14:paraId="50ED331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 xml:space="preserve">15 </w:t>
      </w:r>
      <w:r>
        <w:rPr>
          <w:rFonts w:hint="eastAsia" w:ascii="宋体" w:hAnsi="宋体" w:cs="宋体"/>
          <w:color w:val="auto"/>
          <w:sz w:val="24"/>
          <w:szCs w:val="24"/>
          <w:highlight w:val="none"/>
          <w:lang w:val="zh-CN"/>
        </w:rPr>
        <w:t>对不同文字文本投标文件的解释发生异议的，以中文文本为准。</w:t>
      </w:r>
    </w:p>
    <w:p w14:paraId="09C0B909">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lang w:val="zh-CN"/>
        </w:rPr>
        <w:t>、评标</w:t>
      </w:r>
    </w:p>
    <w:p w14:paraId="101D42E1">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.1</w:t>
      </w:r>
      <w:r>
        <w:rPr>
          <w:rFonts w:hint="eastAsia" w:ascii="宋体" w:hAnsi="宋体" w:cs="宋体"/>
          <w:b/>
          <w:bCs/>
          <w:color w:val="auto"/>
          <w:sz w:val="24"/>
          <w:szCs w:val="24"/>
          <w:highlight w:val="none"/>
          <w:lang w:val="zh-CN"/>
        </w:rPr>
        <w:t xml:space="preserve"> </w:t>
      </w:r>
      <w:r>
        <w:rPr>
          <w:rFonts w:hint="eastAsia" w:ascii="宋体" w:hAnsi="宋体" w:cs="宋体"/>
          <w:b/>
          <w:bCs/>
          <w:color w:val="auto"/>
          <w:sz w:val="24"/>
          <w:szCs w:val="24"/>
          <w:highlight w:val="none"/>
        </w:rPr>
        <w:t>评标组织</w:t>
      </w:r>
    </w:p>
    <w:p w14:paraId="43D01BF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评标工作由采购人或采购代理机构负责组织，具体评标事务由依法组建的评标委员会负责，评标委员会由采购人代表和有关技术、经济等方面的专家组成，独立开展评审工作。</w:t>
      </w:r>
    </w:p>
    <w:p w14:paraId="483F0B49">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lang w:val="zh-CN"/>
        </w:rPr>
        <w:t>.2 评标程序</w:t>
      </w:r>
    </w:p>
    <w:p w14:paraId="6A8EA2A0">
      <w:pPr>
        <w:ind w:firstLine="482"/>
        <w:rPr>
          <w:rFonts w:ascii="宋体" w:hAnsi="宋体" w:cs="宋体"/>
          <w:b/>
          <w:color w:val="auto"/>
          <w:sz w:val="24"/>
          <w:szCs w:val="24"/>
          <w:highlight w:val="none"/>
          <w:lang w:val="zh-CN"/>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6</w:t>
      </w:r>
      <w:r>
        <w:rPr>
          <w:rFonts w:hint="eastAsia" w:ascii="宋体" w:hAnsi="宋体" w:cs="宋体"/>
          <w:b/>
          <w:color w:val="auto"/>
          <w:sz w:val="24"/>
          <w:szCs w:val="24"/>
          <w:highlight w:val="none"/>
          <w:lang w:val="zh-CN"/>
        </w:rPr>
        <w:t>.2.1 投标文件的资格审查</w:t>
      </w:r>
    </w:p>
    <w:p w14:paraId="3AAAC145">
      <w:pPr>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采购人和采购代理机构将依法对投标人投标文件中的资格证明文件的资格进行审查：以确定投标投标人是否具备投标资格。 同时，将在“信用中国”网站（www.creditchina.gov.cn）、“中国 政府采购网"(www.ccgp.gov.cn)对投标人是否被列入失信被执行人、重大税收违法失信主体、政府采购严重违法失信行为记录名单的情况进行查询，以确定投标投标人是否具备投标资格。</w:t>
      </w:r>
    </w:p>
    <w:p w14:paraId="6AD0DA37">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投标文件有下列情况之一的，在资格性审查时按照无效投标处理： </w:t>
      </w:r>
    </w:p>
    <w:p w14:paraId="04C3BCDF">
      <w:pPr>
        <w:ind w:firstLine="480"/>
        <w:rPr>
          <w:rFonts w:ascii="宋体" w:hAnsi="宋体" w:cs="宋体"/>
          <w:color w:val="auto"/>
          <w:sz w:val="24"/>
          <w:szCs w:val="24"/>
          <w:highlight w:val="none"/>
        </w:rPr>
      </w:pPr>
      <w:r>
        <w:rPr>
          <w:rFonts w:hint="eastAsia" w:ascii="宋体" w:hAnsi="宋体" w:cs="宋体"/>
          <w:color w:val="auto"/>
          <w:sz w:val="24"/>
          <w:szCs w:val="24"/>
          <w:highlight w:val="none"/>
        </w:rPr>
        <w:t>（1）不具备招标文件中规定资格条件的；</w:t>
      </w:r>
    </w:p>
    <w:p w14:paraId="3C6E83F0">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 投标人被“信用中国”网站（www.creditchina.gov.cn）、“中国政府采购网"(www.ccgp.gov.cn) 列入失信被执行人、重大税收违法失信主体、政府采购严重违法失信行为记录名单的 </w:t>
      </w:r>
    </w:p>
    <w:p w14:paraId="1F52D1E7">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16</w:t>
      </w:r>
      <w:r>
        <w:rPr>
          <w:rFonts w:hint="eastAsia" w:ascii="宋体" w:hAnsi="宋体" w:cs="宋体"/>
          <w:b/>
          <w:bCs/>
          <w:color w:val="auto"/>
          <w:sz w:val="24"/>
          <w:szCs w:val="24"/>
          <w:highlight w:val="none"/>
          <w:lang w:val="zh-CN"/>
        </w:rPr>
        <w:t>.2.2 投标文件的符合性审查</w:t>
      </w:r>
    </w:p>
    <w:p w14:paraId="454C2F02">
      <w:pPr>
        <w:ind w:firstLine="480"/>
        <w:rPr>
          <w:rFonts w:ascii="宋体" w:hAnsi="宋体" w:cs="宋体"/>
          <w:color w:val="auto"/>
          <w:sz w:val="24"/>
          <w:szCs w:val="24"/>
          <w:highlight w:val="none"/>
        </w:rPr>
      </w:pPr>
      <w:r>
        <w:rPr>
          <w:rFonts w:hint="eastAsia" w:ascii="宋体" w:hAnsi="宋体" w:cs="宋体"/>
          <w:color w:val="auto"/>
          <w:sz w:val="24"/>
          <w:szCs w:val="24"/>
          <w:highlight w:val="none"/>
        </w:rPr>
        <w:t>评标委员会将依据法律法规和招标文件的规定，对投标文件的有效性、完整性和对招标文件的响应程度进行审查，以确定是否对招标文件的实质性要求作出响应。如果投标文件实质上没有响应招标文件的要求，评标委员会将予以拒绝，投标人不得通过修改或撤销不合要求的偏离或保留而使其投标成为实质性响应的投标。</w:t>
      </w:r>
    </w:p>
    <w:p w14:paraId="379A0D18">
      <w:pPr>
        <w:ind w:firstLine="480"/>
        <w:rPr>
          <w:rFonts w:ascii="宋体" w:hAnsi="宋体" w:cs="宋体"/>
          <w:color w:val="auto"/>
          <w:sz w:val="24"/>
          <w:szCs w:val="24"/>
          <w:highlight w:val="none"/>
        </w:rPr>
      </w:pPr>
      <w:bookmarkStart w:id="45" w:name="_Hlk219319026"/>
      <w:r>
        <w:rPr>
          <w:rFonts w:hint="eastAsia" w:ascii="宋体" w:hAnsi="宋体" w:cs="宋体"/>
          <w:color w:val="auto"/>
          <w:sz w:val="24"/>
          <w:szCs w:val="24"/>
          <w:highlight w:val="none"/>
        </w:rPr>
        <w:t xml:space="preserve">投标文件有下列情况之一的，在符合性审查时按照无效投标处理： </w:t>
      </w:r>
    </w:p>
    <w:p w14:paraId="31D3C5CD">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（1）未按照招标文件规定要求加密、签署、盖章的； </w:t>
      </w:r>
    </w:p>
    <w:p w14:paraId="6F97D3D8">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（2）投标总价超出采购预算金额或者最高限价的； </w:t>
      </w:r>
    </w:p>
    <w:p w14:paraId="1C990567">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（3）不同投标人的投标文件由同一单位或者个人编制； </w:t>
      </w:r>
    </w:p>
    <w:p w14:paraId="5E4CF763">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（4）不同投标人委托同一单位或者个人办理投标事宜； </w:t>
      </w:r>
    </w:p>
    <w:p w14:paraId="0AD0EADF">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（5）不同投标人的投标文件载明的项目管理成员或者联系人员为同一人； </w:t>
      </w:r>
    </w:p>
    <w:p w14:paraId="0B284381">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（6）不同投标人的投标文件异常一致或者投标报价呈规律性差异； </w:t>
      </w:r>
    </w:p>
    <w:p w14:paraId="1C028853">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（7）不同投标人的投标文件相互混装； </w:t>
      </w:r>
    </w:p>
    <w:p w14:paraId="73F82379">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（8）不同投标人的法定代表人或委托代理人有夫妻、直系血亲关系的； </w:t>
      </w:r>
    </w:p>
    <w:p w14:paraId="1B2BFD5B">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（9）不同投标人的负责人为同一人或者存在控股、管理关系的； </w:t>
      </w:r>
    </w:p>
    <w:p w14:paraId="434BEF74">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（10）没有逐一说明投标产品名称、品牌、规格型号、产地、技术参数和服务响应，而是直接拷贝招标文件技术要求的； </w:t>
      </w:r>
    </w:p>
    <w:p w14:paraId="6083B7A0">
      <w:pPr>
        <w:ind w:firstLine="480"/>
        <w:rPr>
          <w:rFonts w:ascii="宋体" w:hAnsi="宋体" w:cs="宋体"/>
          <w:color w:val="auto"/>
          <w:sz w:val="24"/>
          <w:szCs w:val="24"/>
          <w:highlight w:val="none"/>
        </w:rPr>
      </w:pPr>
      <w:r>
        <w:rPr>
          <w:rFonts w:hint="eastAsia" w:ascii="宋体" w:hAnsi="宋体" w:cs="宋体"/>
          <w:color w:val="auto"/>
          <w:sz w:val="24"/>
          <w:szCs w:val="24"/>
          <w:highlight w:val="none"/>
        </w:rPr>
        <w:t>（11）不同投标人的委托代理人(或法定代表人、项目经理、项目总监、项目负责人等)在采购文件发布日上月至投标截止日当月在同一单位缴纳社会保险的；</w:t>
      </w:r>
    </w:p>
    <w:p w14:paraId="5C41B776">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（12）服务承诺和付款条件未响应招标要求的； </w:t>
      </w:r>
    </w:p>
    <w:p w14:paraId="6D7FF0E8">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（13）投标文件含有采购人不能接受的附加条件的； </w:t>
      </w:r>
    </w:p>
    <w:p w14:paraId="7AF6C3C9">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（14）启动异常低价投标（响应）审查后，投标（响应）供应商不提供书面说明、证明材料，或者提供的书面说明、证明材料不能证明其报价合理性的； </w:t>
      </w:r>
    </w:p>
    <w:p w14:paraId="4E22DBBF">
      <w:pPr>
        <w:ind w:firstLine="480"/>
        <w:rPr>
          <w:rFonts w:ascii="宋体" w:hAnsi="宋体" w:cs="宋体"/>
          <w:color w:val="auto"/>
          <w:sz w:val="24"/>
          <w:szCs w:val="24"/>
          <w:highlight w:val="none"/>
        </w:rPr>
      </w:pPr>
      <w:r>
        <w:rPr>
          <w:rFonts w:hint="eastAsia" w:ascii="宋体" w:hAnsi="宋体" w:cs="宋体"/>
          <w:color w:val="auto"/>
          <w:sz w:val="24"/>
          <w:szCs w:val="24"/>
          <w:highlight w:val="none"/>
        </w:rPr>
        <w:t>（15）不符合法律、法规和招标文件规定的其他无效情形；</w:t>
      </w:r>
    </w:p>
    <w:p w14:paraId="2F8DED54">
      <w:pPr>
        <w:ind w:firstLine="480"/>
        <w:rPr>
          <w:rFonts w:ascii="宋体" w:hAnsi="宋体" w:cs="宋体"/>
          <w:color w:val="auto"/>
          <w:sz w:val="24"/>
          <w:szCs w:val="24"/>
          <w:highlight w:val="none"/>
        </w:rPr>
      </w:pPr>
      <w:r>
        <w:rPr>
          <w:rFonts w:hint="eastAsia" w:ascii="宋体" w:hAnsi="宋体" w:cs="宋体"/>
          <w:color w:val="auto"/>
          <w:sz w:val="24"/>
          <w:szCs w:val="24"/>
          <w:highlight w:val="none"/>
        </w:rPr>
        <w:t>（16）不同投标人的电子投标文件出自同一台电脑或者上传I</w:t>
      </w:r>
      <w:r>
        <w:rPr>
          <w:rFonts w:ascii="宋体" w:hAnsi="宋体" w:cs="宋体"/>
          <w:color w:val="auto"/>
          <w:sz w:val="24"/>
          <w:szCs w:val="24"/>
          <w:highlight w:val="none"/>
        </w:rPr>
        <w:t>P</w:t>
      </w:r>
      <w:r>
        <w:rPr>
          <w:rFonts w:hint="eastAsia" w:ascii="宋体" w:hAnsi="宋体" w:cs="宋体"/>
          <w:color w:val="auto"/>
          <w:sz w:val="24"/>
          <w:szCs w:val="24"/>
          <w:highlight w:val="none"/>
        </w:rPr>
        <w:t>地址相同的。</w:t>
      </w:r>
      <w:bookmarkEnd w:id="45"/>
    </w:p>
    <w:p w14:paraId="2A4D8F3E">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16</w:t>
      </w:r>
      <w:r>
        <w:rPr>
          <w:rFonts w:hint="eastAsia" w:ascii="宋体" w:hAnsi="宋体" w:cs="宋体"/>
          <w:b/>
          <w:bCs/>
          <w:color w:val="auto"/>
          <w:sz w:val="24"/>
          <w:szCs w:val="24"/>
          <w:highlight w:val="none"/>
          <w:lang w:val="zh-CN"/>
        </w:rPr>
        <w:t>.2.</w:t>
      </w:r>
      <w:r>
        <w:rPr>
          <w:rFonts w:hint="eastAsia" w:ascii="宋体" w:hAnsi="宋体" w:cs="宋体"/>
          <w:b/>
          <w:bCs/>
          <w:color w:val="auto"/>
          <w:sz w:val="24"/>
          <w:szCs w:val="24"/>
          <w:highlight w:val="none"/>
        </w:rPr>
        <w:t>3</w:t>
      </w:r>
      <w:r>
        <w:rPr>
          <w:rFonts w:hint="eastAsia" w:ascii="宋体" w:hAnsi="宋体" w:cs="宋体"/>
          <w:b/>
          <w:bCs/>
          <w:color w:val="auto"/>
          <w:sz w:val="24"/>
          <w:szCs w:val="24"/>
          <w:highlight w:val="none"/>
          <w:lang w:val="zh-CN"/>
        </w:rPr>
        <w:t xml:space="preserve"> 投标文件的</w:t>
      </w:r>
      <w:r>
        <w:rPr>
          <w:rFonts w:hint="eastAsia" w:ascii="宋体" w:hAnsi="宋体" w:cs="宋体"/>
          <w:b/>
          <w:bCs/>
          <w:color w:val="auto"/>
          <w:sz w:val="24"/>
          <w:szCs w:val="24"/>
          <w:highlight w:val="none"/>
        </w:rPr>
        <w:t>进一步评审</w:t>
      </w:r>
      <w:r>
        <w:rPr>
          <w:rFonts w:hint="eastAsia" w:ascii="宋体" w:hAnsi="宋体" w:cs="宋体"/>
          <w:color w:val="auto"/>
          <w:sz w:val="24"/>
          <w:szCs w:val="24"/>
          <w:highlight w:val="none"/>
        </w:rPr>
        <w:t xml:space="preserve"> </w:t>
      </w:r>
    </w:p>
    <w:p w14:paraId="7B88D40C">
      <w:pPr>
        <w:ind w:firstLine="480"/>
        <w:rPr>
          <w:rFonts w:ascii="宋体" w:hAnsi="宋体"/>
          <w:color w:val="auto"/>
          <w:sz w:val="24"/>
          <w:szCs w:val="24"/>
          <w:highlight w:val="none"/>
        </w:rPr>
      </w:pPr>
      <w:r>
        <w:rPr>
          <w:rFonts w:hint="eastAsia" w:ascii="宋体" w:hAnsi="宋体" w:cs="宋体"/>
          <w:color w:val="auto"/>
          <w:sz w:val="24"/>
          <w:szCs w:val="24"/>
          <w:highlight w:val="none"/>
        </w:rPr>
        <w:t>（1）评标期间，评委会对投标文件中含义不明确、同类问题表述不一致或者有明显文字和计算错误的内容 ，有权要求投标人作出必要的澄清、说明或者补正</w:t>
      </w:r>
      <w:r>
        <w:rPr>
          <w:rFonts w:hint="eastAsia" w:ascii="宋体" w:hAnsi="宋体"/>
          <w:color w:val="auto"/>
          <w:sz w:val="24"/>
          <w:szCs w:val="24"/>
          <w:highlight w:val="none"/>
        </w:rPr>
        <w:t>。</w:t>
      </w:r>
    </w:p>
    <w:p w14:paraId="485AF26A">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5E50E62">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3DCBF8CE">
      <w:pPr>
        <w:ind w:firstLine="480"/>
        <w:rPr>
          <w:rFonts w:ascii="宋体" w:hAnsi="宋体" w:cs="宋体"/>
          <w:color w:val="auto"/>
          <w:sz w:val="24"/>
          <w:szCs w:val="24"/>
          <w:highlight w:val="none"/>
        </w:rPr>
      </w:pPr>
      <w:r>
        <w:rPr>
          <w:rFonts w:hint="eastAsia" w:ascii="宋体" w:hAnsi="宋体" w:cs="宋体"/>
          <w:color w:val="auto"/>
          <w:sz w:val="24"/>
          <w:szCs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p>
    <w:p w14:paraId="1A6E4C5E">
      <w:pPr>
        <w:ind w:firstLine="480"/>
        <w:rPr>
          <w:rFonts w:ascii="宋体" w:hAnsi="宋体" w:cs="宋体"/>
          <w:color w:val="auto"/>
          <w:sz w:val="24"/>
          <w:szCs w:val="24"/>
          <w:highlight w:val="none"/>
        </w:rPr>
      </w:pPr>
      <w:r>
        <w:rPr>
          <w:rFonts w:hint="eastAsia" w:ascii="宋体" w:hAnsi="宋体" w:cs="宋体"/>
          <w:color w:val="auto"/>
          <w:sz w:val="24"/>
          <w:szCs w:val="24"/>
          <w:highlight w:val="none"/>
        </w:rPr>
        <w:t>（3）接到评委会澄清、说明和补正要求的投标人如未按规定做出澄清、说明和补正，其风险由投标人自行承担。</w:t>
      </w:r>
    </w:p>
    <w:p w14:paraId="5F7959A2">
      <w:pPr>
        <w:ind w:firstLine="480"/>
        <w:rPr>
          <w:color w:val="auto"/>
          <w:highlight w:val="none"/>
        </w:rPr>
      </w:pPr>
      <w:r>
        <w:rPr>
          <w:rFonts w:hint="eastAsia" w:ascii="宋体" w:hAnsi="宋体" w:cs="宋体"/>
          <w:color w:val="auto"/>
          <w:sz w:val="24"/>
          <w:szCs w:val="24"/>
          <w:highlight w:val="none"/>
        </w:rPr>
        <w:t>（4）评标委员会按照招标文件中规定的评标方法和标准，对资格性检查和符合性检查合格的投标文件进行商务和技术评估，综合比较与评价，在投标文件满足招标文件全部实质性要求前提下，按照评审因素的量化指标评审得分最高的投标人确定为中标人。</w:t>
      </w:r>
    </w:p>
    <w:p w14:paraId="5FED48D8">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17</w:t>
      </w:r>
      <w:r>
        <w:rPr>
          <w:rFonts w:hint="eastAsia" w:ascii="宋体" w:hAnsi="宋体" w:cs="宋体"/>
          <w:b/>
          <w:bCs/>
          <w:color w:val="auto"/>
          <w:sz w:val="24"/>
          <w:szCs w:val="24"/>
          <w:highlight w:val="none"/>
          <w:lang w:val="zh-CN"/>
        </w:rPr>
        <w:t xml:space="preserve">. </w:t>
      </w:r>
      <w:r>
        <w:rPr>
          <w:rFonts w:hint="eastAsia" w:ascii="宋体" w:hAnsi="宋体" w:cs="宋体"/>
          <w:b/>
          <w:bCs/>
          <w:color w:val="auto"/>
          <w:sz w:val="24"/>
          <w:szCs w:val="24"/>
          <w:highlight w:val="none"/>
        </w:rPr>
        <w:t>废标情形</w:t>
      </w:r>
    </w:p>
    <w:p w14:paraId="12604DFE">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有下列情形之一的予以废标： </w:t>
      </w:r>
    </w:p>
    <w:p w14:paraId="3C07979A">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（1）符合资质条件的投标人或者对招标文件作实质性响应的投标人不足三家的； </w:t>
      </w:r>
    </w:p>
    <w:p w14:paraId="0C5011A8">
      <w:pPr>
        <w:ind w:firstLine="480"/>
        <w:rPr>
          <w:rFonts w:ascii="宋体" w:hAnsi="宋体" w:cs="宋体"/>
          <w:color w:val="auto"/>
          <w:sz w:val="24"/>
          <w:szCs w:val="24"/>
          <w:highlight w:val="none"/>
        </w:rPr>
      </w:pPr>
      <w:r>
        <w:rPr>
          <w:rFonts w:hint="eastAsia" w:ascii="宋体" w:hAnsi="宋体" w:cs="宋体"/>
          <w:color w:val="auto"/>
          <w:sz w:val="24"/>
          <w:szCs w:val="24"/>
          <w:highlight w:val="none"/>
        </w:rPr>
        <w:t>（2）出现影响采购公正的违法、违规行为的；</w:t>
      </w:r>
    </w:p>
    <w:p w14:paraId="1BE83B23">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（3）投标人的报价均超过了采购预算或最高限价的，采购人不能支付的； </w:t>
      </w:r>
    </w:p>
    <w:p w14:paraId="1555E796">
      <w:pPr>
        <w:ind w:firstLine="480"/>
        <w:rPr>
          <w:rFonts w:ascii="宋体" w:hAnsi="宋体" w:cs="宋体"/>
          <w:color w:val="auto"/>
          <w:sz w:val="24"/>
          <w:szCs w:val="24"/>
          <w:highlight w:val="none"/>
        </w:rPr>
      </w:pPr>
      <w:r>
        <w:rPr>
          <w:rFonts w:hint="eastAsia" w:ascii="宋体" w:hAnsi="宋体" w:cs="宋体"/>
          <w:color w:val="auto"/>
          <w:sz w:val="24"/>
          <w:szCs w:val="24"/>
          <w:highlight w:val="none"/>
        </w:rPr>
        <w:t>（4）因重大变故，采购任务取消的；</w:t>
      </w:r>
    </w:p>
    <w:p w14:paraId="59BC1512">
      <w:pPr>
        <w:ind w:firstLine="480"/>
        <w:rPr>
          <w:color w:val="auto"/>
          <w:highlight w:val="none"/>
        </w:rPr>
      </w:pPr>
      <w:r>
        <w:rPr>
          <w:rFonts w:hint="eastAsia" w:ascii="宋体" w:hAnsi="宋体" w:cs="宋体"/>
          <w:color w:val="auto"/>
          <w:sz w:val="24"/>
          <w:szCs w:val="24"/>
          <w:highlight w:val="none"/>
        </w:rPr>
        <w:t xml:space="preserve">（5）投标文件存在歧义、重大缺陷，或者招标文件内容违反国家有关强制性规定的。 </w:t>
      </w:r>
    </w:p>
    <w:p w14:paraId="6258927C">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18</w:t>
      </w:r>
      <w:r>
        <w:rPr>
          <w:rFonts w:hint="eastAsia" w:ascii="宋体" w:hAnsi="宋体" w:cs="宋体"/>
          <w:b/>
          <w:bCs/>
          <w:color w:val="auto"/>
          <w:sz w:val="24"/>
          <w:szCs w:val="24"/>
          <w:highlight w:val="none"/>
          <w:lang w:val="zh-CN"/>
        </w:rPr>
        <w:t>、确定中标投标人</w:t>
      </w:r>
    </w:p>
    <w:p w14:paraId="672B9E3D">
      <w:pPr>
        <w:ind w:firstLine="480"/>
        <w:rPr>
          <w:rFonts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cs="宋体"/>
          <w:color w:val="auto"/>
          <w:sz w:val="24"/>
          <w:szCs w:val="24"/>
          <w:highlight w:val="none"/>
          <w:lang w:val="zh-CN"/>
        </w:rPr>
        <w:t>.1</w:t>
      </w:r>
      <w:r>
        <w:rPr>
          <w:rFonts w:hint="eastAsia" w:ascii="宋体" w:hAnsi="宋体" w:cs="宋体"/>
          <w:color w:val="auto"/>
          <w:sz w:val="24"/>
          <w:szCs w:val="24"/>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ED43A4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18</w:t>
      </w:r>
      <w:r>
        <w:rPr>
          <w:rFonts w:hint="eastAsia" w:ascii="宋体" w:hAnsi="宋体" w:cs="宋体"/>
          <w:color w:val="auto"/>
          <w:sz w:val="24"/>
          <w:szCs w:val="24"/>
          <w:highlight w:val="none"/>
          <w:lang w:val="zh-CN"/>
        </w:rPr>
        <w:t>.2中标投标人确定之日起2个工作日内，将在</w:t>
      </w:r>
      <w:r>
        <w:rPr>
          <w:rFonts w:hint="eastAsia" w:ascii="宋体" w:hAnsi="宋体" w:cs="宋体"/>
          <w:color w:val="auto"/>
          <w:sz w:val="24"/>
          <w:szCs w:val="24"/>
          <w:highlight w:val="none"/>
        </w:rPr>
        <w:t>采购公告相同网站发布中标</w:t>
      </w:r>
      <w:r>
        <w:rPr>
          <w:rFonts w:hint="eastAsia" w:ascii="宋体" w:hAnsi="宋体" w:cs="宋体"/>
          <w:color w:val="auto"/>
          <w:sz w:val="24"/>
          <w:szCs w:val="24"/>
          <w:highlight w:val="none"/>
          <w:lang w:val="zh-CN"/>
        </w:rPr>
        <w:t>公告，中标人及时领取《中标通知书》。</w:t>
      </w:r>
    </w:p>
    <w:p w14:paraId="0769ECC4">
      <w:pPr>
        <w:ind w:firstLine="480"/>
        <w:rPr>
          <w:rFonts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3中标通知书发出后，中标投标人无正当理由不与采购人签订合同的；情节严重的，将其列入不良行为记录名单，在一至三年内禁止参加采购人组织的政府采购活动。</w:t>
      </w:r>
    </w:p>
    <w:p w14:paraId="0183B4AF">
      <w:pPr>
        <w:ind w:firstLine="480"/>
        <w:rPr>
          <w:rFonts w:ascii="宋体" w:hAnsi="宋体" w:cs="宋体"/>
          <w:color w:val="auto"/>
          <w:sz w:val="24"/>
          <w:szCs w:val="24"/>
          <w:highlight w:val="none"/>
        </w:rPr>
      </w:pPr>
      <w:r>
        <w:rPr>
          <w:rFonts w:hint="eastAsia" w:ascii="宋体" w:hAnsi="宋体" w:cs="宋体"/>
          <w:color w:val="auto"/>
          <w:sz w:val="24"/>
          <w:szCs w:val="24"/>
          <w:highlight w:val="none"/>
        </w:rPr>
        <w:t>18.4采购人、采购代理机构和评标委员会对未中标的投标人不作未中标原因的解释。</w:t>
      </w:r>
    </w:p>
    <w:p w14:paraId="450C2E25">
      <w:pPr>
        <w:ind w:firstLine="480"/>
        <w:rPr>
          <w:rFonts w:ascii="宋体" w:hAnsi="宋体" w:cs="宋体"/>
          <w:color w:val="auto"/>
          <w:sz w:val="24"/>
          <w:szCs w:val="24"/>
          <w:highlight w:val="none"/>
        </w:rPr>
      </w:pPr>
      <w:r>
        <w:rPr>
          <w:rFonts w:hint="eastAsia" w:ascii="宋体" w:hAnsi="宋体" w:cs="宋体"/>
          <w:color w:val="auto"/>
          <w:sz w:val="24"/>
          <w:szCs w:val="24"/>
          <w:highlight w:val="none"/>
        </w:rPr>
        <w:t>18.5所有投标文件都将作为档案保存，不论中标与否，采购人</w:t>
      </w:r>
      <w:r>
        <w:rPr>
          <w:rFonts w:hint="eastAsia" w:ascii="宋体" w:hAnsi="宋体" w:cs="宋体"/>
          <w:color w:val="auto"/>
          <w:sz w:val="24"/>
          <w:szCs w:val="24"/>
          <w:highlight w:val="none"/>
          <w:lang w:val="zh-CN"/>
        </w:rPr>
        <w:t>和采购代理机构</w:t>
      </w:r>
      <w:r>
        <w:rPr>
          <w:rFonts w:hint="eastAsia" w:ascii="宋体" w:hAnsi="宋体" w:cs="宋体"/>
          <w:color w:val="auto"/>
          <w:sz w:val="24"/>
          <w:szCs w:val="24"/>
          <w:highlight w:val="none"/>
        </w:rPr>
        <w:t>均不退回。</w:t>
      </w:r>
    </w:p>
    <w:p w14:paraId="64AC5116">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19、编写评标报告</w:t>
      </w:r>
    </w:p>
    <w:p w14:paraId="370D264B">
      <w:pPr>
        <w:ind w:firstLine="480"/>
        <w:rPr>
          <w:rFonts w:ascii="宋体" w:hAnsi="宋体" w:cs="宋体"/>
          <w:color w:val="auto"/>
          <w:sz w:val="24"/>
          <w:szCs w:val="24"/>
          <w:highlight w:val="none"/>
        </w:rPr>
      </w:pPr>
      <w:r>
        <w:rPr>
          <w:rFonts w:hint="eastAsia" w:ascii="宋体" w:hAnsi="宋体" w:cs="宋体"/>
          <w:color w:val="auto"/>
          <w:sz w:val="24"/>
          <w:szCs w:val="24"/>
          <w:highlight w:val="none"/>
        </w:rPr>
        <w:t>评标委员会根据全体评标成员签字的原始评标记录和评标结果编写评标报告。</w:t>
      </w:r>
    </w:p>
    <w:p w14:paraId="3FFCD129">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20、评标过程的保密性</w:t>
      </w:r>
    </w:p>
    <w:p w14:paraId="2863B18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20</w:t>
      </w:r>
      <w:r>
        <w:rPr>
          <w:rFonts w:hint="eastAsia" w:ascii="宋体" w:hAnsi="宋体" w:cs="宋体"/>
          <w:color w:val="auto"/>
          <w:sz w:val="24"/>
          <w:szCs w:val="24"/>
          <w:highlight w:val="none"/>
          <w:lang w:val="zh-CN"/>
        </w:rPr>
        <w:t xml:space="preserve">.1 </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val="zh-CN"/>
        </w:rPr>
        <w:t>和采购代理机构将采取必要措施，保证评标在严格保密的情况下进行。</w:t>
      </w:r>
    </w:p>
    <w:p w14:paraId="1087DF1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20</w:t>
      </w:r>
      <w:r>
        <w:rPr>
          <w:rFonts w:hint="eastAsia" w:ascii="宋体" w:hAnsi="宋体" w:cs="宋体"/>
          <w:color w:val="auto"/>
          <w:sz w:val="24"/>
          <w:szCs w:val="24"/>
          <w:highlight w:val="none"/>
          <w:lang w:val="zh-CN"/>
        </w:rPr>
        <w:t>.2 任何单位和个人不得非法干预、影响评标办法的确定，以及评标过程和结果。</w:t>
      </w:r>
    </w:p>
    <w:p w14:paraId="5063EE3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20</w:t>
      </w:r>
      <w:r>
        <w:rPr>
          <w:rFonts w:hint="eastAsia" w:ascii="宋体" w:hAnsi="宋体" w:cs="宋体"/>
          <w:color w:val="auto"/>
          <w:sz w:val="24"/>
          <w:szCs w:val="24"/>
          <w:highlight w:val="none"/>
          <w:lang w:val="zh-CN"/>
        </w:rPr>
        <w:t>.3 凡是与审查、澄清、评价和比较投标的有关资料等，均不向投标人及与评标无关的其他人员透露。</w:t>
      </w:r>
    </w:p>
    <w:p w14:paraId="4E5FEC40">
      <w:pPr>
        <w:ind w:firstLine="482"/>
        <w:rPr>
          <w:rFonts w:ascii="宋体" w:hAnsi="宋体" w:cs="宋体"/>
          <w:b/>
          <w:bCs/>
          <w:color w:val="auto"/>
          <w:sz w:val="24"/>
          <w:szCs w:val="24"/>
          <w:highlight w:val="none"/>
          <w:lang w:val="zh-CN"/>
        </w:rPr>
      </w:pPr>
      <w:bookmarkStart w:id="46" w:name="_Toc513029237"/>
      <w:bookmarkStart w:id="47" w:name="_Toc16938553"/>
      <w:bookmarkStart w:id="48" w:name="_Toc20823309"/>
      <w:r>
        <w:rPr>
          <w:rFonts w:hint="eastAsia" w:ascii="宋体" w:hAnsi="宋体" w:cs="宋体"/>
          <w:b/>
          <w:bCs/>
          <w:color w:val="auto"/>
          <w:sz w:val="24"/>
          <w:szCs w:val="24"/>
          <w:highlight w:val="none"/>
          <w:lang w:val="zh-CN"/>
        </w:rPr>
        <w:t>21、样品</w:t>
      </w:r>
    </w:p>
    <w:p w14:paraId="386BD6CE">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项目要求提供样品的，中标人的样品由采购人负责保管、</w:t>
      </w:r>
      <w:r>
        <w:rPr>
          <w:rFonts w:hint="eastAsia" w:ascii="宋体" w:hAnsi="宋体" w:cs="宋体"/>
          <w:color w:val="auto"/>
          <w:sz w:val="24"/>
          <w:szCs w:val="24"/>
          <w:highlight w:val="none"/>
        </w:rPr>
        <w:t>封</w:t>
      </w:r>
      <w:r>
        <w:rPr>
          <w:rFonts w:hint="eastAsia" w:ascii="宋体" w:hAnsi="宋体" w:cs="宋体"/>
          <w:color w:val="auto"/>
          <w:sz w:val="24"/>
          <w:szCs w:val="24"/>
          <w:highlight w:val="none"/>
          <w:lang w:val="zh-CN"/>
        </w:rPr>
        <w:t>存，并作为履约验收的参考，未中标人的样品将及时退还。</w:t>
      </w:r>
      <w:bookmarkEnd w:id="46"/>
      <w:bookmarkEnd w:id="47"/>
      <w:bookmarkEnd w:id="48"/>
    </w:p>
    <w:p w14:paraId="1B38AEC0">
      <w:pPr>
        <w:ind w:firstLine="482"/>
        <w:rPr>
          <w:rFonts w:ascii="宋体" w:hAnsi="宋体" w:cs="宋体"/>
          <w:b/>
          <w:color w:val="auto"/>
          <w:sz w:val="24"/>
          <w:szCs w:val="24"/>
          <w:highlight w:val="none"/>
          <w:lang w:val="zh-CN"/>
        </w:rPr>
      </w:pPr>
      <w:bookmarkStart w:id="49" w:name="_Toc5321"/>
      <w:bookmarkStart w:id="50" w:name="_Toc10016"/>
      <w:r>
        <w:rPr>
          <w:rFonts w:hint="eastAsia" w:ascii="宋体" w:hAnsi="宋体" w:cs="宋体"/>
          <w:b/>
          <w:color w:val="auto"/>
          <w:sz w:val="24"/>
          <w:szCs w:val="24"/>
          <w:highlight w:val="none"/>
          <w:lang w:val="zh-CN"/>
        </w:rPr>
        <w:t>五、签订合同</w:t>
      </w:r>
      <w:bookmarkEnd w:id="49"/>
      <w:bookmarkEnd w:id="50"/>
    </w:p>
    <w:p w14:paraId="39D9EA14">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22、签订合同</w:t>
      </w:r>
    </w:p>
    <w:p w14:paraId="7A99369A">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.1 采购人应当自中标通知书发出之日起30日内，按照招标文件和中标人投标文件的规定与中标人签订书面合同。所签订的合同不得对招标文件确定事项和中标人投标文件作实质性修改。</w:t>
      </w:r>
    </w:p>
    <w:p w14:paraId="3295A36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22.2采购人不得向中标人提出任何不合理的要求作为签订合同的条件，不得与中标人私下订立背离合同实质性内容的协议。</w:t>
      </w:r>
    </w:p>
    <w:p w14:paraId="000D712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.3中标人拒绝与采购人签订合同，或因不可抗力或者自身原因不能履行政府采购合同的，采购人可以按照评审报告中的得分高低顺序，确定下一顺序投标人为中标人，也可以重新开展政府采购活动。</w:t>
      </w:r>
    </w:p>
    <w:p w14:paraId="32F0DC63">
      <w:pPr>
        <w:pStyle w:val="201"/>
        <w:spacing w:before="0" w:after="0"/>
        <w:rPr>
          <w:color w:val="auto"/>
          <w:highlight w:val="none"/>
          <w:lang w:val="zh-CN"/>
        </w:rPr>
      </w:pPr>
      <w:r>
        <w:rPr>
          <w:rFonts w:hint="eastAsia" w:ascii="宋体" w:hAnsi="宋体" w:cs="宋体"/>
          <w:color w:val="auto"/>
          <w:highlight w:val="none"/>
        </w:rPr>
        <w:t>22.4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p>
    <w:p w14:paraId="5A9FA53F">
      <w:pPr>
        <w:ind w:firstLine="482"/>
        <w:rPr>
          <w:rFonts w:ascii="宋体" w:hAnsi="宋体" w:cs="宋体"/>
          <w:b/>
          <w:color w:val="auto"/>
          <w:sz w:val="24"/>
          <w:szCs w:val="24"/>
          <w:highlight w:val="none"/>
          <w:lang w:val="zh-CN"/>
        </w:rPr>
      </w:pPr>
      <w:bookmarkStart w:id="51" w:name="_Toc3868"/>
      <w:bookmarkStart w:id="52" w:name="_Toc241"/>
      <w:r>
        <w:rPr>
          <w:rFonts w:hint="eastAsia" w:ascii="宋体" w:hAnsi="宋体" w:cs="宋体"/>
          <w:b/>
          <w:color w:val="auto"/>
          <w:sz w:val="24"/>
          <w:szCs w:val="24"/>
          <w:highlight w:val="none"/>
          <w:lang w:val="zh-CN"/>
        </w:rPr>
        <w:t>六、质疑</w:t>
      </w:r>
      <w:r>
        <w:rPr>
          <w:rFonts w:hint="eastAsia" w:ascii="宋体" w:hAnsi="宋体" w:cs="宋体"/>
          <w:b/>
          <w:color w:val="auto"/>
          <w:sz w:val="24"/>
          <w:szCs w:val="24"/>
          <w:highlight w:val="none"/>
        </w:rPr>
        <w:t>和</w:t>
      </w:r>
      <w:r>
        <w:rPr>
          <w:rFonts w:hint="eastAsia" w:ascii="宋体" w:hAnsi="宋体" w:cs="宋体"/>
          <w:b/>
          <w:color w:val="auto"/>
          <w:sz w:val="24"/>
          <w:szCs w:val="24"/>
          <w:highlight w:val="none"/>
          <w:lang w:val="zh-CN"/>
        </w:rPr>
        <w:t>投诉</w:t>
      </w:r>
      <w:bookmarkEnd w:id="51"/>
      <w:bookmarkEnd w:id="52"/>
    </w:p>
    <w:p w14:paraId="42DEF375">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23、质疑</w:t>
      </w:r>
    </w:p>
    <w:p w14:paraId="4E6DCA7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23.1 投标人认为采购文件、采购过程和中标结果使自己的合法权益受到损害的，可以在知道或者应当知道其权益受到损害之日起七个工作日内，将质疑文件原件以书面形式送达采购人或采购代理机构。</w:t>
      </w:r>
    </w:p>
    <w:p w14:paraId="74672BC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23.2 质疑投标人是指直接参加本次投标活动的投标人，并在上述期限内一次性提出针对同一招标程序环节的质疑。未参加投标活动的投标人或在投标活动中自身权益未受到损害的投标人所提出的质疑不予受理。</w:t>
      </w:r>
    </w:p>
    <w:p w14:paraId="3800D65C">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23.3 质疑必须以参加投标投标人法定代表人或授权代表（投标文件中所确定的）原件送达的方式提交，否则，采购人和采购代理机构有权不予受理。  </w:t>
      </w:r>
    </w:p>
    <w:p w14:paraId="370E601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23.4 质疑文件应包括以下主要内容，并按照“谁主张、谁举证”的原则，附上相关证明材料。否则，采购人和采购代理机构不予受理：</w:t>
      </w:r>
    </w:p>
    <w:p w14:paraId="5A3D029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（1）质疑项目名称、项目编号、包号、招标公告发布时间、开标时间；</w:t>
      </w:r>
    </w:p>
    <w:p w14:paraId="0A25A9A6">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（2）提起质疑的日期、具体的质疑事项及事实根据（具体条款）；</w:t>
      </w:r>
    </w:p>
    <w:p w14:paraId="571DF169">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（3）认为自己合法权益受到损害或可能受到损害的相关证据材料。质疑相关证明材料中如涉及到产品功能或技术指标的，应出具相关制造商的证明文件；</w:t>
      </w:r>
    </w:p>
    <w:p w14:paraId="071CDDBA">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（4）质疑投标人名称、地址、邮编、联系人、联系电话；</w:t>
      </w:r>
    </w:p>
    <w:p w14:paraId="6C0AF0B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（5）质疑文件应当署名，质疑人为自然人的，应当由本人签字并附有效身份证明；质疑人为法人或其他组织的，应当由法定代表人签字并加盖单位公章。</w:t>
      </w:r>
    </w:p>
    <w:p w14:paraId="54D747BF">
      <w:pPr>
        <w:ind w:firstLine="480"/>
        <w:rPr>
          <w:rFonts w:ascii="宋体" w:hAnsi="宋体" w:cs="宋体"/>
          <w:color w:val="auto"/>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val="zh-CN"/>
        </w:rPr>
        <w:t>或采购代理机构在收到投标人的书面质疑后将及时组织调查核实，在七个工作日内作出答复，答复的内容不涉及商业秘密。</w:t>
      </w:r>
    </w:p>
    <w:bookmarkEnd w:id="31"/>
    <w:bookmarkEnd w:id="32"/>
    <w:bookmarkEnd w:id="33"/>
    <w:bookmarkEnd w:id="34"/>
    <w:p w14:paraId="01AE8350">
      <w:pPr>
        <w:pStyle w:val="201"/>
        <w:rPr>
          <w:rFonts w:ascii="宋体" w:hAnsi="宋体" w:cs="宋体"/>
          <w:color w:val="auto"/>
          <w:highlight w:val="none"/>
          <w:lang w:val="zh-CN"/>
        </w:rPr>
      </w:pPr>
    </w:p>
    <w:p w14:paraId="4CAFD5FB">
      <w:pPr>
        <w:pStyle w:val="2"/>
        <w:pageBreakBefore/>
        <w:spacing w:after="120"/>
        <w:rPr>
          <w:rFonts w:asciiTheme="majorEastAsia" w:hAnsiTheme="majorEastAsia" w:eastAsiaTheme="majorEastAsia"/>
          <w:b/>
          <w:color w:val="auto"/>
          <w:sz w:val="32"/>
          <w:szCs w:val="32"/>
          <w:highlight w:val="none"/>
        </w:rPr>
      </w:pPr>
      <w:bookmarkStart w:id="53" w:name="_Toc23532"/>
      <w:r>
        <w:rPr>
          <w:rFonts w:hint="eastAsia" w:asciiTheme="majorEastAsia" w:hAnsiTheme="majorEastAsia" w:eastAsiaTheme="majorEastAsia"/>
          <w:b/>
          <w:color w:val="auto"/>
          <w:sz w:val="32"/>
          <w:szCs w:val="32"/>
          <w:highlight w:val="none"/>
        </w:rPr>
        <w:t>第三章  项目需求</w:t>
      </w:r>
      <w:bookmarkEnd w:id="53"/>
    </w:p>
    <w:p w14:paraId="1E11A0FF">
      <w:pPr>
        <w:ind w:firstLine="440"/>
        <w:rPr>
          <w:color w:val="auto"/>
          <w:highlight w:val="none"/>
        </w:rPr>
      </w:pPr>
    </w:p>
    <w:p w14:paraId="0B3B9673">
      <w:pPr>
        <w:pStyle w:val="207"/>
        <w:numPr>
          <w:ilvl w:val="0"/>
          <w:numId w:val="8"/>
        </w:numPr>
        <w:rPr>
          <w:color w:val="auto"/>
          <w:highlight w:val="none"/>
        </w:rPr>
      </w:pPr>
      <w:r>
        <w:rPr>
          <w:rFonts w:hint="eastAsia"/>
          <w:color w:val="auto"/>
          <w:highlight w:val="none"/>
        </w:rPr>
        <w:t>项目基本情况及采购项目清单</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4529"/>
        <w:gridCol w:w="699"/>
        <w:gridCol w:w="972"/>
        <w:gridCol w:w="1293"/>
      </w:tblGrid>
      <w:tr w14:paraId="519E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03" w:type="dxa"/>
            <w:noWrap w:val="0"/>
            <w:tcMar>
              <w:top w:w="283" w:type="dxa"/>
              <w:left w:w="0" w:type="dxa"/>
              <w:bottom w:w="0" w:type="dxa"/>
              <w:right w:w="0" w:type="dxa"/>
            </w:tcMar>
            <w:vAlign w:val="center"/>
          </w:tcPr>
          <w:p w14:paraId="79864A13">
            <w:pPr>
              <w:pStyle w:val="207"/>
              <w:widowControl w:val="0"/>
              <w:ind w:firstLine="60"/>
              <w:jc w:val="both"/>
              <w:rPr>
                <w:b/>
                <w:bCs/>
                <w:color w:val="auto"/>
                <w:highlight w:val="none"/>
              </w:rPr>
            </w:pPr>
            <w:r>
              <w:rPr>
                <w:rFonts w:hint="eastAsia"/>
                <w:b/>
                <w:bCs/>
                <w:color w:val="auto"/>
                <w:highlight w:val="none"/>
              </w:rPr>
              <w:t>序号</w:t>
            </w:r>
          </w:p>
        </w:tc>
        <w:tc>
          <w:tcPr>
            <w:tcW w:w="4529" w:type="dxa"/>
            <w:noWrap w:val="0"/>
            <w:tcMar>
              <w:top w:w="283" w:type="dxa"/>
              <w:left w:w="0" w:type="dxa"/>
              <w:bottom w:w="0" w:type="dxa"/>
              <w:right w:w="0" w:type="dxa"/>
            </w:tcMar>
            <w:vAlign w:val="center"/>
          </w:tcPr>
          <w:p w14:paraId="09A2D615">
            <w:pPr>
              <w:pStyle w:val="207"/>
              <w:widowControl w:val="0"/>
              <w:ind w:firstLine="60"/>
              <w:jc w:val="center"/>
              <w:rPr>
                <w:b/>
                <w:bCs/>
                <w:color w:val="auto"/>
                <w:highlight w:val="none"/>
              </w:rPr>
            </w:pPr>
            <w:r>
              <w:rPr>
                <w:rFonts w:hint="eastAsia"/>
                <w:b/>
                <w:bCs/>
                <w:color w:val="auto"/>
                <w:highlight w:val="none"/>
              </w:rPr>
              <w:t>产品名称</w:t>
            </w:r>
          </w:p>
        </w:tc>
        <w:tc>
          <w:tcPr>
            <w:tcW w:w="699" w:type="dxa"/>
            <w:noWrap w:val="0"/>
            <w:tcMar>
              <w:top w:w="283" w:type="dxa"/>
              <w:left w:w="0" w:type="dxa"/>
              <w:bottom w:w="0" w:type="dxa"/>
              <w:right w:w="0" w:type="dxa"/>
            </w:tcMar>
            <w:vAlign w:val="center"/>
          </w:tcPr>
          <w:p w14:paraId="2B9B548C">
            <w:pPr>
              <w:pStyle w:val="207"/>
              <w:widowControl w:val="0"/>
              <w:ind w:left="0" w:firstLine="0"/>
              <w:jc w:val="center"/>
              <w:rPr>
                <w:b/>
                <w:bCs/>
                <w:color w:val="auto"/>
                <w:highlight w:val="none"/>
              </w:rPr>
            </w:pPr>
            <w:r>
              <w:rPr>
                <w:rFonts w:hint="eastAsia"/>
                <w:b/>
                <w:bCs/>
                <w:color w:val="auto"/>
                <w:highlight w:val="none"/>
              </w:rPr>
              <w:t>数量</w:t>
            </w:r>
          </w:p>
        </w:tc>
        <w:tc>
          <w:tcPr>
            <w:tcW w:w="972" w:type="dxa"/>
            <w:noWrap w:val="0"/>
            <w:tcMar>
              <w:top w:w="283" w:type="dxa"/>
              <w:left w:w="0" w:type="dxa"/>
              <w:bottom w:w="0" w:type="dxa"/>
              <w:right w:w="0" w:type="dxa"/>
            </w:tcMar>
            <w:vAlign w:val="center"/>
          </w:tcPr>
          <w:p w14:paraId="5678CDB1">
            <w:pPr>
              <w:pStyle w:val="207"/>
              <w:widowControl w:val="0"/>
              <w:ind w:firstLine="60"/>
              <w:jc w:val="both"/>
              <w:rPr>
                <w:b/>
                <w:bCs/>
                <w:color w:val="auto"/>
                <w:highlight w:val="none"/>
              </w:rPr>
            </w:pPr>
            <w:r>
              <w:rPr>
                <w:rFonts w:hint="eastAsia"/>
                <w:b/>
                <w:bCs/>
                <w:color w:val="auto"/>
                <w:highlight w:val="none"/>
              </w:rPr>
              <w:t>单位</w:t>
            </w:r>
          </w:p>
        </w:tc>
        <w:tc>
          <w:tcPr>
            <w:tcW w:w="1293" w:type="dxa"/>
            <w:noWrap w:val="0"/>
            <w:tcMar>
              <w:top w:w="283" w:type="dxa"/>
              <w:left w:w="0" w:type="dxa"/>
              <w:bottom w:w="0" w:type="dxa"/>
              <w:right w:w="0" w:type="dxa"/>
            </w:tcMar>
            <w:vAlign w:val="center"/>
          </w:tcPr>
          <w:p w14:paraId="1C762C2E">
            <w:pPr>
              <w:pStyle w:val="207"/>
              <w:widowControl w:val="0"/>
              <w:ind w:firstLine="60"/>
              <w:jc w:val="both"/>
              <w:rPr>
                <w:b/>
                <w:bCs/>
                <w:color w:val="auto"/>
                <w:highlight w:val="none"/>
              </w:rPr>
            </w:pPr>
            <w:r>
              <w:rPr>
                <w:rFonts w:hint="eastAsia"/>
                <w:b/>
                <w:bCs/>
                <w:color w:val="auto"/>
                <w:highlight w:val="none"/>
              </w:rPr>
              <w:t>最高限价</w:t>
            </w:r>
          </w:p>
        </w:tc>
      </w:tr>
      <w:tr w14:paraId="6D06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803" w:type="dxa"/>
            <w:noWrap w:val="0"/>
            <w:tcMar>
              <w:top w:w="170" w:type="dxa"/>
              <w:left w:w="0" w:type="dxa"/>
              <w:bottom w:w="0" w:type="dxa"/>
              <w:right w:w="0" w:type="dxa"/>
            </w:tcMar>
            <w:vAlign w:val="center"/>
          </w:tcPr>
          <w:p w14:paraId="67F99997">
            <w:pPr>
              <w:pStyle w:val="207"/>
              <w:widowControl w:val="0"/>
              <w:ind w:firstLine="60"/>
              <w:jc w:val="center"/>
              <w:rPr>
                <w:color w:val="auto"/>
                <w:highlight w:val="none"/>
              </w:rPr>
            </w:pPr>
            <w:r>
              <w:rPr>
                <w:rFonts w:hint="eastAsia"/>
                <w:color w:val="auto"/>
                <w:highlight w:val="none"/>
              </w:rPr>
              <w:t>1</w:t>
            </w:r>
          </w:p>
        </w:tc>
        <w:tc>
          <w:tcPr>
            <w:tcW w:w="4529" w:type="dxa"/>
            <w:noWrap w:val="0"/>
            <w:tcMar>
              <w:top w:w="170" w:type="dxa"/>
              <w:left w:w="0" w:type="dxa"/>
              <w:bottom w:w="0" w:type="dxa"/>
              <w:right w:w="0" w:type="dxa"/>
            </w:tcMar>
            <w:vAlign w:val="center"/>
          </w:tcPr>
          <w:p w14:paraId="60DCD8E1">
            <w:pPr>
              <w:pStyle w:val="207"/>
              <w:widowControl w:val="0"/>
              <w:ind w:firstLine="60"/>
              <w:jc w:val="center"/>
              <w:rPr>
                <w:color w:val="auto"/>
                <w:highlight w:val="none"/>
              </w:rPr>
            </w:pPr>
            <w:r>
              <w:rPr>
                <w:rFonts w:hint="eastAsia"/>
                <w:color w:val="auto"/>
                <w:highlight w:val="none"/>
              </w:rPr>
              <w:t>步入式洗笼机</w:t>
            </w:r>
          </w:p>
        </w:tc>
        <w:tc>
          <w:tcPr>
            <w:tcW w:w="699" w:type="dxa"/>
            <w:noWrap w:val="0"/>
            <w:tcMar>
              <w:top w:w="170" w:type="dxa"/>
              <w:left w:w="0" w:type="dxa"/>
              <w:bottom w:w="0" w:type="dxa"/>
              <w:right w:w="0" w:type="dxa"/>
            </w:tcMar>
            <w:vAlign w:val="center"/>
          </w:tcPr>
          <w:p w14:paraId="22FFB877">
            <w:pPr>
              <w:pStyle w:val="207"/>
              <w:widowControl w:val="0"/>
              <w:ind w:firstLine="60"/>
              <w:jc w:val="center"/>
              <w:rPr>
                <w:color w:val="auto"/>
                <w:highlight w:val="none"/>
              </w:rPr>
            </w:pPr>
            <w:r>
              <w:rPr>
                <w:rFonts w:hint="eastAsia"/>
                <w:color w:val="auto"/>
                <w:highlight w:val="none"/>
              </w:rPr>
              <w:t>1</w:t>
            </w:r>
          </w:p>
        </w:tc>
        <w:tc>
          <w:tcPr>
            <w:tcW w:w="972" w:type="dxa"/>
            <w:noWrap w:val="0"/>
            <w:tcMar>
              <w:top w:w="170" w:type="dxa"/>
              <w:left w:w="0" w:type="dxa"/>
              <w:bottom w:w="0" w:type="dxa"/>
              <w:right w:w="0" w:type="dxa"/>
            </w:tcMar>
            <w:vAlign w:val="center"/>
          </w:tcPr>
          <w:p w14:paraId="02D12371">
            <w:pPr>
              <w:pStyle w:val="207"/>
              <w:widowControl w:val="0"/>
              <w:ind w:firstLine="60"/>
              <w:jc w:val="center"/>
              <w:rPr>
                <w:color w:val="auto"/>
                <w:highlight w:val="none"/>
              </w:rPr>
            </w:pPr>
            <w:r>
              <w:rPr>
                <w:rFonts w:hint="eastAsia"/>
                <w:color w:val="auto"/>
                <w:highlight w:val="none"/>
              </w:rPr>
              <w:t>套</w:t>
            </w:r>
          </w:p>
        </w:tc>
        <w:tc>
          <w:tcPr>
            <w:tcW w:w="1293" w:type="dxa"/>
            <w:noWrap w:val="0"/>
            <w:tcMar>
              <w:top w:w="170" w:type="dxa"/>
              <w:left w:w="0" w:type="dxa"/>
              <w:bottom w:w="0" w:type="dxa"/>
              <w:right w:w="0" w:type="dxa"/>
            </w:tcMar>
            <w:vAlign w:val="center"/>
          </w:tcPr>
          <w:p w14:paraId="3AAE2764">
            <w:pPr>
              <w:pStyle w:val="207"/>
              <w:widowControl w:val="0"/>
              <w:ind w:firstLine="60"/>
              <w:jc w:val="center"/>
              <w:rPr>
                <w:color w:val="auto"/>
                <w:highlight w:val="none"/>
              </w:rPr>
            </w:pPr>
            <w:r>
              <w:rPr>
                <w:rFonts w:hint="eastAsia"/>
                <w:color w:val="auto"/>
                <w:highlight w:val="none"/>
              </w:rPr>
              <w:t>119万元</w:t>
            </w:r>
          </w:p>
        </w:tc>
      </w:tr>
    </w:tbl>
    <w:p w14:paraId="71FE4B18">
      <w:pPr>
        <w:pStyle w:val="207"/>
        <w:ind w:firstLine="420"/>
        <w:rPr>
          <w:rFonts w:eastAsia="宋体"/>
          <w:color w:val="auto"/>
          <w:sz w:val="21"/>
          <w:szCs w:val="21"/>
          <w:highlight w:val="none"/>
        </w:rPr>
      </w:pPr>
    </w:p>
    <w:p w14:paraId="67C9480F">
      <w:pPr>
        <w:pStyle w:val="207"/>
        <w:ind w:firstLine="420"/>
        <w:rPr>
          <w:color w:val="auto"/>
          <w:sz w:val="21"/>
          <w:szCs w:val="21"/>
          <w:highlight w:val="none"/>
        </w:rPr>
      </w:pPr>
      <w:r>
        <w:rPr>
          <w:rFonts w:hint="eastAsia" w:eastAsia="宋体"/>
          <w:color w:val="auto"/>
          <w:sz w:val="21"/>
          <w:szCs w:val="21"/>
          <w:highlight w:val="none"/>
        </w:rPr>
        <w:t>二、</w:t>
      </w:r>
      <w:r>
        <w:rPr>
          <w:rFonts w:hint="eastAsia"/>
          <w:color w:val="auto"/>
          <w:highlight w:val="none"/>
        </w:rPr>
        <w:t>技术要求</w:t>
      </w:r>
    </w:p>
    <w:p w14:paraId="563DDF38">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2.1</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电源</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380V, 50Hz</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功率：</w:t>
      </w:r>
      <w:bookmarkStart w:id="54" w:name="OLE_LINK8"/>
      <w:bookmarkStart w:id="55" w:name="OLE_LINK9"/>
      <w:r>
        <w:rPr>
          <w:rFonts w:ascii="宋体" w:hAnsi="宋体" w:cs="宋体"/>
          <w:color w:val="auto"/>
          <w:sz w:val="24"/>
          <w:szCs w:val="24"/>
          <w:highlight w:val="none"/>
          <w:lang w:val="zh-CN"/>
        </w:rPr>
        <w:t>≤</w:t>
      </w:r>
      <w:bookmarkEnd w:id="54"/>
      <w:bookmarkEnd w:id="55"/>
      <w:r>
        <w:rPr>
          <w:rFonts w:ascii="宋体" w:hAnsi="宋体" w:cs="宋体"/>
          <w:color w:val="auto"/>
          <w:sz w:val="24"/>
          <w:szCs w:val="24"/>
          <w:highlight w:val="none"/>
          <w:lang w:val="zh-CN"/>
        </w:rPr>
        <w:t>10KW</w:t>
      </w:r>
      <w:r>
        <w:rPr>
          <w:rFonts w:hint="eastAsia" w:ascii="宋体" w:hAnsi="宋体" w:cs="宋体"/>
          <w:color w:val="auto"/>
          <w:sz w:val="24"/>
          <w:szCs w:val="24"/>
          <w:highlight w:val="none"/>
          <w:lang w:val="zh-CN"/>
        </w:rPr>
        <w:t>；</w:t>
      </w:r>
    </w:p>
    <w:p w14:paraId="345460E9">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★2.2</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蒸汽加热</w:t>
      </w:r>
      <w:r>
        <w:rPr>
          <w:rFonts w:hint="eastAsia" w:ascii="宋体" w:hAnsi="宋体" w:cs="宋体"/>
          <w:color w:val="auto"/>
          <w:sz w:val="24"/>
          <w:szCs w:val="24"/>
          <w:highlight w:val="none"/>
          <w:lang w:val="zh-CN"/>
        </w:rPr>
        <w:t>（</w:t>
      </w:r>
      <w:r>
        <w:rPr>
          <w:rFonts w:hint="eastAsia" w:ascii="宋体" w:hAnsi="宋体" w:cs="宋体"/>
          <w:b/>
          <w:bCs/>
          <w:color w:val="auto"/>
          <w:sz w:val="24"/>
          <w:szCs w:val="24"/>
          <w:highlight w:val="none"/>
        </w:rPr>
        <w:t>需</w:t>
      </w:r>
      <w:r>
        <w:rPr>
          <w:rFonts w:hint="eastAsia" w:ascii="宋体" w:hAnsi="宋体" w:cs="宋体"/>
          <w:b/>
          <w:bCs/>
          <w:color w:val="auto"/>
          <w:sz w:val="24"/>
          <w:szCs w:val="24"/>
          <w:highlight w:val="none"/>
          <w:lang w:val="zh-CN"/>
        </w:rPr>
        <w:t>提供所投产品彩页或制造商官网截图</w:t>
      </w:r>
      <w:r>
        <w:rPr>
          <w:rFonts w:hint="eastAsia" w:ascii="宋体" w:hAnsi="宋体" w:cs="宋体"/>
          <w:b/>
          <w:bCs/>
          <w:color w:val="auto"/>
          <w:sz w:val="24"/>
          <w:szCs w:val="24"/>
          <w:highlight w:val="none"/>
        </w:rPr>
        <w:t>或</w:t>
      </w:r>
      <w:r>
        <w:rPr>
          <w:rFonts w:hint="eastAsia" w:ascii="宋体" w:hAnsi="宋体" w:cs="宋体"/>
          <w:b/>
          <w:bCs/>
          <w:color w:val="auto"/>
          <w:sz w:val="24"/>
          <w:szCs w:val="24"/>
          <w:highlight w:val="none"/>
          <w:lang w:val="zh-CN"/>
        </w:rPr>
        <w:t>显示照片</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w:t>
      </w:r>
    </w:p>
    <w:p w14:paraId="472510CA">
      <w:pPr>
        <w:ind w:firstLine="480"/>
        <w:rPr>
          <w:rFonts w:ascii="宋体" w:hAnsi="宋体" w:cs="宋体"/>
          <w:color w:val="auto"/>
          <w:sz w:val="24"/>
          <w:szCs w:val="24"/>
          <w:highlight w:val="none"/>
          <w:lang w:val="zh-CN"/>
        </w:rPr>
      </w:pPr>
      <w:r>
        <w:rPr>
          <w:rFonts w:ascii="宋体" w:hAnsi="宋体" w:cs="宋体"/>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设备外尺寸</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≤2600W×2600D×2800H (mm)</w:t>
      </w:r>
      <w:r>
        <w:rPr>
          <w:rFonts w:hint="eastAsia" w:ascii="宋体" w:hAnsi="宋体" w:cs="宋体"/>
          <w:color w:val="auto"/>
          <w:sz w:val="24"/>
          <w:szCs w:val="24"/>
          <w:highlight w:val="none"/>
          <w:lang w:val="zh-CN"/>
        </w:rPr>
        <w:t>，门</w:t>
      </w:r>
      <w:r>
        <w:rPr>
          <w:rFonts w:hint="eastAsia" w:ascii="宋体" w:hAnsi="宋体" w:cs="宋体"/>
          <w:color w:val="auto"/>
          <w:sz w:val="24"/>
          <w:szCs w:val="24"/>
          <w:highlight w:val="none"/>
        </w:rPr>
        <w:t>尺寸：</w:t>
      </w:r>
      <w:r>
        <w:rPr>
          <w:rFonts w:hint="eastAsia" w:ascii="宋体" w:hAnsi="宋体" w:cs="宋体"/>
          <w:color w:val="auto"/>
          <w:sz w:val="24"/>
          <w:szCs w:val="24"/>
          <w:highlight w:val="none"/>
          <w:lang w:val="zh-CN"/>
        </w:rPr>
        <w:t>高度≥</w:t>
      </w:r>
      <w:r>
        <w:rPr>
          <w:rFonts w:ascii="宋体" w:hAnsi="宋体" w:cs="宋体"/>
          <w:color w:val="auto"/>
          <w:sz w:val="24"/>
          <w:szCs w:val="24"/>
          <w:highlight w:val="none"/>
          <w:lang w:val="zh-CN"/>
        </w:rPr>
        <w:t>200</w:t>
      </w:r>
      <w:r>
        <w:rPr>
          <w:rFonts w:hint="eastAsia" w:ascii="宋体" w:hAnsi="宋体" w:cs="宋体"/>
          <w:color w:val="auto"/>
          <w:sz w:val="24"/>
          <w:szCs w:val="24"/>
          <w:highlight w:val="none"/>
          <w:lang w:val="zh-CN"/>
        </w:rPr>
        <w:t>0mm*宽度≥1</w:t>
      </w: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00mm，</w:t>
      </w:r>
      <w:r>
        <w:rPr>
          <w:rFonts w:ascii="宋体" w:hAnsi="宋体" w:cs="宋体"/>
          <w:color w:val="auto"/>
          <w:sz w:val="24"/>
          <w:szCs w:val="24"/>
          <w:highlight w:val="none"/>
          <w:lang w:val="zh-CN"/>
        </w:rPr>
        <w:t>内舱</w:t>
      </w:r>
      <w:r>
        <w:rPr>
          <w:rFonts w:hint="eastAsia" w:ascii="宋体" w:hAnsi="宋体" w:cs="宋体"/>
          <w:color w:val="auto"/>
          <w:sz w:val="24"/>
          <w:szCs w:val="24"/>
          <w:highlight w:val="none"/>
        </w:rPr>
        <w:t>尺寸：</w:t>
      </w:r>
      <w:r>
        <w:rPr>
          <w:rFonts w:ascii="宋体" w:hAnsi="宋体" w:cs="宋体"/>
          <w:color w:val="auto"/>
          <w:sz w:val="24"/>
          <w:szCs w:val="24"/>
          <w:highlight w:val="none"/>
          <w:lang w:val="zh-CN"/>
        </w:rPr>
        <w:t>≥15</w:t>
      </w:r>
      <w:r>
        <w:rPr>
          <w:rFonts w:ascii="宋体" w:hAnsi="宋体" w:cs="宋体"/>
          <w:color w:val="auto"/>
          <w:sz w:val="24"/>
          <w:szCs w:val="24"/>
          <w:highlight w:val="none"/>
        </w:rPr>
        <w:t>0</w:t>
      </w:r>
      <w:r>
        <w:rPr>
          <w:rFonts w:ascii="宋体" w:hAnsi="宋体" w:cs="宋体"/>
          <w:color w:val="auto"/>
          <w:sz w:val="24"/>
          <w:szCs w:val="24"/>
          <w:highlight w:val="none"/>
          <w:lang w:val="zh-CN"/>
        </w:rPr>
        <w:t>0W×2</w:t>
      </w:r>
      <w:r>
        <w:rPr>
          <w:rFonts w:hint="eastAsia" w:ascii="宋体" w:hAnsi="宋体" w:cs="宋体"/>
          <w:color w:val="auto"/>
          <w:sz w:val="24"/>
          <w:szCs w:val="24"/>
          <w:highlight w:val="none"/>
        </w:rPr>
        <w:t>3</w:t>
      </w:r>
      <w:r>
        <w:rPr>
          <w:rFonts w:ascii="宋体" w:hAnsi="宋体" w:cs="宋体"/>
          <w:color w:val="auto"/>
          <w:sz w:val="24"/>
          <w:szCs w:val="24"/>
          <w:highlight w:val="none"/>
        </w:rPr>
        <w:t>0</w:t>
      </w:r>
      <w:r>
        <w:rPr>
          <w:rFonts w:hint="eastAsia" w:ascii="宋体" w:hAnsi="宋体" w:cs="宋体"/>
          <w:color w:val="auto"/>
          <w:sz w:val="24"/>
          <w:szCs w:val="24"/>
          <w:highlight w:val="none"/>
        </w:rPr>
        <w:t>0</w:t>
      </w:r>
      <w:r>
        <w:rPr>
          <w:rFonts w:ascii="宋体" w:hAnsi="宋体" w:cs="宋体"/>
          <w:color w:val="auto"/>
          <w:sz w:val="24"/>
          <w:szCs w:val="24"/>
          <w:highlight w:val="none"/>
          <w:lang w:val="zh-CN"/>
        </w:rPr>
        <w:t>D×2200H (mm)</w:t>
      </w:r>
      <w:r>
        <w:rPr>
          <w:rFonts w:hint="eastAsia" w:ascii="Times New Roman" w:hAnsi="Times New Roman" w:cs="Times New Roman"/>
          <w:color w:val="auto"/>
          <w:szCs w:val="21"/>
          <w:highlight w:val="none"/>
        </w:rPr>
        <w:t xml:space="preserve"> </w:t>
      </w:r>
      <w:r>
        <w:rPr>
          <w:rFonts w:hint="eastAsia" w:ascii="Times New Roman" w:hAnsi="Times New Roman" w:cs="Times New Roman"/>
          <w:b/>
          <w:bCs/>
          <w:color w:val="auto"/>
          <w:szCs w:val="21"/>
          <w:highlight w:val="none"/>
        </w:rPr>
        <w:t>（</w:t>
      </w:r>
      <w:r>
        <w:rPr>
          <w:rFonts w:hint="eastAsia" w:ascii="宋体" w:hAnsi="宋体" w:cs="宋体"/>
          <w:b/>
          <w:bCs/>
          <w:color w:val="auto"/>
          <w:sz w:val="24"/>
          <w:szCs w:val="24"/>
          <w:highlight w:val="none"/>
          <w:lang w:val="zh-CN"/>
        </w:rPr>
        <w:t>佐证材料包括但不限于明确说明该技术内容的产品彩页或产品说明书或白皮书或第三方检测机构的检测报告或实物测量照片等并加盖公章）。</w:t>
      </w:r>
    </w:p>
    <w:p w14:paraId="051A8A1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2.4 </w:t>
      </w:r>
      <w:r>
        <w:rPr>
          <w:rFonts w:ascii="宋体" w:hAnsi="宋体" w:cs="宋体"/>
          <w:color w:val="auto"/>
          <w:sz w:val="24"/>
          <w:szCs w:val="24"/>
          <w:highlight w:val="none"/>
          <w:lang w:val="zh-CN"/>
        </w:rPr>
        <w:t>主体、管道系统及喷嘴材料均为 304不锈钢材质。</w:t>
      </w:r>
      <w:r>
        <w:rPr>
          <w:rFonts w:hint="eastAsia" w:ascii="宋体" w:hAnsi="宋体" w:cs="宋体"/>
          <w:color w:val="auto"/>
          <w:sz w:val="24"/>
          <w:szCs w:val="24"/>
          <w:highlight w:val="none"/>
          <w:lang w:val="zh-CN"/>
        </w:rPr>
        <w:t>技术区防水防尘能力不低于IP55级别</w:t>
      </w:r>
      <w:r>
        <w:rPr>
          <w:rFonts w:hint="eastAsia" w:ascii="宋体" w:hAnsi="宋体" w:cs="宋体"/>
          <w:b/>
          <w:bCs/>
          <w:color w:val="auto"/>
          <w:sz w:val="24"/>
          <w:szCs w:val="24"/>
          <w:highlight w:val="none"/>
          <w:lang w:val="zh-CN"/>
        </w:rPr>
        <w:t>（佐证材料包括但不限于明确说明该技术内容的产品彩页或产品说明书或白皮书或第三方检测机构的检测报告等并加盖公章）</w:t>
      </w:r>
      <w:r>
        <w:rPr>
          <w:rFonts w:hint="eastAsia" w:ascii="宋体" w:hAnsi="宋体" w:cs="宋体"/>
          <w:color w:val="auto"/>
          <w:sz w:val="24"/>
          <w:szCs w:val="24"/>
          <w:highlight w:val="none"/>
          <w:lang w:val="zh-CN"/>
        </w:rPr>
        <w:t>。</w:t>
      </w:r>
    </w:p>
    <w:p w14:paraId="0B34130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2.5</w:t>
      </w:r>
      <w:r>
        <w:rPr>
          <w:rFonts w:hint="eastAsia" w:ascii="宋体" w:hAnsi="宋体" w:cs="宋体"/>
          <w:color w:val="auto"/>
          <w:sz w:val="24"/>
          <w:szCs w:val="24"/>
          <w:highlight w:val="none"/>
          <w:lang w:val="zh-CN"/>
        </w:rPr>
        <w:t>门为可视化的整块一体结构复合钢化玻璃</w:t>
      </w:r>
      <w:r>
        <w:rPr>
          <w:rFonts w:hint="eastAsia" w:ascii="Times New Roman" w:hAnsi="Times New Roman" w:cs="Times New Roman"/>
          <w:color w:val="auto"/>
          <w:szCs w:val="21"/>
          <w:highlight w:val="none"/>
        </w:rPr>
        <w:t>（</w:t>
      </w:r>
      <w:r>
        <w:rPr>
          <w:rFonts w:hint="eastAsia" w:ascii="宋体" w:hAnsi="宋体" w:cs="宋体"/>
          <w:b/>
          <w:bCs/>
          <w:color w:val="auto"/>
          <w:sz w:val="24"/>
          <w:szCs w:val="24"/>
          <w:highlight w:val="none"/>
        </w:rPr>
        <w:t>需</w:t>
      </w:r>
      <w:r>
        <w:rPr>
          <w:rFonts w:hint="eastAsia" w:ascii="宋体" w:hAnsi="宋体" w:cs="宋体"/>
          <w:b/>
          <w:bCs/>
          <w:color w:val="auto"/>
          <w:sz w:val="24"/>
          <w:szCs w:val="24"/>
          <w:highlight w:val="none"/>
          <w:lang w:val="zh-CN"/>
        </w:rPr>
        <w:t>提供所投产品彩页或制造商官网截图</w:t>
      </w:r>
      <w:r>
        <w:rPr>
          <w:rFonts w:hint="eastAsia" w:ascii="宋体" w:hAnsi="宋体" w:cs="宋体"/>
          <w:b/>
          <w:bCs/>
          <w:color w:val="auto"/>
          <w:sz w:val="24"/>
          <w:szCs w:val="24"/>
          <w:highlight w:val="none"/>
        </w:rPr>
        <w:t>或</w:t>
      </w:r>
      <w:r>
        <w:rPr>
          <w:rFonts w:hint="eastAsia" w:ascii="宋体" w:hAnsi="宋体" w:cs="宋体"/>
          <w:b/>
          <w:bCs/>
          <w:color w:val="auto"/>
          <w:sz w:val="24"/>
          <w:szCs w:val="24"/>
          <w:highlight w:val="none"/>
          <w:lang w:val="zh-CN"/>
        </w:rPr>
        <w:t>显示照片</w:t>
      </w:r>
      <w:r>
        <w:rPr>
          <w:rFonts w:hint="eastAsia" w:ascii="Times New Roman" w:hAnsi="Times New Roman" w:cs="Times New Roman"/>
          <w:color w:val="auto"/>
          <w:szCs w:val="21"/>
          <w:highlight w:val="none"/>
        </w:rPr>
        <w:t>）</w:t>
      </w:r>
      <w:r>
        <w:rPr>
          <w:rFonts w:hint="eastAsia" w:ascii="宋体" w:hAnsi="宋体" w:cs="宋体"/>
          <w:color w:val="auto"/>
          <w:sz w:val="24"/>
          <w:szCs w:val="24"/>
          <w:highlight w:val="none"/>
          <w:lang w:val="zh-CN"/>
        </w:rPr>
        <w:t>，厚度≥13.5mm，防爆玻璃（</w:t>
      </w:r>
      <w:r>
        <w:rPr>
          <w:rFonts w:hint="eastAsia" w:ascii="宋体" w:hAnsi="宋体" w:cs="宋体"/>
          <w:b/>
          <w:bCs/>
          <w:color w:val="auto"/>
          <w:sz w:val="24"/>
          <w:szCs w:val="24"/>
          <w:highlight w:val="none"/>
          <w:lang w:val="zh-CN"/>
        </w:rPr>
        <w:t>需提供玻璃</w:t>
      </w:r>
      <w:r>
        <w:rPr>
          <w:rFonts w:hint="eastAsia" w:ascii="宋体" w:hAnsi="宋体" w:cs="宋体"/>
          <w:b/>
          <w:bCs/>
          <w:color w:val="auto"/>
          <w:sz w:val="24"/>
          <w:szCs w:val="24"/>
          <w:highlight w:val="none"/>
        </w:rPr>
        <w:t>厚度</w:t>
      </w:r>
      <w:r>
        <w:rPr>
          <w:rFonts w:hint="eastAsia" w:ascii="宋体" w:hAnsi="宋体" w:cs="宋体"/>
          <w:b/>
          <w:bCs/>
          <w:color w:val="auto"/>
          <w:sz w:val="24"/>
          <w:szCs w:val="24"/>
          <w:highlight w:val="none"/>
          <w:lang w:val="zh-CN"/>
        </w:rPr>
        <w:t>和</w:t>
      </w:r>
      <w:r>
        <w:rPr>
          <w:rFonts w:hint="eastAsia" w:ascii="宋体" w:hAnsi="宋体" w:cs="宋体"/>
          <w:b/>
          <w:bCs/>
          <w:color w:val="auto"/>
          <w:sz w:val="24"/>
          <w:szCs w:val="24"/>
          <w:highlight w:val="none"/>
        </w:rPr>
        <w:t>玻璃</w:t>
      </w:r>
      <w:r>
        <w:rPr>
          <w:rFonts w:hint="eastAsia" w:ascii="宋体" w:hAnsi="宋体" w:cs="宋体"/>
          <w:b/>
          <w:bCs/>
          <w:color w:val="auto"/>
          <w:sz w:val="24"/>
          <w:szCs w:val="24"/>
          <w:highlight w:val="none"/>
          <w:lang w:val="zh-CN"/>
        </w:rPr>
        <w:t>防爆证明</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门上有密封圈保证无水及气体泄露</w:t>
      </w:r>
      <w:r>
        <w:rPr>
          <w:rFonts w:hint="eastAsia" w:ascii="宋体" w:hAnsi="宋体" w:cs="宋体"/>
          <w:b/>
          <w:bCs/>
          <w:color w:val="auto"/>
          <w:sz w:val="24"/>
          <w:szCs w:val="24"/>
          <w:highlight w:val="none"/>
          <w:lang w:val="zh-CN"/>
        </w:rPr>
        <w:t>（</w:t>
      </w:r>
      <w:r>
        <w:rPr>
          <w:rFonts w:ascii="宋体" w:hAnsi="宋体" w:cs="宋体"/>
          <w:b/>
          <w:bCs/>
          <w:color w:val="auto"/>
          <w:sz w:val="24"/>
          <w:szCs w:val="24"/>
          <w:highlight w:val="none"/>
          <w:lang w:val="zh-CN"/>
        </w:rPr>
        <w:t>提供实物照片</w:t>
      </w:r>
      <w:r>
        <w:rPr>
          <w:rFonts w:hint="eastAsia" w:ascii="宋体" w:hAnsi="宋体" w:cs="宋体"/>
          <w:b/>
          <w:bCs/>
          <w:color w:val="auto"/>
          <w:sz w:val="24"/>
          <w:szCs w:val="24"/>
          <w:highlight w:val="none"/>
          <w:lang w:val="zh-CN"/>
        </w:rPr>
        <w:t>）</w:t>
      </w:r>
      <w:r>
        <w:rPr>
          <w:rFonts w:ascii="宋体" w:hAnsi="宋体" w:cs="宋体"/>
          <w:color w:val="auto"/>
          <w:sz w:val="24"/>
          <w:szCs w:val="24"/>
          <w:highlight w:val="none"/>
          <w:lang w:val="zh-CN"/>
        </w:rPr>
        <w:t>。</w:t>
      </w:r>
    </w:p>
    <w:p w14:paraId="565EB4E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 xml:space="preserve">6 </w:t>
      </w:r>
      <w:r>
        <w:rPr>
          <w:rFonts w:ascii="宋体" w:hAnsi="宋体" w:cs="宋体"/>
          <w:color w:val="auto"/>
          <w:sz w:val="24"/>
          <w:szCs w:val="24"/>
          <w:highlight w:val="none"/>
          <w:lang w:val="zh-CN"/>
        </w:rPr>
        <w:t>水</w:t>
      </w:r>
      <w:r>
        <w:rPr>
          <w:rFonts w:hint="eastAsia" w:ascii="宋体" w:hAnsi="宋体" w:cs="宋体"/>
          <w:color w:val="auto"/>
          <w:sz w:val="24"/>
          <w:szCs w:val="24"/>
          <w:highlight w:val="none"/>
          <w:lang w:val="zh-CN"/>
        </w:rPr>
        <w:t>、压缩</w:t>
      </w:r>
      <w:r>
        <w:rPr>
          <w:rFonts w:ascii="宋体" w:hAnsi="宋体" w:cs="宋体"/>
          <w:color w:val="auto"/>
          <w:sz w:val="24"/>
          <w:szCs w:val="24"/>
          <w:highlight w:val="none"/>
          <w:lang w:val="zh-CN"/>
        </w:rPr>
        <w:t>空气</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需提供</w:t>
      </w:r>
      <w:r>
        <w:rPr>
          <w:rFonts w:hint="eastAsia" w:ascii="宋体" w:hAnsi="宋体" w:cs="宋体"/>
          <w:color w:val="auto"/>
          <w:sz w:val="24"/>
          <w:szCs w:val="24"/>
          <w:highlight w:val="none"/>
          <w:lang w:val="zh-CN"/>
        </w:rPr>
        <w:t>配套</w:t>
      </w:r>
      <w:r>
        <w:rPr>
          <w:rFonts w:ascii="宋体" w:hAnsi="宋体" w:cs="宋体"/>
          <w:color w:val="auto"/>
          <w:sz w:val="24"/>
          <w:szCs w:val="24"/>
          <w:highlight w:val="none"/>
          <w:lang w:val="zh-CN"/>
        </w:rPr>
        <w:t>的软化水</w:t>
      </w:r>
      <w:r>
        <w:rPr>
          <w:rFonts w:hint="eastAsia" w:ascii="宋体" w:hAnsi="宋体" w:cs="宋体"/>
          <w:color w:val="auto"/>
          <w:sz w:val="24"/>
          <w:szCs w:val="24"/>
          <w:highlight w:val="none"/>
          <w:lang w:val="zh-CN"/>
        </w:rPr>
        <w:t>设备及</w:t>
      </w:r>
      <w:r>
        <w:rPr>
          <w:rFonts w:ascii="宋体" w:hAnsi="宋体" w:cs="宋体"/>
          <w:color w:val="auto"/>
          <w:sz w:val="24"/>
          <w:szCs w:val="24"/>
          <w:highlight w:val="none"/>
          <w:lang w:val="zh-CN"/>
        </w:rPr>
        <w:t>空压机，且设备内置压缩空气暂存罐，在外部供气不足时提供备用动力。</w:t>
      </w:r>
    </w:p>
    <w:p w14:paraId="567B723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 xml:space="preserve">7 </w:t>
      </w:r>
      <w:r>
        <w:rPr>
          <w:rFonts w:hint="eastAsia" w:ascii="宋体" w:hAnsi="宋体" w:cs="宋体"/>
          <w:color w:val="auto"/>
          <w:sz w:val="24"/>
          <w:szCs w:val="24"/>
          <w:highlight w:val="none"/>
          <w:lang w:val="zh-CN"/>
        </w:rPr>
        <w:t>动力</w:t>
      </w:r>
      <w:r>
        <w:rPr>
          <w:rFonts w:ascii="宋体" w:hAnsi="宋体" w:cs="宋体"/>
          <w:color w:val="auto"/>
          <w:sz w:val="24"/>
          <w:szCs w:val="24"/>
          <w:highlight w:val="none"/>
          <w:lang w:val="zh-CN"/>
        </w:rPr>
        <w:t>泵</w:t>
      </w:r>
      <w:r>
        <w:rPr>
          <w:rFonts w:hint="eastAsia" w:ascii="宋体" w:hAnsi="宋体" w:cs="宋体"/>
          <w:color w:val="auto"/>
          <w:sz w:val="24"/>
          <w:szCs w:val="24"/>
          <w:highlight w:val="none"/>
          <w:lang w:val="zh-CN"/>
        </w:rPr>
        <w:t>：</w:t>
      </w:r>
    </w:p>
    <w:p w14:paraId="1C61CFC8">
      <w:pPr>
        <w:ind w:firstLine="482"/>
        <w:rPr>
          <w:rFonts w:ascii="宋体" w:hAnsi="宋体" w:cs="宋体"/>
          <w:color w:val="auto"/>
          <w:sz w:val="24"/>
          <w:szCs w:val="24"/>
          <w:highlight w:val="none"/>
          <w:lang w:val="zh-CN"/>
        </w:rPr>
      </w:pPr>
      <w:r>
        <w:rPr>
          <w:rFonts w:ascii="宋体" w:hAnsi="宋体" w:cs="宋体"/>
          <w:b/>
          <w:color w:val="auto"/>
          <w:sz w:val="24"/>
          <w:szCs w:val="24"/>
          <w:highlight w:val="none"/>
          <w:lang w:val="zh-CN"/>
        </w:rPr>
        <w:t>清洗泵</w:t>
      </w:r>
      <w:r>
        <w:rPr>
          <w:rFonts w:ascii="宋体" w:hAnsi="宋体" w:cs="宋体"/>
          <w:color w:val="auto"/>
          <w:sz w:val="24"/>
          <w:szCs w:val="24"/>
          <w:highlight w:val="none"/>
          <w:lang w:val="zh-CN"/>
        </w:rPr>
        <w:t>：功率≥4.0KW，材质316L不锈钢</w:t>
      </w:r>
      <w:r>
        <w:rPr>
          <w:rFonts w:hint="eastAsia" w:ascii="宋体" w:hAnsi="宋体" w:cs="宋体"/>
          <w:color w:val="auto"/>
          <w:sz w:val="24"/>
          <w:szCs w:val="24"/>
          <w:highlight w:val="none"/>
          <w:lang w:val="zh-CN"/>
        </w:rPr>
        <w:t>；</w:t>
      </w:r>
      <w:r>
        <w:rPr>
          <w:rFonts w:ascii="宋体" w:hAnsi="宋体" w:cs="宋体"/>
          <w:b/>
          <w:color w:val="auto"/>
          <w:sz w:val="24"/>
          <w:szCs w:val="24"/>
          <w:highlight w:val="none"/>
          <w:lang w:val="zh-CN"/>
        </w:rPr>
        <w:t>漂洗泵</w:t>
      </w:r>
      <w:r>
        <w:rPr>
          <w:rFonts w:ascii="宋体" w:hAnsi="宋体" w:cs="宋体"/>
          <w:color w:val="auto"/>
          <w:sz w:val="24"/>
          <w:szCs w:val="24"/>
          <w:highlight w:val="none"/>
          <w:lang w:val="zh-CN"/>
        </w:rPr>
        <w:t>：配1个，泵功率≥2.2KW，材质为316L不锈钢</w:t>
      </w:r>
      <w:r>
        <w:rPr>
          <w:rFonts w:hint="eastAsia" w:ascii="宋体" w:hAnsi="宋体" w:cs="宋体"/>
          <w:color w:val="auto"/>
          <w:sz w:val="24"/>
          <w:szCs w:val="24"/>
          <w:highlight w:val="none"/>
          <w:lang w:val="zh-CN"/>
        </w:rPr>
        <w:t>；</w:t>
      </w:r>
      <w:r>
        <w:rPr>
          <w:rFonts w:ascii="宋体" w:hAnsi="宋体" w:cs="宋体"/>
          <w:b/>
          <w:color w:val="auto"/>
          <w:sz w:val="24"/>
          <w:szCs w:val="24"/>
          <w:highlight w:val="none"/>
          <w:lang w:val="zh-CN"/>
        </w:rPr>
        <w:t>清洗剂泵</w:t>
      </w:r>
      <w:r>
        <w:rPr>
          <w:rFonts w:ascii="宋体" w:hAnsi="宋体" w:cs="宋体"/>
          <w:color w:val="auto"/>
          <w:sz w:val="24"/>
          <w:szCs w:val="24"/>
          <w:highlight w:val="none"/>
          <w:lang w:val="zh-CN"/>
        </w:rPr>
        <w:t>：清洗剂蠕动泵</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2个。</w:t>
      </w:r>
    </w:p>
    <w:p w14:paraId="4ABF572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bCs/>
          <w:color w:val="auto"/>
          <w:sz w:val="24"/>
          <w:szCs w:val="24"/>
          <w:highlight w:val="none"/>
        </w:rPr>
        <w:t xml:space="preserve">2.8 </w:t>
      </w:r>
      <w:r>
        <w:rPr>
          <w:rFonts w:ascii="宋体" w:hAnsi="宋体" w:cs="宋体"/>
          <w:bCs/>
          <w:color w:val="auto"/>
          <w:sz w:val="24"/>
          <w:szCs w:val="24"/>
          <w:highlight w:val="none"/>
          <w:lang w:val="zh-CN"/>
        </w:rPr>
        <w:t>清洗水箱：</w:t>
      </w:r>
      <w:r>
        <w:rPr>
          <w:rFonts w:hint="eastAsia" w:ascii="宋体" w:hAnsi="宋体" w:cs="宋体"/>
          <w:bCs/>
          <w:color w:val="auto"/>
          <w:sz w:val="24"/>
          <w:szCs w:val="24"/>
          <w:highlight w:val="none"/>
        </w:rPr>
        <w:t>酸洗水箱</w:t>
      </w:r>
      <w:r>
        <w:rPr>
          <w:rFonts w:ascii="宋体" w:hAnsi="宋体" w:cs="宋体"/>
          <w:color w:val="auto"/>
          <w:sz w:val="24"/>
          <w:szCs w:val="24"/>
          <w:highlight w:val="none"/>
          <w:lang w:val="zh-CN"/>
        </w:rPr>
        <w:t>≥</w:t>
      </w:r>
      <w:r>
        <w:rPr>
          <w:rFonts w:hint="eastAsia" w:ascii="宋体" w:hAnsi="宋体" w:cs="宋体"/>
          <w:bCs/>
          <w:color w:val="auto"/>
          <w:sz w:val="24"/>
          <w:szCs w:val="24"/>
          <w:highlight w:val="none"/>
        </w:rPr>
        <w:t>1个、碱洗水箱</w:t>
      </w:r>
      <w:r>
        <w:rPr>
          <w:rFonts w:ascii="宋体" w:hAnsi="宋体" w:cs="宋体"/>
          <w:color w:val="auto"/>
          <w:sz w:val="24"/>
          <w:szCs w:val="24"/>
          <w:highlight w:val="none"/>
          <w:lang w:val="zh-CN"/>
        </w:rPr>
        <w:t>≥</w:t>
      </w:r>
      <w:r>
        <w:rPr>
          <w:rFonts w:hint="eastAsia" w:ascii="宋体" w:hAnsi="宋体" w:cs="宋体"/>
          <w:bCs/>
          <w:color w:val="auto"/>
          <w:sz w:val="24"/>
          <w:szCs w:val="24"/>
          <w:highlight w:val="none"/>
        </w:rPr>
        <w:t>1个，</w:t>
      </w:r>
      <w:r>
        <w:rPr>
          <w:rFonts w:hint="eastAsia" w:ascii="宋体" w:hAnsi="宋体" w:cs="宋体"/>
          <w:color w:val="auto"/>
          <w:sz w:val="24"/>
          <w:szCs w:val="24"/>
          <w:highlight w:val="none"/>
          <w:lang w:val="zh-CN"/>
        </w:rPr>
        <w:t>304不锈钢材质，</w:t>
      </w:r>
      <w:r>
        <w:rPr>
          <w:rFonts w:ascii="宋体" w:hAnsi="宋体" w:cs="宋体"/>
          <w:color w:val="auto"/>
          <w:sz w:val="24"/>
          <w:szCs w:val="24"/>
          <w:highlight w:val="none"/>
          <w:lang w:val="zh-CN"/>
        </w:rPr>
        <w:t>容积≥140L，</w:t>
      </w:r>
      <w:r>
        <w:rPr>
          <w:rFonts w:hint="eastAsia" w:ascii="宋体" w:hAnsi="宋体" w:cs="宋体"/>
          <w:color w:val="auto"/>
          <w:sz w:val="24"/>
          <w:szCs w:val="24"/>
          <w:highlight w:val="none"/>
          <w:lang w:val="zh-CN"/>
        </w:rPr>
        <w:t>内</w:t>
      </w:r>
      <w:r>
        <w:rPr>
          <w:rFonts w:ascii="宋体" w:hAnsi="宋体" w:cs="宋体"/>
          <w:color w:val="auto"/>
          <w:sz w:val="24"/>
          <w:szCs w:val="24"/>
          <w:highlight w:val="none"/>
          <w:lang w:val="zh-CN"/>
        </w:rPr>
        <w:t>有液位探针</w:t>
      </w:r>
      <w:r>
        <w:rPr>
          <w:rFonts w:hint="eastAsia" w:ascii="宋体" w:hAnsi="宋体" w:cs="宋体"/>
          <w:color w:val="auto"/>
          <w:sz w:val="24"/>
          <w:szCs w:val="24"/>
          <w:highlight w:val="none"/>
          <w:lang w:val="zh-CN"/>
        </w:rPr>
        <w:t>以确认</w:t>
      </w:r>
      <w:r>
        <w:rPr>
          <w:rFonts w:ascii="宋体" w:hAnsi="宋体" w:cs="宋体"/>
          <w:color w:val="auto"/>
          <w:sz w:val="24"/>
          <w:szCs w:val="24"/>
          <w:highlight w:val="none"/>
          <w:lang w:val="zh-CN"/>
        </w:rPr>
        <w:t>水位符合运行标准</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水箱内设有蒸汽加热盘管，</w:t>
      </w:r>
      <w:r>
        <w:rPr>
          <w:rFonts w:hint="eastAsia" w:ascii="宋体" w:hAnsi="宋体" w:cs="宋体"/>
          <w:color w:val="auto"/>
          <w:sz w:val="24"/>
          <w:szCs w:val="24"/>
          <w:highlight w:val="none"/>
          <w:lang w:val="zh-CN"/>
        </w:rPr>
        <w:t>1</w:t>
      </w:r>
      <w:r>
        <w:rPr>
          <w:rFonts w:ascii="宋体" w:hAnsi="宋体" w:cs="宋体"/>
          <w:color w:val="auto"/>
          <w:sz w:val="24"/>
          <w:szCs w:val="24"/>
          <w:highlight w:val="none"/>
          <w:lang w:val="zh-CN"/>
        </w:rPr>
        <w:t>个温度传感器探针，保证清洗水温≥50</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w:t>
      </w:r>
    </w:p>
    <w:p w14:paraId="1D3C6FD0">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zh-CN"/>
        </w:rPr>
        <w:t>▲</w:t>
      </w:r>
      <w:r>
        <w:rPr>
          <w:rFonts w:hint="eastAsia" w:ascii="宋体" w:hAnsi="宋体" w:cs="宋体"/>
          <w:bCs/>
          <w:color w:val="auto"/>
          <w:sz w:val="24"/>
          <w:szCs w:val="24"/>
          <w:highlight w:val="none"/>
        </w:rPr>
        <w:t xml:space="preserve">2.9 </w:t>
      </w:r>
      <w:r>
        <w:rPr>
          <w:rFonts w:ascii="宋体" w:hAnsi="宋体" w:cs="宋体"/>
          <w:bCs/>
          <w:color w:val="auto"/>
          <w:sz w:val="24"/>
          <w:szCs w:val="24"/>
          <w:highlight w:val="none"/>
          <w:lang w:val="zh-CN"/>
        </w:rPr>
        <w:t>漂洗水箱：</w:t>
      </w:r>
      <w:r>
        <w:rPr>
          <w:rFonts w:hint="eastAsia" w:ascii="宋体" w:hAnsi="宋体" w:cs="宋体"/>
          <w:bCs/>
          <w:color w:val="auto"/>
          <w:sz w:val="24"/>
          <w:szCs w:val="24"/>
          <w:highlight w:val="none"/>
          <w:lang w:val="zh-CN"/>
        </w:rPr>
        <w:t>30</w:t>
      </w:r>
      <w:r>
        <w:rPr>
          <w:rFonts w:hint="eastAsia" w:ascii="宋体" w:hAnsi="宋体" w:cs="宋体"/>
          <w:color w:val="auto"/>
          <w:sz w:val="24"/>
          <w:szCs w:val="24"/>
          <w:highlight w:val="none"/>
          <w:lang w:val="zh-CN"/>
        </w:rPr>
        <w:t>4不锈钢材质，</w:t>
      </w:r>
      <w:r>
        <w:rPr>
          <w:rFonts w:ascii="宋体" w:hAnsi="宋体" w:cs="宋体"/>
          <w:color w:val="auto"/>
          <w:sz w:val="24"/>
          <w:szCs w:val="24"/>
          <w:highlight w:val="none"/>
          <w:lang w:val="zh-CN"/>
        </w:rPr>
        <w:t>容积≥200L，水箱内设有两个液位传感器分别用于确认箱内高水位和低水位</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蒸汽加热盘管，</w:t>
      </w:r>
      <w:r>
        <w:rPr>
          <w:rFonts w:ascii="宋体" w:hAnsi="宋体" w:cs="宋体"/>
          <w:bCs/>
          <w:color w:val="auto"/>
          <w:sz w:val="24"/>
          <w:szCs w:val="24"/>
          <w:highlight w:val="none"/>
          <w:lang w:val="zh-CN"/>
        </w:rPr>
        <w:t>漂洗</w:t>
      </w:r>
      <w:r>
        <w:rPr>
          <w:rFonts w:ascii="宋体" w:hAnsi="宋体" w:cs="宋体"/>
          <w:color w:val="auto"/>
          <w:sz w:val="24"/>
          <w:szCs w:val="24"/>
          <w:highlight w:val="none"/>
          <w:lang w:val="zh-CN"/>
        </w:rPr>
        <w:t>水温≥</w:t>
      </w:r>
      <w:r>
        <w:rPr>
          <w:rFonts w:hint="eastAsia" w:ascii="宋体" w:hAnsi="宋体" w:cs="宋体"/>
          <w:color w:val="auto"/>
          <w:sz w:val="24"/>
          <w:szCs w:val="24"/>
          <w:highlight w:val="none"/>
        </w:rPr>
        <w:t>90</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具备</w:t>
      </w:r>
      <w:r>
        <w:rPr>
          <w:rFonts w:hint="eastAsia" w:ascii="宋体" w:hAnsi="宋体"/>
          <w:bCs/>
          <w:color w:val="auto"/>
          <w:sz w:val="24"/>
          <w:szCs w:val="24"/>
          <w:highlight w:val="none"/>
        </w:rPr>
        <w:t>热力消毒功能</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 xml:space="preserve"> </w:t>
      </w:r>
    </w:p>
    <w:p w14:paraId="63935D3E">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 xml:space="preserve">10 </w:t>
      </w:r>
      <w:r>
        <w:rPr>
          <w:rFonts w:hint="eastAsia" w:ascii="宋体" w:hAnsi="宋体" w:cs="宋体"/>
          <w:color w:val="auto"/>
          <w:sz w:val="24"/>
          <w:szCs w:val="24"/>
          <w:highlight w:val="none"/>
          <w:lang w:val="zh-CN"/>
        </w:rPr>
        <w:t>清洗舱：</w:t>
      </w:r>
      <w:r>
        <w:rPr>
          <w:rFonts w:ascii="宋体" w:hAnsi="宋体" w:cs="宋体"/>
          <w:color w:val="auto"/>
          <w:sz w:val="24"/>
          <w:szCs w:val="24"/>
          <w:highlight w:val="none"/>
          <w:lang w:val="zh-CN"/>
        </w:rPr>
        <w:t>整体材质</w:t>
      </w:r>
      <w:r>
        <w:rPr>
          <w:rFonts w:hint="eastAsia" w:ascii="宋体" w:hAnsi="宋体" w:cs="宋体"/>
          <w:color w:val="auto"/>
          <w:sz w:val="24"/>
          <w:szCs w:val="24"/>
          <w:highlight w:val="none"/>
          <w:lang w:val="zh-CN"/>
        </w:rPr>
        <w:t>为</w:t>
      </w:r>
      <w:r>
        <w:rPr>
          <w:rFonts w:ascii="宋体" w:hAnsi="宋体" w:cs="宋体"/>
          <w:color w:val="auto"/>
          <w:sz w:val="24"/>
          <w:szCs w:val="24"/>
          <w:highlight w:val="none"/>
          <w:lang w:val="zh-CN"/>
        </w:rPr>
        <w:t>304不锈钢</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内舱各角落采用圆弧形设计</w:t>
      </w:r>
      <w:r>
        <w:rPr>
          <w:rFonts w:hint="eastAsia" w:ascii="宋体" w:hAnsi="宋体" w:cs="宋体"/>
          <w:color w:val="auto"/>
          <w:sz w:val="24"/>
          <w:szCs w:val="24"/>
          <w:highlight w:val="none"/>
          <w:lang w:val="zh-CN"/>
        </w:rPr>
        <w:t>，设有可调节定位导轨，确保待清洗物件在舱内的最优定位。</w:t>
      </w:r>
    </w:p>
    <w:p w14:paraId="2963106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 xml:space="preserve">11 </w:t>
      </w:r>
      <w:r>
        <w:rPr>
          <w:rFonts w:hint="eastAsia" w:ascii="宋体" w:hAnsi="宋体" w:cs="宋体"/>
          <w:bCs/>
          <w:color w:val="auto"/>
          <w:sz w:val="24"/>
          <w:szCs w:val="24"/>
          <w:highlight w:val="none"/>
          <w:lang w:val="zh-CN"/>
        </w:rPr>
        <w:t>清洗/漂洗手臂</w:t>
      </w:r>
      <w:r>
        <w:rPr>
          <w:rFonts w:ascii="宋体" w:hAnsi="宋体" w:cs="宋体"/>
          <w:bCs/>
          <w:color w:val="auto"/>
          <w:sz w:val="24"/>
          <w:szCs w:val="24"/>
          <w:highlight w:val="none"/>
          <w:lang w:val="zh-CN"/>
        </w:rPr>
        <w:t>：</w:t>
      </w:r>
      <w:r>
        <w:rPr>
          <w:rFonts w:hint="eastAsia" w:ascii="宋体" w:hAnsi="宋体" w:cs="宋体"/>
          <w:color w:val="auto"/>
          <w:sz w:val="24"/>
          <w:szCs w:val="24"/>
          <w:highlight w:val="none"/>
          <w:lang w:val="zh-CN"/>
        </w:rPr>
        <w:t>舱内</w:t>
      </w:r>
      <w:r>
        <w:rPr>
          <w:rFonts w:ascii="宋体" w:hAnsi="宋体" w:cs="宋体"/>
          <w:color w:val="auto"/>
          <w:sz w:val="24"/>
          <w:szCs w:val="24"/>
          <w:highlight w:val="none"/>
          <w:lang w:val="zh-CN"/>
        </w:rPr>
        <w:t>清洗</w:t>
      </w:r>
      <w:r>
        <w:rPr>
          <w:rFonts w:hint="eastAsia" w:ascii="宋体" w:hAnsi="宋体" w:cs="宋体"/>
          <w:color w:val="auto"/>
          <w:sz w:val="24"/>
          <w:szCs w:val="24"/>
          <w:highlight w:val="none"/>
          <w:lang w:val="zh-CN"/>
        </w:rPr>
        <w:t>和</w:t>
      </w:r>
      <w:r>
        <w:rPr>
          <w:rFonts w:ascii="宋体" w:hAnsi="宋体" w:cs="宋体"/>
          <w:color w:val="auto"/>
          <w:sz w:val="24"/>
          <w:szCs w:val="24"/>
          <w:highlight w:val="none"/>
          <w:lang w:val="zh-CN"/>
        </w:rPr>
        <w:t>漂洗通路均匀分部</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总数≥10个</w:t>
      </w:r>
      <w:r>
        <w:rPr>
          <w:rFonts w:hint="eastAsia" w:ascii="宋体" w:hAnsi="宋体" w:cs="宋体"/>
          <w:b/>
          <w:color w:val="auto"/>
          <w:sz w:val="24"/>
          <w:szCs w:val="24"/>
          <w:highlight w:val="none"/>
          <w:lang w:val="zh-CN"/>
        </w:rPr>
        <w:t>（实物照片展示）</w:t>
      </w:r>
      <w:r>
        <w:rPr>
          <w:rFonts w:ascii="宋体" w:hAnsi="宋体" w:cs="宋体"/>
          <w:color w:val="auto"/>
          <w:sz w:val="24"/>
          <w:szCs w:val="24"/>
          <w:highlight w:val="none"/>
          <w:lang w:val="zh-CN"/>
        </w:rPr>
        <w:t>,304不锈钢材质，清洗漂洗水路分开。</w:t>
      </w:r>
    </w:p>
    <w:p w14:paraId="6FE32DEF">
      <w:pPr>
        <w:ind w:firstLine="480"/>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2.12 </w:t>
      </w:r>
      <w:r>
        <w:rPr>
          <w:rFonts w:hint="eastAsia" w:ascii="宋体" w:hAnsi="宋体" w:cs="宋体"/>
          <w:bCs/>
          <w:color w:val="auto"/>
          <w:sz w:val="24"/>
          <w:szCs w:val="24"/>
          <w:highlight w:val="none"/>
          <w:lang w:val="zh-CN"/>
        </w:rPr>
        <w:t>水嘴</w:t>
      </w:r>
      <w:r>
        <w:rPr>
          <w:rFonts w:ascii="宋体" w:hAnsi="宋体" w:cs="宋体"/>
          <w:bCs/>
          <w:color w:val="auto"/>
          <w:sz w:val="24"/>
          <w:szCs w:val="24"/>
          <w:highlight w:val="none"/>
          <w:lang w:val="zh-CN"/>
        </w:rPr>
        <w:t>：</w:t>
      </w:r>
      <w:r>
        <w:rPr>
          <w:rFonts w:hint="eastAsia" w:ascii="宋体" w:hAnsi="宋体" w:cs="宋体"/>
          <w:color w:val="auto"/>
          <w:sz w:val="24"/>
          <w:szCs w:val="24"/>
          <w:highlight w:val="none"/>
          <w:lang w:val="zh-CN"/>
        </w:rPr>
        <w:t>舱内</w:t>
      </w:r>
      <w:r>
        <w:rPr>
          <w:rFonts w:ascii="宋体" w:hAnsi="宋体" w:cs="宋体"/>
          <w:color w:val="auto"/>
          <w:sz w:val="24"/>
          <w:szCs w:val="24"/>
          <w:highlight w:val="none"/>
          <w:lang w:val="zh-CN"/>
        </w:rPr>
        <w:t>清洗水嘴≥42个，漂洗水嘴≥42个</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手臂上的清洗和漂洗水嘴位于同一水平面（具有相同的最佳喷射点），</w:t>
      </w:r>
      <w:r>
        <w:rPr>
          <w:rFonts w:hint="eastAsia" w:ascii="宋体" w:hAnsi="宋体" w:cs="宋体"/>
          <w:color w:val="auto"/>
          <w:sz w:val="24"/>
          <w:szCs w:val="24"/>
          <w:highlight w:val="none"/>
          <w:lang w:val="zh-CN"/>
        </w:rPr>
        <w:t>所有水嘴为</w:t>
      </w:r>
      <w:r>
        <w:rPr>
          <w:rFonts w:ascii="宋体" w:hAnsi="宋体" w:cs="宋体"/>
          <w:color w:val="auto"/>
          <w:sz w:val="24"/>
          <w:szCs w:val="24"/>
          <w:highlight w:val="none"/>
          <w:lang w:val="zh-CN"/>
        </w:rPr>
        <w:t xml:space="preserve"> 304不锈钢材质。</w:t>
      </w:r>
    </w:p>
    <w:p w14:paraId="201949B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ascii="宋体" w:hAnsi="宋体" w:cs="宋体"/>
          <w:color w:val="auto"/>
          <w:sz w:val="24"/>
          <w:szCs w:val="24"/>
          <w:highlight w:val="none"/>
          <w:lang w:val="zh-CN"/>
        </w:rPr>
        <w:t>.</w:t>
      </w:r>
      <w:r>
        <w:rPr>
          <w:rFonts w:hint="eastAsia" w:ascii="宋体" w:hAnsi="宋体" w:cs="宋体"/>
          <w:color w:val="auto"/>
          <w:sz w:val="24"/>
          <w:szCs w:val="24"/>
          <w:highlight w:val="none"/>
        </w:rPr>
        <w:t xml:space="preserve">13 </w:t>
      </w:r>
      <w:r>
        <w:rPr>
          <w:rFonts w:ascii="宋体" w:hAnsi="宋体" w:cs="宋体"/>
          <w:color w:val="auto"/>
          <w:sz w:val="24"/>
          <w:szCs w:val="24"/>
          <w:highlight w:val="none"/>
          <w:lang w:val="zh-CN"/>
        </w:rPr>
        <w:t>清洗漂洗角度：清洗时手臂摆动角度≥110°垂直振荡摇摆式，以确保最大化清洗覆盖面，保证清洗无死角。</w:t>
      </w:r>
      <w:r>
        <w:rPr>
          <w:rFonts w:ascii="宋体" w:hAnsi="宋体" w:cs="宋体"/>
          <w:b/>
          <w:bCs/>
          <w:color w:val="auto"/>
          <w:sz w:val="24"/>
          <w:szCs w:val="24"/>
          <w:highlight w:val="none"/>
          <w:lang w:val="zh-CN"/>
        </w:rPr>
        <w:t>（提供清洗漂洗运行视频</w:t>
      </w:r>
      <w:r>
        <w:rPr>
          <w:rFonts w:hint="eastAsia" w:ascii="宋体" w:hAnsi="宋体" w:cs="宋体"/>
          <w:b/>
          <w:bCs/>
          <w:color w:val="auto"/>
          <w:sz w:val="24"/>
          <w:szCs w:val="24"/>
          <w:highlight w:val="none"/>
          <w:lang w:val="zh-CN"/>
        </w:rPr>
        <w:t>，</w:t>
      </w:r>
      <w:r>
        <w:rPr>
          <w:rFonts w:ascii="宋体" w:hAnsi="宋体" w:cs="宋体"/>
          <w:b/>
          <w:bCs/>
          <w:color w:val="auto"/>
          <w:sz w:val="24"/>
          <w:szCs w:val="24"/>
          <w:highlight w:val="none"/>
        </w:rPr>
        <w:t>视频文件格式为MP4，</w:t>
      </w:r>
      <w:r>
        <w:rPr>
          <w:rFonts w:hint="eastAsia" w:ascii="宋体" w:hAnsi="宋体" w:cs="宋体"/>
          <w:b/>
          <w:bCs/>
          <w:color w:val="auto"/>
          <w:sz w:val="24"/>
          <w:szCs w:val="24"/>
          <w:highlight w:val="none"/>
        </w:rPr>
        <w:t>视频需单独命名，随投标文件在系统内一并提交，如无法正常播放或不能充分佐证视为负偏离</w:t>
      </w:r>
      <w:r>
        <w:rPr>
          <w:rFonts w:ascii="宋体" w:hAnsi="宋体" w:cs="宋体"/>
          <w:b/>
          <w:bCs/>
          <w:color w:val="auto"/>
          <w:sz w:val="24"/>
          <w:szCs w:val="24"/>
          <w:highlight w:val="none"/>
          <w:lang w:val="zh-CN"/>
        </w:rPr>
        <w:t>）</w:t>
      </w:r>
      <w:r>
        <w:rPr>
          <w:rFonts w:hint="eastAsia" w:ascii="宋体" w:hAnsi="宋体" w:cs="宋体"/>
          <w:b/>
          <w:bCs/>
          <w:color w:val="auto"/>
          <w:sz w:val="24"/>
          <w:szCs w:val="24"/>
          <w:highlight w:val="none"/>
          <w:lang w:val="zh-CN"/>
        </w:rPr>
        <w:t>。</w:t>
      </w:r>
    </w:p>
    <w:p w14:paraId="2D7C163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2.14 </w:t>
      </w:r>
      <w:r>
        <w:rPr>
          <w:rFonts w:ascii="宋体" w:hAnsi="宋体" w:cs="宋体"/>
          <w:color w:val="auto"/>
          <w:sz w:val="24"/>
          <w:szCs w:val="24"/>
          <w:highlight w:val="none"/>
          <w:lang w:val="zh-CN"/>
        </w:rPr>
        <w:t>喷嘴出水压力：喷嘴处出水压力达≥1.5bar，以确保有效去除污物</w:t>
      </w:r>
      <w:bookmarkStart w:id="56" w:name="OLE_LINK4"/>
      <w:bookmarkStart w:id="57" w:name="OLE_LINK3"/>
      <w:r>
        <w:rPr>
          <w:rFonts w:ascii="宋体" w:hAnsi="宋体" w:cs="宋体"/>
          <w:color w:val="auto"/>
          <w:sz w:val="24"/>
          <w:szCs w:val="24"/>
          <w:highlight w:val="none"/>
          <w:lang w:val="zh-CN"/>
        </w:rPr>
        <w:t>。</w:t>
      </w:r>
      <w:bookmarkEnd w:id="56"/>
      <w:bookmarkEnd w:id="57"/>
    </w:p>
    <w:p w14:paraId="0BDE3CC0">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ascii="宋体" w:hAnsi="宋体" w:cs="宋体"/>
          <w:color w:val="auto"/>
          <w:sz w:val="24"/>
          <w:szCs w:val="24"/>
          <w:highlight w:val="none"/>
          <w:lang w:val="zh-CN"/>
        </w:rPr>
        <w:t>.</w:t>
      </w:r>
      <w:r>
        <w:rPr>
          <w:rFonts w:hint="eastAsia" w:ascii="宋体" w:hAnsi="宋体" w:cs="宋体"/>
          <w:color w:val="auto"/>
          <w:sz w:val="24"/>
          <w:szCs w:val="24"/>
          <w:highlight w:val="none"/>
        </w:rPr>
        <w:t xml:space="preserve">15 </w:t>
      </w:r>
      <w:r>
        <w:rPr>
          <w:rFonts w:hint="eastAsia" w:ascii="宋体" w:hAnsi="宋体" w:cs="宋体"/>
          <w:color w:val="auto"/>
          <w:sz w:val="24"/>
          <w:szCs w:val="24"/>
          <w:highlight w:val="none"/>
          <w:lang w:val="zh-CN"/>
        </w:rPr>
        <w:t>循环水过滤器：舱外设有循环水过滤器，且过滤器带安全定位传感器和水压力传感器，且过滤器安装不到位时设备立即报警</w:t>
      </w:r>
      <w:r>
        <w:rPr>
          <w:rFonts w:hint="eastAsia" w:ascii="宋体" w:hAnsi="宋体" w:cs="宋体"/>
          <w:b/>
          <w:bCs/>
          <w:color w:val="auto"/>
          <w:sz w:val="24"/>
          <w:szCs w:val="24"/>
          <w:highlight w:val="none"/>
          <w:lang w:val="zh-CN"/>
        </w:rPr>
        <w:t>（提供所投产品实拍报警全流程运行视频作为佐证，</w:t>
      </w:r>
      <w:r>
        <w:rPr>
          <w:rFonts w:ascii="宋体" w:hAnsi="宋体" w:cs="宋体"/>
          <w:b/>
          <w:bCs/>
          <w:color w:val="auto"/>
          <w:sz w:val="24"/>
          <w:szCs w:val="24"/>
          <w:highlight w:val="none"/>
        </w:rPr>
        <w:t>视频文件格式为MP4，</w:t>
      </w:r>
      <w:r>
        <w:rPr>
          <w:rFonts w:hint="eastAsia" w:ascii="宋体" w:hAnsi="宋体" w:cs="宋体"/>
          <w:b/>
          <w:bCs/>
          <w:color w:val="auto"/>
          <w:sz w:val="24"/>
          <w:szCs w:val="24"/>
          <w:highlight w:val="none"/>
        </w:rPr>
        <w:t>视频需单独命名，随投标文件在系统内一并提交，如无法正常播放或不能充分佐证视为负偏离</w:t>
      </w:r>
      <w:r>
        <w:rPr>
          <w:rFonts w:hint="eastAsia" w:ascii="宋体" w:hAnsi="宋体" w:cs="宋体"/>
          <w:b/>
          <w:bCs/>
          <w:color w:val="auto"/>
          <w:sz w:val="24"/>
          <w:szCs w:val="24"/>
          <w:highlight w:val="none"/>
          <w:lang w:val="zh-CN"/>
        </w:rPr>
        <w:t>）。</w:t>
      </w:r>
    </w:p>
    <w:p w14:paraId="46AF60D2">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ascii="宋体" w:hAnsi="宋体" w:cs="宋体"/>
          <w:color w:val="auto"/>
          <w:sz w:val="24"/>
          <w:szCs w:val="24"/>
          <w:highlight w:val="none"/>
          <w:lang w:val="zh-CN"/>
        </w:rPr>
        <w:t>.</w:t>
      </w:r>
      <w:r>
        <w:rPr>
          <w:rFonts w:hint="eastAsia" w:ascii="宋体" w:hAnsi="宋体" w:cs="宋体"/>
          <w:color w:val="auto"/>
          <w:sz w:val="24"/>
          <w:szCs w:val="24"/>
          <w:highlight w:val="none"/>
        </w:rPr>
        <w:t xml:space="preserve">16 </w:t>
      </w:r>
      <w:r>
        <w:rPr>
          <w:rFonts w:hint="eastAsia" w:ascii="宋体" w:hAnsi="宋体" w:cs="宋体"/>
          <w:color w:val="auto"/>
          <w:sz w:val="24"/>
          <w:szCs w:val="24"/>
          <w:highlight w:val="none"/>
          <w:lang w:val="zh-CN"/>
        </w:rPr>
        <w:t>清洗</w:t>
      </w:r>
      <w:r>
        <w:rPr>
          <w:rFonts w:hint="eastAsia" w:ascii="宋体" w:hAnsi="宋体" w:cs="宋体"/>
          <w:color w:val="auto"/>
          <w:sz w:val="24"/>
          <w:szCs w:val="24"/>
          <w:highlight w:val="none"/>
        </w:rPr>
        <w:t>架</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需至少</w:t>
      </w:r>
      <w:r>
        <w:rPr>
          <w:rFonts w:ascii="宋体" w:hAnsi="宋体" w:cs="宋体"/>
          <w:color w:val="auto"/>
          <w:sz w:val="24"/>
          <w:szCs w:val="24"/>
          <w:highlight w:val="none"/>
        </w:rPr>
        <w:t>包含2个水瓶清洗架及2个笼盒清洗架。所有清洗架主体均采用304不锈钢</w:t>
      </w:r>
      <w:r>
        <w:rPr>
          <w:rFonts w:hint="eastAsia" w:ascii="宋体" w:hAnsi="宋体" w:cs="宋体"/>
          <w:color w:val="auto"/>
          <w:sz w:val="24"/>
          <w:szCs w:val="24"/>
          <w:highlight w:val="none"/>
        </w:rPr>
        <w:t>拉丝</w:t>
      </w:r>
      <w:r>
        <w:rPr>
          <w:rFonts w:ascii="宋体" w:hAnsi="宋体" w:cs="宋体"/>
          <w:color w:val="auto"/>
          <w:sz w:val="24"/>
          <w:szCs w:val="24"/>
          <w:highlight w:val="none"/>
        </w:rPr>
        <w:t>处理，耐腐蚀且耐高温灭菌，底部配备4个尼龙或PPSU材质的耐酸耐碱耐高温的万向轮，结构设计确保无清洗死角。其中，水瓶清洗架为双面双层结构，尺寸（W×D×H）≥1000×900×1700mm；笼盒清洗架为双面</w:t>
      </w:r>
      <w:r>
        <w:rPr>
          <w:rFonts w:hint="eastAsia" w:ascii="宋体" w:hAnsi="宋体" w:cs="宋体"/>
          <w:color w:val="auto"/>
          <w:sz w:val="24"/>
          <w:szCs w:val="24"/>
          <w:highlight w:val="none"/>
        </w:rPr>
        <w:t>四</w:t>
      </w:r>
      <w:r>
        <w:rPr>
          <w:rFonts w:ascii="宋体" w:hAnsi="宋体" w:cs="宋体"/>
          <w:color w:val="auto"/>
          <w:sz w:val="24"/>
          <w:szCs w:val="24"/>
          <w:highlight w:val="none"/>
        </w:rPr>
        <w:t>层设计，尺寸（W×D×H）≥1000×790×2000mm。</w:t>
      </w:r>
    </w:p>
    <w:p w14:paraId="39381F7F">
      <w:pPr>
        <w:ind w:firstLine="480"/>
        <w:rPr>
          <w:rFonts w:ascii="宋体" w:hAnsi="宋体" w:cs="宋体"/>
          <w:b/>
          <w:bCs/>
          <w:color w:val="auto"/>
          <w:sz w:val="24"/>
          <w:szCs w:val="24"/>
          <w:highlight w:val="none"/>
        </w:rPr>
      </w:pP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2.</w:t>
      </w:r>
      <w:r>
        <w:rPr>
          <w:rFonts w:ascii="宋体" w:hAnsi="宋体" w:cs="宋体"/>
          <w:color w:val="auto"/>
          <w:sz w:val="24"/>
          <w:szCs w:val="24"/>
          <w:highlight w:val="none"/>
        </w:rPr>
        <w:t>1</w:t>
      </w:r>
      <w:r>
        <w:rPr>
          <w:rFonts w:hint="eastAsia" w:ascii="宋体" w:hAnsi="宋体" w:cs="宋体"/>
          <w:color w:val="auto"/>
          <w:sz w:val="24"/>
          <w:szCs w:val="24"/>
          <w:highlight w:val="none"/>
        </w:rPr>
        <w:t xml:space="preserve">7 </w:t>
      </w:r>
      <w:r>
        <w:rPr>
          <w:rFonts w:hint="eastAsia" w:ascii="宋体" w:hAnsi="宋体" w:cs="宋体"/>
          <w:color w:val="auto"/>
          <w:sz w:val="24"/>
          <w:szCs w:val="24"/>
          <w:highlight w:val="none"/>
          <w:lang w:val="zh-CN"/>
        </w:rPr>
        <w:t>清洗程序：每清洗程序需包括清洗、滴淋、漂洗、</w:t>
      </w:r>
      <w:r>
        <w:rPr>
          <w:rFonts w:hint="eastAsia" w:ascii="宋体" w:hAnsi="宋体" w:cs="宋体"/>
          <w:color w:val="auto"/>
          <w:sz w:val="24"/>
          <w:szCs w:val="24"/>
          <w:highlight w:val="none"/>
        </w:rPr>
        <w:t>烘干</w:t>
      </w:r>
      <w:r>
        <w:rPr>
          <w:rFonts w:hint="eastAsia" w:ascii="宋体" w:hAnsi="宋体" w:cs="宋体"/>
          <w:color w:val="auto"/>
          <w:sz w:val="24"/>
          <w:szCs w:val="24"/>
          <w:highlight w:val="none"/>
          <w:lang w:val="zh-CN"/>
        </w:rPr>
        <w:t>、排风五个阶段。整个清洗程序完成时间</w:t>
      </w:r>
      <w:r>
        <w:rPr>
          <w:rFonts w:hint="eastAsia" w:ascii="宋体" w:hAnsi="宋体" w:cs="宋体"/>
          <w:color w:val="auto"/>
          <w:sz w:val="24"/>
          <w:szCs w:val="24"/>
          <w:highlight w:val="none"/>
        </w:rPr>
        <w:t>(不包括烘干)</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5</w:t>
      </w:r>
      <w:r>
        <w:rPr>
          <w:rFonts w:hint="eastAsia" w:ascii="宋体" w:hAnsi="宋体" w:cs="宋体"/>
          <w:color w:val="auto"/>
          <w:sz w:val="24"/>
          <w:szCs w:val="24"/>
          <w:highlight w:val="none"/>
          <w:lang w:val="zh-CN"/>
        </w:rPr>
        <w:t>分钟</w:t>
      </w:r>
      <w:bookmarkStart w:id="58" w:name="OLE_LINK7"/>
      <w:bookmarkStart w:id="59" w:name="OLE_LINK6"/>
      <w:r>
        <w:rPr>
          <w:rFonts w:hint="eastAsia" w:ascii="宋体" w:hAnsi="宋体" w:cs="宋体"/>
          <w:b/>
          <w:bCs/>
          <w:color w:val="auto"/>
          <w:sz w:val="24"/>
          <w:szCs w:val="24"/>
          <w:highlight w:val="none"/>
          <w:lang w:val="zh-CN"/>
        </w:rPr>
        <w:t>（提供实拍动态标准清洗循环视频（含循环耗时参数的界面），</w:t>
      </w:r>
      <w:r>
        <w:rPr>
          <w:rFonts w:ascii="宋体" w:hAnsi="宋体" w:cs="宋体"/>
          <w:b/>
          <w:bCs/>
          <w:color w:val="auto"/>
          <w:sz w:val="24"/>
          <w:szCs w:val="24"/>
          <w:highlight w:val="none"/>
        </w:rPr>
        <w:t>视频文件格式为MP4，</w:t>
      </w:r>
      <w:r>
        <w:rPr>
          <w:rFonts w:hint="eastAsia" w:ascii="宋体" w:hAnsi="宋体" w:cs="宋体"/>
          <w:b/>
          <w:bCs/>
          <w:color w:val="auto"/>
          <w:sz w:val="24"/>
          <w:szCs w:val="24"/>
          <w:highlight w:val="none"/>
        </w:rPr>
        <w:t>视频需单独命名，随投标文件在系统内一并提交，如无法正常播放或不能充分佐证视为负偏离</w:t>
      </w:r>
      <w:r>
        <w:rPr>
          <w:rFonts w:hint="eastAsia" w:ascii="宋体" w:hAnsi="宋体" w:cs="宋体"/>
          <w:b/>
          <w:bCs/>
          <w:color w:val="auto"/>
          <w:sz w:val="24"/>
          <w:szCs w:val="24"/>
          <w:highlight w:val="none"/>
          <w:lang w:val="zh-CN"/>
        </w:rPr>
        <w:t>）</w:t>
      </w:r>
      <w:bookmarkEnd w:id="58"/>
      <w:bookmarkEnd w:id="59"/>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一个清洗程序下，至少可完成24个小鼠矩形</w:t>
      </w:r>
      <w:r>
        <w:rPr>
          <w:rFonts w:ascii="宋体" w:hAnsi="宋体" w:cs="宋体"/>
          <w:color w:val="auto"/>
          <w:sz w:val="24"/>
          <w:szCs w:val="24"/>
          <w:highlight w:val="none"/>
          <w:lang w:val="zh-CN"/>
        </w:rPr>
        <w:t>笼盒</w:t>
      </w:r>
      <w:r>
        <w:rPr>
          <w:rFonts w:hint="eastAsia" w:ascii="宋体" w:hAnsi="宋体" w:cs="宋体"/>
          <w:color w:val="auto"/>
          <w:sz w:val="24"/>
          <w:szCs w:val="24"/>
          <w:highlight w:val="none"/>
          <w:lang w:val="zh-CN"/>
        </w:rPr>
        <w:t>、24个食槽或3个IVC笼架清洗</w:t>
      </w:r>
      <w:r>
        <w:rPr>
          <w:rFonts w:hint="eastAsia" w:ascii="宋体" w:hAnsi="宋体" w:cs="宋体"/>
          <w:b/>
          <w:bCs/>
          <w:color w:val="auto"/>
          <w:sz w:val="24"/>
          <w:szCs w:val="24"/>
          <w:highlight w:val="none"/>
          <w:lang w:val="zh-CN"/>
        </w:rPr>
        <w:t>。</w:t>
      </w:r>
    </w:p>
    <w:p w14:paraId="0D5F1691">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2.1</w:t>
      </w:r>
      <w:r>
        <w:rPr>
          <w:rFonts w:hint="eastAsia" w:ascii="宋体" w:hAnsi="宋体" w:cs="宋体"/>
          <w:color w:val="auto"/>
          <w:sz w:val="24"/>
          <w:szCs w:val="24"/>
          <w:highlight w:val="none"/>
        </w:rPr>
        <w:t xml:space="preserve">8 </w:t>
      </w:r>
      <w:r>
        <w:rPr>
          <w:rFonts w:ascii="Times New Roman" w:hAnsi="Times New Roman" w:cs="Times New Roman"/>
          <w:color w:val="auto"/>
          <w:sz w:val="24"/>
          <w:szCs w:val="24"/>
          <w:highlight w:val="none"/>
          <w:lang w:val="zh-CN"/>
        </w:rPr>
        <w:t>单次清洗程序后，已清洗物品应通过微生物残留测试，即对于微生物培养测试lg5以上，以保证实际清洗效果。</w:t>
      </w:r>
      <w:r>
        <w:rPr>
          <w:rFonts w:hint="eastAsia" w:ascii="Times New Roman" w:hAnsi="Times New Roman" w:cs="Times New Roman"/>
          <w:b/>
          <w:bCs/>
          <w:color w:val="auto"/>
          <w:sz w:val="24"/>
          <w:szCs w:val="24"/>
          <w:highlight w:val="none"/>
          <w:lang w:val="zh-CN"/>
        </w:rPr>
        <w:t>（</w:t>
      </w:r>
      <w:r>
        <w:rPr>
          <w:rFonts w:hint="eastAsia" w:ascii="宋体" w:hAnsi="宋体" w:cs="宋体"/>
          <w:b/>
          <w:bCs/>
          <w:color w:val="auto"/>
          <w:sz w:val="24"/>
          <w:szCs w:val="24"/>
          <w:highlight w:val="none"/>
        </w:rPr>
        <w:t>需提供</w:t>
      </w:r>
      <w:r>
        <w:rPr>
          <w:rFonts w:ascii="宋体" w:hAnsi="宋体" w:cs="宋体"/>
          <w:b/>
          <w:bCs/>
          <w:color w:val="auto"/>
          <w:sz w:val="24"/>
          <w:szCs w:val="24"/>
          <w:highlight w:val="none"/>
        </w:rPr>
        <w:t>具有 CMA 或 CNAS 资质，或国际认可的 SGS、TÜV 等第三方检测机构机构出具的检测报告</w:t>
      </w:r>
      <w:r>
        <w:rPr>
          <w:rFonts w:hint="eastAsia" w:ascii="宋体" w:hAnsi="宋体" w:cs="宋体"/>
          <w:b/>
          <w:bCs/>
          <w:color w:val="auto"/>
          <w:sz w:val="24"/>
          <w:szCs w:val="24"/>
          <w:highlight w:val="none"/>
        </w:rPr>
        <w:t>。</w:t>
      </w:r>
      <w:r>
        <w:rPr>
          <w:rFonts w:ascii="Times New Roman" w:hAnsi="Times New Roman" w:cs="Times New Roman"/>
          <w:b/>
          <w:bCs/>
          <w:color w:val="auto"/>
          <w:sz w:val="24"/>
          <w:szCs w:val="24"/>
          <w:highlight w:val="none"/>
          <w:lang w:val="zh-CN"/>
        </w:rPr>
        <w:t>测试报告</w:t>
      </w:r>
      <w:r>
        <w:rPr>
          <w:rFonts w:hint="eastAsia" w:ascii="Times New Roman" w:hAnsi="Times New Roman" w:cs="Times New Roman"/>
          <w:b/>
          <w:bCs/>
          <w:color w:val="auto"/>
          <w:sz w:val="24"/>
          <w:szCs w:val="24"/>
          <w:highlight w:val="none"/>
        </w:rPr>
        <w:t>内容</w:t>
      </w:r>
      <w:r>
        <w:rPr>
          <w:rFonts w:ascii="Times New Roman" w:hAnsi="Times New Roman" w:cs="Times New Roman"/>
          <w:b/>
          <w:bCs/>
          <w:color w:val="auto"/>
          <w:sz w:val="24"/>
          <w:szCs w:val="24"/>
          <w:highlight w:val="none"/>
          <w:lang w:val="zh-CN"/>
        </w:rPr>
        <w:t>须</w:t>
      </w:r>
      <w:r>
        <w:rPr>
          <w:rFonts w:hint="eastAsia" w:ascii="Times New Roman" w:hAnsi="Times New Roman" w:cs="Times New Roman"/>
          <w:b/>
          <w:bCs/>
          <w:color w:val="auto"/>
          <w:sz w:val="24"/>
          <w:szCs w:val="24"/>
          <w:highlight w:val="none"/>
        </w:rPr>
        <w:t>至少</w:t>
      </w:r>
      <w:r>
        <w:rPr>
          <w:rFonts w:ascii="Times New Roman" w:hAnsi="Times New Roman" w:cs="Times New Roman"/>
          <w:b/>
          <w:bCs/>
          <w:color w:val="auto"/>
          <w:sz w:val="24"/>
          <w:szCs w:val="24"/>
          <w:highlight w:val="none"/>
          <w:lang w:val="zh-CN"/>
        </w:rPr>
        <w:t>包含</w:t>
      </w:r>
      <w:r>
        <w:rPr>
          <w:rFonts w:hint="eastAsia" w:ascii="Times New Roman" w:hAnsi="Times New Roman" w:cs="Times New Roman"/>
          <w:b/>
          <w:bCs/>
          <w:color w:val="auto"/>
          <w:sz w:val="24"/>
          <w:szCs w:val="24"/>
          <w:highlight w:val="none"/>
          <w:lang w:val="zh-CN"/>
        </w:rPr>
        <w:t>：</w:t>
      </w:r>
      <w:r>
        <w:rPr>
          <w:rFonts w:ascii="Times New Roman" w:hAnsi="Times New Roman" w:cs="Times New Roman"/>
          <w:b/>
          <w:bCs/>
          <w:color w:val="auto"/>
          <w:sz w:val="24"/>
          <w:szCs w:val="24"/>
          <w:highlight w:val="none"/>
          <w:lang w:val="zh-CN"/>
        </w:rPr>
        <w:t>笼盒</w:t>
      </w:r>
      <w:r>
        <w:rPr>
          <w:rFonts w:hint="eastAsia" w:ascii="Times New Roman" w:hAnsi="Times New Roman" w:cs="Times New Roman"/>
          <w:b/>
          <w:bCs/>
          <w:color w:val="auto"/>
          <w:sz w:val="24"/>
          <w:szCs w:val="24"/>
          <w:highlight w:val="none"/>
        </w:rPr>
        <w:t>、</w:t>
      </w:r>
      <w:r>
        <w:rPr>
          <w:rFonts w:ascii="Times New Roman" w:hAnsi="Times New Roman" w:cs="Times New Roman"/>
          <w:b/>
          <w:bCs/>
          <w:color w:val="auto"/>
          <w:sz w:val="24"/>
          <w:szCs w:val="24"/>
          <w:highlight w:val="none"/>
          <w:lang w:val="zh-CN"/>
        </w:rPr>
        <w:t>食槽</w:t>
      </w:r>
      <w:r>
        <w:rPr>
          <w:rFonts w:hint="eastAsia" w:ascii="Times New Roman" w:hAnsi="Times New Roman" w:cs="Times New Roman"/>
          <w:b/>
          <w:bCs/>
          <w:color w:val="auto"/>
          <w:sz w:val="24"/>
          <w:szCs w:val="24"/>
          <w:highlight w:val="none"/>
          <w:lang w:val="zh-CN"/>
        </w:rPr>
        <w:t>、</w:t>
      </w:r>
      <w:r>
        <w:rPr>
          <w:rFonts w:ascii="Times New Roman" w:hAnsi="Times New Roman" w:cs="Times New Roman"/>
          <w:b/>
          <w:bCs/>
          <w:color w:val="auto"/>
          <w:sz w:val="24"/>
          <w:szCs w:val="24"/>
          <w:highlight w:val="none"/>
          <w:lang w:val="zh-CN"/>
        </w:rPr>
        <w:t>IVC笼架</w:t>
      </w:r>
      <w:r>
        <w:rPr>
          <w:rFonts w:hint="eastAsia" w:ascii="Times New Roman" w:hAnsi="Times New Roman" w:cs="Times New Roman"/>
          <w:b/>
          <w:bCs/>
          <w:color w:val="auto"/>
          <w:sz w:val="24"/>
          <w:szCs w:val="24"/>
          <w:highlight w:val="none"/>
          <w:lang w:val="zh-CN"/>
        </w:rPr>
        <w:t>的</w:t>
      </w:r>
      <w:r>
        <w:rPr>
          <w:rFonts w:ascii="Times New Roman" w:hAnsi="Times New Roman" w:cs="Times New Roman"/>
          <w:b/>
          <w:bCs/>
          <w:color w:val="auto"/>
          <w:sz w:val="24"/>
          <w:szCs w:val="24"/>
          <w:highlight w:val="none"/>
          <w:lang w:val="zh-CN"/>
        </w:rPr>
        <w:t>测试点</w:t>
      </w:r>
      <w:r>
        <w:rPr>
          <w:rFonts w:hint="eastAsia" w:ascii="Times New Roman" w:hAnsi="Times New Roman" w:cs="Times New Roman"/>
          <w:b/>
          <w:bCs/>
          <w:color w:val="auto"/>
          <w:sz w:val="24"/>
          <w:szCs w:val="24"/>
          <w:highlight w:val="none"/>
          <w:lang w:val="zh-CN"/>
        </w:rPr>
        <w:t>，</w:t>
      </w:r>
      <w:r>
        <w:rPr>
          <w:rFonts w:hint="eastAsia" w:ascii="Times New Roman" w:hAnsi="Times New Roman" w:cs="Times New Roman"/>
          <w:b/>
          <w:bCs/>
          <w:color w:val="auto"/>
          <w:sz w:val="24"/>
          <w:szCs w:val="24"/>
          <w:highlight w:val="none"/>
        </w:rPr>
        <w:t>检测报告内容中如缺少上述任意一项本项不得分。）</w:t>
      </w:r>
    </w:p>
    <w:p w14:paraId="1C071C51">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ascii="宋体" w:hAnsi="宋体" w:cs="宋体"/>
          <w:color w:val="auto"/>
          <w:sz w:val="24"/>
          <w:szCs w:val="24"/>
          <w:highlight w:val="none"/>
          <w:lang w:val="zh-CN"/>
        </w:rPr>
        <w:t>.1</w:t>
      </w:r>
      <w:r>
        <w:rPr>
          <w:rFonts w:hint="eastAsia" w:ascii="宋体" w:hAnsi="宋体" w:cs="宋体"/>
          <w:color w:val="auto"/>
          <w:sz w:val="24"/>
          <w:szCs w:val="24"/>
          <w:highlight w:val="none"/>
        </w:rPr>
        <w:t xml:space="preserve">9 </w:t>
      </w:r>
      <w:r>
        <w:rPr>
          <w:rFonts w:ascii="宋体" w:hAnsi="宋体" w:cs="宋体"/>
          <w:color w:val="auto"/>
          <w:sz w:val="24"/>
          <w:szCs w:val="24"/>
          <w:highlight w:val="none"/>
          <w:lang w:val="zh-CN"/>
        </w:rPr>
        <w:t>高效环保节能：每循环蒸汽用量≤10 Kg</w:t>
      </w:r>
      <w:r>
        <w:rPr>
          <w:rFonts w:hint="eastAsia" w:ascii="宋体" w:hAnsi="宋体" w:cs="宋体"/>
          <w:color w:val="auto"/>
          <w:sz w:val="24"/>
          <w:szCs w:val="24"/>
          <w:highlight w:val="none"/>
          <w:lang w:val="zh-CN"/>
        </w:rPr>
        <w:t>；每循环水用量≤50L，</w:t>
      </w:r>
      <w:r>
        <w:rPr>
          <w:rFonts w:ascii="宋体" w:hAnsi="宋体" w:cs="宋体"/>
          <w:color w:val="auto"/>
          <w:sz w:val="24"/>
          <w:szCs w:val="24"/>
          <w:highlight w:val="none"/>
          <w:lang w:val="zh-CN"/>
        </w:rPr>
        <w:t>运行噪音≤70dB</w:t>
      </w:r>
      <w:r>
        <w:rPr>
          <w:rFonts w:hint="eastAsia" w:ascii="Times New Roman" w:hAnsi="Times New Roman" w:cs="Times New Roman"/>
          <w:b/>
          <w:bCs/>
          <w:color w:val="auto"/>
          <w:sz w:val="24"/>
          <w:szCs w:val="24"/>
          <w:highlight w:val="none"/>
          <w:lang w:val="zh-CN"/>
        </w:rPr>
        <w:t>（佐证材料包括但不限于明确说明该技术内容的产品彩页或产品说明书或白皮书或第三方检测机构的检测报告等并加盖公章）。</w:t>
      </w:r>
    </w:p>
    <w:p w14:paraId="3B7B98E4">
      <w:pPr>
        <w:spacing w:after="120"/>
        <w:ind w:firstLine="480"/>
        <w:rPr>
          <w:rFonts w:ascii="宋体" w:hAnsi="宋体" w:cs="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rPr>
        <w:t>20</w:t>
      </w:r>
      <w:r>
        <w:rPr>
          <w:rFonts w:ascii="宋体" w:hAnsi="宋体" w:cs="宋体"/>
          <w:color w:val="auto"/>
          <w:sz w:val="24"/>
          <w:szCs w:val="24"/>
          <w:highlight w:val="none"/>
          <w:lang w:val="zh-CN"/>
        </w:rPr>
        <w:t>安全性</w:t>
      </w:r>
      <w:r>
        <w:rPr>
          <w:rFonts w:hint="eastAsia" w:ascii="宋体" w:hAnsi="宋体" w:cs="宋体"/>
          <w:color w:val="auto"/>
          <w:sz w:val="24"/>
          <w:szCs w:val="24"/>
          <w:highlight w:val="none"/>
          <w:lang w:val="zh-CN"/>
        </w:rPr>
        <w:t>：</w:t>
      </w:r>
    </w:p>
    <w:p w14:paraId="0DD7C6F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2.20.1 </w:t>
      </w:r>
      <w:r>
        <w:rPr>
          <w:rFonts w:hint="eastAsia" w:ascii="宋体" w:hAnsi="宋体" w:cs="宋体"/>
          <w:color w:val="auto"/>
          <w:sz w:val="24"/>
          <w:szCs w:val="24"/>
          <w:highlight w:val="none"/>
          <w:lang w:val="zh-CN"/>
        </w:rPr>
        <w:t>电子门锁设计，</w:t>
      </w:r>
      <w:r>
        <w:rPr>
          <w:rFonts w:ascii="宋体" w:hAnsi="宋体" w:cs="宋体"/>
          <w:color w:val="auto"/>
          <w:sz w:val="24"/>
          <w:szCs w:val="24"/>
          <w:highlight w:val="none"/>
          <w:lang w:val="zh-CN"/>
        </w:rPr>
        <w:t>设备门有安全传感声光报警器，在门被意外打开时，自动切断清洗程序。</w:t>
      </w:r>
    </w:p>
    <w:p w14:paraId="4B4FA1C1">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2.20.2 </w:t>
      </w:r>
      <w:r>
        <w:rPr>
          <w:rFonts w:ascii="宋体" w:hAnsi="宋体" w:cs="宋体"/>
          <w:color w:val="auto"/>
          <w:sz w:val="24"/>
          <w:szCs w:val="24"/>
          <w:highlight w:val="none"/>
          <w:lang w:val="zh-CN"/>
        </w:rPr>
        <w:t>紧急制动装置：清洗舱外控制面板有紧急制动按钮，清洗舱内左右两侧各有长度≥1.2m安全制动杆</w:t>
      </w:r>
      <w:r>
        <w:rPr>
          <w:rFonts w:ascii="宋体" w:hAnsi="宋体" w:cs="宋体"/>
          <w:b/>
          <w:bCs/>
          <w:color w:val="auto"/>
          <w:sz w:val="24"/>
          <w:szCs w:val="24"/>
          <w:highlight w:val="none"/>
          <w:lang w:val="zh-CN"/>
        </w:rPr>
        <w:t>（提供实物照片）</w:t>
      </w:r>
      <w:r>
        <w:rPr>
          <w:rFonts w:ascii="宋体" w:hAnsi="宋体" w:cs="宋体"/>
          <w:color w:val="auto"/>
          <w:sz w:val="24"/>
          <w:szCs w:val="24"/>
          <w:highlight w:val="none"/>
          <w:lang w:val="zh-CN"/>
        </w:rPr>
        <w:t>。</w:t>
      </w:r>
    </w:p>
    <w:p w14:paraId="5A77EC83">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2.20.3 </w:t>
      </w:r>
      <w:r>
        <w:rPr>
          <w:rFonts w:ascii="宋体" w:hAnsi="宋体" w:cs="宋体"/>
          <w:color w:val="auto"/>
          <w:sz w:val="24"/>
          <w:szCs w:val="24"/>
          <w:highlight w:val="none"/>
          <w:lang w:val="zh-CN"/>
        </w:rPr>
        <w:t>清洗舱压力保护装置：清洗舱顶部具有机械式卸压阀，避免清洗舱内压力过高，影响设备安全运行。</w:t>
      </w:r>
    </w:p>
    <w:p w14:paraId="1E974E6B">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2.20.4 </w:t>
      </w:r>
      <w:r>
        <w:rPr>
          <w:rFonts w:ascii="宋体" w:hAnsi="宋体" w:cs="宋体"/>
          <w:color w:val="auto"/>
          <w:sz w:val="24"/>
          <w:szCs w:val="24"/>
          <w:highlight w:val="none"/>
          <w:lang w:val="zh-CN"/>
        </w:rPr>
        <w:t>异常情况报警</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设备运行过程中出现异常或发生故障后，操作面板</w:t>
      </w:r>
      <w:r>
        <w:rPr>
          <w:rFonts w:hint="eastAsia" w:ascii="宋体" w:hAnsi="宋体" w:cs="宋体"/>
          <w:color w:val="auto"/>
          <w:sz w:val="24"/>
          <w:szCs w:val="24"/>
          <w:highlight w:val="none"/>
          <w:lang w:val="zh-CN"/>
        </w:rPr>
        <w:t>显示异常情况</w:t>
      </w:r>
      <w:r>
        <w:rPr>
          <w:rFonts w:ascii="宋体" w:hAnsi="宋体" w:cs="宋体"/>
          <w:color w:val="auto"/>
          <w:sz w:val="24"/>
          <w:szCs w:val="24"/>
          <w:highlight w:val="none"/>
          <w:lang w:val="zh-CN"/>
        </w:rPr>
        <w:t>报警，提醒操作人员及时处理。</w:t>
      </w:r>
    </w:p>
    <w:p w14:paraId="05687CD1">
      <w:pPr>
        <w:ind w:firstLine="480"/>
        <w:rPr>
          <w:rFonts w:ascii="宋体" w:hAnsi="宋体" w:cs="宋体"/>
          <w:color w:val="auto"/>
          <w:sz w:val="24"/>
          <w:szCs w:val="24"/>
          <w:highlight w:val="none"/>
          <w:lang w:val="zh-CN"/>
        </w:rPr>
      </w:pPr>
      <w:r>
        <w:rPr>
          <w:rFonts w:ascii="宋体" w:hAnsi="宋体" w:cs="宋体"/>
          <w:color w:val="auto"/>
          <w:sz w:val="24"/>
          <w:szCs w:val="24"/>
          <w:highlight w:val="none"/>
          <w:lang w:val="zh-CN"/>
        </w:rPr>
        <w:t>2.</w:t>
      </w:r>
      <w:r>
        <w:rPr>
          <w:rFonts w:hint="eastAsia" w:ascii="宋体" w:hAnsi="宋体" w:cs="宋体"/>
          <w:color w:val="auto"/>
          <w:sz w:val="24"/>
          <w:szCs w:val="24"/>
          <w:highlight w:val="none"/>
        </w:rPr>
        <w:t xml:space="preserve">21 </w:t>
      </w:r>
      <w:r>
        <w:rPr>
          <w:rFonts w:ascii="宋体" w:hAnsi="宋体" w:cs="宋体"/>
          <w:color w:val="auto"/>
          <w:sz w:val="24"/>
          <w:szCs w:val="24"/>
          <w:highlight w:val="none"/>
          <w:lang w:val="zh-CN"/>
        </w:rPr>
        <w:t>数据显示与传输：设备主机具有参数设置权限保护模式：≥3级密码保护。操作、管理、技术人员对设备分层管理。故障自动检测、报警及故障记录功能。设备配≥7寸触摸屏操作面板，至少提供中英两种操作界面，可根据需求编辑清洗程序。控制区面板配USB接口，可导出设备运行数据（包括运行时间、程序类型、清洗剂用量等），便于数据化管理。</w:t>
      </w:r>
      <w:r>
        <w:rPr>
          <w:rFonts w:hint="eastAsia" w:ascii="宋体" w:hAnsi="宋体" w:cs="宋体"/>
          <w:color w:val="auto"/>
          <w:sz w:val="24"/>
          <w:szCs w:val="24"/>
          <w:highlight w:val="none"/>
        </w:rPr>
        <w:t>设备</w:t>
      </w:r>
      <w:r>
        <w:rPr>
          <w:rFonts w:ascii="宋体" w:hAnsi="宋体" w:cs="宋体"/>
          <w:color w:val="auto"/>
          <w:sz w:val="24"/>
          <w:szCs w:val="24"/>
          <w:highlight w:val="none"/>
          <w:lang w:val="zh-CN"/>
        </w:rPr>
        <w:t>具备与设施监控系统连接功能，对设备的运行状态进行实时读取。</w:t>
      </w:r>
    </w:p>
    <w:p w14:paraId="0FFF8FF5">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2.22</w:t>
      </w:r>
      <w:r>
        <w:rPr>
          <w:rFonts w:ascii="宋体" w:hAnsi="宋体" w:cs="宋体"/>
          <w:color w:val="auto"/>
          <w:sz w:val="24"/>
          <w:szCs w:val="24"/>
          <w:highlight w:val="none"/>
          <w:lang w:val="zh-CN"/>
        </w:rPr>
        <w:t>可通</w:t>
      </w:r>
      <w:r>
        <w:rPr>
          <w:rFonts w:ascii="宋体" w:hAnsi="宋体" w:cs="宋体"/>
          <w:color w:val="auto"/>
          <w:sz w:val="21"/>
          <w:szCs w:val="21"/>
          <w:highlight w:val="none"/>
          <w:lang w:val="zh-CN"/>
        </w:rPr>
        <w:t>过</w:t>
      </w:r>
      <w:r>
        <w:rPr>
          <w:rFonts w:ascii="宋体" w:hAnsi="宋体" w:cs="宋体"/>
          <w:color w:val="auto"/>
          <w:sz w:val="24"/>
          <w:szCs w:val="24"/>
          <w:highlight w:val="none"/>
          <w:lang w:val="zh-CN"/>
        </w:rPr>
        <w:t>在线平台免费下载APP到用户的移动手机或者平板电脑终端，对设备的运行状态进行远程实时读取。</w:t>
      </w:r>
    </w:p>
    <w:p w14:paraId="6FB1304F">
      <w:pPr>
        <w:ind w:firstLine="480"/>
        <w:rPr>
          <w:rFonts w:ascii="宋体" w:hAnsi="宋体" w:cs="宋体"/>
          <w:b/>
          <w:bCs/>
          <w:color w:val="auto"/>
          <w:sz w:val="24"/>
          <w:szCs w:val="24"/>
          <w:highlight w:val="none"/>
        </w:rPr>
      </w:pPr>
      <w:r>
        <w:rPr>
          <w:rFonts w:ascii="宋体" w:hAnsi="宋体" w:cs="宋体"/>
          <w:color w:val="auto"/>
          <w:sz w:val="24"/>
          <w:szCs w:val="24"/>
          <w:highlight w:val="none"/>
          <w:lang w:val="zh-CN"/>
        </w:rPr>
        <w:t>▲</w:t>
      </w:r>
      <w:r>
        <w:rPr>
          <w:rFonts w:hint="eastAsia" w:ascii="宋体" w:hAnsi="宋体" w:cs="宋体"/>
          <w:color w:val="auto"/>
          <w:sz w:val="24"/>
          <w:szCs w:val="24"/>
          <w:highlight w:val="none"/>
          <w:lang w:val="zh-CN"/>
        </w:rPr>
        <w:t>2</w:t>
      </w:r>
      <w:r>
        <w:rPr>
          <w:rFonts w:ascii="宋体" w:hAnsi="宋体" w:cs="宋体"/>
          <w:color w:val="auto"/>
          <w:sz w:val="24"/>
          <w:szCs w:val="24"/>
          <w:highlight w:val="none"/>
          <w:lang w:val="zh-CN"/>
        </w:rPr>
        <w:t>.</w:t>
      </w:r>
      <w:r>
        <w:rPr>
          <w:rFonts w:hint="eastAsia" w:ascii="宋体" w:hAnsi="宋体" w:cs="宋体"/>
          <w:color w:val="auto"/>
          <w:sz w:val="24"/>
          <w:szCs w:val="24"/>
          <w:highlight w:val="none"/>
        </w:rPr>
        <w:t xml:space="preserve">23 </w:t>
      </w: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rPr>
        <w:t>中标后需按采购人要求</w:t>
      </w:r>
      <w:r>
        <w:rPr>
          <w:rFonts w:ascii="宋体" w:hAnsi="宋体" w:cs="宋体"/>
          <w:color w:val="auto"/>
          <w:sz w:val="24"/>
          <w:szCs w:val="24"/>
          <w:highlight w:val="none"/>
          <w:lang w:val="zh-CN"/>
        </w:rPr>
        <w:t>对现场结构改造</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包括但不限于：</w:t>
      </w:r>
      <w:r>
        <w:rPr>
          <w:rFonts w:ascii="宋体" w:hAnsi="宋体" w:cs="宋体"/>
          <w:color w:val="auto"/>
          <w:sz w:val="24"/>
          <w:szCs w:val="24"/>
          <w:highlight w:val="none"/>
          <w:lang w:val="zh-CN"/>
        </w:rPr>
        <w:t>软水机和空压机的</w:t>
      </w:r>
      <w:r>
        <w:rPr>
          <w:rFonts w:hint="eastAsia" w:ascii="宋体" w:hAnsi="宋体" w:cs="宋体"/>
          <w:color w:val="auto"/>
          <w:sz w:val="24"/>
          <w:szCs w:val="24"/>
          <w:highlight w:val="none"/>
          <w:lang w:val="zh-CN"/>
        </w:rPr>
        <w:t>安装</w:t>
      </w:r>
      <w:r>
        <w:rPr>
          <w:rFonts w:ascii="宋体" w:hAnsi="宋体" w:cs="宋体"/>
          <w:color w:val="auto"/>
          <w:sz w:val="24"/>
          <w:szCs w:val="24"/>
          <w:highlight w:val="none"/>
          <w:lang w:val="zh-CN"/>
        </w:rPr>
        <w:t>位置</w:t>
      </w:r>
      <w:r>
        <w:rPr>
          <w:rFonts w:hint="eastAsia" w:ascii="宋体" w:hAnsi="宋体" w:cs="宋体"/>
          <w:color w:val="auto"/>
          <w:sz w:val="24"/>
          <w:szCs w:val="24"/>
          <w:highlight w:val="none"/>
          <w:lang w:val="zh-CN"/>
        </w:rPr>
        <w:t>、电源</w:t>
      </w:r>
      <w:r>
        <w:rPr>
          <w:rFonts w:ascii="宋体" w:hAnsi="宋体" w:cs="宋体"/>
          <w:color w:val="auto"/>
          <w:sz w:val="24"/>
          <w:szCs w:val="24"/>
          <w:highlight w:val="none"/>
          <w:lang w:val="zh-CN"/>
        </w:rPr>
        <w:t>电缆的布置、水电气</w:t>
      </w:r>
      <w:r>
        <w:rPr>
          <w:rFonts w:hint="eastAsia" w:ascii="宋体" w:hAnsi="宋体" w:cs="宋体"/>
          <w:color w:val="auto"/>
          <w:sz w:val="24"/>
          <w:szCs w:val="24"/>
          <w:highlight w:val="none"/>
          <w:lang w:val="zh-CN"/>
        </w:rPr>
        <w:t>（汽）及</w:t>
      </w:r>
      <w:r>
        <w:rPr>
          <w:rFonts w:ascii="宋体" w:hAnsi="宋体" w:cs="宋体"/>
          <w:color w:val="auto"/>
          <w:sz w:val="24"/>
          <w:szCs w:val="24"/>
          <w:highlight w:val="none"/>
          <w:lang w:val="zh-CN"/>
        </w:rPr>
        <w:t>排风的</w:t>
      </w:r>
      <w:r>
        <w:rPr>
          <w:rFonts w:hint="eastAsia" w:ascii="宋体" w:hAnsi="宋体" w:cs="宋体"/>
          <w:color w:val="auto"/>
          <w:sz w:val="24"/>
          <w:szCs w:val="24"/>
          <w:highlight w:val="none"/>
          <w:lang w:val="zh-CN"/>
        </w:rPr>
        <w:t>连接</w:t>
      </w:r>
      <w:r>
        <w:rPr>
          <w:rFonts w:ascii="宋体" w:hAnsi="宋体" w:cs="宋体"/>
          <w:color w:val="auto"/>
          <w:sz w:val="24"/>
          <w:szCs w:val="24"/>
          <w:highlight w:val="none"/>
          <w:lang w:val="zh-CN"/>
        </w:rPr>
        <w:t>走向、</w:t>
      </w:r>
      <w:r>
        <w:rPr>
          <w:rFonts w:hint="eastAsia" w:ascii="宋体" w:hAnsi="宋体" w:cs="宋体"/>
          <w:color w:val="auto"/>
          <w:sz w:val="24"/>
          <w:szCs w:val="24"/>
          <w:highlight w:val="none"/>
          <w:lang w:val="zh-CN"/>
        </w:rPr>
        <w:t>上下水</w:t>
      </w:r>
      <w:r>
        <w:rPr>
          <w:rFonts w:ascii="宋体" w:hAnsi="宋体" w:cs="宋体"/>
          <w:color w:val="auto"/>
          <w:sz w:val="24"/>
          <w:szCs w:val="24"/>
          <w:highlight w:val="none"/>
          <w:lang w:val="zh-CN"/>
        </w:rPr>
        <w:t>及蒸汽疏水的安装</w:t>
      </w:r>
      <w:r>
        <w:rPr>
          <w:rFonts w:hint="eastAsia" w:ascii="宋体" w:hAnsi="宋体" w:cs="宋体"/>
          <w:color w:val="auto"/>
          <w:sz w:val="24"/>
          <w:szCs w:val="24"/>
          <w:highlight w:val="none"/>
        </w:rPr>
        <w:t>等，并提供对应图纸等相关内容</w:t>
      </w:r>
      <w:r>
        <w:rPr>
          <w:rFonts w:hint="eastAsia" w:ascii="宋体" w:hAnsi="宋体" w:cs="宋体"/>
          <w:b/>
          <w:bCs/>
          <w:color w:val="auto"/>
          <w:sz w:val="24"/>
          <w:szCs w:val="24"/>
          <w:highlight w:val="none"/>
        </w:rPr>
        <w:t>（承诺函格式自拟并加盖投标人公章）</w:t>
      </w:r>
      <w:r>
        <w:rPr>
          <w:rFonts w:hint="eastAsia" w:ascii="宋体" w:hAnsi="宋体" w:cs="宋体"/>
          <w:color w:val="auto"/>
          <w:sz w:val="24"/>
          <w:szCs w:val="24"/>
          <w:highlight w:val="none"/>
        </w:rPr>
        <w:t>。</w:t>
      </w:r>
    </w:p>
    <w:p w14:paraId="63EF1EDF">
      <w:pPr>
        <w:pStyle w:val="207"/>
        <w:rPr>
          <w:color w:val="auto"/>
          <w:highlight w:val="none"/>
          <w:lang w:val="zh-CN"/>
        </w:rPr>
      </w:pPr>
      <w:bookmarkStart w:id="60" w:name="_Toc8837"/>
      <w:r>
        <w:rPr>
          <w:rFonts w:hint="eastAsia" w:eastAsia="宋体"/>
          <w:color w:val="auto"/>
          <w:highlight w:val="none"/>
          <w:lang w:val="zh-CN"/>
        </w:rPr>
        <w:t>三、</w:t>
      </w:r>
      <w:r>
        <w:rPr>
          <w:rFonts w:hint="eastAsia"/>
          <w:color w:val="auto"/>
          <w:highlight w:val="none"/>
          <w:lang w:val="zh-CN"/>
        </w:rPr>
        <w:t>服务要求</w:t>
      </w:r>
    </w:p>
    <w:p w14:paraId="446E1DAF">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1、技术培训：为采购方进行人员培训，提供每年不少于</w:t>
      </w: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lang w:val="zh-CN"/>
        </w:rPr>
        <w:t>次的设备操作培训，培训人员</w:t>
      </w:r>
      <w:r>
        <w:rPr>
          <w:rFonts w:hint="eastAsia" w:ascii="宋体" w:hAnsi="宋体" w:cs="宋体"/>
          <w:color w:val="auto"/>
          <w:sz w:val="24"/>
          <w:szCs w:val="24"/>
          <w:highlight w:val="none"/>
        </w:rPr>
        <w:t>数量</w:t>
      </w:r>
      <w:r>
        <w:rPr>
          <w:rFonts w:hint="eastAsia" w:ascii="宋体" w:hAnsi="宋体" w:cs="宋体"/>
          <w:color w:val="auto"/>
          <w:sz w:val="24"/>
          <w:szCs w:val="24"/>
          <w:highlight w:val="none"/>
          <w:lang w:val="zh-CN"/>
        </w:rPr>
        <w:t>不低于</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人。</w:t>
      </w:r>
    </w:p>
    <w:p w14:paraId="2693A4CA">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免费质保</w:t>
      </w:r>
      <w:r>
        <w:rPr>
          <w:rFonts w:hint="eastAsia" w:ascii="宋体" w:hAnsi="宋体" w:cs="宋体"/>
          <w:color w:val="auto"/>
          <w:sz w:val="24"/>
          <w:szCs w:val="24"/>
          <w:highlight w:val="none"/>
          <w:lang w:val="zh-CN"/>
        </w:rPr>
        <w:t>期：</w:t>
      </w:r>
      <w:r>
        <w:rPr>
          <w:rFonts w:hint="eastAsia" w:ascii="宋体" w:hAnsi="宋体" w:cs="宋体"/>
          <w:color w:val="auto"/>
          <w:sz w:val="24"/>
          <w:szCs w:val="24"/>
          <w:highlight w:val="none"/>
        </w:rPr>
        <w:t>质保期</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年</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自验收合格</w:t>
      </w:r>
      <w:r>
        <w:rPr>
          <w:rFonts w:hint="eastAsia" w:ascii="宋体" w:hAnsi="宋体" w:cs="宋体"/>
          <w:color w:val="auto"/>
          <w:sz w:val="24"/>
          <w:szCs w:val="24"/>
          <w:highlight w:val="none"/>
        </w:rPr>
        <w:t>次日</w:t>
      </w:r>
      <w:r>
        <w:rPr>
          <w:rFonts w:hint="eastAsia" w:ascii="宋体" w:hAnsi="宋体" w:cs="宋体"/>
          <w:color w:val="auto"/>
          <w:sz w:val="24"/>
          <w:szCs w:val="24"/>
          <w:highlight w:val="none"/>
          <w:lang w:val="zh-CN"/>
        </w:rPr>
        <w:t>起</w:t>
      </w:r>
      <w:r>
        <w:rPr>
          <w:rFonts w:hint="eastAsia" w:ascii="宋体" w:hAnsi="宋体" w:cs="宋体"/>
          <w:color w:val="auto"/>
          <w:sz w:val="24"/>
          <w:szCs w:val="24"/>
          <w:highlight w:val="none"/>
        </w:rPr>
        <w:t>算</w:t>
      </w:r>
      <w:r>
        <w:rPr>
          <w:rFonts w:hint="eastAsia" w:ascii="宋体" w:hAnsi="宋体" w:cs="宋体"/>
          <w:color w:val="auto"/>
          <w:sz w:val="24"/>
          <w:szCs w:val="24"/>
          <w:highlight w:val="none"/>
          <w:lang w:val="zh-CN"/>
        </w:rPr>
        <w:t>。</w:t>
      </w:r>
      <w:r>
        <w:rPr>
          <w:rFonts w:hint="eastAsia" w:ascii="宋体" w:hAnsi="宋体" w:cs="宋体"/>
          <w:b/>
          <w:bCs/>
          <w:color w:val="auto"/>
          <w:sz w:val="24"/>
          <w:szCs w:val="24"/>
          <w:highlight w:val="none"/>
        </w:rPr>
        <w:t>（承诺函格式自拟并加盖投标人公章）</w:t>
      </w:r>
    </w:p>
    <w:p w14:paraId="26EBA3B7">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3、售后技术服务要求：接到故障通知后</w:t>
      </w:r>
      <w:r>
        <w:rPr>
          <w:rFonts w:hint="eastAsia" w:ascii="宋体" w:hAnsi="宋体" w:cs="宋体"/>
          <w:color w:val="auto"/>
          <w:sz w:val="24"/>
          <w:szCs w:val="24"/>
          <w:highlight w:val="none"/>
        </w:rPr>
        <w:t xml:space="preserve"> 4</w:t>
      </w:r>
      <w:r>
        <w:rPr>
          <w:rFonts w:hint="eastAsia" w:ascii="宋体" w:hAnsi="宋体" w:cs="宋体"/>
          <w:color w:val="auto"/>
          <w:sz w:val="24"/>
          <w:szCs w:val="24"/>
          <w:highlight w:val="none"/>
          <w:lang w:val="zh-CN"/>
        </w:rPr>
        <w:t>小时内作出答复，一般问题</w:t>
      </w:r>
      <w:r>
        <w:rPr>
          <w:rFonts w:hint="eastAsia" w:ascii="宋体" w:hAnsi="宋体" w:cs="宋体"/>
          <w:color w:val="auto"/>
          <w:sz w:val="24"/>
          <w:szCs w:val="24"/>
          <w:highlight w:val="none"/>
        </w:rPr>
        <w:t>24</w:t>
      </w:r>
      <w:r>
        <w:rPr>
          <w:rFonts w:hint="eastAsia" w:ascii="宋体" w:hAnsi="宋体" w:cs="宋体"/>
          <w:color w:val="auto"/>
          <w:sz w:val="24"/>
          <w:szCs w:val="24"/>
          <w:highlight w:val="none"/>
          <w:lang w:val="zh-CN"/>
        </w:rPr>
        <w:t>小时之内解决；若采购方有需求，</w:t>
      </w:r>
      <w:r>
        <w:rPr>
          <w:rFonts w:hint="eastAsia" w:ascii="宋体" w:hAnsi="宋体" w:cs="宋体"/>
          <w:color w:val="auto"/>
          <w:sz w:val="24"/>
          <w:szCs w:val="24"/>
          <w:highlight w:val="none"/>
        </w:rPr>
        <w:t>12</w:t>
      </w:r>
      <w:r>
        <w:rPr>
          <w:rFonts w:hint="eastAsia" w:ascii="宋体" w:hAnsi="宋体" w:cs="宋体"/>
          <w:color w:val="auto"/>
          <w:sz w:val="24"/>
          <w:szCs w:val="24"/>
          <w:highlight w:val="none"/>
          <w:lang w:val="zh-CN"/>
        </w:rPr>
        <w:t>小时内到达现场解决；若遇重大问题在</w:t>
      </w:r>
      <w:r>
        <w:rPr>
          <w:rFonts w:hint="eastAsia" w:ascii="宋体" w:hAnsi="宋体" w:cs="宋体"/>
          <w:color w:val="auto"/>
          <w:sz w:val="24"/>
          <w:szCs w:val="24"/>
          <w:highlight w:val="none"/>
        </w:rPr>
        <w:t>2天内</w:t>
      </w:r>
      <w:r>
        <w:rPr>
          <w:rFonts w:hint="eastAsia" w:ascii="宋体" w:hAnsi="宋体" w:cs="宋体"/>
          <w:color w:val="auto"/>
          <w:sz w:val="24"/>
          <w:szCs w:val="24"/>
          <w:highlight w:val="none"/>
          <w:lang w:val="zh-CN"/>
        </w:rPr>
        <w:t>解决。</w:t>
      </w:r>
    </w:p>
    <w:p w14:paraId="6B3A26F9">
      <w:pPr>
        <w:pStyle w:val="207"/>
        <w:rPr>
          <w:color w:val="auto"/>
          <w:highlight w:val="none"/>
          <w:lang w:val="zh-CN"/>
        </w:rPr>
      </w:pPr>
      <w:r>
        <w:rPr>
          <w:rFonts w:hint="eastAsia" w:eastAsia="宋体"/>
          <w:color w:val="auto"/>
          <w:highlight w:val="none"/>
          <w:lang w:val="zh-CN"/>
        </w:rPr>
        <w:t>四、</w:t>
      </w:r>
      <w:r>
        <w:rPr>
          <w:rFonts w:hint="eastAsia"/>
          <w:color w:val="auto"/>
          <w:highlight w:val="none"/>
          <w:lang w:val="zh-CN"/>
        </w:rPr>
        <w:t>安装要求</w:t>
      </w:r>
      <w:bookmarkEnd w:id="60"/>
    </w:p>
    <w:p w14:paraId="3C6C7819">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按照国家现行行业规范标准进行安装，符合国家或行业质量检验评定标准，没有行业标准的产品，投标人应提供相关制造商标准。</w:t>
      </w:r>
    </w:p>
    <w:p w14:paraId="224F1284">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设备安装调试：设备到货后，卖方在接到通知的7个工作日内派人前往负责该设备的安装、调试和操作培训，直至达到各项验收指标合格。</w:t>
      </w:r>
    </w:p>
    <w:p w14:paraId="43A9EE40">
      <w:pPr>
        <w:pStyle w:val="207"/>
        <w:rPr>
          <w:color w:val="auto"/>
          <w:highlight w:val="none"/>
          <w:lang w:val="zh-CN"/>
        </w:rPr>
      </w:pPr>
      <w:bookmarkStart w:id="61" w:name="_Toc11610"/>
      <w:r>
        <w:rPr>
          <w:rFonts w:hint="eastAsia" w:eastAsia="宋体"/>
          <w:color w:val="auto"/>
          <w:highlight w:val="none"/>
          <w:lang w:val="zh-CN"/>
        </w:rPr>
        <w:t>五、</w:t>
      </w:r>
      <w:r>
        <w:rPr>
          <w:rFonts w:hint="eastAsia"/>
          <w:color w:val="auto"/>
          <w:highlight w:val="none"/>
          <w:lang w:val="zh-CN"/>
        </w:rPr>
        <w:t>★交货期、交货方式及交货地点</w:t>
      </w:r>
      <w:bookmarkEnd w:id="61"/>
    </w:p>
    <w:p w14:paraId="2EB8D017">
      <w:pPr>
        <w:spacing w:after="120"/>
        <w:ind w:firstLine="480"/>
        <w:rPr>
          <w:rFonts w:ascii="宋体" w:hAnsi="宋体" w:cs="宋体"/>
          <w:color w:val="auto"/>
          <w:sz w:val="24"/>
          <w:szCs w:val="24"/>
          <w:highlight w:val="none"/>
        </w:rPr>
      </w:pPr>
      <w:bookmarkStart w:id="62" w:name="_Toc18026"/>
      <w:r>
        <w:rPr>
          <w:rFonts w:hint="eastAsia" w:ascii="宋体" w:hAnsi="宋体" w:cs="宋体"/>
          <w:color w:val="auto"/>
          <w:sz w:val="24"/>
          <w:szCs w:val="24"/>
          <w:highlight w:val="none"/>
        </w:rPr>
        <w:t>1、</w:t>
      </w:r>
      <w:r>
        <w:rPr>
          <w:rFonts w:ascii="宋体" w:hAnsi="宋体" w:cs="宋体"/>
          <w:color w:val="auto"/>
          <w:sz w:val="24"/>
          <w:szCs w:val="24"/>
          <w:highlight w:val="none"/>
        </w:rPr>
        <w:t>交货期:</w:t>
      </w:r>
      <w:r>
        <w:rPr>
          <w:rFonts w:hint="eastAsia" w:ascii="宋体" w:hAnsi="宋体" w:cs="宋体"/>
          <w:color w:val="auto"/>
          <w:sz w:val="24"/>
          <w:szCs w:val="24"/>
          <w:highlight w:val="none"/>
          <w:lang w:val="zh-CN"/>
        </w:rPr>
        <w:t>合同签订生效后，进口设备（免税）三个月内、国产设备及进口设备（非免税）一个月内全部设备、材料运抵现场，并安装、调试结束，验收合格，交付采购方使用。</w:t>
      </w:r>
    </w:p>
    <w:p w14:paraId="0035EF70">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交货方式:</w:t>
      </w:r>
      <w:r>
        <w:rPr>
          <w:rFonts w:hint="eastAsia" w:ascii="宋体" w:hAnsi="宋体"/>
          <w:color w:val="auto"/>
          <w:sz w:val="24"/>
          <w:highlight w:val="none"/>
          <w:lang w:val="zh-CN"/>
        </w:rPr>
        <w:t xml:space="preserve"> 中标人在采购方指定地点交货，并完成安装、调试</w:t>
      </w:r>
    </w:p>
    <w:p w14:paraId="0D83E8EF">
      <w:pPr>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ascii="宋体" w:hAnsi="宋体" w:cs="宋体"/>
          <w:color w:val="auto"/>
          <w:sz w:val="24"/>
          <w:szCs w:val="24"/>
          <w:highlight w:val="none"/>
        </w:rPr>
        <w:t>交货地点:</w:t>
      </w:r>
      <w:r>
        <w:rPr>
          <w:rFonts w:hint="eastAsia" w:hAnsi="宋体"/>
          <w:color w:val="auto"/>
          <w:sz w:val="24"/>
          <w:highlight w:val="none"/>
          <w:lang w:val="zh-CN"/>
        </w:rPr>
        <w:t xml:space="preserve"> 南京医科大学指定地点。</w:t>
      </w:r>
    </w:p>
    <w:p w14:paraId="741AA7C0">
      <w:pPr>
        <w:pStyle w:val="207"/>
        <w:rPr>
          <w:color w:val="auto"/>
          <w:highlight w:val="none"/>
          <w:lang w:val="zh-CN"/>
        </w:rPr>
      </w:pPr>
      <w:r>
        <w:rPr>
          <w:rFonts w:hint="eastAsia" w:eastAsia="宋体"/>
          <w:color w:val="auto"/>
          <w:highlight w:val="none"/>
          <w:lang w:val="zh-CN"/>
        </w:rPr>
        <w:t>六、</w:t>
      </w:r>
      <w:r>
        <w:rPr>
          <w:rFonts w:hint="eastAsia"/>
          <w:color w:val="auto"/>
          <w:highlight w:val="none"/>
          <w:lang w:val="zh-CN"/>
        </w:rPr>
        <w:t>其他技术服务需求</w:t>
      </w:r>
      <w:bookmarkEnd w:id="62"/>
    </w:p>
    <w:p w14:paraId="0AA5A982">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1、投标人须保证本次投标产品系优质材料和先进工艺制成新出厂的产品，且完全与投标文件所述相符。</w:t>
      </w:r>
    </w:p>
    <w:p w14:paraId="0E843684">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2、交付使用前发生的产品硬件损坏和不合格，一律退换新品。在质保期开始的前三个月内，若发生产品损坏和性能不合格（非使用不当原因造成），除采购人同意修理之外，亦应退换新品。</w:t>
      </w:r>
    </w:p>
    <w:p w14:paraId="5242245F">
      <w:pPr>
        <w:pStyle w:val="207"/>
        <w:rPr>
          <w:color w:val="auto"/>
          <w:highlight w:val="none"/>
          <w:lang w:val="zh-CN"/>
        </w:rPr>
      </w:pPr>
      <w:bookmarkStart w:id="63" w:name="_Toc16384"/>
      <w:r>
        <w:rPr>
          <w:rFonts w:hint="eastAsia" w:eastAsia="宋体"/>
          <w:color w:val="auto"/>
          <w:highlight w:val="none"/>
          <w:lang w:val="zh-CN"/>
        </w:rPr>
        <w:t>七、</w:t>
      </w:r>
      <w:r>
        <w:rPr>
          <w:rFonts w:hint="eastAsia"/>
          <w:color w:val="auto"/>
          <w:highlight w:val="none"/>
          <w:lang w:val="zh-CN"/>
        </w:rPr>
        <w:t>★货款支付</w:t>
      </w:r>
      <w:bookmarkEnd w:id="63"/>
    </w:p>
    <w:p w14:paraId="2DCB0E0D">
      <w:pPr>
        <w:pStyle w:val="207"/>
        <w:rPr>
          <w:color w:val="auto"/>
          <w:highlight w:val="none"/>
        </w:rPr>
      </w:pPr>
      <w:bookmarkStart w:id="64" w:name="_Toc18343"/>
      <w:r>
        <w:rPr>
          <w:rFonts w:hint="eastAsia"/>
          <w:color w:val="auto"/>
          <w:highlight w:val="none"/>
        </w:rPr>
        <w:t>1、国产设备及进口设备（非免税）：货物交付、安装、调试且通过验收后一周内（遇寒暑假和法定节假日顺延），学校支付合同总金额的100%，付款之前需收到中标供应商开具的合法有效的相应全额发票。</w:t>
      </w:r>
    </w:p>
    <w:p w14:paraId="3BDF8C23">
      <w:pPr>
        <w:pStyle w:val="207"/>
        <w:rPr>
          <w:color w:val="auto"/>
          <w:highlight w:val="none"/>
        </w:rPr>
      </w:pPr>
      <w:r>
        <w:rPr>
          <w:rFonts w:hint="eastAsia"/>
          <w:color w:val="auto"/>
          <w:highlight w:val="none"/>
        </w:rPr>
        <w:t>2、进口设备（免税）：</w:t>
      </w:r>
      <w:bookmarkStart w:id="65" w:name="_Toc5640"/>
    </w:p>
    <w:p w14:paraId="421042D1">
      <w:pPr>
        <w:pStyle w:val="207"/>
        <w:rPr>
          <w:color w:val="auto"/>
          <w:highlight w:val="none"/>
        </w:rPr>
      </w:pPr>
      <w:r>
        <w:rPr>
          <w:rFonts w:hint="eastAsia"/>
          <w:color w:val="auto"/>
          <w:highlight w:val="none"/>
        </w:rPr>
        <w:t>（1）合同签订后，外贸代理公司提供受益人为南京医科大学的100%合同金额的预付款银行保函，保函有效期为</w:t>
      </w:r>
      <w:r>
        <w:rPr>
          <w:rFonts w:hint="eastAsia"/>
          <w:color w:val="auto"/>
          <w:highlight w:val="none"/>
          <w:u w:val="single"/>
        </w:rPr>
        <w:t xml:space="preserve">     </w:t>
      </w:r>
      <w:r>
        <w:rPr>
          <w:rFonts w:hint="eastAsia"/>
          <w:color w:val="auto"/>
          <w:highlight w:val="none"/>
        </w:rPr>
        <w:t>天（供货期＋2个月），银行保函服务费由中标单位承担。</w:t>
      </w:r>
    </w:p>
    <w:p w14:paraId="6AF3E83D">
      <w:pPr>
        <w:pStyle w:val="207"/>
        <w:rPr>
          <w:color w:val="auto"/>
          <w:highlight w:val="none"/>
        </w:rPr>
      </w:pPr>
      <w:r>
        <w:rPr>
          <w:rFonts w:hint="eastAsia"/>
          <w:color w:val="auto"/>
          <w:highlight w:val="none"/>
        </w:rPr>
        <w:t>（2）外贸代理公司收到100%货款后按照合同办理相关进口手续，货到验收合格后由学校通知外贸代理公司一周内开具合法有效的全额发票，并支付100%货款至境外厂家。</w:t>
      </w:r>
      <w:bookmarkEnd w:id="65"/>
    </w:p>
    <w:p w14:paraId="4B5F7475">
      <w:pPr>
        <w:pStyle w:val="207"/>
        <w:rPr>
          <w:color w:val="auto"/>
          <w:highlight w:val="none"/>
          <w:lang w:val="zh-CN"/>
        </w:rPr>
      </w:pPr>
      <w:r>
        <w:rPr>
          <w:rFonts w:hint="eastAsia"/>
          <w:color w:val="auto"/>
          <w:highlight w:val="none"/>
        </w:rPr>
        <w:t>八</w:t>
      </w:r>
      <w:r>
        <w:rPr>
          <w:rFonts w:hint="eastAsia" w:eastAsia="宋体"/>
          <w:color w:val="auto"/>
          <w:highlight w:val="none"/>
          <w:lang w:val="zh-CN"/>
        </w:rPr>
        <w:t>、</w:t>
      </w:r>
      <w:r>
        <w:rPr>
          <w:rFonts w:hint="eastAsia"/>
          <w:color w:val="auto"/>
          <w:highlight w:val="none"/>
          <w:lang w:val="zh-CN"/>
        </w:rPr>
        <w:t>其它说明</w:t>
      </w:r>
      <w:bookmarkEnd w:id="64"/>
    </w:p>
    <w:p w14:paraId="3F1704E5">
      <w:pPr>
        <w:spacing w:after="120"/>
        <w:ind w:firstLine="480"/>
        <w:rPr>
          <w:color w:val="auto"/>
          <w:sz w:val="24"/>
          <w:szCs w:val="24"/>
          <w:highlight w:val="none"/>
          <w:lang w:val="zh-CN"/>
        </w:rPr>
      </w:pPr>
      <w:r>
        <w:rPr>
          <w:rFonts w:hint="eastAsia"/>
          <w:color w:val="auto"/>
          <w:sz w:val="24"/>
          <w:szCs w:val="24"/>
          <w:highlight w:val="none"/>
        </w:rPr>
        <w:t>勘察：</w:t>
      </w:r>
      <w:r>
        <w:rPr>
          <w:rFonts w:hint="eastAsia"/>
          <w:color w:val="auto"/>
          <w:sz w:val="24"/>
          <w:szCs w:val="24"/>
          <w:highlight w:val="none"/>
          <w:lang w:val="zh-CN"/>
        </w:rPr>
        <w:t>本项目</w:t>
      </w:r>
      <w:r>
        <w:rPr>
          <w:rFonts w:hint="eastAsia"/>
          <w:color w:val="auto"/>
          <w:sz w:val="24"/>
          <w:szCs w:val="24"/>
          <w:highlight w:val="none"/>
          <w:lang w:val="en-US" w:eastAsia="zh-CN"/>
        </w:rPr>
        <w:t>不</w:t>
      </w:r>
      <w:r>
        <w:rPr>
          <w:rFonts w:hint="eastAsia"/>
          <w:color w:val="auto"/>
          <w:sz w:val="24"/>
          <w:szCs w:val="24"/>
          <w:highlight w:val="none"/>
          <w:lang w:val="zh-CN"/>
        </w:rPr>
        <w:t>统一组织现场勘察，自愿参加。未参加现场勘察的投标人，视为已充分了解项目现场全部情况，由此产生的报价偏差、方案错误、履约风险、索赔、调价、工期延误、质量问题等一切后果，均由投标人自行承担，采购人 、代理机构不承担任何责任。勘察费用、安全责任由投标人自理。</w:t>
      </w:r>
    </w:p>
    <w:p w14:paraId="4D6C5F51">
      <w:pPr>
        <w:spacing w:after="120"/>
        <w:ind w:firstLine="480"/>
        <w:rPr>
          <w:rFonts w:hint="eastAsia"/>
          <w:color w:val="auto"/>
          <w:sz w:val="24"/>
          <w:szCs w:val="24"/>
          <w:highlight w:val="none"/>
          <w:lang w:val="zh-CN"/>
        </w:rPr>
      </w:pPr>
      <w:r>
        <w:rPr>
          <w:rFonts w:hint="eastAsia"/>
          <w:color w:val="auto"/>
          <w:sz w:val="24"/>
          <w:szCs w:val="24"/>
          <w:highlight w:val="none"/>
          <w:lang w:val="zh-CN"/>
        </w:rPr>
        <w:t>勘察时间2026年</w:t>
      </w:r>
      <w:r>
        <w:rPr>
          <w:rFonts w:hint="eastAsia"/>
          <w:color w:val="auto"/>
          <w:sz w:val="24"/>
          <w:szCs w:val="24"/>
          <w:highlight w:val="none"/>
          <w:lang w:val="en-US" w:eastAsia="zh-CN"/>
        </w:rPr>
        <w:t>7</w:t>
      </w:r>
      <w:r>
        <w:rPr>
          <w:rFonts w:hint="eastAsia"/>
          <w:color w:val="auto"/>
          <w:sz w:val="24"/>
          <w:szCs w:val="24"/>
          <w:highlight w:val="none"/>
          <w:lang w:val="zh-CN"/>
        </w:rPr>
        <w:t>月</w:t>
      </w:r>
      <w:r>
        <w:rPr>
          <w:rFonts w:hint="eastAsia"/>
          <w:color w:val="auto"/>
          <w:sz w:val="24"/>
          <w:szCs w:val="24"/>
          <w:highlight w:val="none"/>
          <w:lang w:val="en-US" w:eastAsia="zh-CN"/>
        </w:rPr>
        <w:t>13</w:t>
      </w:r>
      <w:r>
        <w:rPr>
          <w:rFonts w:hint="eastAsia"/>
          <w:color w:val="auto"/>
          <w:sz w:val="24"/>
          <w:szCs w:val="24"/>
          <w:highlight w:val="none"/>
          <w:lang w:val="zh-CN"/>
        </w:rPr>
        <w:t>日9:00；</w:t>
      </w:r>
    </w:p>
    <w:p w14:paraId="32BC6C7D">
      <w:pPr>
        <w:spacing w:after="120"/>
        <w:ind w:firstLine="480"/>
        <w:rPr>
          <w:rFonts w:hint="eastAsia"/>
          <w:color w:val="auto"/>
          <w:sz w:val="24"/>
          <w:szCs w:val="24"/>
          <w:highlight w:val="none"/>
          <w:lang w:val="zh-CN"/>
        </w:rPr>
      </w:pPr>
      <w:r>
        <w:rPr>
          <w:rFonts w:hint="eastAsia"/>
          <w:color w:val="auto"/>
          <w:sz w:val="24"/>
          <w:szCs w:val="24"/>
          <w:highlight w:val="none"/>
          <w:lang w:val="zh-CN"/>
        </w:rPr>
        <w:t>勘察地点：南京医科大学江宁校区北门；</w:t>
      </w:r>
    </w:p>
    <w:p w14:paraId="7D90165D">
      <w:pPr>
        <w:spacing w:after="120"/>
        <w:ind w:firstLine="480"/>
        <w:rPr>
          <w:rFonts w:hint="eastAsia"/>
          <w:color w:val="auto"/>
          <w:sz w:val="24"/>
          <w:szCs w:val="24"/>
          <w:highlight w:val="none"/>
          <w:lang w:val="zh-CN"/>
        </w:rPr>
      </w:pPr>
      <w:r>
        <w:rPr>
          <w:rFonts w:hint="eastAsia"/>
          <w:color w:val="auto"/>
          <w:sz w:val="24"/>
          <w:szCs w:val="24"/>
          <w:highlight w:val="none"/>
          <w:lang w:val="zh-CN"/>
        </w:rPr>
        <w:t>联系人：沈阳；联系电话：18351895267。</w:t>
      </w:r>
    </w:p>
    <w:p w14:paraId="0307B2BA">
      <w:pPr>
        <w:spacing w:after="120"/>
        <w:ind w:firstLine="480"/>
        <w:rPr>
          <w:rFonts w:ascii="宋体" w:hAnsi="宋体" w:cs="宋体"/>
          <w:color w:val="auto"/>
          <w:sz w:val="24"/>
          <w:szCs w:val="24"/>
          <w:highlight w:val="none"/>
          <w:lang w:val="zh-CN"/>
        </w:rPr>
      </w:pPr>
    </w:p>
    <w:p w14:paraId="21AD0CA5">
      <w:pPr>
        <w:spacing w:after="120"/>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r>
        <w:rPr>
          <w:rFonts w:hint="eastAsia" w:ascii="宋体" w:hAnsi="宋体" w:cs="宋体"/>
          <w:b/>
          <w:bCs/>
          <w:color w:val="auto"/>
          <w:sz w:val="24"/>
          <w:szCs w:val="24"/>
          <w:highlight w:val="none"/>
          <w:lang w:val="zh-CN"/>
        </w:rPr>
        <w:t>上述要求中加注“★”的条款为关键条款，供应商不满足“★”条款的，投标无效。加注“▲”符号的指标为重要参数，其他为一般参数。</w:t>
      </w:r>
    </w:p>
    <w:p w14:paraId="115772BC">
      <w:pPr>
        <w:ind w:firstLine="440"/>
        <w:rPr>
          <w:color w:val="auto"/>
          <w:highlight w:val="none"/>
        </w:rPr>
      </w:pPr>
      <w:bookmarkStart w:id="66" w:name="_Toc401414769"/>
    </w:p>
    <w:p w14:paraId="51E8230B">
      <w:pPr>
        <w:pStyle w:val="2"/>
        <w:pageBreakBefore/>
        <w:spacing w:after="120"/>
        <w:ind w:firstLine="643"/>
        <w:rPr>
          <w:rFonts w:asciiTheme="majorEastAsia" w:hAnsiTheme="majorEastAsia" w:eastAsiaTheme="majorEastAsia"/>
          <w:b/>
          <w:color w:val="auto"/>
          <w:sz w:val="32"/>
          <w:szCs w:val="32"/>
          <w:highlight w:val="none"/>
        </w:rPr>
      </w:pPr>
      <w:bookmarkStart w:id="67" w:name="_Toc27121"/>
      <w:r>
        <w:rPr>
          <w:rFonts w:hint="eastAsia" w:asciiTheme="majorEastAsia" w:hAnsiTheme="majorEastAsia" w:eastAsiaTheme="majorEastAsia"/>
          <w:b/>
          <w:color w:val="auto"/>
          <w:sz w:val="32"/>
          <w:szCs w:val="32"/>
          <w:highlight w:val="none"/>
        </w:rPr>
        <w:t>第四章  评标方法与评标标准</w:t>
      </w:r>
      <w:bookmarkEnd w:id="67"/>
    </w:p>
    <w:p w14:paraId="6052E4B8">
      <w:pPr>
        <w:numPr>
          <w:ilvl w:val="0"/>
          <w:numId w:val="9"/>
        </w:num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评标方法</w:t>
      </w:r>
    </w:p>
    <w:tbl>
      <w:tblPr>
        <w:tblStyle w:val="40"/>
        <w:tblW w:w="860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2"/>
        <w:gridCol w:w="961"/>
        <w:gridCol w:w="6612"/>
        <w:gridCol w:w="525"/>
      </w:tblGrid>
      <w:tr w14:paraId="02AA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C423C7">
            <w:pPr>
              <w:spacing w:line="400" w:lineRule="exact"/>
              <w:ind w:firstLine="1"/>
              <w:jc w:val="center"/>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br w:type="page" w:clear="all"/>
            </w:r>
            <w:r>
              <w:rPr>
                <w:rFonts w:hint="eastAsia" w:ascii="宋体" w:hAnsi="宋体" w:cs="宋体"/>
                <w:b/>
                <w:color w:val="auto"/>
                <w:szCs w:val="21"/>
                <w:highlight w:val="none"/>
              </w:rPr>
              <w:t>序号</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0DAC12">
            <w:pPr>
              <w:spacing w:line="400" w:lineRule="exact"/>
              <w:ind w:firstLine="1"/>
              <w:jc w:val="center"/>
              <w:rPr>
                <w:rFonts w:ascii="宋体" w:hAnsi="宋体" w:cs="宋体"/>
                <w:b/>
                <w:color w:val="auto"/>
                <w:szCs w:val="21"/>
                <w:highlight w:val="none"/>
              </w:rPr>
            </w:pPr>
            <w:r>
              <w:rPr>
                <w:rFonts w:hint="eastAsia" w:ascii="宋体" w:hAnsi="宋体" w:cs="宋体"/>
                <w:b/>
                <w:color w:val="auto"/>
                <w:szCs w:val="21"/>
                <w:highlight w:val="none"/>
              </w:rPr>
              <w:t>评分项目</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1D063F">
            <w:pPr>
              <w:spacing w:line="400" w:lineRule="exact"/>
              <w:ind w:firstLine="1"/>
              <w:jc w:val="center"/>
              <w:rPr>
                <w:rFonts w:ascii="宋体" w:hAnsi="宋体" w:cs="宋体"/>
                <w:b/>
                <w:color w:val="auto"/>
                <w:szCs w:val="21"/>
                <w:highlight w:val="none"/>
              </w:rPr>
            </w:pPr>
            <w:r>
              <w:rPr>
                <w:rFonts w:hint="eastAsia" w:ascii="宋体" w:hAnsi="宋体" w:cs="宋体"/>
                <w:b/>
                <w:color w:val="auto"/>
                <w:szCs w:val="21"/>
                <w:highlight w:val="none"/>
              </w:rPr>
              <w:t>评分标准及细则</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FE7861">
            <w:pPr>
              <w:spacing w:line="400" w:lineRule="exact"/>
              <w:jc w:val="center"/>
              <w:rPr>
                <w:rFonts w:ascii="宋体" w:hAnsi="宋体" w:cs="宋体"/>
                <w:b/>
                <w:color w:val="auto"/>
                <w:szCs w:val="21"/>
                <w:highlight w:val="none"/>
              </w:rPr>
            </w:pPr>
            <w:r>
              <w:rPr>
                <w:rFonts w:hint="eastAsia" w:ascii="宋体" w:hAnsi="宋体" w:cs="宋体"/>
                <w:b/>
                <w:color w:val="auto"/>
                <w:szCs w:val="21"/>
                <w:highlight w:val="none"/>
              </w:rPr>
              <w:t>分值</w:t>
            </w:r>
          </w:p>
        </w:tc>
      </w:tr>
      <w:tr w14:paraId="3D82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50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3FF774">
            <w:pPr>
              <w:spacing w:line="400" w:lineRule="exact"/>
              <w:ind w:firstLine="1"/>
              <w:jc w:val="center"/>
              <w:rPr>
                <w:rFonts w:ascii="宋体" w:hAnsi="宋体" w:cs="宋体"/>
                <w:color w:val="auto"/>
                <w:highlight w:val="none"/>
              </w:rPr>
            </w:pPr>
            <w:r>
              <w:rPr>
                <w:rFonts w:hint="eastAsia" w:ascii="宋体" w:hAnsi="宋体" w:cs="宋体"/>
                <w:color w:val="auto"/>
                <w:highlight w:val="none"/>
              </w:rPr>
              <w:t>1</w:t>
            </w:r>
          </w:p>
        </w:tc>
        <w:tc>
          <w:tcPr>
            <w:tcW w:w="96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F95C53">
            <w:pPr>
              <w:spacing w:line="400" w:lineRule="exact"/>
              <w:ind w:firstLine="1"/>
              <w:jc w:val="center"/>
              <w:rPr>
                <w:rFonts w:ascii="宋体" w:hAnsi="宋体" w:cs="宋体"/>
                <w:color w:val="auto"/>
                <w:highlight w:val="none"/>
              </w:rPr>
            </w:pPr>
            <w:r>
              <w:rPr>
                <w:rFonts w:hint="eastAsia" w:ascii="宋体" w:hAnsi="宋体" w:cs="宋体"/>
                <w:color w:val="auto"/>
                <w:highlight w:val="none"/>
              </w:rPr>
              <w:t>价格分</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806851">
            <w:pPr>
              <w:spacing w:line="400" w:lineRule="exact"/>
              <w:ind w:firstLine="1"/>
              <w:rPr>
                <w:rFonts w:ascii="宋体" w:hAnsi="宋体" w:cs="宋体"/>
                <w:bCs/>
                <w:color w:val="auto"/>
                <w:highlight w:val="none"/>
              </w:rPr>
            </w:pPr>
            <w:r>
              <w:rPr>
                <w:rFonts w:hint="eastAsia" w:ascii="宋体" w:hAnsi="宋体" w:cs="宋体"/>
                <w:bCs/>
                <w:color w:val="auto"/>
                <w:highlight w:val="none"/>
              </w:rPr>
              <w:t>价格分采用低价优先法计算，即满足采购文件要求且报价最低的投标人的有效报价为评审基准价，其价格分为满分30分，其它投标人的价格分统一按照以下公式计算：</w:t>
            </w:r>
          </w:p>
          <w:p w14:paraId="230E278E">
            <w:pPr>
              <w:spacing w:line="400" w:lineRule="exact"/>
              <w:ind w:firstLine="1"/>
              <w:rPr>
                <w:rFonts w:ascii="宋体" w:hAnsi="宋体" w:cs="宋体"/>
                <w:color w:val="auto"/>
                <w:highlight w:val="none"/>
              </w:rPr>
            </w:pPr>
            <w:r>
              <w:rPr>
                <w:rFonts w:hint="eastAsia" w:ascii="宋体" w:hAnsi="宋体" w:cs="宋体"/>
                <w:bCs/>
                <w:color w:val="auto"/>
                <w:highlight w:val="none"/>
              </w:rPr>
              <w:t>报价得分=(评审基准价/该投标人的最终报价)×30分。</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0FCBBE">
            <w:pPr>
              <w:spacing w:line="400" w:lineRule="exact"/>
              <w:jc w:val="center"/>
              <w:rPr>
                <w:rFonts w:ascii="宋体" w:hAnsi="宋体" w:cs="宋体"/>
                <w:b/>
                <w:bCs/>
                <w:color w:val="auto"/>
                <w:highlight w:val="none"/>
              </w:rPr>
            </w:pPr>
            <w:r>
              <w:rPr>
                <w:rFonts w:hint="eastAsia" w:ascii="宋体" w:hAnsi="宋体" w:cs="宋体"/>
                <w:b/>
                <w:bCs/>
                <w:color w:val="auto"/>
                <w:highlight w:val="none"/>
              </w:rPr>
              <w:t>30</w:t>
            </w:r>
          </w:p>
        </w:tc>
      </w:tr>
      <w:tr w14:paraId="741A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83"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3DC1B8E7">
            <w:pPr>
              <w:spacing w:line="400" w:lineRule="exact"/>
              <w:ind w:firstLine="1"/>
              <w:jc w:val="center"/>
              <w:rPr>
                <w:rFonts w:ascii="宋体" w:hAnsi="宋体" w:cs="宋体"/>
                <w:color w:val="auto"/>
                <w:highlight w:val="none"/>
              </w:rPr>
            </w:pPr>
            <w:r>
              <w:rPr>
                <w:rFonts w:hint="eastAsia" w:ascii="宋体" w:hAnsi="宋体" w:cs="宋体"/>
                <w:color w:val="auto"/>
                <w:highlight w:val="none"/>
              </w:rPr>
              <w:t>2</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6ACB4EE4">
            <w:pPr>
              <w:spacing w:line="400" w:lineRule="exact"/>
              <w:ind w:firstLine="1"/>
              <w:jc w:val="center"/>
              <w:rPr>
                <w:rFonts w:ascii="宋体" w:hAnsi="宋体" w:cs="宋体"/>
                <w:color w:val="auto"/>
                <w:highlight w:val="none"/>
              </w:rPr>
            </w:pPr>
            <w:r>
              <w:rPr>
                <w:rFonts w:hint="eastAsia" w:ascii="宋体" w:hAnsi="宋体" w:cs="宋体"/>
                <w:color w:val="auto"/>
                <w:highlight w:val="none"/>
              </w:rPr>
              <w:t>技术指标</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477F6A">
            <w:pPr>
              <w:spacing w:line="400" w:lineRule="exact"/>
              <w:ind w:firstLine="1"/>
              <w:rPr>
                <w:rFonts w:ascii="宋体" w:hAnsi="宋体" w:cs="宋体"/>
                <w:bCs/>
                <w:color w:val="auto"/>
                <w:highlight w:val="none"/>
              </w:rPr>
            </w:pPr>
            <w:r>
              <w:rPr>
                <w:rFonts w:hint="eastAsia" w:ascii="宋体" w:hAnsi="宋体" w:cs="宋体"/>
                <w:bCs/>
                <w:color w:val="auto"/>
                <w:highlight w:val="none"/>
              </w:rPr>
              <w:t>投标人对招标文件具体项目需求的响应程度：全部响应即满足招标文件的技术指标、参数及服务要求的得 32分，招标文件中标注“★”的内容为实质性要求，有一项不符合的，作无效投标处理。带“▲”条款为重要技术参数指标，如带“▲”条款存在负偏离的，负偏离1项扣2分，其他技术参数，负偏离1项扣</w:t>
            </w:r>
            <w:r>
              <w:rPr>
                <w:rFonts w:hint="eastAsia" w:ascii="宋体" w:hAnsi="宋体" w:cs="宋体"/>
                <w:bCs/>
                <w:color w:val="auto"/>
                <w:highlight w:val="none"/>
                <w:lang w:val="en-US" w:eastAsia="zh-CN"/>
              </w:rPr>
              <w:t>0.8</w:t>
            </w:r>
            <w:r>
              <w:rPr>
                <w:rFonts w:hint="eastAsia" w:ascii="宋体" w:hAnsi="宋体" w:cs="宋体"/>
                <w:bCs/>
                <w:color w:val="auto"/>
                <w:highlight w:val="none"/>
              </w:rPr>
              <w:t>分，扣完为止。</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5AD5C0">
            <w:pPr>
              <w:spacing w:line="400" w:lineRule="exact"/>
              <w:jc w:val="center"/>
              <w:rPr>
                <w:rFonts w:ascii="宋体" w:hAnsi="宋体" w:cs="宋体"/>
                <w:b/>
                <w:bCs/>
                <w:color w:val="auto"/>
                <w:highlight w:val="none"/>
              </w:rPr>
            </w:pPr>
            <w:r>
              <w:rPr>
                <w:rFonts w:hint="eastAsia" w:ascii="宋体" w:hAnsi="宋体" w:cs="宋体"/>
                <w:b/>
                <w:bCs/>
                <w:color w:val="auto"/>
                <w:highlight w:val="none"/>
              </w:rPr>
              <w:t>32</w:t>
            </w:r>
          </w:p>
        </w:tc>
      </w:tr>
      <w:tr w14:paraId="74A5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2F9DA2C1">
            <w:pPr>
              <w:spacing w:line="400" w:lineRule="exact"/>
              <w:ind w:firstLine="1"/>
              <w:jc w:val="center"/>
              <w:rPr>
                <w:rFonts w:ascii="宋体" w:hAnsi="宋体" w:cs="宋体"/>
                <w:color w:val="auto"/>
                <w:highlight w:val="none"/>
              </w:rPr>
            </w:pPr>
            <w:r>
              <w:rPr>
                <w:rFonts w:hint="eastAsia" w:ascii="宋体" w:hAnsi="宋体" w:cs="宋体"/>
                <w:color w:val="auto"/>
                <w:highlight w:val="none"/>
              </w:rPr>
              <w:t>3</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573C9BFF">
            <w:pPr>
              <w:spacing w:line="400" w:lineRule="exact"/>
              <w:ind w:firstLine="1"/>
              <w:jc w:val="center"/>
              <w:rPr>
                <w:rFonts w:ascii="宋体" w:hAnsi="宋体" w:cs="宋体"/>
                <w:color w:val="auto"/>
                <w:highlight w:val="none"/>
              </w:rPr>
            </w:pPr>
            <w:r>
              <w:rPr>
                <w:rFonts w:hint="eastAsia" w:ascii="宋体" w:hAnsi="宋体" w:cs="宋体"/>
                <w:color w:val="auto"/>
                <w:highlight w:val="none"/>
              </w:rPr>
              <w:t>业绩</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996C7A">
            <w:pPr>
              <w:spacing w:line="400" w:lineRule="exact"/>
              <w:ind w:firstLine="1"/>
              <w:rPr>
                <w:rFonts w:ascii="宋体" w:hAnsi="宋体" w:cs="宋体"/>
                <w:color w:val="auto"/>
                <w:highlight w:val="none"/>
              </w:rPr>
            </w:pPr>
            <w:r>
              <w:rPr>
                <w:rFonts w:hint="eastAsia" w:ascii="宋体" w:hAnsi="宋体" w:cs="宋体"/>
                <w:color w:val="auto"/>
                <w:highlight w:val="none"/>
              </w:rPr>
              <w:t>投标人提供自202</w:t>
            </w:r>
            <w:r>
              <w:rPr>
                <w:rFonts w:hint="eastAsia" w:ascii="宋体" w:hAnsi="宋体" w:cs="宋体"/>
                <w:color w:val="auto"/>
                <w:highlight w:val="none"/>
                <w:lang w:val="en-US" w:eastAsia="zh-CN"/>
              </w:rPr>
              <w:t>3</w:t>
            </w:r>
            <w:r>
              <w:rPr>
                <w:rFonts w:hint="eastAsia" w:ascii="宋体" w:hAnsi="宋体" w:cs="宋体"/>
                <w:color w:val="auto"/>
                <w:highlight w:val="none"/>
              </w:rPr>
              <w:t>年</w:t>
            </w:r>
            <w:r>
              <w:rPr>
                <w:rFonts w:hint="eastAsia" w:ascii="宋体" w:hAnsi="宋体" w:cs="宋体"/>
                <w:color w:val="auto"/>
                <w:highlight w:val="none"/>
                <w:lang w:val="en-US" w:eastAsia="zh-CN"/>
              </w:rPr>
              <w:t>07</w:t>
            </w:r>
            <w:r>
              <w:rPr>
                <w:rFonts w:hint="eastAsia" w:ascii="宋体" w:hAnsi="宋体" w:cs="宋体"/>
                <w:color w:val="auto"/>
                <w:highlight w:val="none"/>
              </w:rPr>
              <w:t xml:space="preserve">月01日至今承接过类似本项目业绩的，每提供一个得2分，最高得 </w:t>
            </w:r>
            <w:r>
              <w:rPr>
                <w:rFonts w:ascii="宋体" w:hAnsi="宋体" w:cs="宋体"/>
                <w:color w:val="auto"/>
                <w:highlight w:val="none"/>
              </w:rPr>
              <w:t>8</w:t>
            </w:r>
            <w:r>
              <w:rPr>
                <w:rFonts w:hint="eastAsia" w:ascii="宋体" w:hAnsi="宋体" w:cs="宋体"/>
                <w:color w:val="auto"/>
                <w:highlight w:val="none"/>
              </w:rPr>
              <w:t>分。</w:t>
            </w:r>
          </w:p>
          <w:p w14:paraId="3897DA30">
            <w:pPr>
              <w:spacing w:line="400" w:lineRule="exact"/>
              <w:ind w:firstLine="1"/>
              <w:rPr>
                <w:rFonts w:ascii="宋体" w:hAnsi="宋体" w:cs="宋体"/>
                <w:color w:val="auto"/>
                <w:highlight w:val="none"/>
              </w:rPr>
            </w:pPr>
            <w:r>
              <w:rPr>
                <w:rFonts w:hint="eastAsia" w:ascii="宋体" w:hAnsi="宋体" w:cs="宋体"/>
                <w:color w:val="auto"/>
                <w:highlight w:val="none"/>
              </w:rPr>
              <w:t>（提供业绩合同复印件加盖公章，合同需体现相关内容，未体现不得分，中标后合同原件备查）</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3F044">
            <w:pPr>
              <w:spacing w:line="400" w:lineRule="exact"/>
              <w:jc w:val="center"/>
              <w:rPr>
                <w:rFonts w:ascii="宋体" w:hAnsi="宋体" w:cs="宋体"/>
                <w:b/>
                <w:bCs/>
                <w:color w:val="auto"/>
                <w:highlight w:val="none"/>
              </w:rPr>
            </w:pPr>
            <w:r>
              <w:rPr>
                <w:rFonts w:ascii="宋体" w:hAnsi="宋体" w:cs="宋体"/>
                <w:b/>
                <w:bCs/>
                <w:color w:val="auto"/>
                <w:highlight w:val="none"/>
              </w:rPr>
              <w:t>8</w:t>
            </w:r>
          </w:p>
        </w:tc>
      </w:tr>
      <w:tr w14:paraId="7EF5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1"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5671D0F4">
            <w:pPr>
              <w:spacing w:line="400" w:lineRule="exact"/>
              <w:ind w:firstLine="1"/>
              <w:jc w:val="center"/>
              <w:rPr>
                <w:rFonts w:ascii="宋体" w:hAnsi="宋体" w:cs="宋体"/>
                <w:color w:val="auto"/>
                <w:highlight w:val="none"/>
              </w:rPr>
            </w:pPr>
            <w:r>
              <w:rPr>
                <w:rFonts w:hint="eastAsia" w:ascii="宋体" w:hAnsi="宋体" w:cs="宋体"/>
                <w:color w:val="auto"/>
                <w:highlight w:val="none"/>
              </w:rPr>
              <w:t>4</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48809FBC">
            <w:pPr>
              <w:spacing w:line="400" w:lineRule="exact"/>
              <w:ind w:firstLine="1"/>
              <w:jc w:val="center"/>
              <w:rPr>
                <w:rFonts w:ascii="宋体" w:hAnsi="宋体" w:cs="宋体"/>
                <w:color w:val="auto"/>
                <w:highlight w:val="none"/>
              </w:rPr>
            </w:pPr>
            <w:r>
              <w:rPr>
                <w:rFonts w:hint="eastAsia" w:ascii="宋体" w:hAnsi="宋体" w:cs="宋体"/>
                <w:bCs/>
                <w:color w:val="auto"/>
                <w:highlight w:val="none"/>
              </w:rPr>
              <w:t>实施方案</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6D2EA1">
            <w:pPr>
              <w:spacing w:line="400" w:lineRule="exact"/>
              <w:ind w:firstLine="1"/>
              <w:rPr>
                <w:rFonts w:ascii="宋体" w:hAnsi="宋体" w:cs="宋体"/>
                <w:color w:val="auto"/>
                <w:highlight w:val="none"/>
              </w:rPr>
            </w:pPr>
            <w:r>
              <w:rPr>
                <w:rFonts w:hint="eastAsia" w:ascii="宋体" w:hAnsi="宋体" w:cs="宋体"/>
                <w:color w:val="auto"/>
                <w:highlight w:val="none"/>
              </w:rPr>
              <w:t>提供完善的项目实施计划和实施方案（包含改造方案、实施方案及设备安装、调试、验收、现场应急处理等，其中改造方案应至少包含机器位置、管道改造、线缆布置等）。</w:t>
            </w:r>
          </w:p>
          <w:p w14:paraId="4F0C4C21">
            <w:pPr>
              <w:spacing w:line="400" w:lineRule="exact"/>
              <w:ind w:firstLine="1"/>
              <w:rPr>
                <w:rFonts w:ascii="宋体" w:hAnsi="宋体" w:cs="宋体"/>
                <w:color w:val="auto"/>
                <w:highlight w:val="none"/>
              </w:rPr>
            </w:pPr>
            <w:r>
              <w:rPr>
                <w:rFonts w:hint="eastAsia" w:ascii="宋体" w:hAnsi="宋体" w:cs="宋体"/>
                <w:color w:val="auto"/>
                <w:highlight w:val="none"/>
              </w:rPr>
              <w:t>方案全面，内容完整、改造方案合理、符合实际情况的、可操作性强的得10分；</w:t>
            </w:r>
          </w:p>
          <w:p w14:paraId="711DE77D">
            <w:pPr>
              <w:spacing w:line="400" w:lineRule="exact"/>
              <w:ind w:firstLine="1"/>
              <w:rPr>
                <w:rFonts w:ascii="宋体" w:hAnsi="宋体" w:cs="宋体"/>
                <w:color w:val="auto"/>
                <w:highlight w:val="none"/>
              </w:rPr>
            </w:pPr>
            <w:r>
              <w:rPr>
                <w:rFonts w:hint="eastAsia" w:ascii="宋体" w:hAnsi="宋体" w:cs="宋体"/>
                <w:color w:val="auto"/>
                <w:highlight w:val="none"/>
              </w:rPr>
              <w:t>方案可行，内容较完整、改造方案较合理、较符合实际情况的、具有可操作性的得</w:t>
            </w:r>
            <w:r>
              <w:rPr>
                <w:rFonts w:ascii="宋体" w:hAnsi="宋体" w:cs="宋体"/>
                <w:color w:val="auto"/>
                <w:highlight w:val="none"/>
              </w:rPr>
              <w:t>7</w:t>
            </w:r>
            <w:r>
              <w:rPr>
                <w:rFonts w:hint="eastAsia" w:ascii="宋体" w:hAnsi="宋体" w:cs="宋体"/>
                <w:color w:val="auto"/>
                <w:highlight w:val="none"/>
              </w:rPr>
              <w:t>分；</w:t>
            </w:r>
          </w:p>
          <w:p w14:paraId="5F50460F">
            <w:pPr>
              <w:spacing w:line="400" w:lineRule="exact"/>
              <w:ind w:firstLine="1"/>
              <w:rPr>
                <w:rFonts w:ascii="宋体" w:hAnsi="宋体" w:cs="宋体"/>
                <w:color w:val="auto"/>
                <w:highlight w:val="none"/>
              </w:rPr>
            </w:pPr>
            <w:r>
              <w:rPr>
                <w:rFonts w:hint="eastAsia" w:ascii="宋体" w:hAnsi="宋体" w:cs="宋体"/>
                <w:color w:val="auto"/>
                <w:highlight w:val="none"/>
              </w:rPr>
              <w:t>方案实质性内容较少、改造方案合理性欠缺、与实际情况偏差较多的、可操作性不强得</w:t>
            </w:r>
            <w:r>
              <w:rPr>
                <w:rFonts w:ascii="宋体" w:hAnsi="宋体" w:cs="宋体"/>
                <w:color w:val="auto"/>
                <w:highlight w:val="none"/>
              </w:rPr>
              <w:t>4</w:t>
            </w:r>
            <w:r>
              <w:rPr>
                <w:rFonts w:hint="eastAsia" w:ascii="宋体" w:hAnsi="宋体" w:cs="宋体"/>
                <w:color w:val="auto"/>
                <w:highlight w:val="none"/>
              </w:rPr>
              <w:t>分；</w:t>
            </w:r>
          </w:p>
          <w:p w14:paraId="76C3156A">
            <w:pPr>
              <w:spacing w:line="400" w:lineRule="exact"/>
              <w:ind w:firstLine="1"/>
              <w:rPr>
                <w:rFonts w:ascii="宋体" w:hAnsi="宋体" w:cs="宋体"/>
                <w:color w:val="auto"/>
                <w:highlight w:val="none"/>
              </w:rPr>
            </w:pPr>
            <w:r>
              <w:rPr>
                <w:rFonts w:hint="eastAsia" w:ascii="宋体" w:hAnsi="宋体" w:cs="宋体"/>
                <w:color w:val="auto"/>
                <w:highlight w:val="none"/>
              </w:rPr>
              <w:t>方案缺失内容较多、改造方案合理性欠缺较多、可操作性较弱的得1分；</w:t>
            </w:r>
          </w:p>
          <w:p w14:paraId="2A6047C4">
            <w:pPr>
              <w:spacing w:line="400" w:lineRule="exact"/>
              <w:ind w:firstLine="1"/>
              <w:rPr>
                <w:rFonts w:ascii="宋体" w:hAnsi="宋体" w:cs="宋体"/>
                <w:color w:val="auto"/>
                <w:highlight w:val="none"/>
              </w:rPr>
            </w:pPr>
            <w:r>
              <w:rPr>
                <w:rFonts w:hint="eastAsia" w:ascii="宋体" w:hAnsi="宋体" w:cs="宋体"/>
                <w:color w:val="auto"/>
                <w:highlight w:val="none"/>
              </w:rPr>
              <w:t>未提供的得0分。</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9C1E33">
            <w:pPr>
              <w:spacing w:line="400" w:lineRule="exact"/>
              <w:jc w:val="center"/>
              <w:rPr>
                <w:rFonts w:ascii="宋体" w:hAnsi="宋体" w:cs="宋体"/>
                <w:b/>
                <w:bCs/>
                <w:color w:val="auto"/>
                <w:highlight w:val="none"/>
              </w:rPr>
            </w:pPr>
            <w:r>
              <w:rPr>
                <w:rFonts w:hint="eastAsia" w:ascii="宋体" w:hAnsi="宋体" w:cs="宋体"/>
                <w:b/>
                <w:bCs/>
                <w:color w:val="auto"/>
                <w:highlight w:val="none"/>
              </w:rPr>
              <w:t>10</w:t>
            </w:r>
          </w:p>
        </w:tc>
      </w:tr>
      <w:tr w14:paraId="7F61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409F94A1">
            <w:pPr>
              <w:spacing w:line="400" w:lineRule="exact"/>
              <w:ind w:firstLine="1"/>
              <w:jc w:val="center"/>
              <w:rPr>
                <w:rFonts w:ascii="宋体" w:hAnsi="宋体" w:cs="宋体"/>
                <w:color w:val="auto"/>
                <w:highlight w:val="none"/>
              </w:rPr>
            </w:pPr>
            <w:r>
              <w:rPr>
                <w:rFonts w:hint="eastAsia" w:ascii="宋体" w:hAnsi="宋体" w:cs="宋体"/>
                <w:color w:val="auto"/>
                <w:highlight w:val="none"/>
              </w:rPr>
              <w:t>5</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70A21FA9">
            <w:pPr>
              <w:spacing w:line="400" w:lineRule="exact"/>
              <w:ind w:firstLine="1"/>
              <w:jc w:val="center"/>
              <w:rPr>
                <w:rFonts w:ascii="宋体" w:hAnsi="宋体" w:cs="宋体"/>
                <w:bCs/>
                <w:color w:val="auto"/>
                <w:highlight w:val="none"/>
              </w:rPr>
            </w:pPr>
            <w:r>
              <w:rPr>
                <w:rFonts w:hint="eastAsia" w:ascii="宋体" w:hAnsi="宋体" w:cs="宋体"/>
                <w:bCs/>
                <w:color w:val="auto"/>
                <w:highlight w:val="none"/>
              </w:rPr>
              <w:t>供货计划及方案</w:t>
            </w:r>
          </w:p>
        </w:tc>
        <w:tc>
          <w:tcPr>
            <w:tcW w:w="661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8BB128">
            <w:pPr>
              <w:spacing w:line="400" w:lineRule="exact"/>
              <w:ind w:firstLine="1"/>
              <w:rPr>
                <w:rFonts w:ascii="宋体" w:hAnsi="宋体" w:cs="宋体"/>
                <w:color w:val="auto"/>
                <w:highlight w:val="none"/>
              </w:rPr>
            </w:pPr>
            <w:r>
              <w:rPr>
                <w:rFonts w:hint="eastAsia" w:ascii="宋体" w:hAnsi="宋体" w:cs="宋体"/>
                <w:color w:val="auto"/>
                <w:highlight w:val="none"/>
              </w:rPr>
              <w:t>提供完善的项目供货计划和供货方案，根据投标单位项目组织实施管理方案的合理性、人员安排、供货期等方面进行打分。</w:t>
            </w:r>
          </w:p>
          <w:p w14:paraId="33F50ADC">
            <w:pPr>
              <w:spacing w:line="400" w:lineRule="exact"/>
              <w:ind w:firstLine="1"/>
              <w:rPr>
                <w:rFonts w:ascii="宋体" w:hAnsi="宋体" w:cs="宋体"/>
                <w:color w:val="auto"/>
                <w:highlight w:val="none"/>
              </w:rPr>
            </w:pPr>
            <w:r>
              <w:rPr>
                <w:rFonts w:hint="eastAsia" w:ascii="宋体" w:hAnsi="宋体" w:cs="宋体"/>
                <w:color w:val="auto"/>
                <w:highlight w:val="none"/>
              </w:rPr>
              <w:t>方案全面、服务响应快，可操作性强的得</w:t>
            </w:r>
            <w:r>
              <w:rPr>
                <w:rFonts w:hint="eastAsia" w:ascii="宋体" w:hAnsi="宋体" w:cs="宋体"/>
                <w:color w:val="auto"/>
                <w:highlight w:val="none"/>
                <w:lang w:val="en-US" w:eastAsia="zh-CN"/>
              </w:rPr>
              <w:t>6</w:t>
            </w:r>
            <w:r>
              <w:rPr>
                <w:rFonts w:hint="eastAsia" w:ascii="宋体" w:hAnsi="宋体" w:cs="宋体"/>
                <w:color w:val="auto"/>
                <w:highlight w:val="none"/>
              </w:rPr>
              <w:t>分；</w:t>
            </w:r>
          </w:p>
          <w:p w14:paraId="6C7FAE90">
            <w:pPr>
              <w:spacing w:line="400" w:lineRule="exact"/>
              <w:ind w:firstLine="1"/>
              <w:rPr>
                <w:rFonts w:hint="eastAsia" w:ascii="宋体" w:hAnsi="宋体" w:cs="宋体"/>
                <w:color w:val="auto"/>
                <w:highlight w:val="none"/>
              </w:rPr>
            </w:pPr>
            <w:r>
              <w:rPr>
                <w:rFonts w:hint="eastAsia" w:ascii="宋体" w:hAnsi="宋体" w:cs="宋体"/>
                <w:color w:val="auto"/>
                <w:highlight w:val="none"/>
              </w:rPr>
              <w:t>方案一般、服务响应一般，可操作性一般的得3分；</w:t>
            </w:r>
          </w:p>
          <w:p w14:paraId="4FC54C67">
            <w:pPr>
              <w:spacing w:line="400" w:lineRule="exact"/>
              <w:ind w:firstLine="1"/>
              <w:rPr>
                <w:rFonts w:hint="eastAsia" w:ascii="宋体" w:hAnsi="宋体" w:cs="宋体"/>
                <w:color w:val="auto"/>
                <w:highlight w:val="none"/>
                <w:lang w:val="en-US" w:eastAsia="zh-CN"/>
              </w:rPr>
            </w:pPr>
            <w:r>
              <w:rPr>
                <w:rFonts w:hint="eastAsia" w:ascii="宋体" w:hAnsi="宋体" w:cs="宋体"/>
                <w:color w:val="auto"/>
                <w:highlight w:val="none"/>
                <w:lang w:val="en-US" w:eastAsia="zh-CN"/>
              </w:rPr>
              <w:t>方案缺失较多、可操作性差的得1分；</w:t>
            </w:r>
          </w:p>
          <w:p w14:paraId="1A4A64B6">
            <w:pPr>
              <w:spacing w:line="400" w:lineRule="exact"/>
              <w:ind w:firstLine="1"/>
              <w:rPr>
                <w:rFonts w:ascii="宋体" w:hAnsi="宋体" w:cs="宋体"/>
                <w:bCs/>
                <w:color w:val="auto"/>
                <w:highlight w:val="none"/>
              </w:rPr>
            </w:pPr>
            <w:r>
              <w:rPr>
                <w:rFonts w:hint="eastAsia" w:ascii="宋体" w:hAnsi="宋体" w:cs="宋体"/>
                <w:color w:val="auto"/>
                <w:highlight w:val="none"/>
              </w:rPr>
              <w:t>方案无实质性内容、没有可操作性或未提供的得0分；</w:t>
            </w:r>
          </w:p>
        </w:tc>
        <w:tc>
          <w:tcPr>
            <w:tcW w:w="52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18FAAB3">
            <w:pPr>
              <w:spacing w:line="400" w:lineRule="exact"/>
              <w:jc w:val="center"/>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6</w:t>
            </w:r>
          </w:p>
        </w:tc>
      </w:tr>
      <w:tr w14:paraId="12CB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6"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24DDA87A">
            <w:pPr>
              <w:spacing w:line="400" w:lineRule="exact"/>
              <w:ind w:firstLine="1"/>
              <w:jc w:val="center"/>
              <w:rPr>
                <w:rFonts w:ascii="宋体" w:hAnsi="宋体" w:cs="宋体"/>
                <w:color w:val="auto"/>
                <w:highlight w:val="none"/>
              </w:rPr>
            </w:pPr>
            <w:r>
              <w:rPr>
                <w:rFonts w:hint="eastAsia" w:ascii="宋体" w:hAnsi="宋体" w:cs="宋体"/>
                <w:color w:val="auto"/>
                <w:highlight w:val="none"/>
              </w:rPr>
              <w:t>5</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540D8C95">
            <w:pPr>
              <w:spacing w:line="400" w:lineRule="exact"/>
              <w:ind w:firstLine="1"/>
              <w:jc w:val="center"/>
              <w:rPr>
                <w:rFonts w:ascii="宋体" w:hAnsi="宋体" w:cs="宋体"/>
                <w:color w:val="auto"/>
                <w:highlight w:val="none"/>
              </w:rPr>
            </w:pPr>
            <w:r>
              <w:rPr>
                <w:rFonts w:hint="eastAsia" w:ascii="宋体" w:hAnsi="宋体" w:cs="宋体"/>
                <w:color w:val="auto"/>
                <w:highlight w:val="none"/>
              </w:rPr>
              <w:t>售后服务</w:t>
            </w:r>
          </w:p>
        </w:tc>
        <w:tc>
          <w:tcPr>
            <w:tcW w:w="6612"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26B2E0FF">
            <w:pPr>
              <w:spacing w:line="400" w:lineRule="exact"/>
              <w:ind w:firstLine="1"/>
              <w:rPr>
                <w:rFonts w:ascii="宋体" w:hAnsi="宋体" w:cs="宋体"/>
                <w:color w:val="auto"/>
                <w:highlight w:val="none"/>
              </w:rPr>
            </w:pPr>
            <w:r>
              <w:rPr>
                <w:rFonts w:hint="eastAsia" w:ascii="宋体" w:hAnsi="宋体" w:cs="宋体"/>
                <w:color w:val="auto"/>
                <w:highlight w:val="none"/>
              </w:rPr>
              <w:t>售后服务方案：根据投标人提供的针对本项目制定的售后服务方案（包括但不限于：维修服务内容、故障响应时间、响应方式、专业人员配备情况、现有维修服务能力、产品质量保障、供货及安装调试方案等。</w:t>
            </w:r>
          </w:p>
          <w:p w14:paraId="61A35DA8">
            <w:pPr>
              <w:spacing w:line="400" w:lineRule="exact"/>
              <w:ind w:firstLine="1"/>
              <w:rPr>
                <w:rFonts w:ascii="宋体" w:hAnsi="宋体" w:cs="宋体"/>
                <w:color w:val="auto"/>
                <w:highlight w:val="none"/>
              </w:rPr>
            </w:pPr>
            <w:r>
              <w:rPr>
                <w:rFonts w:hint="eastAsia" w:ascii="宋体" w:hAnsi="宋体" w:cs="宋体"/>
                <w:color w:val="auto"/>
                <w:highlight w:val="none"/>
              </w:rPr>
              <w:t>方案完整、合理可行，售后应答及时的6分；</w:t>
            </w:r>
          </w:p>
          <w:p w14:paraId="61E2443A">
            <w:pPr>
              <w:spacing w:line="400" w:lineRule="exact"/>
              <w:ind w:firstLine="1"/>
              <w:rPr>
                <w:rFonts w:ascii="宋体" w:hAnsi="宋体" w:cs="宋体"/>
                <w:color w:val="auto"/>
                <w:highlight w:val="none"/>
              </w:rPr>
            </w:pPr>
            <w:r>
              <w:rPr>
                <w:rFonts w:hint="eastAsia" w:ascii="宋体" w:hAnsi="宋体" w:cs="宋体"/>
                <w:color w:val="auto"/>
                <w:highlight w:val="none"/>
              </w:rPr>
              <w:t>方案较完整、较合理可行，售后应答较及时的得3分；</w:t>
            </w:r>
          </w:p>
          <w:p w14:paraId="22E2BFED">
            <w:pPr>
              <w:spacing w:line="400" w:lineRule="exact"/>
              <w:ind w:firstLine="1"/>
              <w:rPr>
                <w:rFonts w:ascii="宋体" w:hAnsi="宋体" w:cs="宋体"/>
                <w:color w:val="auto"/>
                <w:highlight w:val="none"/>
              </w:rPr>
            </w:pPr>
            <w:r>
              <w:rPr>
                <w:rFonts w:hint="eastAsia" w:ascii="宋体" w:hAnsi="宋体" w:cs="宋体"/>
                <w:color w:val="auto"/>
                <w:highlight w:val="none"/>
              </w:rPr>
              <w:t>方案基本完整、基本合理可行的得1分；</w:t>
            </w:r>
          </w:p>
          <w:p w14:paraId="18C33BAA">
            <w:pPr>
              <w:spacing w:line="400" w:lineRule="exact"/>
              <w:ind w:firstLine="1"/>
              <w:rPr>
                <w:rFonts w:ascii="宋体" w:hAnsi="宋体" w:cs="宋体"/>
                <w:color w:val="auto"/>
                <w:highlight w:val="none"/>
              </w:rPr>
            </w:pPr>
            <w:r>
              <w:rPr>
                <w:rFonts w:hint="eastAsia" w:ascii="宋体" w:hAnsi="宋体" w:cs="宋体"/>
                <w:color w:val="auto"/>
                <w:highlight w:val="none"/>
              </w:rPr>
              <w:t>无售后方案得0分。</w:t>
            </w:r>
          </w:p>
        </w:tc>
        <w:tc>
          <w:tcPr>
            <w:tcW w:w="525"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6A1F3D2">
            <w:pPr>
              <w:tabs>
                <w:tab w:val="center" w:pos="251"/>
                <w:tab w:val="left" w:pos="365"/>
              </w:tabs>
              <w:spacing w:line="400" w:lineRule="exact"/>
              <w:jc w:val="center"/>
              <w:rPr>
                <w:rFonts w:ascii="宋体" w:hAnsi="宋体" w:cs="宋体"/>
                <w:b/>
                <w:bCs/>
                <w:color w:val="auto"/>
                <w:highlight w:val="none"/>
              </w:rPr>
            </w:pPr>
            <w:r>
              <w:rPr>
                <w:rFonts w:hint="eastAsia" w:ascii="宋体" w:hAnsi="宋体" w:cs="宋体"/>
                <w:b/>
                <w:bCs/>
                <w:color w:val="auto"/>
                <w:highlight w:val="none"/>
              </w:rPr>
              <w:t>6</w:t>
            </w:r>
          </w:p>
        </w:tc>
      </w:tr>
      <w:tr w14:paraId="5172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2"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3E229E13">
            <w:pPr>
              <w:spacing w:line="400" w:lineRule="exact"/>
              <w:ind w:firstLine="1"/>
              <w:jc w:val="center"/>
              <w:rPr>
                <w:rFonts w:ascii="宋体" w:hAnsi="宋体" w:cs="宋体"/>
                <w:color w:val="auto"/>
                <w:highlight w:val="none"/>
              </w:rPr>
            </w:pPr>
            <w:r>
              <w:rPr>
                <w:rFonts w:hint="eastAsia" w:ascii="宋体" w:hAnsi="宋体" w:cs="宋体"/>
                <w:color w:val="auto"/>
                <w:highlight w:val="none"/>
              </w:rPr>
              <w:t>6</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11D8A393">
            <w:pPr>
              <w:spacing w:line="400" w:lineRule="exact"/>
              <w:ind w:firstLine="1"/>
              <w:jc w:val="center"/>
              <w:rPr>
                <w:rFonts w:ascii="宋体" w:hAnsi="宋体" w:cs="宋体"/>
                <w:color w:val="auto"/>
                <w:highlight w:val="none"/>
              </w:rPr>
            </w:pPr>
            <w:r>
              <w:rPr>
                <w:rFonts w:hint="eastAsia" w:ascii="宋体" w:hAnsi="宋体" w:cs="宋体"/>
                <w:color w:val="auto"/>
                <w:highlight w:val="none"/>
              </w:rPr>
              <w:t>培训方案</w:t>
            </w:r>
          </w:p>
        </w:tc>
        <w:tc>
          <w:tcPr>
            <w:tcW w:w="6612"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02DA2DD">
            <w:pPr>
              <w:spacing w:line="400" w:lineRule="exact"/>
              <w:ind w:firstLine="22"/>
              <w:rPr>
                <w:rFonts w:ascii="宋体" w:hAnsi="宋体" w:cs="宋体"/>
                <w:color w:val="auto"/>
                <w:highlight w:val="none"/>
              </w:rPr>
            </w:pPr>
            <w:r>
              <w:rPr>
                <w:rFonts w:hint="eastAsia" w:ascii="宋体" w:hAnsi="宋体" w:cs="宋体"/>
                <w:color w:val="auto"/>
                <w:highlight w:val="none"/>
              </w:rPr>
              <w:t>根据投标人提供的培训内容（包括培训节点、内容安排、师资配备等内容）的合理性、科学性、针对性进行综合评审：</w:t>
            </w:r>
          </w:p>
          <w:p w14:paraId="51AD045C">
            <w:pPr>
              <w:spacing w:line="400" w:lineRule="exact"/>
              <w:ind w:firstLine="1"/>
              <w:rPr>
                <w:rFonts w:ascii="宋体" w:hAnsi="宋体" w:cs="宋体"/>
                <w:color w:val="auto"/>
                <w:highlight w:val="none"/>
              </w:rPr>
            </w:pPr>
            <w:r>
              <w:rPr>
                <w:rFonts w:hint="eastAsia" w:ascii="宋体" w:hAnsi="宋体" w:cs="宋体"/>
                <w:color w:val="auto"/>
                <w:highlight w:val="none"/>
              </w:rPr>
              <w:t>方案详细、全面，可操作性强，完全满足要求的得5分；</w:t>
            </w:r>
          </w:p>
          <w:p w14:paraId="69527936">
            <w:pPr>
              <w:spacing w:line="400" w:lineRule="exact"/>
              <w:ind w:firstLine="1"/>
              <w:rPr>
                <w:rFonts w:ascii="宋体" w:hAnsi="宋体" w:cs="宋体"/>
                <w:color w:val="auto"/>
                <w:highlight w:val="none"/>
              </w:rPr>
            </w:pPr>
            <w:r>
              <w:rPr>
                <w:rFonts w:hint="eastAsia" w:ascii="宋体" w:hAnsi="宋体" w:cs="宋体"/>
                <w:color w:val="auto"/>
                <w:highlight w:val="none"/>
                <w:lang w:val="en-US" w:eastAsia="zh-CN"/>
              </w:rPr>
              <w:t>方案</w:t>
            </w:r>
            <w:r>
              <w:rPr>
                <w:rFonts w:hint="eastAsia" w:ascii="宋体" w:hAnsi="宋体" w:cs="宋体"/>
                <w:color w:val="auto"/>
                <w:highlight w:val="none"/>
              </w:rPr>
              <w:t>详细程度及可操作性，内容完整性有欠缺的，得3分；</w:t>
            </w:r>
          </w:p>
          <w:p w14:paraId="0978E936">
            <w:pPr>
              <w:spacing w:line="400" w:lineRule="exact"/>
              <w:ind w:firstLine="1"/>
              <w:rPr>
                <w:rFonts w:ascii="宋体" w:hAnsi="宋体" w:cs="宋体"/>
                <w:color w:val="auto"/>
                <w:highlight w:val="none"/>
              </w:rPr>
            </w:pPr>
            <w:r>
              <w:rPr>
                <w:rFonts w:hint="eastAsia" w:ascii="宋体" w:hAnsi="宋体" w:cs="宋体"/>
                <w:color w:val="auto"/>
                <w:highlight w:val="none"/>
                <w:lang w:val="en-US" w:eastAsia="zh-CN"/>
              </w:rPr>
              <w:t>方案</w:t>
            </w:r>
            <w:r>
              <w:rPr>
                <w:rFonts w:hint="eastAsia" w:ascii="宋体" w:hAnsi="宋体" w:cs="宋体"/>
                <w:color w:val="auto"/>
                <w:highlight w:val="none"/>
              </w:rPr>
              <w:t>全面性、可操作性及内容</w:t>
            </w:r>
            <w:r>
              <w:rPr>
                <w:rFonts w:hint="eastAsia" w:ascii="宋体" w:hAnsi="宋体" w:cs="宋体"/>
                <w:color w:val="auto"/>
                <w:highlight w:val="none"/>
                <w:lang w:val="en-US" w:eastAsia="zh-CN"/>
              </w:rPr>
              <w:t>不合理性较多的</w:t>
            </w:r>
            <w:r>
              <w:rPr>
                <w:rFonts w:hint="eastAsia" w:ascii="宋体" w:hAnsi="宋体" w:cs="宋体"/>
                <w:color w:val="auto"/>
                <w:highlight w:val="none"/>
              </w:rPr>
              <w:t>，得1分。</w:t>
            </w:r>
          </w:p>
          <w:p w14:paraId="1AD7D256">
            <w:pPr>
              <w:spacing w:line="400" w:lineRule="exact"/>
              <w:ind w:firstLine="1"/>
              <w:rPr>
                <w:rFonts w:ascii="宋体" w:hAnsi="宋体" w:cs="宋体"/>
                <w:color w:val="auto"/>
                <w:highlight w:val="none"/>
              </w:rPr>
            </w:pPr>
            <w:r>
              <w:rPr>
                <w:rFonts w:hint="eastAsia" w:ascii="宋体" w:hAnsi="宋体" w:cs="宋体"/>
                <w:color w:val="auto"/>
                <w:highlight w:val="none"/>
              </w:rPr>
              <w:t>无培训方案得0分。</w:t>
            </w:r>
          </w:p>
        </w:tc>
        <w:tc>
          <w:tcPr>
            <w:tcW w:w="525"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1A02153">
            <w:pPr>
              <w:tabs>
                <w:tab w:val="center" w:pos="251"/>
                <w:tab w:val="left" w:pos="365"/>
              </w:tabs>
              <w:spacing w:line="400" w:lineRule="exact"/>
              <w:jc w:val="center"/>
              <w:rPr>
                <w:color w:val="auto"/>
                <w:sz w:val="21"/>
                <w:szCs w:val="21"/>
                <w:highlight w:val="none"/>
              </w:rPr>
            </w:pPr>
            <w:r>
              <w:rPr>
                <w:rFonts w:hint="eastAsia" w:ascii="宋体" w:hAnsi="宋体" w:cs="宋体"/>
                <w:b/>
                <w:bCs/>
                <w:color w:val="auto"/>
                <w:highlight w:val="none"/>
              </w:rPr>
              <w:t>5</w:t>
            </w:r>
          </w:p>
        </w:tc>
      </w:tr>
      <w:tr w14:paraId="6A53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502" w:type="dxa"/>
            <w:tcBorders>
              <w:left w:val="single" w:color="auto" w:sz="4" w:space="0"/>
              <w:right w:val="single" w:color="auto" w:sz="4" w:space="0"/>
            </w:tcBorders>
            <w:noWrap w:val="0"/>
            <w:tcMar>
              <w:top w:w="0" w:type="dxa"/>
              <w:left w:w="0" w:type="dxa"/>
              <w:bottom w:w="0" w:type="dxa"/>
              <w:right w:w="0" w:type="dxa"/>
            </w:tcMar>
            <w:vAlign w:val="center"/>
          </w:tcPr>
          <w:p w14:paraId="6B1D5B38">
            <w:pPr>
              <w:spacing w:line="400" w:lineRule="exact"/>
              <w:ind w:firstLine="1"/>
              <w:jc w:val="center"/>
              <w:rPr>
                <w:rFonts w:ascii="宋体" w:hAnsi="宋体" w:cs="宋体"/>
                <w:color w:val="auto"/>
                <w:highlight w:val="none"/>
              </w:rPr>
            </w:pPr>
            <w:r>
              <w:rPr>
                <w:rFonts w:hint="eastAsia" w:ascii="宋体" w:hAnsi="宋体" w:cs="宋体"/>
                <w:color w:val="auto"/>
                <w:highlight w:val="none"/>
              </w:rPr>
              <w:t>7</w:t>
            </w:r>
          </w:p>
        </w:tc>
        <w:tc>
          <w:tcPr>
            <w:tcW w:w="961" w:type="dxa"/>
            <w:tcBorders>
              <w:left w:val="single" w:color="auto" w:sz="4" w:space="0"/>
              <w:right w:val="single" w:color="auto" w:sz="4" w:space="0"/>
            </w:tcBorders>
            <w:noWrap w:val="0"/>
            <w:tcMar>
              <w:top w:w="0" w:type="dxa"/>
              <w:left w:w="0" w:type="dxa"/>
              <w:bottom w:w="0" w:type="dxa"/>
              <w:right w:w="0" w:type="dxa"/>
            </w:tcMar>
            <w:vAlign w:val="center"/>
          </w:tcPr>
          <w:p w14:paraId="27F48577">
            <w:pPr>
              <w:spacing w:line="400" w:lineRule="exact"/>
              <w:ind w:firstLine="1"/>
              <w:jc w:val="center"/>
              <w:rPr>
                <w:rFonts w:ascii="宋体" w:hAnsi="宋体" w:cs="宋体"/>
                <w:bCs/>
                <w:color w:val="auto"/>
                <w:highlight w:val="none"/>
              </w:rPr>
            </w:pPr>
            <w:r>
              <w:rPr>
                <w:rFonts w:hint="eastAsia" w:ascii="宋体" w:hAnsi="宋体" w:cs="宋体"/>
                <w:bCs/>
                <w:color w:val="auto"/>
                <w:highlight w:val="none"/>
              </w:rPr>
              <w:t>免费质</w:t>
            </w:r>
          </w:p>
          <w:p w14:paraId="17B0219B">
            <w:pPr>
              <w:spacing w:line="400" w:lineRule="exact"/>
              <w:ind w:firstLine="1"/>
              <w:jc w:val="center"/>
              <w:rPr>
                <w:rFonts w:ascii="宋体" w:hAnsi="宋体" w:cs="宋体"/>
                <w:color w:val="auto"/>
                <w:highlight w:val="none"/>
              </w:rPr>
            </w:pPr>
            <w:r>
              <w:rPr>
                <w:rFonts w:hint="eastAsia" w:ascii="宋体" w:hAnsi="宋体" w:cs="宋体"/>
                <w:bCs/>
                <w:color w:val="auto"/>
                <w:highlight w:val="none"/>
              </w:rPr>
              <w:t>保期</w:t>
            </w:r>
          </w:p>
        </w:tc>
        <w:tc>
          <w:tcPr>
            <w:tcW w:w="6612"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B23A1C4">
            <w:pPr>
              <w:spacing w:line="400" w:lineRule="exact"/>
              <w:ind w:firstLine="22"/>
              <w:rPr>
                <w:color w:val="auto"/>
                <w:highlight w:val="none"/>
              </w:rPr>
            </w:pPr>
            <w:r>
              <w:rPr>
                <w:rFonts w:hint="eastAsia" w:ascii="宋体" w:hAnsi="宋体" w:cs="宋体"/>
                <w:bCs/>
                <w:strike w:val="0"/>
                <w:color w:val="auto"/>
                <w:highlight w:val="none"/>
                <w:lang w:val="en-US" w:eastAsia="zh-CN"/>
              </w:rPr>
              <w:t>免费质保期在满足招标文件免费质保期4年要求的基础上，每增加1年质保加1分，本项最高2分。</w:t>
            </w:r>
            <w:r>
              <w:rPr>
                <w:rFonts w:hint="eastAsia" w:ascii="宋体" w:hAnsi="宋体" w:cs="宋体"/>
                <w:bCs/>
                <w:strike w:val="0"/>
                <w:color w:val="auto"/>
                <w:highlight w:val="none"/>
              </w:rPr>
              <w:t>提供承诺书</w:t>
            </w:r>
            <w:r>
              <w:rPr>
                <w:rFonts w:hint="eastAsia" w:ascii="宋体" w:hAnsi="宋体" w:cs="宋体"/>
                <w:bCs/>
                <w:strike w:val="0"/>
                <w:color w:val="auto"/>
                <w:highlight w:val="none"/>
                <w:lang w:val="en-US" w:eastAsia="zh-CN"/>
              </w:rPr>
              <w:t>并</w:t>
            </w:r>
            <w:r>
              <w:rPr>
                <w:rFonts w:hint="eastAsia" w:ascii="宋体" w:hAnsi="宋体" w:cs="宋体"/>
                <w:bCs/>
                <w:strike w:val="0"/>
                <w:color w:val="auto"/>
                <w:highlight w:val="none"/>
              </w:rPr>
              <w:t>加盖投标人公章。</w:t>
            </w:r>
          </w:p>
        </w:tc>
        <w:tc>
          <w:tcPr>
            <w:tcW w:w="525"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68F073CE">
            <w:pPr>
              <w:tabs>
                <w:tab w:val="center" w:pos="251"/>
                <w:tab w:val="left" w:pos="365"/>
              </w:tabs>
              <w:spacing w:line="400" w:lineRule="exact"/>
              <w:jc w:val="center"/>
              <w:rPr>
                <w:rFonts w:hint="eastAsia" w:eastAsia="宋体"/>
                <w:color w:val="auto"/>
                <w:highlight w:val="none"/>
                <w:lang w:val="en-US" w:eastAsia="zh-CN"/>
              </w:rPr>
            </w:pPr>
            <w:r>
              <w:rPr>
                <w:rFonts w:hint="eastAsia"/>
                <w:color w:val="auto"/>
                <w:highlight w:val="none"/>
                <w:lang w:val="en-US" w:eastAsia="zh-CN"/>
              </w:rPr>
              <w:t>2</w:t>
            </w:r>
          </w:p>
        </w:tc>
      </w:tr>
      <w:tr w14:paraId="6BBA4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trPr>
        <w:tc>
          <w:tcPr>
            <w:tcW w:w="502" w:type="dxa"/>
            <w:vMerge w:val="restart"/>
            <w:tcBorders>
              <w:left w:val="single" w:color="auto" w:sz="4" w:space="0"/>
              <w:right w:val="single" w:color="auto" w:sz="4" w:space="0"/>
            </w:tcBorders>
            <w:noWrap w:val="0"/>
            <w:tcMar>
              <w:top w:w="0" w:type="dxa"/>
              <w:left w:w="0" w:type="dxa"/>
              <w:bottom w:w="0" w:type="dxa"/>
              <w:right w:w="0" w:type="dxa"/>
            </w:tcMar>
            <w:vAlign w:val="center"/>
          </w:tcPr>
          <w:p w14:paraId="1E577BA3">
            <w:pPr>
              <w:spacing w:line="400" w:lineRule="exact"/>
              <w:ind w:firstLine="1"/>
              <w:jc w:val="center"/>
              <w:rPr>
                <w:rFonts w:ascii="宋体" w:hAnsi="宋体" w:cs="宋体"/>
                <w:color w:val="auto"/>
                <w:highlight w:val="none"/>
              </w:rPr>
            </w:pPr>
            <w:r>
              <w:rPr>
                <w:rFonts w:hint="eastAsia" w:ascii="宋体" w:hAnsi="宋体" w:cs="宋体"/>
                <w:color w:val="auto"/>
                <w:highlight w:val="none"/>
              </w:rPr>
              <w:t>8</w:t>
            </w:r>
          </w:p>
        </w:tc>
        <w:tc>
          <w:tcPr>
            <w:tcW w:w="961" w:type="dxa"/>
            <w:vMerge w:val="restart"/>
            <w:tcBorders>
              <w:left w:val="single" w:color="auto" w:sz="4" w:space="0"/>
              <w:right w:val="single" w:color="auto" w:sz="4" w:space="0"/>
            </w:tcBorders>
            <w:noWrap w:val="0"/>
            <w:tcMar>
              <w:top w:w="0" w:type="dxa"/>
              <w:left w:w="0" w:type="dxa"/>
              <w:bottom w:w="0" w:type="dxa"/>
              <w:right w:w="0" w:type="dxa"/>
            </w:tcMar>
            <w:vAlign w:val="center"/>
          </w:tcPr>
          <w:p w14:paraId="244384E5">
            <w:pPr>
              <w:spacing w:line="400" w:lineRule="exact"/>
              <w:ind w:firstLine="1"/>
              <w:jc w:val="center"/>
              <w:rPr>
                <w:rFonts w:ascii="宋体" w:hAnsi="宋体" w:cs="宋体"/>
                <w:bCs/>
                <w:color w:val="auto"/>
                <w:highlight w:val="none"/>
              </w:rPr>
            </w:pPr>
            <w:r>
              <w:rPr>
                <w:rFonts w:hint="eastAsia" w:ascii="宋体" w:hAnsi="宋体" w:cs="宋体"/>
                <w:bCs/>
                <w:color w:val="auto"/>
                <w:highlight w:val="none"/>
              </w:rPr>
              <w:t>节能环保</w:t>
            </w:r>
          </w:p>
        </w:tc>
        <w:tc>
          <w:tcPr>
            <w:tcW w:w="6612"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E880C42">
            <w:pPr>
              <w:spacing w:line="400" w:lineRule="exact"/>
              <w:ind w:firstLine="1"/>
              <w:rPr>
                <w:rFonts w:ascii="宋体" w:hAnsi="宋体" w:cs="宋体"/>
                <w:bCs/>
                <w:color w:val="auto"/>
                <w:highlight w:val="none"/>
              </w:rPr>
            </w:pPr>
            <w:r>
              <w:rPr>
                <w:rFonts w:hint="eastAsia" w:ascii="宋体" w:hAnsi="宋体" w:cs="宋体"/>
                <w:color w:val="auto"/>
                <w:highlight w:val="none"/>
              </w:rPr>
              <w:t>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p>
        </w:tc>
        <w:tc>
          <w:tcPr>
            <w:tcW w:w="525"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09900965">
            <w:pPr>
              <w:tabs>
                <w:tab w:val="center" w:pos="251"/>
                <w:tab w:val="left" w:pos="365"/>
              </w:tabs>
              <w:spacing w:line="400" w:lineRule="exact"/>
              <w:jc w:val="center"/>
              <w:rPr>
                <w:rFonts w:ascii="宋体" w:hAnsi="宋体" w:cs="宋体"/>
                <w:b/>
                <w:bCs/>
                <w:color w:val="auto"/>
                <w:highlight w:val="none"/>
              </w:rPr>
            </w:pPr>
            <w:r>
              <w:rPr>
                <w:rFonts w:hint="eastAsia" w:ascii="宋体" w:hAnsi="宋体" w:cs="宋体"/>
                <w:b/>
                <w:bCs/>
                <w:color w:val="auto"/>
                <w:highlight w:val="none"/>
              </w:rPr>
              <w:t>0.5</w:t>
            </w:r>
          </w:p>
        </w:tc>
      </w:tr>
      <w:tr w14:paraId="54F4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502" w:type="dxa"/>
            <w:vMerge w:val="continue"/>
            <w:tcBorders>
              <w:left w:val="single" w:color="auto" w:sz="4" w:space="0"/>
              <w:right w:val="single" w:color="auto" w:sz="4" w:space="0"/>
            </w:tcBorders>
            <w:noWrap w:val="0"/>
            <w:tcMar>
              <w:top w:w="0" w:type="dxa"/>
              <w:left w:w="0" w:type="dxa"/>
              <w:bottom w:w="0" w:type="dxa"/>
              <w:right w:w="0" w:type="dxa"/>
            </w:tcMar>
            <w:vAlign w:val="center"/>
          </w:tcPr>
          <w:p w14:paraId="516D9064">
            <w:pPr>
              <w:spacing w:line="400" w:lineRule="exact"/>
              <w:ind w:firstLine="1"/>
              <w:jc w:val="center"/>
              <w:rPr>
                <w:rFonts w:ascii="宋体" w:hAnsi="宋体" w:cs="宋体"/>
                <w:color w:val="auto"/>
                <w:highlight w:val="none"/>
              </w:rPr>
            </w:pPr>
          </w:p>
        </w:tc>
        <w:tc>
          <w:tcPr>
            <w:tcW w:w="961" w:type="dxa"/>
            <w:vMerge w:val="continue"/>
            <w:tcBorders>
              <w:left w:val="single" w:color="auto" w:sz="4" w:space="0"/>
              <w:right w:val="single" w:color="auto" w:sz="4" w:space="0"/>
            </w:tcBorders>
            <w:noWrap w:val="0"/>
            <w:tcMar>
              <w:top w:w="0" w:type="dxa"/>
              <w:left w:w="0" w:type="dxa"/>
              <w:bottom w:w="0" w:type="dxa"/>
              <w:right w:w="0" w:type="dxa"/>
            </w:tcMar>
            <w:vAlign w:val="center"/>
          </w:tcPr>
          <w:p w14:paraId="269A0A73">
            <w:pPr>
              <w:spacing w:line="400" w:lineRule="exact"/>
              <w:ind w:firstLine="1"/>
              <w:jc w:val="center"/>
              <w:rPr>
                <w:rFonts w:ascii="宋体" w:hAnsi="宋体" w:cs="宋体"/>
                <w:bCs/>
                <w:color w:val="auto"/>
                <w:highlight w:val="none"/>
              </w:rPr>
            </w:pPr>
          </w:p>
        </w:tc>
        <w:tc>
          <w:tcPr>
            <w:tcW w:w="6612"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3D506D8B">
            <w:pPr>
              <w:spacing w:line="400" w:lineRule="exact"/>
              <w:ind w:firstLine="1"/>
              <w:rPr>
                <w:rFonts w:ascii="宋体" w:hAnsi="宋体" w:cs="宋体"/>
                <w:bCs/>
                <w:color w:val="auto"/>
                <w:highlight w:val="none"/>
              </w:rPr>
            </w:pPr>
            <w:r>
              <w:rPr>
                <w:rFonts w:hint="eastAsia" w:ascii="宋体" w:hAnsi="宋体" w:cs="宋体"/>
                <w:color w:val="auto"/>
                <w:highlight w:val="none"/>
              </w:rPr>
              <w:t>投标产品属于财政部、生态环境部公布的“环境标志产品品目清单”范围内的，投标人提供国家确定的认证机构出具的、处于有效期内的该环保产品认证证书复印件的，得0.5分。</w:t>
            </w:r>
          </w:p>
        </w:tc>
        <w:tc>
          <w:tcPr>
            <w:tcW w:w="525" w:type="dxa"/>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55EAB4AD">
            <w:pPr>
              <w:tabs>
                <w:tab w:val="center" w:pos="251"/>
                <w:tab w:val="left" w:pos="365"/>
              </w:tabs>
              <w:spacing w:line="400" w:lineRule="exact"/>
              <w:jc w:val="center"/>
              <w:rPr>
                <w:rFonts w:ascii="宋体" w:hAnsi="宋体" w:cs="宋体"/>
                <w:b/>
                <w:bCs/>
                <w:color w:val="auto"/>
                <w:highlight w:val="none"/>
              </w:rPr>
            </w:pPr>
            <w:r>
              <w:rPr>
                <w:rFonts w:hint="eastAsia" w:ascii="宋体" w:hAnsi="宋体" w:cs="宋体"/>
                <w:b/>
                <w:bCs/>
                <w:color w:val="auto"/>
                <w:highlight w:val="none"/>
              </w:rPr>
              <w:t>0.5</w:t>
            </w:r>
          </w:p>
        </w:tc>
      </w:tr>
      <w:tr w14:paraId="3F3F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63" w:type="dxa"/>
            <w:gridSpan w:val="2"/>
            <w:tcBorders>
              <w:left w:val="single" w:color="auto" w:sz="4" w:space="0"/>
              <w:right w:val="single" w:color="auto" w:sz="4" w:space="0"/>
            </w:tcBorders>
            <w:noWrap w:val="0"/>
            <w:tcMar>
              <w:top w:w="0" w:type="dxa"/>
              <w:left w:w="0" w:type="dxa"/>
              <w:bottom w:w="0" w:type="dxa"/>
              <w:right w:w="0" w:type="dxa"/>
            </w:tcMar>
            <w:vAlign w:val="center"/>
          </w:tcPr>
          <w:p w14:paraId="5F6DE7C1">
            <w:pPr>
              <w:spacing w:line="400" w:lineRule="exact"/>
              <w:ind w:firstLine="1"/>
              <w:jc w:val="center"/>
              <w:rPr>
                <w:rFonts w:ascii="宋体" w:hAnsi="宋体" w:cs="宋体"/>
                <w:b/>
                <w:bCs/>
                <w:color w:val="auto"/>
                <w:highlight w:val="none"/>
              </w:rPr>
            </w:pPr>
            <w:r>
              <w:rPr>
                <w:rFonts w:hint="eastAsia" w:ascii="宋体" w:hAnsi="宋体" w:cs="宋体"/>
                <w:b/>
                <w:bCs/>
                <w:color w:val="auto"/>
                <w:highlight w:val="none"/>
              </w:rPr>
              <w:t>合计</w:t>
            </w:r>
          </w:p>
        </w:tc>
        <w:tc>
          <w:tcPr>
            <w:tcW w:w="6612" w:type="dxa"/>
            <w:tcBorders>
              <w:left w:val="single" w:color="auto" w:sz="4" w:space="0"/>
              <w:right w:val="single" w:color="auto" w:sz="4" w:space="0"/>
            </w:tcBorders>
            <w:noWrap w:val="0"/>
            <w:tcMar>
              <w:top w:w="0" w:type="dxa"/>
              <w:left w:w="0" w:type="dxa"/>
              <w:bottom w:w="0" w:type="dxa"/>
              <w:right w:w="0" w:type="dxa"/>
            </w:tcMar>
            <w:vAlign w:val="center"/>
          </w:tcPr>
          <w:p w14:paraId="2EBBE83A">
            <w:pPr>
              <w:spacing w:line="400" w:lineRule="exact"/>
              <w:ind w:firstLine="1"/>
              <w:jc w:val="center"/>
              <w:rPr>
                <w:rFonts w:ascii="宋体" w:hAnsi="宋体" w:cs="宋体"/>
                <w:b/>
                <w:bCs/>
                <w:color w:val="auto"/>
                <w:highlight w:val="none"/>
              </w:rPr>
            </w:pPr>
          </w:p>
        </w:tc>
        <w:tc>
          <w:tcPr>
            <w:tcW w:w="525" w:type="dxa"/>
            <w:tcBorders>
              <w:left w:val="single" w:color="auto" w:sz="4" w:space="0"/>
              <w:right w:val="single" w:color="auto" w:sz="4" w:space="0"/>
            </w:tcBorders>
            <w:noWrap w:val="0"/>
            <w:tcMar>
              <w:top w:w="0" w:type="dxa"/>
              <w:left w:w="0" w:type="dxa"/>
              <w:bottom w:w="0" w:type="dxa"/>
              <w:right w:w="0" w:type="dxa"/>
            </w:tcMar>
            <w:vAlign w:val="center"/>
          </w:tcPr>
          <w:p w14:paraId="25BCE7B3">
            <w:pPr>
              <w:spacing w:line="400" w:lineRule="exact"/>
              <w:jc w:val="center"/>
              <w:rPr>
                <w:rFonts w:ascii="宋体" w:hAnsi="宋体" w:cs="宋体"/>
                <w:b/>
                <w:bCs/>
                <w:color w:val="auto"/>
                <w:highlight w:val="none"/>
              </w:rPr>
            </w:pPr>
            <w:r>
              <w:rPr>
                <w:rFonts w:hint="eastAsia" w:ascii="宋体" w:hAnsi="宋体" w:cs="宋体"/>
                <w:b/>
                <w:bCs/>
                <w:color w:val="auto"/>
                <w:highlight w:val="none"/>
              </w:rPr>
              <w:t>100</w:t>
            </w:r>
          </w:p>
        </w:tc>
      </w:tr>
    </w:tbl>
    <w:p w14:paraId="45904811">
      <w:pPr>
        <w:spacing w:after="120"/>
        <w:ind w:firstLine="480"/>
        <w:rPr>
          <w:rFonts w:ascii="宋体" w:hAnsi="宋体" w:cs="宋体"/>
          <w:color w:val="auto"/>
          <w:sz w:val="24"/>
          <w:szCs w:val="24"/>
          <w:highlight w:val="none"/>
          <w:lang w:val="zh-CN"/>
        </w:rPr>
      </w:pPr>
    </w:p>
    <w:p w14:paraId="2E55FB43">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本项目采用综合评分法，评分统计方法采用百分制（满分100分），将全部评委评分直接进行算术平均，小数点后保留2位。</w:t>
      </w:r>
    </w:p>
    <w:p w14:paraId="4F3D5886">
      <w:pPr>
        <w:spacing w:after="120"/>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评委会将对确定为实质性响应招标文件要求的投标文件进行评价和比较，评标结果按评审后得分由高到低顺序排列。得分相同的，按投标报价由低到高顺序排列，得分且投标报价相同的按照技术指标得分由高到低顺序排列。投标文件满足招标文件全部实质性要求，且按照评审因素的量化指标评审得分最高的投标人为排名第一的中标候选人。</w:t>
      </w:r>
      <w:bookmarkEnd w:id="66"/>
    </w:p>
    <w:p w14:paraId="722CC9D2">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说明：</w:t>
      </w:r>
    </w:p>
    <w:p w14:paraId="0EAE7688">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1.所有认证、证明和业绩均以有效清晰的证明文件的复印件为依据，原件备查。</w:t>
      </w:r>
    </w:p>
    <w:p w14:paraId="0D471B38">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2.小微企业价格扣除</w:t>
      </w:r>
    </w:p>
    <w:p w14:paraId="745B15F8">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CA78D6C">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0375424">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2.3《中小企业声明函（货物）》中“采购文件中</w:t>
      </w:r>
      <w:r>
        <w:rPr>
          <w:rFonts w:ascii="宋体" w:hAnsi="宋体" w:cs="宋体"/>
          <w:b/>
          <w:bCs/>
          <w:color w:val="auto"/>
          <w:highlight w:val="none"/>
        </w:rPr>
        <w:t>明确的所属行业</w:t>
      </w:r>
      <w:r>
        <w:rPr>
          <w:rFonts w:hint="eastAsia" w:ascii="宋体" w:hAnsi="宋体" w:cs="宋体"/>
          <w:b/>
          <w:bCs/>
          <w:color w:val="auto"/>
          <w:highlight w:val="none"/>
        </w:rPr>
        <w:t>”为</w:t>
      </w:r>
      <w:r>
        <w:rPr>
          <w:rFonts w:ascii="宋体" w:hAnsi="宋体" w:cs="宋体"/>
          <w:b/>
          <w:bCs/>
          <w:color w:val="auto"/>
          <w:highlight w:val="none"/>
        </w:rPr>
        <w:t>：</w:t>
      </w:r>
      <w:r>
        <w:rPr>
          <w:rFonts w:hint="eastAsia" w:ascii="宋体" w:hAnsi="宋体" w:cs="宋体"/>
          <w:b/>
          <w:bCs/>
          <w:color w:val="auto"/>
          <w:highlight w:val="none"/>
          <w:u w:val="single"/>
        </w:rPr>
        <w:t>工业</w:t>
      </w:r>
      <w:r>
        <w:rPr>
          <w:rFonts w:hint="eastAsia" w:ascii="宋体" w:hAnsi="宋体" w:cs="宋体"/>
          <w:b/>
          <w:bCs/>
          <w:color w:val="auto"/>
          <w:highlight w:val="none"/>
        </w:rPr>
        <w:t>。</w:t>
      </w:r>
    </w:p>
    <w:p w14:paraId="670F1BDC">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3.监狱和戒毒企业的价格扣除</w:t>
      </w:r>
    </w:p>
    <w:p w14:paraId="31DAF5E5">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3.1 本项目对监狱和戒毒企业，给予10%的价格扣除，用扣除后的价格参与评审。</w:t>
      </w:r>
    </w:p>
    <w:p w14:paraId="7E8C569F">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3.2 监狱企业需提供由省级以上监狱管理局、戒毒管理局（含新疆生产建设兵团）出具的属于监狱企业的证明文件。</w:t>
      </w:r>
    </w:p>
    <w:p w14:paraId="029338CB">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3.3 监狱企业标准请参照《关于政府采购支持监狱企业发展有关问题的通知》（财库〔2014〕68号）。</w:t>
      </w:r>
    </w:p>
    <w:p w14:paraId="3DB9F1F6">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4.残疾人福利性单位的价格扣除</w:t>
      </w:r>
    </w:p>
    <w:p w14:paraId="615AB4DF">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4.1 本项目对残疾人福利性单位，给予10%的价格扣除，用扣除后的价格参与评审。</w:t>
      </w:r>
    </w:p>
    <w:p w14:paraId="5201C365">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4.2 残疾人福利性单位需提供《残疾人福利性单位声明函》</w:t>
      </w:r>
    </w:p>
    <w:p w14:paraId="4DA54D57">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4.3 残疾人福利性单位标准请参照《关于促进残疾人就业政府采购政策的通知》（财库〔2017〕141号）。</w:t>
      </w:r>
    </w:p>
    <w:p w14:paraId="3B0BA5DB">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5. 监狱企业、残疾人福利性单位属于小型、微型企业的，不重复享受政策。</w:t>
      </w:r>
    </w:p>
    <w:p w14:paraId="6DB19238">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6.本国产品的价格扣除</w:t>
      </w:r>
    </w:p>
    <w:p w14:paraId="22A357C4">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6.1本国产品标准、本国产品标准的适用范围、对本国产品的支持政策等详见《国务院办公厅关于在政府采购中实施本国产品标准及相关政策的通知》（国办发〔2025〕34号）。</w:t>
      </w:r>
    </w:p>
    <w:p w14:paraId="3271A49E">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6.2 政府采购活动中既有本国产品又有非本国产品参与竞争的，依法对本国产品给予价格评审优惠，对本国产品的报价给予20%的价格扣除，用扣除后的价格参与评审。</w:t>
      </w:r>
    </w:p>
    <w:p w14:paraId="37EF1DC6">
      <w:pPr>
        <w:pStyle w:val="201"/>
        <w:spacing w:before="0" w:after="0"/>
        <w:ind w:firstLine="482"/>
        <w:rPr>
          <w:rFonts w:ascii="宋体" w:hAnsi="宋体" w:cs="宋体"/>
          <w:b/>
          <w:bCs/>
          <w:color w:val="auto"/>
          <w:highlight w:val="none"/>
        </w:rPr>
      </w:pPr>
      <w:r>
        <w:rPr>
          <w:rFonts w:hint="eastAsia" w:ascii="宋体" w:hAnsi="宋体" w:cs="宋体"/>
          <w:b/>
          <w:bCs/>
          <w:color w:val="auto"/>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144752">
      <w:pPr>
        <w:pStyle w:val="201"/>
        <w:ind w:firstLine="482"/>
        <w:rPr>
          <w:rFonts w:ascii="宋体" w:hAnsi="宋体" w:cs="宋体"/>
          <w:color w:val="auto"/>
          <w:highlight w:val="none"/>
        </w:rPr>
      </w:pPr>
      <w:r>
        <w:rPr>
          <w:rFonts w:hint="eastAsia" w:ascii="宋体" w:hAnsi="宋体" w:cs="宋体"/>
          <w:b/>
          <w:bCs/>
          <w:color w:val="auto"/>
          <w:highlight w:val="none"/>
        </w:rPr>
        <w:t xml:space="preserve">                    </w:t>
      </w:r>
      <w:r>
        <w:rPr>
          <w:rFonts w:hint="eastAsia" w:ascii="宋体" w:hAnsi="宋体" w:cs="宋体"/>
          <w:color w:val="auto"/>
          <w:highlight w:val="none"/>
        </w:rPr>
        <w:t xml:space="preserve">    </w:t>
      </w:r>
    </w:p>
    <w:p w14:paraId="1140EE78">
      <w:pPr>
        <w:ind w:firstLine="723"/>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p>
    <w:p w14:paraId="75C49E31">
      <w:pPr>
        <w:pStyle w:val="2"/>
        <w:pageBreakBefore/>
        <w:numPr>
          <w:ilvl w:val="0"/>
          <w:numId w:val="10"/>
        </w:numPr>
        <w:spacing w:after="120"/>
        <w:ind w:firstLine="643"/>
        <w:rPr>
          <w:rFonts w:asciiTheme="majorEastAsia" w:hAnsiTheme="majorEastAsia" w:eastAsiaTheme="majorEastAsia"/>
          <w:b/>
          <w:color w:val="auto"/>
          <w:sz w:val="32"/>
          <w:szCs w:val="32"/>
          <w:highlight w:val="none"/>
        </w:rPr>
      </w:pPr>
      <w:bookmarkStart w:id="68" w:name="_Toc30691"/>
      <w:bookmarkStart w:id="69" w:name="_Toc25626"/>
      <w:r>
        <w:rPr>
          <w:rFonts w:hint="eastAsia" w:asciiTheme="majorEastAsia" w:hAnsiTheme="majorEastAsia" w:eastAsiaTheme="majorEastAsia"/>
          <w:b/>
          <w:color w:val="auto"/>
          <w:sz w:val="32"/>
          <w:szCs w:val="32"/>
          <w:highlight w:val="none"/>
        </w:rPr>
        <w:t>合同主要条款及格式</w:t>
      </w:r>
      <w:bookmarkEnd w:id="68"/>
      <w:r>
        <w:rPr>
          <w:rFonts w:hint="eastAsia" w:asciiTheme="majorEastAsia" w:hAnsiTheme="majorEastAsia" w:eastAsiaTheme="majorEastAsia"/>
          <w:b/>
          <w:color w:val="auto"/>
          <w:sz w:val="32"/>
          <w:szCs w:val="32"/>
          <w:highlight w:val="none"/>
        </w:rPr>
        <w:t>（货物类）</w:t>
      </w:r>
      <w:bookmarkEnd w:id="69"/>
    </w:p>
    <w:p w14:paraId="7683249B">
      <w:pPr>
        <w:ind w:firstLine="440"/>
        <w:rPr>
          <w:color w:val="auto"/>
          <w:highlight w:val="none"/>
        </w:rPr>
      </w:pPr>
    </w:p>
    <w:p w14:paraId="37864D76">
      <w:pPr>
        <w:pStyle w:val="21"/>
        <w:spacing w:before="120" w:after="120"/>
        <w:ind w:firstLine="482"/>
        <w:rPr>
          <w:rFonts w:hAnsi="宋体" w:cs="宋体"/>
          <w:b/>
          <w:bCs/>
          <w:color w:val="auto"/>
          <w:sz w:val="24"/>
          <w:highlight w:val="none"/>
          <w:u w:val="single"/>
        </w:rPr>
      </w:pPr>
      <w:r>
        <w:rPr>
          <w:rFonts w:hint="eastAsia" w:hAnsi="宋体" w:cs="宋体"/>
          <w:b/>
          <w:bCs/>
          <w:color w:val="auto"/>
          <w:sz w:val="24"/>
          <w:highlight w:val="none"/>
        </w:rPr>
        <w:t xml:space="preserve">  </w:t>
      </w:r>
      <w:r>
        <w:rPr>
          <w:rFonts w:hint="eastAsia" w:hAnsi="宋体" w:cs="宋体"/>
          <w:b/>
          <w:bCs/>
          <w:color w:val="auto"/>
          <w:sz w:val="24"/>
          <w:highlight w:val="none"/>
          <w:u w:val="single"/>
        </w:rPr>
        <w:t xml:space="preserve">  南京医科大学                                    项目合同              </w:t>
      </w:r>
    </w:p>
    <w:p w14:paraId="52C60CCA">
      <w:pPr>
        <w:pStyle w:val="21"/>
        <w:spacing w:before="120" w:after="120"/>
        <w:ind w:firstLine="420"/>
        <w:rPr>
          <w:rFonts w:hAnsi="宋体" w:cs="宋体"/>
          <w:color w:val="auto"/>
          <w:highlight w:val="none"/>
        </w:rPr>
      </w:pPr>
      <w:r>
        <w:rPr>
          <w:rFonts w:hint="eastAsia" w:hAnsi="宋体" w:cs="宋体"/>
          <w:color w:val="auto"/>
          <w:highlight w:val="none"/>
        </w:rPr>
        <w:t xml:space="preserve">甲方：（买方）_________         乙方：（卖方）_________ </w:t>
      </w:r>
    </w:p>
    <w:p w14:paraId="5859157B">
      <w:pPr>
        <w:pStyle w:val="21"/>
        <w:spacing w:before="120" w:after="120"/>
        <w:ind w:firstLine="420"/>
        <w:rPr>
          <w:rFonts w:hAnsi="宋体" w:cs="宋体"/>
          <w:color w:val="auto"/>
          <w:highlight w:val="none"/>
          <w:u w:val="single"/>
        </w:rPr>
      </w:pPr>
      <w:r>
        <w:rPr>
          <w:rFonts w:hint="eastAsia" w:hAnsi="宋体" w:cs="宋体"/>
          <w:color w:val="auto"/>
          <w:highlight w:val="none"/>
        </w:rPr>
        <w:t>法定代表人：</w:t>
      </w:r>
      <w:r>
        <w:rPr>
          <w:rFonts w:hint="eastAsia" w:hAnsi="宋体" w:cs="宋体"/>
          <w:color w:val="auto"/>
          <w:highlight w:val="none"/>
          <w:u w:val="single"/>
        </w:rPr>
        <w:t xml:space="preserve">          </w:t>
      </w:r>
      <w:r>
        <w:rPr>
          <w:rFonts w:hint="eastAsia" w:hAnsi="宋体" w:cs="宋体"/>
          <w:color w:val="auto"/>
          <w:highlight w:val="none"/>
        </w:rPr>
        <w:t xml:space="preserve">         法定代表人：____________</w:t>
      </w:r>
    </w:p>
    <w:p w14:paraId="2C409379">
      <w:pPr>
        <w:pStyle w:val="21"/>
        <w:spacing w:before="120" w:after="120"/>
        <w:ind w:firstLine="420"/>
        <w:rPr>
          <w:rFonts w:hAnsi="宋体" w:cs="宋体"/>
          <w:color w:val="auto"/>
          <w:highlight w:val="none"/>
          <w:u w:val="single"/>
        </w:rPr>
      </w:pPr>
      <w:r>
        <w:rPr>
          <w:rFonts w:hint="eastAsia" w:hAnsi="宋体" w:cs="宋体"/>
          <w:color w:val="auto"/>
          <w:highlight w:val="none"/>
        </w:rPr>
        <w:t>地址：</w:t>
      </w:r>
      <w:r>
        <w:rPr>
          <w:rFonts w:hint="eastAsia" w:hAnsi="宋体" w:cs="宋体"/>
          <w:color w:val="auto"/>
          <w:highlight w:val="none"/>
          <w:u w:val="single"/>
        </w:rPr>
        <w:t xml:space="preserve">                </w:t>
      </w:r>
      <w:r>
        <w:rPr>
          <w:rFonts w:hint="eastAsia" w:hAnsi="宋体" w:cs="宋体"/>
          <w:color w:val="auto"/>
          <w:highlight w:val="none"/>
        </w:rPr>
        <w:t xml:space="preserve">         地址：____________</w:t>
      </w:r>
    </w:p>
    <w:p w14:paraId="5F27C87F">
      <w:pPr>
        <w:pStyle w:val="21"/>
        <w:spacing w:before="120" w:after="120"/>
        <w:ind w:firstLine="420"/>
        <w:rPr>
          <w:rFonts w:hAnsi="宋体" w:cs="宋体"/>
          <w:color w:val="auto"/>
          <w:highlight w:val="none"/>
          <w:u w:val="single"/>
        </w:rPr>
      </w:pPr>
      <w:r>
        <w:rPr>
          <w:rFonts w:hint="eastAsia" w:hAnsi="宋体" w:cs="宋体"/>
          <w:color w:val="auto"/>
          <w:highlight w:val="none"/>
        </w:rPr>
        <w:t>联系人：</w:t>
      </w:r>
      <w:r>
        <w:rPr>
          <w:rFonts w:hint="eastAsia" w:hAnsi="宋体" w:cs="宋体"/>
          <w:color w:val="auto"/>
          <w:highlight w:val="none"/>
          <w:u w:val="single"/>
        </w:rPr>
        <w:t xml:space="preserve">              </w:t>
      </w:r>
      <w:r>
        <w:rPr>
          <w:rFonts w:hint="eastAsia" w:hAnsi="宋体" w:cs="宋体"/>
          <w:color w:val="auto"/>
          <w:highlight w:val="none"/>
        </w:rPr>
        <w:t xml:space="preserve">         联系人：____________</w:t>
      </w:r>
    </w:p>
    <w:p w14:paraId="147951C2">
      <w:pPr>
        <w:pStyle w:val="21"/>
        <w:spacing w:before="120" w:after="120"/>
        <w:ind w:firstLine="420"/>
        <w:rPr>
          <w:rFonts w:hAnsi="宋体" w:cs="宋体"/>
          <w:color w:val="auto"/>
          <w:highlight w:val="none"/>
        </w:rPr>
      </w:pPr>
      <w:r>
        <w:rPr>
          <w:rFonts w:hint="eastAsia" w:hAnsi="宋体" w:cs="宋体"/>
          <w:color w:val="auto"/>
          <w:highlight w:val="none"/>
        </w:rPr>
        <w:t>联系方式：</w:t>
      </w:r>
      <w:r>
        <w:rPr>
          <w:rFonts w:hint="eastAsia" w:hAnsi="宋体" w:cs="宋体"/>
          <w:color w:val="auto"/>
          <w:highlight w:val="none"/>
          <w:u w:val="single"/>
        </w:rPr>
        <w:t xml:space="preserve">            </w:t>
      </w:r>
      <w:r>
        <w:rPr>
          <w:rFonts w:hint="eastAsia" w:hAnsi="宋体" w:cs="宋体"/>
          <w:color w:val="auto"/>
          <w:highlight w:val="none"/>
        </w:rPr>
        <w:t xml:space="preserve">         联系方式：____________</w:t>
      </w:r>
    </w:p>
    <w:p w14:paraId="79C54511">
      <w:pPr>
        <w:pStyle w:val="21"/>
        <w:spacing w:before="120" w:after="120"/>
        <w:ind w:firstLine="420"/>
        <w:rPr>
          <w:rFonts w:hAnsi="宋体" w:cs="宋体"/>
          <w:color w:val="auto"/>
          <w:highlight w:val="none"/>
        </w:rPr>
      </w:pPr>
      <w:r>
        <w:rPr>
          <w:rFonts w:hint="eastAsia" w:hAnsi="宋体" w:cs="宋体"/>
          <w:color w:val="auto"/>
          <w:highlight w:val="none"/>
        </w:rPr>
        <w:t xml:space="preserve">甲、乙双方根据南京医科大学 </w:t>
      </w:r>
      <w:r>
        <w:rPr>
          <w:rFonts w:hint="eastAsia" w:hAnsi="宋体" w:cs="宋体"/>
          <w:color w:val="auto"/>
          <w:highlight w:val="none"/>
          <w:u w:val="single"/>
        </w:rPr>
        <w:t xml:space="preserve">                    项目 </w:t>
      </w:r>
      <w:r>
        <w:rPr>
          <w:rFonts w:hint="eastAsia" w:hAnsi="宋体" w:cs="宋体"/>
          <w:color w:val="auto"/>
          <w:highlight w:val="none"/>
        </w:rPr>
        <w:t>公开招标的结果，本着自愿及平等互利的原则，就甲方向乙方购买本合同约定的货物事宜，签署本合同。</w:t>
      </w:r>
    </w:p>
    <w:p w14:paraId="15AF106C">
      <w:pPr>
        <w:pStyle w:val="21"/>
        <w:spacing w:before="120" w:after="120"/>
        <w:ind w:firstLine="422"/>
        <w:rPr>
          <w:rFonts w:hAnsi="宋体" w:cs="宋体"/>
          <w:b/>
          <w:color w:val="auto"/>
          <w:highlight w:val="none"/>
        </w:rPr>
      </w:pPr>
      <w:r>
        <w:rPr>
          <w:rFonts w:hint="eastAsia" w:hAnsi="宋体" w:cs="宋体"/>
          <w:b/>
          <w:color w:val="auto"/>
          <w:highlight w:val="none"/>
        </w:rPr>
        <w:t>一、货物内容、数量及金额</w:t>
      </w:r>
    </w:p>
    <w:tbl>
      <w:tblPr>
        <w:tblStyle w:val="40"/>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260"/>
        <w:gridCol w:w="892"/>
        <w:gridCol w:w="892"/>
        <w:gridCol w:w="892"/>
        <w:gridCol w:w="898"/>
        <w:gridCol w:w="1400"/>
        <w:gridCol w:w="1406"/>
      </w:tblGrid>
      <w:tr w14:paraId="5074DE5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noWrap w:val="0"/>
            <w:vAlign w:val="center"/>
          </w:tcPr>
          <w:p w14:paraId="4C9D63F2">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5D5001D9">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60988136">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7E5C9BA0">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0D313986">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5D553CF8">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noWrap w:val="0"/>
            <w:vAlign w:val="center"/>
          </w:tcPr>
          <w:p w14:paraId="7624D3A3">
            <w:pPr>
              <w:spacing w:line="240" w:lineRule="atLeast"/>
              <w:jc w:val="center"/>
              <w:rPr>
                <w:rFonts w:ascii="宋体" w:hAnsi="宋体" w:cs="宋体"/>
                <w:b/>
                <w:color w:val="auto"/>
                <w:szCs w:val="21"/>
                <w:highlight w:val="none"/>
              </w:rPr>
            </w:pPr>
            <w:r>
              <w:rPr>
                <w:rFonts w:hint="eastAsia" w:ascii="宋体" w:hAnsi="宋体" w:cs="宋体"/>
                <w:b/>
                <w:color w:val="auto"/>
                <w:szCs w:val="21"/>
                <w:highlight w:val="none"/>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noWrap w:val="0"/>
            <w:vAlign w:val="center"/>
          </w:tcPr>
          <w:p w14:paraId="0235DDEA">
            <w:pPr>
              <w:rPr>
                <w:rFonts w:ascii="宋体" w:hAnsi="宋体" w:cs="宋体"/>
                <w:b/>
                <w:color w:val="auto"/>
                <w:szCs w:val="21"/>
                <w:highlight w:val="none"/>
              </w:rPr>
            </w:pPr>
            <w:r>
              <w:rPr>
                <w:rFonts w:hint="eastAsia" w:ascii="宋体" w:hAnsi="宋体" w:cs="宋体"/>
                <w:b/>
                <w:color w:val="auto"/>
                <w:szCs w:val="21"/>
                <w:highlight w:val="none"/>
              </w:rPr>
              <w:t>总价（元）</w:t>
            </w:r>
          </w:p>
        </w:tc>
      </w:tr>
      <w:tr w14:paraId="4DC5A0C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noWrap w:val="0"/>
            <w:vAlign w:val="center"/>
          </w:tcPr>
          <w:p w14:paraId="404A9DF7">
            <w:pPr>
              <w:spacing w:line="600" w:lineRule="atLeast"/>
              <w:jc w:val="center"/>
              <w:rPr>
                <w:rFonts w:ascii="宋体" w:hAnsi="宋体" w:cs="宋体"/>
                <w:b/>
                <w:color w:val="auto"/>
                <w:szCs w:val="21"/>
                <w:highlight w:val="none"/>
              </w:rPr>
            </w:pPr>
            <w:r>
              <w:rPr>
                <w:rFonts w:hint="eastAsia" w:ascii="宋体" w:hAnsi="宋体" w:cs="宋体"/>
                <w:b/>
                <w:color w:val="auto"/>
                <w:szCs w:val="21"/>
                <w:highlight w:val="none"/>
              </w:rPr>
              <w:t>1</w:t>
            </w:r>
          </w:p>
        </w:tc>
        <w:tc>
          <w:tcPr>
            <w:tcW w:w="1262" w:type="dxa"/>
            <w:tcBorders>
              <w:top w:val="single" w:color="auto" w:sz="4" w:space="0"/>
              <w:left w:val="single" w:color="auto" w:sz="4" w:space="0"/>
              <w:bottom w:val="single" w:color="auto" w:sz="4" w:space="0"/>
              <w:right w:val="single" w:color="auto" w:sz="4" w:space="0"/>
            </w:tcBorders>
            <w:noWrap w:val="0"/>
            <w:vAlign w:val="center"/>
          </w:tcPr>
          <w:p w14:paraId="41AD2D9D">
            <w:pPr>
              <w:spacing w:line="600" w:lineRule="atLeast"/>
              <w:jc w:val="center"/>
              <w:rPr>
                <w:rFonts w:ascii="宋体" w:hAnsi="宋体" w:cs="宋体"/>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164875B8">
            <w:pPr>
              <w:jc w:val="center"/>
              <w:rPr>
                <w:rFonts w:ascii="宋体" w:hAnsi="宋体" w:cs="宋体"/>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16E9E40B">
            <w:pPr>
              <w:spacing w:line="600" w:lineRule="atLeast"/>
              <w:ind w:firstLine="108"/>
              <w:jc w:val="center"/>
              <w:rPr>
                <w:rFonts w:ascii="宋体" w:hAnsi="宋体" w:cs="宋体"/>
                <w:b/>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441F4281">
            <w:pPr>
              <w:spacing w:line="240" w:lineRule="atLeast"/>
              <w:jc w:val="center"/>
              <w:rPr>
                <w:rFonts w:ascii="宋体" w:hAnsi="宋体" w:cs="宋体"/>
                <w:b/>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3B0C388">
            <w:pPr>
              <w:jc w:val="center"/>
              <w:rPr>
                <w:rFonts w:ascii="宋体" w:hAnsi="宋体" w:cs="宋体"/>
                <w:color w:val="auto"/>
                <w:szCs w:val="21"/>
                <w:highlight w:val="none"/>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7387D2D1">
            <w:pPr>
              <w:jc w:val="center"/>
              <w:rPr>
                <w:rFonts w:ascii="宋体" w:hAnsi="宋体" w:cs="宋体"/>
                <w:color w:val="auto"/>
                <w:szCs w:val="21"/>
                <w:highlight w:val="none"/>
              </w:rPr>
            </w:pPr>
          </w:p>
        </w:tc>
        <w:tc>
          <w:tcPr>
            <w:tcW w:w="1408" w:type="dxa"/>
            <w:tcBorders>
              <w:top w:val="single" w:color="auto" w:sz="4" w:space="0"/>
              <w:left w:val="single" w:color="auto" w:sz="4" w:space="0"/>
              <w:bottom w:val="single" w:color="auto" w:sz="4" w:space="0"/>
              <w:right w:val="single" w:color="auto" w:sz="12" w:space="0"/>
            </w:tcBorders>
            <w:noWrap w:val="0"/>
            <w:vAlign w:val="center"/>
          </w:tcPr>
          <w:p w14:paraId="0677AED3">
            <w:pPr>
              <w:jc w:val="center"/>
              <w:rPr>
                <w:rFonts w:ascii="宋体" w:hAnsi="宋体" w:cs="宋体"/>
                <w:color w:val="auto"/>
                <w:szCs w:val="21"/>
                <w:highlight w:val="none"/>
              </w:rPr>
            </w:pPr>
          </w:p>
        </w:tc>
      </w:tr>
      <w:tr w14:paraId="2EDB9B3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jc w:val="center"/>
        </w:trPr>
        <w:tc>
          <w:tcPr>
            <w:tcW w:w="882" w:type="dxa"/>
            <w:tcBorders>
              <w:top w:val="single" w:color="auto" w:sz="4" w:space="0"/>
              <w:left w:val="single" w:color="auto" w:sz="12" w:space="0"/>
              <w:bottom w:val="single" w:color="auto" w:sz="4" w:space="0"/>
              <w:right w:val="single" w:color="auto" w:sz="4" w:space="0"/>
            </w:tcBorders>
            <w:noWrap w:val="0"/>
            <w:vAlign w:val="center"/>
          </w:tcPr>
          <w:p w14:paraId="0233A04C">
            <w:pPr>
              <w:spacing w:line="600" w:lineRule="atLeast"/>
              <w:jc w:val="center"/>
              <w:rPr>
                <w:rFonts w:ascii="宋体" w:hAnsi="宋体" w:cs="宋体"/>
                <w:b/>
                <w:color w:val="auto"/>
                <w:szCs w:val="21"/>
                <w:highlight w:val="none"/>
              </w:rPr>
            </w:pPr>
            <w:r>
              <w:rPr>
                <w:rFonts w:hint="eastAsia" w:ascii="宋体" w:hAnsi="宋体" w:cs="宋体"/>
                <w:b/>
                <w:color w:val="auto"/>
                <w:szCs w:val="21"/>
                <w:highlight w:val="none"/>
              </w:rPr>
              <w:t>2</w:t>
            </w:r>
          </w:p>
        </w:tc>
        <w:tc>
          <w:tcPr>
            <w:tcW w:w="1262" w:type="dxa"/>
            <w:tcBorders>
              <w:top w:val="single" w:color="auto" w:sz="4" w:space="0"/>
              <w:left w:val="single" w:color="auto" w:sz="4" w:space="0"/>
              <w:bottom w:val="single" w:color="auto" w:sz="4" w:space="0"/>
              <w:right w:val="single" w:color="auto" w:sz="4" w:space="0"/>
            </w:tcBorders>
            <w:noWrap w:val="0"/>
            <w:vAlign w:val="center"/>
          </w:tcPr>
          <w:p w14:paraId="761F5F45">
            <w:pPr>
              <w:spacing w:line="600" w:lineRule="atLeast"/>
              <w:jc w:val="center"/>
              <w:rPr>
                <w:rFonts w:ascii="宋体" w:hAnsi="宋体" w:cs="宋体"/>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3BAC0F02">
            <w:pPr>
              <w:jc w:val="center"/>
              <w:rPr>
                <w:rFonts w:ascii="宋体" w:hAnsi="宋体" w:cs="宋体"/>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69851790">
            <w:pPr>
              <w:spacing w:line="600" w:lineRule="atLeast"/>
              <w:ind w:firstLine="108"/>
              <w:jc w:val="center"/>
              <w:rPr>
                <w:rFonts w:ascii="宋体" w:hAnsi="宋体" w:cs="宋体"/>
                <w:b/>
                <w:color w:val="auto"/>
                <w:szCs w:val="21"/>
                <w:highlight w:val="none"/>
              </w:rPr>
            </w:pPr>
          </w:p>
        </w:tc>
        <w:tc>
          <w:tcPr>
            <w:tcW w:w="890" w:type="dxa"/>
            <w:tcBorders>
              <w:top w:val="single" w:color="auto" w:sz="4" w:space="0"/>
              <w:left w:val="single" w:color="auto" w:sz="4" w:space="0"/>
              <w:bottom w:val="single" w:color="auto" w:sz="4" w:space="0"/>
              <w:right w:val="single" w:color="auto" w:sz="4" w:space="0"/>
            </w:tcBorders>
            <w:noWrap w:val="0"/>
            <w:vAlign w:val="center"/>
          </w:tcPr>
          <w:p w14:paraId="4AB4CF35">
            <w:pPr>
              <w:spacing w:line="240" w:lineRule="atLeast"/>
              <w:jc w:val="center"/>
              <w:rPr>
                <w:rFonts w:ascii="宋体" w:hAnsi="宋体" w:cs="宋体"/>
                <w:b/>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2B7851F">
            <w:pPr>
              <w:jc w:val="center"/>
              <w:rPr>
                <w:rFonts w:ascii="宋体" w:hAnsi="宋体" w:cs="宋体"/>
                <w:color w:val="auto"/>
                <w:szCs w:val="21"/>
                <w:highlight w:val="none"/>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636EB430">
            <w:pPr>
              <w:jc w:val="center"/>
              <w:rPr>
                <w:rFonts w:ascii="宋体" w:hAnsi="宋体" w:cs="宋体"/>
                <w:color w:val="auto"/>
                <w:szCs w:val="21"/>
                <w:highlight w:val="none"/>
              </w:rPr>
            </w:pPr>
          </w:p>
        </w:tc>
        <w:tc>
          <w:tcPr>
            <w:tcW w:w="1408" w:type="dxa"/>
            <w:tcBorders>
              <w:top w:val="single" w:color="auto" w:sz="4" w:space="0"/>
              <w:left w:val="single" w:color="auto" w:sz="4" w:space="0"/>
              <w:bottom w:val="single" w:color="auto" w:sz="4" w:space="0"/>
              <w:right w:val="single" w:color="auto" w:sz="12" w:space="0"/>
            </w:tcBorders>
            <w:noWrap w:val="0"/>
            <w:vAlign w:val="center"/>
          </w:tcPr>
          <w:p w14:paraId="29B3DC0A">
            <w:pPr>
              <w:jc w:val="center"/>
              <w:rPr>
                <w:rFonts w:ascii="宋体" w:hAnsi="宋体" w:cs="宋体"/>
                <w:color w:val="auto"/>
                <w:szCs w:val="21"/>
                <w:highlight w:val="none"/>
              </w:rPr>
            </w:pPr>
          </w:p>
        </w:tc>
      </w:tr>
      <w:tr w14:paraId="60CC59F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gridSpan w:val="8"/>
            <w:tcBorders>
              <w:top w:val="single" w:color="auto" w:sz="4" w:space="0"/>
              <w:left w:val="single" w:color="auto" w:sz="12" w:space="0"/>
              <w:bottom w:val="single" w:color="auto" w:sz="4" w:space="0"/>
              <w:right w:val="single" w:color="auto" w:sz="12" w:space="0"/>
            </w:tcBorders>
            <w:noWrap w:val="0"/>
            <w:vAlign w:val="center"/>
          </w:tcPr>
          <w:p w14:paraId="064F273E">
            <w:pPr>
              <w:spacing w:line="300" w:lineRule="exact"/>
              <w:rPr>
                <w:rFonts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w:t>
            </w:r>
          </w:p>
          <w:p w14:paraId="0D336E03">
            <w:pPr>
              <w:spacing w:line="300" w:lineRule="exact"/>
              <w:jc w:val="center"/>
              <w:rPr>
                <w:rFonts w:ascii="宋体" w:hAnsi="宋体" w:cs="宋体"/>
                <w:color w:val="auto"/>
                <w:szCs w:val="21"/>
                <w:highlight w:val="none"/>
              </w:rPr>
            </w:pPr>
          </w:p>
          <w:p w14:paraId="02FD10B1">
            <w:pPr>
              <w:spacing w:line="300" w:lineRule="exact"/>
              <w:jc w:val="center"/>
              <w:rPr>
                <w:rFonts w:ascii="宋体" w:hAnsi="宋体" w:cs="宋体"/>
                <w:color w:val="auto"/>
                <w:szCs w:val="21"/>
                <w:highlight w:val="none"/>
              </w:rPr>
            </w:pPr>
          </w:p>
        </w:tc>
      </w:tr>
      <w:tr w14:paraId="12365A7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noWrap w:val="0"/>
            <w:vAlign w:val="center"/>
          </w:tcPr>
          <w:p w14:paraId="2B1AF064">
            <w:pPr>
              <w:spacing w:line="300" w:lineRule="exact"/>
              <w:rPr>
                <w:rFonts w:ascii="宋体" w:hAnsi="宋体" w:cs="宋体"/>
                <w:color w:val="auto"/>
                <w:szCs w:val="21"/>
                <w:highlight w:val="none"/>
              </w:rPr>
            </w:pPr>
            <w:r>
              <w:rPr>
                <w:rFonts w:hint="eastAsia" w:ascii="宋体" w:hAnsi="宋体" w:cs="宋体"/>
                <w:color w:val="auto"/>
                <w:szCs w:val="21"/>
                <w:highlight w:val="none"/>
              </w:rPr>
              <w:t>说明：</w:t>
            </w:r>
          </w:p>
          <w:p w14:paraId="272E77E0">
            <w:pPr>
              <w:spacing w:line="300" w:lineRule="exact"/>
              <w:rPr>
                <w:rFonts w:ascii="宋体" w:hAnsi="宋体" w:cs="宋体"/>
                <w:color w:val="auto"/>
                <w:szCs w:val="21"/>
                <w:highlight w:val="none"/>
              </w:rPr>
            </w:pPr>
            <w:r>
              <w:rPr>
                <w:rFonts w:hint="eastAsia" w:ascii="宋体" w:hAnsi="宋体" w:cs="宋体"/>
                <w:color w:val="auto"/>
                <w:szCs w:val="21"/>
                <w:highlight w:val="none"/>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2A48F100">
            <w:pPr>
              <w:spacing w:line="300" w:lineRule="exact"/>
              <w:rPr>
                <w:rFonts w:ascii="宋体" w:hAnsi="宋体" w:cs="宋体"/>
                <w:color w:val="auto"/>
                <w:szCs w:val="21"/>
                <w:highlight w:val="none"/>
              </w:rPr>
            </w:pPr>
            <w:r>
              <w:rPr>
                <w:rFonts w:hint="eastAsia" w:ascii="宋体" w:hAnsi="宋体" w:cs="宋体"/>
                <w:color w:val="auto"/>
                <w:szCs w:val="21"/>
                <w:highlight w:val="none"/>
              </w:rPr>
              <w:t>此外，</w:t>
            </w:r>
          </w:p>
          <w:p w14:paraId="7A2AF860">
            <w:pPr>
              <w:spacing w:line="300" w:lineRule="exact"/>
              <w:rPr>
                <w:rFonts w:ascii="宋体" w:hAnsi="宋体" w:cs="宋体"/>
                <w:color w:val="auto"/>
                <w:szCs w:val="21"/>
                <w:highlight w:val="none"/>
              </w:rPr>
            </w:pPr>
            <w:r>
              <w:rPr>
                <w:rFonts w:hint="eastAsia" w:ascii="宋体" w:hAnsi="宋体" w:cs="宋体"/>
                <w:color w:val="auto"/>
                <w:szCs w:val="21"/>
                <w:highlight w:val="none"/>
              </w:rPr>
              <w:t>（1）若合同在履行过程中因国家政策调整，不在进口货物免税清单内，加征的关税亦包含在本合同总价款中。</w:t>
            </w:r>
          </w:p>
          <w:p w14:paraId="7D5D1EA9">
            <w:pPr>
              <w:spacing w:line="300" w:lineRule="exact"/>
              <w:rPr>
                <w:rFonts w:ascii="宋体" w:hAnsi="宋体" w:cs="宋体"/>
                <w:color w:val="auto"/>
                <w:szCs w:val="21"/>
                <w:highlight w:val="none"/>
              </w:rPr>
            </w:pPr>
            <w:r>
              <w:rPr>
                <w:rFonts w:hint="eastAsia" w:ascii="宋体" w:hAnsi="宋体" w:cs="宋体"/>
                <w:color w:val="auto"/>
                <w:szCs w:val="21"/>
                <w:highlight w:val="none"/>
              </w:rPr>
              <w:t>（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7B01DF2C">
            <w:pPr>
              <w:spacing w:line="300" w:lineRule="exact"/>
              <w:rPr>
                <w:rFonts w:ascii="宋体" w:hAnsi="宋体" w:cs="宋体"/>
                <w:color w:val="auto"/>
                <w:szCs w:val="21"/>
                <w:highlight w:val="none"/>
              </w:rPr>
            </w:pPr>
            <w:r>
              <w:rPr>
                <w:rFonts w:hint="eastAsia" w:ascii="宋体" w:hAnsi="宋体" w:cs="宋体"/>
                <w:color w:val="auto"/>
                <w:szCs w:val="21"/>
                <w:highlight w:val="none"/>
              </w:rPr>
              <w:t>以上两种情况，甲方按照采购合同约定的付款方式支付给委托的外贸公司后，甲方即完成向乙方付款义务，乙方不得再向甲方追索本项目款项。</w:t>
            </w:r>
          </w:p>
          <w:p w14:paraId="0CC819CD">
            <w:pPr>
              <w:spacing w:line="300" w:lineRule="exact"/>
              <w:rPr>
                <w:rFonts w:ascii="宋体" w:hAnsi="宋体" w:cs="宋体"/>
                <w:color w:val="auto"/>
                <w:szCs w:val="21"/>
                <w:highlight w:val="none"/>
              </w:rPr>
            </w:pPr>
            <w:r>
              <w:rPr>
                <w:rFonts w:hint="eastAsia" w:ascii="宋体" w:hAnsi="宋体" w:cs="宋体"/>
                <w:color w:val="auto"/>
                <w:szCs w:val="21"/>
                <w:highlight w:val="none"/>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53928B1">
            <w:pPr>
              <w:spacing w:line="300" w:lineRule="exact"/>
              <w:rPr>
                <w:rFonts w:ascii="宋体" w:hAnsi="宋体" w:cs="宋体"/>
                <w:color w:val="auto"/>
                <w:szCs w:val="21"/>
                <w:highlight w:val="none"/>
              </w:rPr>
            </w:pPr>
            <w:r>
              <w:rPr>
                <w:rFonts w:hint="eastAsia" w:ascii="宋体" w:hAnsi="宋体" w:cs="宋体"/>
                <w:color w:val="auto"/>
                <w:szCs w:val="21"/>
                <w:highlight w:val="none"/>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3A41F97F">
      <w:pPr>
        <w:pStyle w:val="21"/>
        <w:spacing w:before="120" w:after="120"/>
        <w:ind w:firstLine="422"/>
        <w:rPr>
          <w:rFonts w:hAnsi="宋体" w:cs="宋体"/>
          <w:b/>
          <w:color w:val="auto"/>
          <w:highlight w:val="none"/>
        </w:rPr>
      </w:pPr>
    </w:p>
    <w:p w14:paraId="35775720">
      <w:pPr>
        <w:pStyle w:val="21"/>
        <w:spacing w:before="120" w:after="120"/>
        <w:ind w:firstLine="422"/>
        <w:rPr>
          <w:rFonts w:hAnsi="宋体" w:cs="宋体"/>
          <w:b/>
          <w:color w:val="auto"/>
          <w:highlight w:val="none"/>
        </w:rPr>
      </w:pPr>
      <w:r>
        <w:rPr>
          <w:rFonts w:hint="eastAsia" w:hAnsi="宋体" w:cs="宋体"/>
          <w:b/>
          <w:color w:val="auto"/>
          <w:highlight w:val="none"/>
        </w:rPr>
        <w:t>二、结算方式</w:t>
      </w:r>
    </w:p>
    <w:p w14:paraId="7CEDBD0B">
      <w:pPr>
        <w:pStyle w:val="21"/>
        <w:spacing w:before="120" w:after="120" w:line="330" w:lineRule="atLeast"/>
        <w:ind w:firstLine="480"/>
        <w:rPr>
          <w:rFonts w:hAnsi="宋体"/>
          <w:color w:val="auto"/>
          <w:sz w:val="24"/>
          <w:szCs w:val="28"/>
          <w:highlight w:val="none"/>
        </w:rPr>
      </w:pPr>
      <w:r>
        <w:rPr>
          <w:rFonts w:hAnsi="宋体"/>
          <w:color w:val="auto"/>
          <w:sz w:val="24"/>
          <w:szCs w:val="28"/>
          <w:highlight w:val="none"/>
        </w:rPr>
        <w:t>2.1结算方式：</w:t>
      </w:r>
    </w:p>
    <w:p w14:paraId="51A1DEC1">
      <w:pPr>
        <w:pStyle w:val="21"/>
        <w:spacing w:before="120" w:after="120" w:line="330" w:lineRule="atLeast"/>
        <w:ind w:firstLine="480"/>
        <w:rPr>
          <w:rFonts w:hAnsi="宋体" w:cstheme="minorBidi"/>
          <w:color w:val="auto"/>
          <w:sz w:val="24"/>
          <w:szCs w:val="22"/>
          <w:highlight w:val="none"/>
        </w:rPr>
      </w:pPr>
      <w:r>
        <w:rPr>
          <w:rFonts w:hint="eastAsia" w:hAnsi="宋体" w:cstheme="minorBidi"/>
          <w:color w:val="auto"/>
          <w:sz w:val="24"/>
          <w:szCs w:val="22"/>
          <w:highlight w:val="none"/>
        </w:rPr>
        <w:t>A【</w:t>
      </w:r>
      <w:r>
        <w:rPr>
          <w:rFonts w:hint="eastAsia" w:hAnsi="宋体" w:cs="宋体"/>
          <w:color w:val="auto"/>
          <w:spacing w:val="8"/>
          <w:sz w:val="24"/>
          <w:highlight w:val="none"/>
        </w:rPr>
        <w:t>国产设备及进口设备（非免税）</w:t>
      </w:r>
      <w:r>
        <w:rPr>
          <w:rFonts w:hint="eastAsia" w:hAnsi="宋体" w:cstheme="minorBidi"/>
          <w:color w:val="auto"/>
          <w:sz w:val="24"/>
          <w:szCs w:val="22"/>
          <w:highlight w:val="none"/>
        </w:rPr>
        <w:t>】：货物交付、安装、调试且通过验收后一周内（遇寒暑假和法定节假日顺延），学校支付合同总金额的100%，付款之前需收到中标供应商开具的合法有效的相应全额发票。</w:t>
      </w:r>
    </w:p>
    <w:p w14:paraId="07DA37B0">
      <w:pPr>
        <w:pStyle w:val="21"/>
        <w:spacing w:before="120" w:after="120" w:line="330" w:lineRule="atLeast"/>
        <w:ind w:firstLine="480"/>
        <w:rPr>
          <w:rFonts w:hAnsi="宋体" w:cstheme="minorBidi"/>
          <w:color w:val="auto"/>
          <w:sz w:val="24"/>
          <w:szCs w:val="22"/>
          <w:highlight w:val="none"/>
        </w:rPr>
      </w:pPr>
      <w:r>
        <w:rPr>
          <w:rFonts w:hint="eastAsia" w:hAnsi="宋体" w:cstheme="minorBidi"/>
          <w:color w:val="auto"/>
          <w:sz w:val="24"/>
          <w:szCs w:val="22"/>
          <w:highlight w:val="none"/>
        </w:rPr>
        <w:t>B【</w:t>
      </w:r>
      <w:r>
        <w:rPr>
          <w:rFonts w:hint="eastAsia" w:hAnsi="宋体" w:cs="宋体"/>
          <w:color w:val="auto"/>
          <w:spacing w:val="8"/>
          <w:sz w:val="24"/>
          <w:highlight w:val="none"/>
        </w:rPr>
        <w:t>进口设备（免税）</w:t>
      </w:r>
      <w:r>
        <w:rPr>
          <w:rFonts w:hint="eastAsia" w:hAnsi="宋体" w:cstheme="minorBidi"/>
          <w:color w:val="auto"/>
          <w:sz w:val="24"/>
          <w:szCs w:val="22"/>
          <w:highlight w:val="none"/>
        </w:rPr>
        <w:t>】：</w:t>
      </w:r>
    </w:p>
    <w:p w14:paraId="7E2C3617">
      <w:pPr>
        <w:pStyle w:val="21"/>
        <w:numPr>
          <w:ilvl w:val="0"/>
          <w:numId w:val="11"/>
        </w:numPr>
        <w:spacing w:before="120" w:after="120" w:line="330" w:lineRule="atLeast"/>
        <w:ind w:firstLine="480"/>
        <w:rPr>
          <w:rFonts w:hAnsi="宋体" w:cstheme="minorBidi"/>
          <w:color w:val="auto"/>
          <w:sz w:val="24"/>
          <w:szCs w:val="22"/>
          <w:highlight w:val="none"/>
        </w:rPr>
      </w:pPr>
      <w:r>
        <w:rPr>
          <w:rFonts w:hint="eastAsia" w:hAnsi="宋体" w:cstheme="minorBidi"/>
          <w:color w:val="auto"/>
          <w:sz w:val="24"/>
          <w:szCs w:val="22"/>
          <w:highlight w:val="none"/>
        </w:rPr>
        <w:t>合同签订后，外贸代理公司提供受益人为南京医科大学的100%合同金额的预付款银行保函，保函有效期为</w:t>
      </w:r>
      <w:r>
        <w:rPr>
          <w:rFonts w:hint="eastAsia" w:hAnsi="宋体" w:cstheme="minorBidi"/>
          <w:color w:val="auto"/>
          <w:sz w:val="24"/>
          <w:szCs w:val="22"/>
          <w:highlight w:val="none"/>
          <w:u w:val="single"/>
        </w:rPr>
        <w:t xml:space="preserve">     天（</w:t>
      </w:r>
      <w:r>
        <w:rPr>
          <w:rFonts w:hint="eastAsia" w:hAnsi="宋体" w:cstheme="minorBidi"/>
          <w:color w:val="auto"/>
          <w:sz w:val="24"/>
          <w:szCs w:val="22"/>
          <w:highlight w:val="none"/>
        </w:rPr>
        <w:t>供货期</w:t>
      </w:r>
      <w:r>
        <w:rPr>
          <w:rFonts w:hint="eastAsia" w:hAnsi="宋体" w:cs="宋体"/>
          <w:color w:val="auto"/>
          <w:sz w:val="24"/>
          <w:szCs w:val="22"/>
          <w:highlight w:val="none"/>
        </w:rPr>
        <w:t>＋2</w:t>
      </w:r>
      <w:r>
        <w:rPr>
          <w:rFonts w:hint="eastAsia" w:hAnsi="宋体" w:cstheme="minorBidi"/>
          <w:color w:val="auto"/>
          <w:sz w:val="24"/>
          <w:szCs w:val="22"/>
          <w:highlight w:val="none"/>
        </w:rPr>
        <w:t>个月），银行保函服务费由中标单位承担。</w:t>
      </w:r>
    </w:p>
    <w:p w14:paraId="1EE2718D">
      <w:pPr>
        <w:pStyle w:val="21"/>
        <w:spacing w:before="120" w:after="120" w:line="330" w:lineRule="atLeast"/>
        <w:ind w:firstLine="480"/>
        <w:rPr>
          <w:rFonts w:hAnsi="宋体" w:cstheme="minorBidi"/>
          <w:color w:val="auto"/>
          <w:sz w:val="24"/>
          <w:szCs w:val="22"/>
          <w:highlight w:val="none"/>
        </w:rPr>
      </w:pPr>
      <w:r>
        <w:rPr>
          <w:rFonts w:hint="eastAsia" w:hAnsi="宋体" w:cstheme="minorBidi"/>
          <w:color w:val="auto"/>
          <w:sz w:val="24"/>
          <w:szCs w:val="22"/>
          <w:highlight w:val="none"/>
        </w:rPr>
        <w:t>（2）外贸代理公司收到100%货款后按照合同办理相关进口手续，货到验收合格后由学校通知外贸代理公司一周内开具合法有效的全额发票，并支付100%货款至境外厂家。</w:t>
      </w:r>
    </w:p>
    <w:p w14:paraId="32D4D67E">
      <w:pPr>
        <w:pStyle w:val="21"/>
        <w:ind w:firstLine="480"/>
        <w:rPr>
          <w:rFonts w:hAnsi="宋体"/>
          <w:color w:val="auto"/>
          <w:sz w:val="24"/>
          <w:szCs w:val="28"/>
          <w:highlight w:val="none"/>
        </w:rPr>
      </w:pPr>
      <w:r>
        <w:rPr>
          <w:rFonts w:hint="eastAsia" w:hAnsi="宋体"/>
          <w:color w:val="auto"/>
          <w:sz w:val="24"/>
          <w:szCs w:val="28"/>
          <w:highlight w:val="none"/>
        </w:rPr>
        <w:t>2.2履约保证金（根据招标文件要求选用）</w:t>
      </w:r>
    </w:p>
    <w:p w14:paraId="3F64B834">
      <w:pPr>
        <w:pStyle w:val="21"/>
        <w:ind w:firstLine="480"/>
        <w:rPr>
          <w:rFonts w:hAnsi="宋体"/>
          <w:color w:val="auto"/>
          <w:sz w:val="24"/>
          <w:szCs w:val="28"/>
          <w:highlight w:val="none"/>
        </w:rPr>
      </w:pPr>
      <w:r>
        <w:rPr>
          <w:rFonts w:ascii="Wingdings 2" w:hAnsi="Wingdings 2" w:eastAsia="Wingdings 2" w:cs="Wingdings 2"/>
          <w:color w:val="auto"/>
          <w:sz w:val="24"/>
          <w:szCs w:val="28"/>
          <w:highlight w:val="none"/>
        </w:rPr>
        <w:t>£</w:t>
      </w:r>
      <w:r>
        <w:rPr>
          <w:rFonts w:hint="eastAsia" w:hAnsi="宋体"/>
          <w:color w:val="auto"/>
          <w:sz w:val="24"/>
          <w:szCs w:val="28"/>
          <w:highlight w:val="none"/>
        </w:rPr>
        <w:t>本项目不需要缴纳履约保证金。</w:t>
      </w:r>
    </w:p>
    <w:p w14:paraId="73EFC098">
      <w:pPr>
        <w:pStyle w:val="21"/>
        <w:ind w:firstLine="480"/>
        <w:rPr>
          <w:rFonts w:hAnsi="宋体"/>
          <w:color w:val="auto"/>
          <w:sz w:val="24"/>
          <w:szCs w:val="28"/>
          <w:highlight w:val="none"/>
        </w:rPr>
      </w:pPr>
      <w:r>
        <w:rPr>
          <w:rFonts w:ascii="Wingdings 2" w:hAnsi="Wingdings 2" w:eastAsia="Wingdings 2" w:cs="Wingdings 2"/>
          <w:color w:val="auto"/>
          <w:sz w:val="24"/>
          <w:szCs w:val="28"/>
          <w:highlight w:val="none"/>
        </w:rPr>
        <w:t>£</w:t>
      </w:r>
      <w:r>
        <w:rPr>
          <w:rFonts w:hint="eastAsia" w:hAnsi="宋体"/>
          <w:color w:val="auto"/>
          <w:sz w:val="24"/>
          <w:szCs w:val="28"/>
          <w:highlight w:val="none"/>
        </w:rPr>
        <w:t>本项目需要缴纳履约保证金，具体要求如下：</w:t>
      </w:r>
    </w:p>
    <w:p w14:paraId="6D9F4929">
      <w:pPr>
        <w:pStyle w:val="21"/>
        <w:ind w:firstLine="480"/>
        <w:rPr>
          <w:rFonts w:hAnsi="宋体"/>
          <w:color w:val="auto"/>
          <w:sz w:val="24"/>
          <w:szCs w:val="28"/>
          <w:highlight w:val="none"/>
        </w:rPr>
      </w:pPr>
      <w:r>
        <w:rPr>
          <w:rFonts w:hint="eastAsia" w:hAnsi="宋体"/>
          <w:color w:val="auto"/>
          <w:sz w:val="24"/>
          <w:szCs w:val="28"/>
          <w:highlight w:val="none"/>
        </w:rPr>
        <w:t>（1）供应商中标后7个工作日内，将中标合同金额10%的履约保证金以银行对公转账形式支付至甲方指定账户，并将加盖单位公章的银行回执单或网银截图递交至甲方，甲方凭付款凭证及到款情况办理合同签订相关手续。</w:t>
      </w:r>
    </w:p>
    <w:p w14:paraId="12A99F9B">
      <w:pPr>
        <w:pStyle w:val="21"/>
        <w:ind w:firstLine="480"/>
        <w:rPr>
          <w:rFonts w:hAnsi="宋体"/>
          <w:color w:val="auto"/>
          <w:sz w:val="24"/>
          <w:szCs w:val="28"/>
          <w:highlight w:val="none"/>
        </w:rPr>
      </w:pPr>
      <w:r>
        <w:rPr>
          <w:rFonts w:hint="eastAsia" w:hAnsi="宋体"/>
          <w:color w:val="auto"/>
          <w:sz w:val="24"/>
          <w:szCs w:val="28"/>
          <w:highlight w:val="none"/>
        </w:rPr>
        <w:t>南京医科大学指定账户信息具体如下：</w:t>
      </w:r>
    </w:p>
    <w:p w14:paraId="25C4303B">
      <w:pPr>
        <w:pStyle w:val="21"/>
        <w:ind w:firstLine="480"/>
        <w:rPr>
          <w:rFonts w:hAnsi="宋体"/>
          <w:color w:val="auto"/>
          <w:sz w:val="24"/>
          <w:szCs w:val="28"/>
          <w:highlight w:val="none"/>
        </w:rPr>
      </w:pPr>
      <w:r>
        <w:rPr>
          <w:rFonts w:hint="eastAsia" w:hAnsi="宋体"/>
          <w:color w:val="auto"/>
          <w:sz w:val="24"/>
          <w:szCs w:val="28"/>
          <w:highlight w:val="none"/>
        </w:rPr>
        <w:t>单位名称：南京医科大学</w:t>
      </w:r>
    </w:p>
    <w:p w14:paraId="32FE866E">
      <w:pPr>
        <w:pStyle w:val="21"/>
        <w:ind w:firstLine="480"/>
        <w:rPr>
          <w:rFonts w:hAnsi="宋体"/>
          <w:color w:val="auto"/>
          <w:sz w:val="24"/>
          <w:szCs w:val="28"/>
          <w:highlight w:val="none"/>
        </w:rPr>
      </w:pPr>
      <w:r>
        <w:rPr>
          <w:rFonts w:hint="eastAsia" w:hAnsi="宋体"/>
          <w:color w:val="auto"/>
          <w:sz w:val="24"/>
          <w:szCs w:val="28"/>
          <w:highlight w:val="none"/>
        </w:rPr>
        <w:t xml:space="preserve">开 户 行：南京市工行汉中门支行                          </w:t>
      </w:r>
    </w:p>
    <w:p w14:paraId="63DC038A">
      <w:pPr>
        <w:pStyle w:val="21"/>
        <w:ind w:firstLine="480"/>
        <w:rPr>
          <w:rFonts w:hAnsi="宋体"/>
          <w:color w:val="auto"/>
          <w:sz w:val="24"/>
          <w:szCs w:val="28"/>
          <w:highlight w:val="none"/>
        </w:rPr>
      </w:pPr>
      <w:r>
        <w:rPr>
          <w:rFonts w:hint="eastAsia" w:hAnsi="宋体"/>
          <w:color w:val="auto"/>
          <w:sz w:val="24"/>
          <w:szCs w:val="28"/>
          <w:highlight w:val="none"/>
        </w:rPr>
        <w:t>账    号：4301010109001038622</w:t>
      </w:r>
    </w:p>
    <w:p w14:paraId="37D2E0AD">
      <w:pPr>
        <w:pStyle w:val="21"/>
        <w:ind w:firstLine="480"/>
        <w:rPr>
          <w:rFonts w:hAnsi="宋体"/>
          <w:color w:val="auto"/>
          <w:sz w:val="24"/>
          <w:szCs w:val="28"/>
          <w:highlight w:val="none"/>
        </w:rPr>
      </w:pPr>
      <w:r>
        <w:rPr>
          <w:rFonts w:hint="eastAsia" w:hAnsi="宋体"/>
          <w:color w:val="auto"/>
          <w:sz w:val="24"/>
          <w:szCs w:val="28"/>
          <w:highlight w:val="none"/>
        </w:rPr>
        <w:t>注：请在转账时备注“项目名称+履约保证保金”字样。</w:t>
      </w:r>
    </w:p>
    <w:p w14:paraId="2FC8F9FC">
      <w:pPr>
        <w:pStyle w:val="21"/>
        <w:ind w:firstLine="480"/>
        <w:rPr>
          <w:rFonts w:hAnsi="宋体"/>
          <w:color w:val="auto"/>
          <w:sz w:val="24"/>
          <w:szCs w:val="28"/>
          <w:highlight w:val="none"/>
        </w:rPr>
      </w:pPr>
      <w:r>
        <w:rPr>
          <w:rFonts w:hint="eastAsia" w:hAnsi="宋体"/>
          <w:color w:val="auto"/>
          <w:sz w:val="24"/>
          <w:szCs w:val="28"/>
          <w:highlight w:val="none"/>
        </w:rPr>
        <w:t>（2）合同履行过程中，若经甲方核实存在货物质量问题或乙方违约情形，甲方有权在通知乙方后，从履约保证金中抵扣相应的补偿或赔偿款项。</w:t>
      </w:r>
    </w:p>
    <w:p w14:paraId="08F4022D">
      <w:pPr>
        <w:pStyle w:val="21"/>
        <w:ind w:firstLine="480"/>
        <w:rPr>
          <w:rFonts w:hAnsi="宋体"/>
          <w:color w:val="auto"/>
          <w:sz w:val="24"/>
          <w:szCs w:val="28"/>
          <w:highlight w:val="none"/>
        </w:rPr>
      </w:pPr>
      <w:r>
        <w:rPr>
          <w:rFonts w:hint="eastAsia" w:hAnsi="宋体"/>
          <w:color w:val="auto"/>
          <w:sz w:val="24"/>
          <w:szCs w:val="28"/>
          <w:highlight w:val="none"/>
        </w:rPr>
        <w:t>（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p>
    <w:p w14:paraId="0D87B675">
      <w:pPr>
        <w:pStyle w:val="21"/>
        <w:ind w:firstLine="480"/>
        <w:rPr>
          <w:rFonts w:hAnsi="宋体"/>
          <w:color w:val="auto"/>
          <w:sz w:val="24"/>
          <w:szCs w:val="28"/>
          <w:highlight w:val="none"/>
        </w:rPr>
      </w:pPr>
      <w:r>
        <w:rPr>
          <w:rFonts w:hint="eastAsia" w:hAnsi="宋体"/>
          <w:color w:val="auto"/>
          <w:sz w:val="24"/>
          <w:szCs w:val="28"/>
          <w:highlight w:val="none"/>
        </w:rPr>
        <w:t>2.3当采购数量与实际使用数量不一致时，乙方应根据实际使用量供货，合同的最终结算金额按实际使用量乘以本合同约定的成交单价进行计算。</w:t>
      </w:r>
    </w:p>
    <w:p w14:paraId="4E8F13AF">
      <w:pPr>
        <w:pStyle w:val="21"/>
        <w:ind w:firstLine="480"/>
        <w:rPr>
          <w:rFonts w:hAnsi="宋体"/>
          <w:color w:val="auto"/>
          <w:sz w:val="24"/>
          <w:szCs w:val="28"/>
          <w:highlight w:val="none"/>
        </w:rPr>
      </w:pPr>
      <w:r>
        <w:rPr>
          <w:rFonts w:hint="eastAsia" w:hAnsi="宋体"/>
          <w:color w:val="auto"/>
          <w:sz w:val="24"/>
          <w:szCs w:val="28"/>
          <w:highlight w:val="none"/>
        </w:rPr>
        <w:t>2.4乙方指定账户信息：</w:t>
      </w:r>
    </w:p>
    <w:p w14:paraId="527FBC01">
      <w:pPr>
        <w:pStyle w:val="21"/>
        <w:ind w:firstLine="480"/>
        <w:rPr>
          <w:rFonts w:hAnsi="宋体"/>
          <w:color w:val="auto"/>
          <w:sz w:val="24"/>
          <w:szCs w:val="28"/>
          <w:highlight w:val="none"/>
        </w:rPr>
      </w:pPr>
      <w:r>
        <w:rPr>
          <w:rFonts w:hint="eastAsia" w:hAnsi="宋体"/>
          <w:color w:val="auto"/>
          <w:sz w:val="24"/>
          <w:szCs w:val="28"/>
          <w:highlight w:val="none"/>
        </w:rPr>
        <w:t>开户行：</w:t>
      </w:r>
    </w:p>
    <w:p w14:paraId="1222C256">
      <w:pPr>
        <w:pStyle w:val="21"/>
        <w:ind w:firstLine="480"/>
        <w:rPr>
          <w:rFonts w:hAnsi="宋体"/>
          <w:color w:val="auto"/>
          <w:sz w:val="24"/>
          <w:szCs w:val="28"/>
          <w:highlight w:val="none"/>
        </w:rPr>
      </w:pPr>
      <w:r>
        <w:rPr>
          <w:rFonts w:hint="eastAsia" w:hAnsi="宋体"/>
          <w:color w:val="auto"/>
          <w:sz w:val="24"/>
          <w:szCs w:val="28"/>
          <w:highlight w:val="none"/>
        </w:rPr>
        <w:t>户名：</w:t>
      </w:r>
    </w:p>
    <w:p w14:paraId="104655B4">
      <w:pPr>
        <w:pStyle w:val="21"/>
        <w:ind w:firstLine="480"/>
        <w:rPr>
          <w:rFonts w:hAnsi="宋体"/>
          <w:color w:val="auto"/>
          <w:sz w:val="24"/>
          <w:szCs w:val="28"/>
          <w:highlight w:val="none"/>
        </w:rPr>
      </w:pPr>
      <w:r>
        <w:rPr>
          <w:rFonts w:hint="eastAsia" w:hAnsi="宋体"/>
          <w:color w:val="auto"/>
          <w:sz w:val="24"/>
          <w:szCs w:val="28"/>
          <w:highlight w:val="none"/>
        </w:rPr>
        <w:t>账号：</w:t>
      </w:r>
    </w:p>
    <w:p w14:paraId="1FD1F1A0">
      <w:pPr>
        <w:pStyle w:val="21"/>
        <w:ind w:firstLine="480"/>
        <w:rPr>
          <w:rFonts w:hAnsi="宋体" w:cs="Times New Roman"/>
          <w:color w:val="auto"/>
          <w:sz w:val="24"/>
          <w:szCs w:val="24"/>
          <w:highlight w:val="none"/>
        </w:rPr>
      </w:pPr>
      <w:r>
        <w:rPr>
          <w:rFonts w:hint="eastAsia" w:hAnsi="宋体"/>
          <w:color w:val="auto"/>
          <w:sz w:val="24"/>
          <w:szCs w:val="28"/>
          <w:highlight w:val="none"/>
        </w:rPr>
        <w:t>上述账户信息，如有变更，乙方应在变更前3日内书面通知甲方。否则，由此产生的后果由乙方承担。</w:t>
      </w:r>
    </w:p>
    <w:p w14:paraId="76844F38">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三、交付方式、时间及地点</w:t>
      </w:r>
    </w:p>
    <w:p w14:paraId="034700AF">
      <w:pPr>
        <w:ind w:firstLine="48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）交货期：</w:t>
      </w:r>
      <w:r>
        <w:rPr>
          <w:rFonts w:hint="eastAsia" w:ascii="宋体" w:hAnsi="宋体" w:cs="宋体"/>
          <w:color w:val="auto"/>
          <w:sz w:val="24"/>
          <w:szCs w:val="24"/>
          <w:highlight w:val="none"/>
          <w:lang w:val="zh-CN"/>
        </w:rPr>
        <w:t>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，交付采购方使用。</w:t>
      </w:r>
    </w:p>
    <w:p w14:paraId="53612D62">
      <w:pPr>
        <w:ind w:firstLine="48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）交货方式：中标人在采购方指定地点交货，并完成安装、调试。</w:t>
      </w:r>
    </w:p>
    <w:p w14:paraId="23DEDC6B">
      <w:pPr>
        <w:pStyle w:val="21"/>
        <w:spacing w:before="120" w:after="120" w:line="330" w:lineRule="atLeast"/>
        <w:ind w:firstLine="480"/>
        <w:rPr>
          <w:rFonts w:hAnsi="宋体"/>
          <w:b/>
          <w:bCs/>
          <w:color w:val="auto"/>
          <w:sz w:val="24"/>
          <w:highlight w:val="none"/>
          <w:lang w:val="zh-CN"/>
        </w:rPr>
      </w:pPr>
      <w:r>
        <w:rPr>
          <w:rFonts w:hint="eastAsia" w:hAnsi="宋体"/>
          <w:color w:val="auto"/>
          <w:sz w:val="24"/>
          <w:highlight w:val="none"/>
          <w:lang w:val="zh-CN"/>
        </w:rPr>
        <w:t>（</w:t>
      </w:r>
      <w:r>
        <w:rPr>
          <w:rFonts w:hint="eastAsia" w:hAnsi="宋体"/>
          <w:color w:val="auto"/>
          <w:sz w:val="24"/>
          <w:highlight w:val="none"/>
        </w:rPr>
        <w:t>3</w:t>
      </w:r>
      <w:r>
        <w:rPr>
          <w:rFonts w:hint="eastAsia" w:hAnsi="宋体"/>
          <w:color w:val="auto"/>
          <w:sz w:val="24"/>
          <w:highlight w:val="none"/>
          <w:lang w:val="zh-CN"/>
        </w:rPr>
        <w:t>）交货地点：南京医科大学指定地点。</w:t>
      </w:r>
    </w:p>
    <w:p w14:paraId="03D7F191">
      <w:pPr>
        <w:pStyle w:val="21"/>
        <w:spacing w:before="120" w:after="120" w:line="330" w:lineRule="atLeast"/>
        <w:ind w:firstLine="482"/>
        <w:rPr>
          <w:rFonts w:hAnsi="宋体"/>
          <w:b/>
          <w:color w:val="auto"/>
          <w:sz w:val="24"/>
          <w:szCs w:val="24"/>
          <w:highlight w:val="none"/>
        </w:rPr>
      </w:pPr>
      <w:r>
        <w:rPr>
          <w:rFonts w:hAnsi="宋体"/>
          <w:b/>
          <w:color w:val="auto"/>
          <w:sz w:val="24"/>
          <w:szCs w:val="24"/>
          <w:highlight w:val="none"/>
        </w:rPr>
        <w:t>四、货物包装、发运及运输</w:t>
      </w:r>
    </w:p>
    <w:p w14:paraId="19D65281">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4.1 乙方应在货物发运前</w:t>
      </w:r>
      <w:r>
        <w:rPr>
          <w:rFonts w:hint="eastAsia" w:hAnsi="宋体"/>
          <w:color w:val="auto"/>
          <w:sz w:val="24"/>
          <w:szCs w:val="24"/>
          <w:highlight w:val="none"/>
        </w:rPr>
        <w:t>根据</w:t>
      </w:r>
      <w:r>
        <w:rPr>
          <w:rFonts w:hAnsi="宋体"/>
          <w:color w:val="auto"/>
          <w:sz w:val="24"/>
          <w:szCs w:val="24"/>
          <w:highlight w:val="none"/>
        </w:rPr>
        <w:t>运输距离、防潮、防震、防锈和防破损装卸等要求</w:t>
      </w:r>
      <w:r>
        <w:rPr>
          <w:rFonts w:hint="eastAsia" w:hAnsi="宋体"/>
          <w:color w:val="auto"/>
          <w:sz w:val="24"/>
          <w:szCs w:val="24"/>
          <w:highlight w:val="none"/>
        </w:rPr>
        <w:t>进行相应的</w:t>
      </w:r>
      <w:r>
        <w:rPr>
          <w:rFonts w:hAnsi="宋体"/>
          <w:color w:val="auto"/>
          <w:sz w:val="24"/>
          <w:szCs w:val="24"/>
          <w:highlight w:val="none"/>
        </w:rPr>
        <w:t>包装，以保证货物安全运达甲方指定地点。</w:t>
      </w:r>
    </w:p>
    <w:p w14:paraId="0BFBDEFE">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4.2 使用说明书、质量检验证明书、随配附件和工具以及清单一并附于货物内。</w:t>
      </w:r>
    </w:p>
    <w:p w14:paraId="3144EC54">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4.3 乙方在货物发运手续办理完毕后24小时内或货到甲方48小时前通知甲方，以准备接货。</w:t>
      </w:r>
    </w:p>
    <w:p w14:paraId="673C2E5E">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4.4 货物在交付甲方前发生的风险均由乙方负责。</w:t>
      </w:r>
    </w:p>
    <w:p w14:paraId="46A30907">
      <w:pPr>
        <w:pStyle w:val="21"/>
        <w:spacing w:before="120" w:after="120" w:line="330" w:lineRule="atLeast"/>
        <w:ind w:firstLine="482"/>
        <w:rPr>
          <w:rFonts w:hAnsi="宋体"/>
          <w:color w:val="auto"/>
          <w:sz w:val="24"/>
          <w:szCs w:val="24"/>
          <w:highlight w:val="none"/>
        </w:rPr>
      </w:pPr>
      <w:r>
        <w:rPr>
          <w:rFonts w:hint="eastAsia" w:hAnsi="宋体"/>
          <w:b/>
          <w:color w:val="auto"/>
          <w:sz w:val="24"/>
          <w:szCs w:val="24"/>
          <w:highlight w:val="none"/>
        </w:rPr>
        <w:t>五、</w:t>
      </w:r>
      <w:r>
        <w:rPr>
          <w:rFonts w:hAnsi="宋体"/>
          <w:b/>
          <w:color w:val="auto"/>
          <w:sz w:val="24"/>
          <w:szCs w:val="24"/>
          <w:highlight w:val="none"/>
        </w:rPr>
        <w:t>质量保证及售后服务</w:t>
      </w:r>
    </w:p>
    <w:p w14:paraId="4F8F36F8">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5.1 乙方应按招标文件规定的货物性能、技术要求、质量标准向甲方提供全新</w:t>
      </w:r>
      <w:r>
        <w:rPr>
          <w:rFonts w:hint="eastAsia" w:hAnsi="宋体"/>
          <w:color w:val="auto"/>
          <w:sz w:val="24"/>
          <w:szCs w:val="24"/>
          <w:highlight w:val="none"/>
        </w:rPr>
        <w:t>货物，乙方所供货物应符合国家相关的法律规定、技术规格和质量标准；如是进口商品，则需是获得国家相关部门颁布安全许可证的出厂原装合格产品。</w:t>
      </w:r>
    </w:p>
    <w:p w14:paraId="6327EC58">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5.2 乙方提供的货物在</w:t>
      </w:r>
      <w:r>
        <w:rPr>
          <w:rFonts w:hint="eastAsia" w:hAnsi="宋体"/>
          <w:color w:val="auto"/>
          <w:sz w:val="24"/>
          <w:szCs w:val="24"/>
          <w:highlight w:val="none"/>
        </w:rPr>
        <w:t>质保期</w:t>
      </w:r>
      <w:r>
        <w:rPr>
          <w:rFonts w:hAnsi="宋体"/>
          <w:color w:val="auto"/>
          <w:sz w:val="24"/>
          <w:szCs w:val="24"/>
          <w:highlight w:val="none"/>
        </w:rPr>
        <w:t>内因货物本身的质量问题发生故障，乙方应负责免费更换</w:t>
      </w:r>
      <w:r>
        <w:rPr>
          <w:rFonts w:hint="eastAsia" w:hAnsi="宋体"/>
          <w:color w:val="auto"/>
          <w:sz w:val="24"/>
          <w:szCs w:val="24"/>
          <w:highlight w:val="none"/>
        </w:rPr>
        <w:t>，并承担所发生的全部费用</w:t>
      </w:r>
      <w:r>
        <w:rPr>
          <w:rFonts w:hAnsi="宋体"/>
          <w:color w:val="auto"/>
          <w:sz w:val="24"/>
          <w:szCs w:val="24"/>
          <w:highlight w:val="none"/>
        </w:rPr>
        <w:t>。</w:t>
      </w:r>
      <w:r>
        <w:rPr>
          <w:rFonts w:hint="eastAsia" w:hAnsi="宋体"/>
          <w:color w:val="auto"/>
          <w:sz w:val="24"/>
          <w:szCs w:val="24"/>
          <w:highlight w:val="none"/>
        </w:rPr>
        <w:t>更换后仍</w:t>
      </w:r>
      <w:r>
        <w:rPr>
          <w:rFonts w:hAnsi="宋体"/>
          <w:color w:val="auto"/>
          <w:sz w:val="24"/>
          <w:szCs w:val="24"/>
          <w:highlight w:val="none"/>
        </w:rPr>
        <w:t>达不到技术要求</w:t>
      </w:r>
      <w:r>
        <w:rPr>
          <w:rFonts w:hint="eastAsia" w:hAnsi="宋体"/>
          <w:color w:val="auto"/>
          <w:sz w:val="24"/>
          <w:szCs w:val="24"/>
          <w:highlight w:val="none"/>
        </w:rPr>
        <w:t>的，</w:t>
      </w:r>
      <w:r>
        <w:rPr>
          <w:rFonts w:hAnsi="宋体"/>
          <w:color w:val="auto"/>
          <w:sz w:val="24"/>
          <w:szCs w:val="24"/>
          <w:highlight w:val="none"/>
        </w:rPr>
        <w:t>乙方应退还甲方支付的合同款，同时应承担该货物的直接费用（运输、保险、检验、货款利息及银行手续费等）。</w:t>
      </w:r>
    </w:p>
    <w:p w14:paraId="1E644CCF">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5.3</w:t>
      </w:r>
      <w:r>
        <w:rPr>
          <w:rFonts w:hint="eastAsia" w:hAnsi="宋体"/>
          <w:color w:val="auto"/>
          <w:sz w:val="24"/>
          <w:szCs w:val="24"/>
          <w:highlight w:val="none"/>
        </w:rPr>
        <w:t>上述货物的</w:t>
      </w:r>
      <w:r>
        <w:rPr>
          <w:rFonts w:hAnsi="宋体"/>
          <w:color w:val="auto"/>
          <w:sz w:val="24"/>
          <w:szCs w:val="24"/>
          <w:highlight w:val="none"/>
        </w:rPr>
        <w:t>质保期</w:t>
      </w:r>
      <w:r>
        <w:rPr>
          <w:rFonts w:hint="eastAsia" w:hAnsi="宋体"/>
          <w:color w:val="auto"/>
          <w:sz w:val="24"/>
          <w:szCs w:val="24"/>
          <w:highlight w:val="none"/>
          <w:u w:val="single"/>
        </w:rPr>
        <w:t xml:space="preserve">     </w:t>
      </w:r>
      <w:r>
        <w:rPr>
          <w:rFonts w:hAnsi="宋体"/>
          <w:color w:val="auto"/>
          <w:sz w:val="24"/>
          <w:szCs w:val="24"/>
          <w:highlight w:val="none"/>
        </w:rPr>
        <w:t>年</w:t>
      </w:r>
      <w:r>
        <w:rPr>
          <w:rFonts w:hint="eastAsia" w:hAnsi="宋体"/>
          <w:color w:val="auto"/>
          <w:sz w:val="24"/>
          <w:szCs w:val="24"/>
          <w:highlight w:val="none"/>
        </w:rPr>
        <w:t>。</w:t>
      </w:r>
      <w:r>
        <w:rPr>
          <w:rFonts w:hAnsi="宋体"/>
          <w:color w:val="auto"/>
          <w:sz w:val="24"/>
          <w:szCs w:val="24"/>
          <w:highlight w:val="none"/>
        </w:rPr>
        <w:t>（自交货验收合格</w:t>
      </w:r>
      <w:r>
        <w:rPr>
          <w:rFonts w:hint="eastAsia" w:hAnsi="宋体"/>
          <w:color w:val="auto"/>
          <w:sz w:val="24"/>
          <w:szCs w:val="24"/>
          <w:highlight w:val="none"/>
        </w:rPr>
        <w:t>次日</w:t>
      </w:r>
      <w:r>
        <w:rPr>
          <w:rFonts w:hAnsi="宋体"/>
          <w:color w:val="auto"/>
          <w:sz w:val="24"/>
          <w:szCs w:val="24"/>
          <w:highlight w:val="none"/>
        </w:rPr>
        <w:t>起</w:t>
      </w:r>
      <w:r>
        <w:rPr>
          <w:rFonts w:hint="eastAsia" w:hAnsi="宋体"/>
          <w:color w:val="auto"/>
          <w:sz w:val="24"/>
          <w:szCs w:val="24"/>
          <w:highlight w:val="none"/>
        </w:rPr>
        <w:t>计算</w:t>
      </w:r>
      <w:r>
        <w:rPr>
          <w:rFonts w:hAnsi="宋体"/>
          <w:color w:val="auto"/>
          <w:sz w:val="24"/>
          <w:szCs w:val="24"/>
          <w:highlight w:val="none"/>
        </w:rPr>
        <w:t>），因人为因素出现的故障不在免费保修范围内。</w:t>
      </w:r>
    </w:p>
    <w:p w14:paraId="00CB6733">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5.4</w:t>
      </w:r>
      <w:r>
        <w:rPr>
          <w:rFonts w:hint="eastAsia" w:hAnsi="宋体"/>
          <w:color w:val="auto"/>
          <w:sz w:val="24"/>
          <w:szCs w:val="24"/>
          <w:highlight w:val="none"/>
        </w:rPr>
        <w:t>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1A02163">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5.5 在质保期内，乙方应对货物出现的质量及安全问题负责处理解决并承担一切费用。</w:t>
      </w:r>
    </w:p>
    <w:p w14:paraId="3993A725">
      <w:pPr>
        <w:pStyle w:val="21"/>
        <w:spacing w:before="120" w:after="120" w:line="330" w:lineRule="atLeast"/>
        <w:ind w:firstLine="360"/>
        <w:rPr>
          <w:rFonts w:hAnsi="宋体"/>
          <w:color w:val="auto"/>
          <w:sz w:val="24"/>
          <w:szCs w:val="24"/>
          <w:highlight w:val="none"/>
        </w:rPr>
      </w:pPr>
      <w:r>
        <w:rPr>
          <w:rFonts w:hAnsi="宋体"/>
          <w:color w:val="auto"/>
          <w:sz w:val="24"/>
          <w:szCs w:val="24"/>
          <w:highlight w:val="none"/>
        </w:rPr>
        <w:t xml:space="preserve">5.6 </w:t>
      </w:r>
      <w:r>
        <w:rPr>
          <w:rFonts w:hint="eastAsia" w:hAnsi="宋体"/>
          <w:color w:val="auto"/>
          <w:sz w:val="24"/>
          <w:szCs w:val="24"/>
          <w:highlight w:val="none"/>
        </w:rPr>
        <w:t>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auto"/>
          <w:sz w:val="24"/>
          <w:szCs w:val="24"/>
          <w:highlight w:val="none"/>
        </w:rPr>
        <w:t>。</w:t>
      </w:r>
    </w:p>
    <w:p w14:paraId="3F6C15B3">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六</w:t>
      </w:r>
      <w:r>
        <w:rPr>
          <w:rFonts w:hAnsi="宋体"/>
          <w:b/>
          <w:color w:val="auto"/>
          <w:sz w:val="24"/>
          <w:szCs w:val="24"/>
          <w:highlight w:val="none"/>
        </w:rPr>
        <w:t>、调试和验收</w:t>
      </w:r>
    </w:p>
    <w:p w14:paraId="03061370">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6.1 乙方交货前应对</w:t>
      </w:r>
      <w:r>
        <w:rPr>
          <w:rFonts w:hint="eastAsia" w:hAnsi="宋体"/>
          <w:color w:val="auto"/>
          <w:sz w:val="24"/>
          <w:szCs w:val="24"/>
          <w:highlight w:val="none"/>
        </w:rPr>
        <w:t>货物</w:t>
      </w:r>
      <w:r>
        <w:rPr>
          <w:rFonts w:hAnsi="宋体"/>
          <w:color w:val="auto"/>
          <w:sz w:val="24"/>
          <w:szCs w:val="24"/>
          <w:highlight w:val="none"/>
        </w:rPr>
        <w:t>全面检查</w:t>
      </w:r>
      <w:r>
        <w:rPr>
          <w:rFonts w:hint="eastAsia" w:hAnsi="宋体"/>
          <w:color w:val="auto"/>
          <w:sz w:val="24"/>
          <w:szCs w:val="24"/>
          <w:highlight w:val="none"/>
        </w:rPr>
        <w:t>并</w:t>
      </w:r>
      <w:r>
        <w:rPr>
          <w:rFonts w:hAnsi="宋体"/>
          <w:color w:val="auto"/>
          <w:sz w:val="24"/>
          <w:szCs w:val="24"/>
          <w:highlight w:val="none"/>
        </w:rPr>
        <w:t>对验收文件进行整理，列出清单</w:t>
      </w:r>
      <w:r>
        <w:rPr>
          <w:rFonts w:hint="eastAsia" w:hAnsi="宋体"/>
          <w:color w:val="auto"/>
          <w:sz w:val="24"/>
          <w:szCs w:val="24"/>
          <w:highlight w:val="none"/>
        </w:rPr>
        <w:t>提交甲方</w:t>
      </w:r>
      <w:r>
        <w:rPr>
          <w:rFonts w:hAnsi="宋体"/>
          <w:color w:val="auto"/>
          <w:sz w:val="24"/>
          <w:szCs w:val="24"/>
          <w:highlight w:val="none"/>
        </w:rPr>
        <w:t>，检验的结果</w:t>
      </w:r>
      <w:r>
        <w:rPr>
          <w:rFonts w:hint="eastAsia" w:hAnsi="宋体"/>
          <w:color w:val="auto"/>
          <w:sz w:val="24"/>
          <w:szCs w:val="24"/>
          <w:highlight w:val="none"/>
        </w:rPr>
        <w:t>亦</w:t>
      </w:r>
      <w:r>
        <w:rPr>
          <w:rFonts w:hAnsi="宋体"/>
          <w:color w:val="auto"/>
          <w:sz w:val="24"/>
          <w:szCs w:val="24"/>
          <w:highlight w:val="none"/>
        </w:rPr>
        <w:t>应随货物交甲方。</w:t>
      </w:r>
    </w:p>
    <w:p w14:paraId="14FA27D1">
      <w:pPr>
        <w:pStyle w:val="21"/>
        <w:spacing w:before="120" w:after="120" w:line="330" w:lineRule="atLeast"/>
        <w:ind w:firstLine="480"/>
        <w:rPr>
          <w:rFonts w:hAnsi="宋体"/>
          <w:color w:val="auto"/>
          <w:sz w:val="24"/>
          <w:szCs w:val="24"/>
          <w:highlight w:val="none"/>
          <w:u w:val="single"/>
        </w:rPr>
      </w:pPr>
      <w:r>
        <w:rPr>
          <w:rFonts w:hAnsi="宋体"/>
          <w:color w:val="auto"/>
          <w:sz w:val="24"/>
          <w:szCs w:val="24"/>
          <w:highlight w:val="none"/>
        </w:rPr>
        <w:t>6.2 甲方对乙方提供的货物在使用前进行调试时，乙方需负责安装并培训甲方的使用操作人员，并协助甲方一起调试，直到符合技术要求。</w:t>
      </w:r>
    </w:p>
    <w:p w14:paraId="2666259A">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 xml:space="preserve">6.3 </w:t>
      </w:r>
      <w:r>
        <w:rPr>
          <w:rFonts w:hint="eastAsia" w:hAnsi="宋体"/>
          <w:color w:val="auto"/>
          <w:sz w:val="24"/>
          <w:szCs w:val="24"/>
          <w:highlight w:val="none"/>
        </w:rPr>
        <w:t>在安装、调试和验收过程中，如发现有漏件、缺件，乙方应无条件、无偿补齐，所发生的一切费用，视为已包含在投标时的投标报价中，且并不因此而影响交付甲方使用的时间。</w:t>
      </w:r>
    </w:p>
    <w:p w14:paraId="4C7DD712">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6.4 甲方对乙方提交的货物依据招标文件上的技术规格要求和国家有关质量标准进行现场初步验收</w:t>
      </w:r>
      <w:r>
        <w:rPr>
          <w:rFonts w:hint="eastAsia" w:hAnsi="宋体"/>
          <w:color w:val="auto"/>
          <w:sz w:val="24"/>
          <w:szCs w:val="24"/>
          <w:highlight w:val="none"/>
        </w:rPr>
        <w:t>。</w:t>
      </w:r>
      <w:r>
        <w:rPr>
          <w:rFonts w:hAnsi="宋体"/>
          <w:color w:val="auto"/>
          <w:sz w:val="24"/>
          <w:szCs w:val="24"/>
          <w:highlight w:val="none"/>
        </w:rPr>
        <w:t>外观、说明书符合招标文件技术要求的，给予签收，初步验收不合格的不予签收。货到后，甲方需在10个工作日内</w:t>
      </w:r>
      <w:r>
        <w:rPr>
          <w:rFonts w:hint="eastAsia" w:hAnsi="宋体"/>
          <w:color w:val="auto"/>
          <w:sz w:val="24"/>
          <w:szCs w:val="24"/>
          <w:highlight w:val="none"/>
        </w:rPr>
        <w:t>完成初步</w:t>
      </w:r>
      <w:r>
        <w:rPr>
          <w:rFonts w:hAnsi="宋体"/>
          <w:color w:val="auto"/>
          <w:sz w:val="24"/>
          <w:szCs w:val="24"/>
          <w:highlight w:val="none"/>
        </w:rPr>
        <w:t>验收。</w:t>
      </w:r>
      <w:r>
        <w:rPr>
          <w:rFonts w:hint="eastAsia" w:hAnsi="宋体"/>
          <w:color w:val="auto"/>
          <w:sz w:val="24"/>
          <w:szCs w:val="24"/>
          <w:highlight w:val="none"/>
        </w:rPr>
        <w:t>验收不合格的，乙方应在收到甲方书面整改通知后完成整改并重新申请验收，整改后仍不合格的，甲方有权单方解除合同，乙方按9.3条承担违约责任。</w:t>
      </w:r>
    </w:p>
    <w:p w14:paraId="524989A9">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 xml:space="preserve">6.5 </w:t>
      </w:r>
      <w:r>
        <w:rPr>
          <w:rFonts w:hint="eastAsia" w:hAnsi="宋体"/>
          <w:color w:val="auto"/>
          <w:sz w:val="24"/>
          <w:szCs w:val="24"/>
          <w:highlight w:val="none"/>
        </w:rPr>
        <w:t>设备、材料安装、调试结束，甲、</w:t>
      </w:r>
      <w:r>
        <w:rPr>
          <w:rFonts w:hAnsi="宋体"/>
          <w:color w:val="auto"/>
          <w:sz w:val="24"/>
          <w:szCs w:val="24"/>
          <w:highlight w:val="none"/>
        </w:rPr>
        <w:t>乙</w:t>
      </w:r>
      <w:r>
        <w:rPr>
          <w:rFonts w:hint="eastAsia" w:hAnsi="宋体"/>
          <w:color w:val="auto"/>
          <w:sz w:val="24"/>
          <w:szCs w:val="24"/>
          <w:highlight w:val="none"/>
        </w:rPr>
        <w:t>双</w:t>
      </w:r>
      <w:r>
        <w:rPr>
          <w:rFonts w:hAnsi="宋体"/>
          <w:color w:val="auto"/>
          <w:sz w:val="24"/>
          <w:szCs w:val="24"/>
          <w:highlight w:val="none"/>
        </w:rPr>
        <w:t>方</w:t>
      </w:r>
      <w:r>
        <w:rPr>
          <w:rFonts w:hint="eastAsia" w:hAnsi="宋体"/>
          <w:color w:val="auto"/>
          <w:sz w:val="24"/>
          <w:szCs w:val="24"/>
          <w:highlight w:val="none"/>
        </w:rPr>
        <w:t>派员共同验收</w:t>
      </w:r>
      <w:r>
        <w:rPr>
          <w:rFonts w:hAnsi="宋体"/>
          <w:color w:val="auto"/>
          <w:sz w:val="24"/>
          <w:szCs w:val="24"/>
          <w:highlight w:val="none"/>
        </w:rPr>
        <w:t>，</w:t>
      </w:r>
      <w:r>
        <w:rPr>
          <w:rFonts w:hint="eastAsia" w:hAnsi="宋体"/>
          <w:color w:val="auto"/>
          <w:sz w:val="24"/>
          <w:szCs w:val="24"/>
          <w:highlight w:val="none"/>
        </w:rPr>
        <w:t>达到验收标准则验收合格。</w:t>
      </w:r>
      <w:r>
        <w:rPr>
          <w:rFonts w:hAnsi="宋体"/>
          <w:color w:val="auto"/>
          <w:sz w:val="24"/>
          <w:szCs w:val="24"/>
          <w:highlight w:val="none"/>
        </w:rPr>
        <w:t>验收完毕后</w:t>
      </w:r>
      <w:r>
        <w:rPr>
          <w:rFonts w:hint="eastAsia" w:hAnsi="宋体"/>
          <w:color w:val="auto"/>
          <w:sz w:val="24"/>
          <w:szCs w:val="24"/>
          <w:highlight w:val="none"/>
        </w:rPr>
        <w:t>出具</w:t>
      </w:r>
      <w:r>
        <w:rPr>
          <w:rFonts w:hAnsi="宋体"/>
          <w:color w:val="auto"/>
          <w:sz w:val="24"/>
          <w:szCs w:val="24"/>
          <w:highlight w:val="none"/>
        </w:rPr>
        <w:t>验收结果报告</w:t>
      </w:r>
      <w:r>
        <w:rPr>
          <w:rFonts w:hint="eastAsia" w:hAnsi="宋体"/>
          <w:color w:val="auto"/>
          <w:sz w:val="24"/>
          <w:szCs w:val="24"/>
          <w:highlight w:val="none"/>
        </w:rPr>
        <w:t>并经双方签字确认</w:t>
      </w:r>
      <w:r>
        <w:rPr>
          <w:rFonts w:hAnsi="宋体"/>
          <w:color w:val="auto"/>
          <w:sz w:val="24"/>
          <w:szCs w:val="24"/>
          <w:highlight w:val="none"/>
        </w:rPr>
        <w:t>；验收</w:t>
      </w:r>
      <w:r>
        <w:rPr>
          <w:rFonts w:hint="eastAsia" w:hAnsi="宋体"/>
          <w:color w:val="auto"/>
          <w:sz w:val="24"/>
          <w:szCs w:val="24"/>
          <w:highlight w:val="none"/>
        </w:rPr>
        <w:t>相关</w:t>
      </w:r>
      <w:r>
        <w:rPr>
          <w:rFonts w:hAnsi="宋体"/>
          <w:color w:val="auto"/>
          <w:sz w:val="24"/>
          <w:szCs w:val="24"/>
          <w:highlight w:val="none"/>
        </w:rPr>
        <w:t>费用由</w:t>
      </w:r>
      <w:r>
        <w:rPr>
          <w:rFonts w:hint="eastAsia" w:hAnsi="宋体"/>
          <w:color w:val="auto"/>
          <w:sz w:val="24"/>
          <w:szCs w:val="24"/>
          <w:highlight w:val="none"/>
        </w:rPr>
        <w:t>乙方承担。</w:t>
      </w:r>
    </w:p>
    <w:p w14:paraId="3C437F1D">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6.6 对技术复杂的货物，甲方</w:t>
      </w:r>
      <w:r>
        <w:rPr>
          <w:rFonts w:hint="eastAsia" w:hAnsi="宋体"/>
          <w:color w:val="auto"/>
          <w:sz w:val="24"/>
          <w:szCs w:val="24"/>
          <w:highlight w:val="none"/>
        </w:rPr>
        <w:t>可聘</w:t>
      </w:r>
      <w:r>
        <w:rPr>
          <w:rFonts w:hAnsi="宋体"/>
          <w:color w:val="auto"/>
          <w:sz w:val="24"/>
          <w:szCs w:val="24"/>
          <w:highlight w:val="none"/>
        </w:rPr>
        <w:t>请国家认可的专业检测机构参与初步验收及最终验收，</w:t>
      </w:r>
      <w:r>
        <w:rPr>
          <w:rFonts w:hint="eastAsia" w:hAnsi="宋体"/>
          <w:color w:val="auto"/>
          <w:sz w:val="24"/>
          <w:szCs w:val="24"/>
          <w:highlight w:val="none"/>
        </w:rPr>
        <w:t>专业检测机构</w:t>
      </w:r>
      <w:r>
        <w:rPr>
          <w:rFonts w:hAnsi="宋体"/>
          <w:color w:val="auto"/>
          <w:sz w:val="24"/>
          <w:szCs w:val="24"/>
          <w:highlight w:val="none"/>
        </w:rPr>
        <w:t>出具</w:t>
      </w:r>
      <w:r>
        <w:rPr>
          <w:rFonts w:hint="eastAsia" w:hAnsi="宋体"/>
          <w:color w:val="auto"/>
          <w:sz w:val="24"/>
          <w:szCs w:val="24"/>
          <w:highlight w:val="none"/>
        </w:rPr>
        <w:t>的</w:t>
      </w:r>
      <w:r>
        <w:rPr>
          <w:rFonts w:hAnsi="宋体"/>
          <w:color w:val="auto"/>
          <w:sz w:val="24"/>
          <w:szCs w:val="24"/>
          <w:highlight w:val="none"/>
        </w:rPr>
        <w:t>质量检测报告</w:t>
      </w:r>
      <w:r>
        <w:rPr>
          <w:rFonts w:hint="eastAsia" w:hAnsi="宋体"/>
          <w:color w:val="auto"/>
          <w:sz w:val="24"/>
          <w:szCs w:val="24"/>
          <w:highlight w:val="none"/>
        </w:rPr>
        <w:t>作为甲方判断乙方的货物能否通过验收的条件之一，无论是否通过验收，相关检测费用均由乙方承担。</w:t>
      </w:r>
    </w:p>
    <w:p w14:paraId="6488AE2B">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七</w:t>
      </w:r>
      <w:r>
        <w:rPr>
          <w:rFonts w:hAnsi="宋体"/>
          <w:b/>
          <w:color w:val="auto"/>
          <w:sz w:val="24"/>
          <w:szCs w:val="24"/>
          <w:highlight w:val="none"/>
        </w:rPr>
        <w:t>、技术资料</w:t>
      </w:r>
    </w:p>
    <w:p w14:paraId="36708359">
      <w:pPr>
        <w:pStyle w:val="21"/>
        <w:spacing w:before="120" w:after="120" w:line="330" w:lineRule="atLeast"/>
        <w:ind w:firstLine="480"/>
        <w:rPr>
          <w:rFonts w:hAnsi="宋体"/>
          <w:b/>
          <w:color w:val="auto"/>
          <w:sz w:val="24"/>
          <w:szCs w:val="24"/>
          <w:highlight w:val="none"/>
        </w:rPr>
      </w:pPr>
      <w:r>
        <w:rPr>
          <w:rFonts w:hAnsi="宋体"/>
          <w:color w:val="auto"/>
          <w:sz w:val="24"/>
          <w:szCs w:val="24"/>
          <w:highlight w:val="none"/>
        </w:rPr>
        <w:t>7.1乙方应按招标文件规定的时间向甲方提供使用货物的有关技术资料。</w:t>
      </w:r>
    </w:p>
    <w:p w14:paraId="546AAB5A">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 xml:space="preserve">7.2 </w:t>
      </w:r>
      <w:r>
        <w:rPr>
          <w:rFonts w:hint="eastAsia" w:hAnsi="宋体"/>
          <w:color w:val="auto"/>
          <w:sz w:val="24"/>
          <w:szCs w:val="24"/>
          <w:highlight w:val="none"/>
        </w:rPr>
        <w:t>未经</w:t>
      </w:r>
      <w:r>
        <w:rPr>
          <w:rFonts w:hAnsi="宋体"/>
          <w:color w:val="auto"/>
          <w:sz w:val="24"/>
          <w:szCs w:val="24"/>
          <w:highlight w:val="none"/>
        </w:rPr>
        <w:t>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2BC9B5FC">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八</w:t>
      </w:r>
      <w:r>
        <w:rPr>
          <w:rFonts w:hAnsi="宋体"/>
          <w:b/>
          <w:color w:val="auto"/>
          <w:sz w:val="24"/>
          <w:szCs w:val="24"/>
          <w:highlight w:val="none"/>
        </w:rPr>
        <w:t>、知识产权</w:t>
      </w:r>
    </w:p>
    <w:p w14:paraId="2FF93B88">
      <w:pPr>
        <w:spacing w:line="330" w:lineRule="atLeast"/>
        <w:ind w:firstLine="480"/>
        <w:rPr>
          <w:rFonts w:ascii="宋体" w:hAnsi="宋体"/>
          <w:color w:val="auto"/>
          <w:sz w:val="24"/>
          <w:szCs w:val="24"/>
          <w:highlight w:val="none"/>
        </w:rPr>
      </w:pPr>
      <w:r>
        <w:rPr>
          <w:rFonts w:ascii="宋体" w:hAnsi="宋体"/>
          <w:color w:val="auto"/>
          <w:sz w:val="24"/>
          <w:szCs w:val="24"/>
          <w:highlight w:val="none"/>
        </w:rPr>
        <w:t>乙</w:t>
      </w:r>
      <w:r>
        <w:rPr>
          <w:rFonts w:hint="eastAsia" w:ascii="宋体" w:hAnsi="宋体"/>
          <w:color w:val="auto"/>
          <w:sz w:val="24"/>
          <w:szCs w:val="24"/>
          <w:highlight w:val="none"/>
        </w:rPr>
        <w:t>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1ACE184C">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九</w:t>
      </w:r>
      <w:r>
        <w:rPr>
          <w:rFonts w:hAnsi="宋体"/>
          <w:b/>
          <w:color w:val="auto"/>
          <w:sz w:val="24"/>
          <w:szCs w:val="24"/>
          <w:highlight w:val="none"/>
        </w:rPr>
        <w:t>、违约责任</w:t>
      </w:r>
    </w:p>
    <w:p w14:paraId="57B2EDEF">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9.1 乙方履约的前提下，甲方无正当理由拒收货物的，甲方向乙方偿付拒收货款总值的万分之五违约金。甲方未按合同规定的时间和要求向乙方提供相关安装条件，乙方交付时间顺延。</w:t>
      </w:r>
    </w:p>
    <w:p w14:paraId="0C9F8C4C">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9.2 乙方履约的前提下，甲方无故迟延支付货款的,甲方应按逾期付款总额每日万分之五向乙方支付违约金。</w:t>
      </w:r>
    </w:p>
    <w:p w14:paraId="4250B25C">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007DC643">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446C7436">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95DE832">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14E29F1A">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5BBBB018">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9.8 乙方履行义务不符合合同约定时，甲方有权扣减总货款的10%作为违约金。</w:t>
      </w:r>
    </w:p>
    <w:p w14:paraId="42F4D993">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7FA2D443">
      <w:pPr>
        <w:pStyle w:val="21"/>
        <w:spacing w:before="120" w:after="120" w:line="330" w:lineRule="atLeast"/>
        <w:ind w:firstLine="482"/>
        <w:rPr>
          <w:rFonts w:hAnsi="宋体"/>
          <w:b/>
          <w:color w:val="auto"/>
          <w:sz w:val="24"/>
          <w:szCs w:val="24"/>
          <w:highlight w:val="none"/>
        </w:rPr>
      </w:pPr>
      <w:r>
        <w:rPr>
          <w:rFonts w:hint="eastAsia" w:hAnsi="宋体"/>
          <w:b/>
          <w:color w:val="auto"/>
          <w:sz w:val="24"/>
          <w:szCs w:val="24"/>
          <w:highlight w:val="none"/>
        </w:rPr>
        <w:t>十</w:t>
      </w:r>
      <w:r>
        <w:rPr>
          <w:rFonts w:hAnsi="宋体"/>
          <w:b/>
          <w:color w:val="auto"/>
          <w:sz w:val="24"/>
          <w:szCs w:val="24"/>
          <w:highlight w:val="none"/>
        </w:rPr>
        <w:t>、不可抗力事件处理</w:t>
      </w:r>
    </w:p>
    <w:p w14:paraId="2EC7EDFC">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10.1 在合同有效期内，任何一方因不可抗力事件导致不能履行合同，则合同履行期可延长，其延长期与不可抗力影响期相同。</w:t>
      </w:r>
    </w:p>
    <w:p w14:paraId="4A0449E7">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10.2 不可抗力事件发生后</w:t>
      </w:r>
      <w:r>
        <w:rPr>
          <w:rFonts w:hint="eastAsia" w:hAnsi="宋体"/>
          <w:color w:val="auto"/>
          <w:sz w:val="24"/>
          <w:szCs w:val="24"/>
          <w:highlight w:val="none"/>
        </w:rPr>
        <w:t>，</w:t>
      </w:r>
      <w:r>
        <w:rPr>
          <w:rFonts w:hAnsi="宋体"/>
          <w:color w:val="auto"/>
          <w:sz w:val="24"/>
          <w:szCs w:val="24"/>
          <w:highlight w:val="none"/>
        </w:rPr>
        <w:t>应立即通知对方，并寄送有关权威机构出具的证明。</w:t>
      </w:r>
    </w:p>
    <w:p w14:paraId="6AFCEBCC">
      <w:pPr>
        <w:pStyle w:val="21"/>
        <w:spacing w:before="120" w:after="120" w:line="330" w:lineRule="atLeast"/>
        <w:ind w:firstLine="480"/>
        <w:rPr>
          <w:rFonts w:hAnsi="宋体"/>
          <w:color w:val="auto"/>
          <w:sz w:val="24"/>
          <w:szCs w:val="24"/>
          <w:highlight w:val="none"/>
        </w:rPr>
      </w:pPr>
      <w:r>
        <w:rPr>
          <w:rFonts w:hAnsi="宋体"/>
          <w:color w:val="auto"/>
          <w:sz w:val="24"/>
          <w:szCs w:val="24"/>
          <w:highlight w:val="none"/>
        </w:rPr>
        <w:t>10.3 不可抗力事件延续30天以上，双方应通过友好协商，确定是否继续履行合同。</w:t>
      </w:r>
    </w:p>
    <w:p w14:paraId="1BB9E8C9">
      <w:pPr>
        <w:pStyle w:val="21"/>
        <w:spacing w:before="120" w:after="120" w:line="330" w:lineRule="atLeast"/>
        <w:ind w:firstLine="482"/>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一</w:t>
      </w:r>
      <w:r>
        <w:rPr>
          <w:rFonts w:hAnsi="宋体"/>
          <w:b/>
          <w:color w:val="auto"/>
          <w:sz w:val="24"/>
          <w:szCs w:val="24"/>
          <w:highlight w:val="none"/>
        </w:rPr>
        <w:t>、诉讼</w:t>
      </w:r>
    </w:p>
    <w:p w14:paraId="1D2A5371">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40537AF6">
      <w:pPr>
        <w:pStyle w:val="21"/>
        <w:spacing w:before="120" w:after="120" w:line="330" w:lineRule="atLeast"/>
        <w:ind w:firstLine="482"/>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二</w:t>
      </w:r>
      <w:r>
        <w:rPr>
          <w:rFonts w:hAnsi="宋体"/>
          <w:b/>
          <w:color w:val="auto"/>
          <w:sz w:val="24"/>
          <w:szCs w:val="24"/>
          <w:highlight w:val="none"/>
        </w:rPr>
        <w:t>、合同生效及其它</w:t>
      </w:r>
    </w:p>
    <w:p w14:paraId="36F8A32D">
      <w:pPr>
        <w:pStyle w:val="21"/>
        <w:spacing w:before="120" w:after="120" w:line="330" w:lineRule="atLeast"/>
        <w:ind w:firstLine="480"/>
        <w:rPr>
          <w:rFonts w:hAnsi="宋体"/>
          <w:color w:val="auto"/>
          <w:sz w:val="24"/>
          <w:szCs w:val="24"/>
          <w:highlight w:val="none"/>
        </w:rPr>
      </w:pPr>
      <w:r>
        <w:rPr>
          <w:rFonts w:hint="eastAsia" w:hAnsi="宋体"/>
          <w:color w:val="auto"/>
          <w:sz w:val="24"/>
          <w:szCs w:val="24"/>
          <w:highlight w:val="none"/>
        </w:rPr>
        <w:t>12.1招投标文件、中标通知书作为合同的附件，与本合同具有同等法律效力。合同经双方法定代表人或授权委托代表人签字、盖章后生效。</w:t>
      </w:r>
    </w:p>
    <w:p w14:paraId="71E66990">
      <w:pPr>
        <w:pStyle w:val="21"/>
        <w:spacing w:before="120" w:after="120"/>
        <w:ind w:firstLine="480"/>
        <w:rPr>
          <w:rFonts w:hAnsi="宋体" w:cs="宋体"/>
          <w:color w:val="auto"/>
          <w:sz w:val="24"/>
          <w:szCs w:val="24"/>
          <w:highlight w:val="none"/>
        </w:rPr>
      </w:pPr>
      <w:r>
        <w:rPr>
          <w:rFonts w:hint="eastAsia" w:hAnsi="宋体" w:cs="宋体"/>
          <w:color w:val="auto"/>
          <w:sz w:val="24"/>
          <w:szCs w:val="24"/>
          <w:highlight w:val="none"/>
        </w:rPr>
        <w:t>12.2本合同未尽事宜，遵照《中华人民共和国民法典》有关条文执行。</w:t>
      </w:r>
    </w:p>
    <w:p w14:paraId="481E2798">
      <w:pPr>
        <w:pStyle w:val="21"/>
        <w:spacing w:before="120" w:after="120"/>
        <w:ind w:firstLine="480"/>
        <w:rPr>
          <w:rFonts w:hAnsi="宋体" w:cs="宋体"/>
          <w:color w:val="auto"/>
          <w:sz w:val="24"/>
          <w:szCs w:val="24"/>
          <w:highlight w:val="none"/>
        </w:rPr>
      </w:pPr>
      <w:r>
        <w:rPr>
          <w:rFonts w:hint="eastAsia" w:hAnsi="宋体" w:cs="宋体"/>
          <w:color w:val="auto"/>
          <w:sz w:val="24"/>
          <w:szCs w:val="24"/>
          <w:highlight w:val="none"/>
        </w:rPr>
        <w:t>12.3 本合同正本一式</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份，甲方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份，乙方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份，具有同等法律效力。</w:t>
      </w:r>
    </w:p>
    <w:p w14:paraId="45826FD3">
      <w:pPr>
        <w:pStyle w:val="21"/>
        <w:spacing w:before="120" w:after="120"/>
        <w:ind w:firstLine="480"/>
        <w:rPr>
          <w:rFonts w:hAnsi="宋体" w:cs="宋体"/>
          <w:color w:val="auto"/>
          <w:sz w:val="24"/>
          <w:szCs w:val="24"/>
          <w:highlight w:val="none"/>
        </w:rPr>
      </w:pPr>
      <w:r>
        <w:rPr>
          <w:rFonts w:hint="eastAsia" w:hAnsi="宋体" w:cs="宋体"/>
          <w:color w:val="auto"/>
          <w:sz w:val="24"/>
          <w:szCs w:val="24"/>
          <w:highlight w:val="none"/>
        </w:rPr>
        <w:t>12.4 其他：</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p>
    <w:p w14:paraId="5EF735BC">
      <w:pPr>
        <w:pStyle w:val="21"/>
        <w:spacing w:before="120" w:after="120" w:line="400" w:lineRule="exact"/>
        <w:ind w:firstLine="480"/>
        <w:rPr>
          <w:rFonts w:hAnsi="宋体" w:cs="宋体"/>
          <w:color w:val="auto"/>
          <w:sz w:val="24"/>
          <w:szCs w:val="24"/>
          <w:highlight w:val="none"/>
        </w:rPr>
      </w:pPr>
      <w:r>
        <w:rPr>
          <w:rFonts w:hint="eastAsia" w:hAnsi="宋体" w:cs="宋体"/>
          <w:color w:val="auto"/>
          <w:sz w:val="24"/>
          <w:szCs w:val="24"/>
          <w:highlight w:val="none"/>
        </w:rPr>
        <w:t>（以下无正文，为签字盖章处）</w:t>
      </w:r>
    </w:p>
    <w:p w14:paraId="11223075">
      <w:pPr>
        <w:pStyle w:val="21"/>
        <w:spacing w:before="120" w:after="120"/>
        <w:ind w:firstLine="480"/>
        <w:rPr>
          <w:rFonts w:hAnsi="宋体" w:cs="宋体"/>
          <w:color w:val="auto"/>
          <w:sz w:val="24"/>
          <w:szCs w:val="24"/>
          <w:highlight w:val="none"/>
        </w:rPr>
      </w:pPr>
      <w:r>
        <w:rPr>
          <w:rFonts w:hint="eastAsia" w:hAnsi="宋体" w:cs="宋体"/>
          <w:color w:val="auto"/>
          <w:sz w:val="24"/>
          <w:szCs w:val="24"/>
          <w:highlight w:val="none"/>
        </w:rPr>
        <w:t xml:space="preserve">   </w:t>
      </w:r>
    </w:p>
    <w:p w14:paraId="09E7D8E6">
      <w:pPr>
        <w:pStyle w:val="21"/>
        <w:spacing w:before="120" w:after="120" w:line="240" w:lineRule="atLeast"/>
        <w:rPr>
          <w:rFonts w:hAnsi="宋体" w:cs="宋体"/>
          <w:color w:val="auto"/>
          <w:sz w:val="24"/>
          <w:szCs w:val="24"/>
          <w:highlight w:val="none"/>
        </w:rPr>
      </w:pPr>
    </w:p>
    <w:p w14:paraId="08BCDDEC">
      <w:pPr>
        <w:pStyle w:val="21"/>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甲方： 南京医科大学（盖章）                 乙方： （盖章）</w:t>
      </w:r>
    </w:p>
    <w:p w14:paraId="615ABB50">
      <w:pPr>
        <w:pStyle w:val="21"/>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地址：南京市江宁区龙眠大道101号            地址： </w:t>
      </w:r>
    </w:p>
    <w:p w14:paraId="6BBC9B71">
      <w:pPr>
        <w:pStyle w:val="21"/>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法定代表人/授权代表：（签字）               法定代表人/授权代表：（签字）</w:t>
      </w:r>
    </w:p>
    <w:p w14:paraId="7A8ADF0A">
      <w:pPr>
        <w:pStyle w:val="21"/>
        <w:spacing w:before="120" w:after="120" w:line="300" w:lineRule="auto"/>
        <w:rPr>
          <w:rFonts w:asciiTheme="minorEastAsia" w:hAnsiTheme="minorEastAsia" w:eastAsiaTheme="minorEastAsia"/>
          <w:color w:val="auto"/>
          <w:sz w:val="28"/>
          <w:szCs w:val="28"/>
          <w:highlight w:val="none"/>
        </w:rPr>
      </w:pPr>
      <w:r>
        <w:rPr>
          <w:rFonts w:hint="eastAsia" w:hAnsi="宋体" w:cs="宋体"/>
          <w:color w:val="auto"/>
          <w:sz w:val="24"/>
          <w:szCs w:val="24"/>
          <w:highlight w:val="none"/>
        </w:rPr>
        <w:t>签订日期：   年    月    日                 签订日期：   年    月    日</w:t>
      </w:r>
    </w:p>
    <w:p w14:paraId="1DB33707">
      <w:pPr>
        <w:widowControl w:val="0"/>
        <w:spacing w:line="560" w:lineRule="exact"/>
        <w:rPr>
          <w:rFonts w:ascii="Times New Roman" w:hAnsi="Times New Roman" w:eastAsia="仿宋" w:cs="Times New Roman"/>
          <w:color w:val="auto"/>
          <w:sz w:val="28"/>
          <w:szCs w:val="28"/>
          <w:highlight w:val="none"/>
          <w:lang w:val="zh-CN"/>
        </w:rPr>
      </w:pPr>
      <w:r>
        <w:rPr>
          <w:rFonts w:hint="eastAsia" w:ascii="Times New Roman" w:hAnsi="Times New Roman" w:eastAsia="仿宋" w:cs="Times New Roman"/>
          <w:color w:val="auto"/>
          <w:sz w:val="28"/>
          <w:szCs w:val="28"/>
          <w:highlight w:val="none"/>
        </w:rPr>
        <w:t>附件1：分项报价表</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096"/>
        <w:gridCol w:w="656"/>
        <w:gridCol w:w="656"/>
        <w:gridCol w:w="656"/>
        <w:gridCol w:w="1096"/>
        <w:gridCol w:w="1096"/>
        <w:gridCol w:w="1096"/>
      </w:tblGrid>
      <w:tr w14:paraId="6DE1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45134830">
            <w:pPr>
              <w:jc w:val="center"/>
              <w:rPr>
                <w:color w:val="auto"/>
                <w:highlight w:val="none"/>
              </w:rPr>
            </w:pPr>
            <w:r>
              <w:rPr>
                <w:rFonts w:hint="eastAsia"/>
                <w:color w:val="auto"/>
                <w:highlight w:val="none"/>
              </w:rPr>
              <w:t>序号</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690DC350">
            <w:pPr>
              <w:jc w:val="center"/>
              <w:rPr>
                <w:color w:val="auto"/>
                <w:highlight w:val="none"/>
              </w:rPr>
            </w:pPr>
            <w:r>
              <w:rPr>
                <w:rFonts w:hint="eastAsia"/>
                <w:color w:val="auto"/>
                <w:highlight w:val="none"/>
              </w:rPr>
              <w:t>标的名称</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301A9C24">
            <w:pPr>
              <w:jc w:val="center"/>
              <w:rPr>
                <w:color w:val="auto"/>
                <w:highlight w:val="none"/>
              </w:rPr>
            </w:pPr>
            <w:r>
              <w:rPr>
                <w:rFonts w:hint="eastAsia"/>
                <w:color w:val="auto"/>
                <w:highlight w:val="none"/>
              </w:rPr>
              <w:t>数量</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3B2DE426">
            <w:pPr>
              <w:jc w:val="center"/>
              <w:rPr>
                <w:color w:val="auto"/>
                <w:highlight w:val="none"/>
              </w:rPr>
            </w:pPr>
            <w:r>
              <w:rPr>
                <w:rFonts w:hint="eastAsia"/>
                <w:color w:val="auto"/>
                <w:highlight w:val="none"/>
              </w:rPr>
              <w:t>单位</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120A9EB9">
            <w:pPr>
              <w:jc w:val="center"/>
              <w:rPr>
                <w:color w:val="auto"/>
                <w:highlight w:val="none"/>
              </w:rPr>
            </w:pPr>
            <w:r>
              <w:rPr>
                <w:rFonts w:hint="eastAsia"/>
                <w:color w:val="auto"/>
                <w:highlight w:val="none"/>
              </w:rPr>
              <w:t>品牌</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67A2D26C">
            <w:pPr>
              <w:jc w:val="center"/>
              <w:rPr>
                <w:color w:val="auto"/>
                <w:highlight w:val="none"/>
              </w:rPr>
            </w:pPr>
            <w:r>
              <w:rPr>
                <w:rFonts w:hint="eastAsia"/>
                <w:color w:val="auto"/>
                <w:highlight w:val="none"/>
              </w:rPr>
              <w:t>规格型号</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4684E8FE">
            <w:pPr>
              <w:jc w:val="center"/>
              <w:rPr>
                <w:color w:val="auto"/>
                <w:highlight w:val="none"/>
              </w:rPr>
            </w:pPr>
            <w:r>
              <w:rPr>
                <w:rFonts w:hint="eastAsia"/>
                <w:color w:val="auto"/>
                <w:highlight w:val="none"/>
              </w:rPr>
              <w:t>单价</w:t>
            </w:r>
          </w:p>
          <w:p w14:paraId="21676D75">
            <w:pPr>
              <w:jc w:val="center"/>
              <w:rPr>
                <w:color w:val="auto"/>
                <w:highlight w:val="none"/>
              </w:rPr>
            </w:pPr>
            <w:r>
              <w:rPr>
                <w:rFonts w:hint="eastAsia"/>
                <w:color w:val="auto"/>
                <w:highlight w:val="none"/>
              </w:rPr>
              <w:t>（万元）</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F859DBF">
            <w:pPr>
              <w:jc w:val="center"/>
              <w:rPr>
                <w:color w:val="auto"/>
                <w:highlight w:val="none"/>
              </w:rPr>
            </w:pPr>
            <w:r>
              <w:rPr>
                <w:rFonts w:hint="eastAsia"/>
                <w:color w:val="auto"/>
                <w:highlight w:val="none"/>
              </w:rPr>
              <w:t>总价</w:t>
            </w:r>
          </w:p>
          <w:p w14:paraId="611297CE">
            <w:pPr>
              <w:jc w:val="center"/>
              <w:rPr>
                <w:color w:val="auto"/>
                <w:highlight w:val="none"/>
              </w:rPr>
            </w:pPr>
            <w:r>
              <w:rPr>
                <w:rFonts w:hint="eastAsia"/>
                <w:color w:val="auto"/>
                <w:highlight w:val="none"/>
              </w:rPr>
              <w:t>（万元）</w:t>
            </w:r>
          </w:p>
        </w:tc>
      </w:tr>
      <w:tr w14:paraId="413C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56" w:type="dxa"/>
            <w:tcBorders>
              <w:top w:val="single" w:color="auto" w:sz="4" w:space="0"/>
              <w:left w:val="single" w:color="auto" w:sz="4" w:space="0"/>
              <w:bottom w:val="single" w:color="auto" w:sz="4" w:space="0"/>
              <w:right w:val="single" w:color="auto" w:sz="4" w:space="0"/>
            </w:tcBorders>
            <w:noWrap w:val="0"/>
            <w:vAlign w:val="center"/>
          </w:tcPr>
          <w:p w14:paraId="4C3DEC0E">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57EA0321">
            <w:pPr>
              <w:jc w:val="center"/>
              <w:rPr>
                <w:color w:val="auto"/>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60DFA334">
            <w:pPr>
              <w:jc w:val="center"/>
              <w:rPr>
                <w:color w:val="auto"/>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49854D18">
            <w:pPr>
              <w:jc w:val="center"/>
              <w:rPr>
                <w:color w:val="auto"/>
                <w:highlight w:val="none"/>
              </w:rPr>
            </w:pPr>
          </w:p>
        </w:tc>
        <w:tc>
          <w:tcPr>
            <w:tcW w:w="656" w:type="dxa"/>
            <w:tcBorders>
              <w:top w:val="single" w:color="auto" w:sz="4" w:space="0"/>
              <w:left w:val="single" w:color="auto" w:sz="4" w:space="0"/>
              <w:bottom w:val="single" w:color="auto" w:sz="4" w:space="0"/>
              <w:right w:val="single" w:color="auto" w:sz="4" w:space="0"/>
            </w:tcBorders>
            <w:noWrap w:val="0"/>
            <w:vAlign w:val="center"/>
          </w:tcPr>
          <w:p w14:paraId="3CD80B47">
            <w:pPr>
              <w:jc w:val="center"/>
              <w:rPr>
                <w:rFonts w:ascii="宋体" w:hAnsi="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2CAF0C2">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A9FC298">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7BF1BB2">
            <w:pPr>
              <w:jc w:val="center"/>
              <w:rPr>
                <w:color w:val="auto"/>
                <w:highlight w:val="none"/>
              </w:rPr>
            </w:pPr>
          </w:p>
        </w:tc>
      </w:tr>
      <w:tr w14:paraId="02C7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3064" w:type="dxa"/>
            <w:gridSpan w:val="4"/>
            <w:tcBorders>
              <w:top w:val="single" w:color="auto" w:sz="4" w:space="0"/>
              <w:left w:val="single" w:color="auto" w:sz="4" w:space="0"/>
              <w:bottom w:val="single" w:color="auto" w:sz="4" w:space="0"/>
              <w:right w:val="single" w:color="auto" w:sz="4" w:space="0"/>
            </w:tcBorders>
            <w:noWrap w:val="0"/>
            <w:vAlign w:val="center"/>
          </w:tcPr>
          <w:p w14:paraId="73EEE882">
            <w:pPr>
              <w:jc w:val="center"/>
              <w:rPr>
                <w:color w:val="auto"/>
                <w:highlight w:val="none"/>
              </w:rPr>
            </w:pPr>
            <w:r>
              <w:rPr>
                <w:rFonts w:hint="eastAsia"/>
                <w:color w:val="auto"/>
                <w:highlight w:val="none"/>
              </w:rPr>
              <w:t>合计</w:t>
            </w:r>
          </w:p>
        </w:tc>
        <w:tc>
          <w:tcPr>
            <w:tcW w:w="656" w:type="dxa"/>
            <w:tcBorders>
              <w:top w:val="single" w:color="auto" w:sz="4" w:space="0"/>
              <w:left w:val="single" w:color="auto" w:sz="4" w:space="0"/>
              <w:bottom w:val="single" w:color="auto" w:sz="4" w:space="0"/>
              <w:right w:val="single" w:color="auto" w:sz="4" w:space="0"/>
            </w:tcBorders>
            <w:noWrap w:val="0"/>
            <w:vAlign w:val="center"/>
          </w:tcPr>
          <w:p w14:paraId="03FD527A">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30A5B166">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6BAFDCC3">
            <w:pPr>
              <w:jc w:val="center"/>
              <w:rPr>
                <w:color w:val="auto"/>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4090E762">
            <w:pPr>
              <w:jc w:val="center"/>
              <w:rPr>
                <w:color w:val="auto"/>
                <w:highlight w:val="none"/>
              </w:rPr>
            </w:pPr>
          </w:p>
        </w:tc>
      </w:tr>
    </w:tbl>
    <w:p w14:paraId="2B4609AA">
      <w:pPr>
        <w:rPr>
          <w:color w:val="auto"/>
          <w:highlight w:val="none"/>
        </w:rPr>
      </w:pPr>
    </w:p>
    <w:p w14:paraId="4710FFBF">
      <w:pPr>
        <w:widowControl w:val="0"/>
        <w:spacing w:line="560" w:lineRule="exact"/>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附件2：货物配置清单</w:t>
      </w:r>
    </w:p>
    <w:p w14:paraId="472A5B05">
      <w:pPr>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br w:type="page" w:clear="all"/>
      </w:r>
    </w:p>
    <w:p w14:paraId="60751AE3">
      <w:pPr>
        <w:pStyle w:val="18"/>
        <w:ind w:left="0"/>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附件3：履约保证金退还申请单</w:t>
      </w:r>
    </w:p>
    <w:p w14:paraId="51975082">
      <w:pPr>
        <w:spacing w:line="480" w:lineRule="auto"/>
        <w:rPr>
          <w:color w:val="auto"/>
          <w:sz w:val="24"/>
          <w:highlight w:val="none"/>
        </w:rPr>
      </w:pPr>
      <w:r>
        <w:rPr>
          <w:rFonts w:hint="eastAsia"/>
          <w:color w:val="auto"/>
          <w:sz w:val="24"/>
          <w:highlight w:val="none"/>
        </w:rPr>
        <w:t>制表单位：</w:t>
      </w:r>
      <w:r>
        <w:rPr>
          <w:color w:val="auto"/>
          <w:sz w:val="24"/>
          <w:highlight w:val="none"/>
        </w:rPr>
        <w:t xml:space="preserve">                                               </w:t>
      </w:r>
    </w:p>
    <w:tbl>
      <w:tblPr>
        <w:tblStyle w:val="40"/>
        <w:tblW w:w="8583" w:type="dxa"/>
        <w:tblInd w:w="0" w:type="dxa"/>
        <w:tblLayout w:type="autofit"/>
        <w:tblCellMar>
          <w:top w:w="0" w:type="dxa"/>
          <w:left w:w="108" w:type="dxa"/>
          <w:bottom w:w="0" w:type="dxa"/>
          <w:right w:w="108" w:type="dxa"/>
        </w:tblCellMar>
      </w:tblPr>
      <w:tblGrid>
        <w:gridCol w:w="2647"/>
        <w:gridCol w:w="5936"/>
      </w:tblGrid>
      <w:tr w14:paraId="7C44D4ED">
        <w:tblPrEx>
          <w:tblCellMar>
            <w:top w:w="0" w:type="dxa"/>
            <w:left w:w="108" w:type="dxa"/>
            <w:bottom w:w="0" w:type="dxa"/>
            <w:right w:w="108" w:type="dxa"/>
          </w:tblCellMar>
        </w:tblPrEx>
        <w:trPr>
          <w:trHeight w:val="486" w:hRule="atLeast"/>
        </w:trPr>
        <w:tc>
          <w:tcPr>
            <w:tcW w:w="8583" w:type="dxa"/>
            <w:gridSpan w:val="2"/>
            <w:tcBorders>
              <w:top w:val="single" w:color="000000" w:sz="4" w:space="0"/>
              <w:left w:val="single" w:color="000000" w:sz="4" w:space="0"/>
              <w:bottom w:val="single" w:color="000000" w:sz="4" w:space="0"/>
              <w:right w:val="single" w:color="000000" w:sz="4" w:space="0"/>
            </w:tcBorders>
            <w:noWrap w:val="0"/>
            <w:vAlign w:val="center"/>
          </w:tcPr>
          <w:p w14:paraId="12F011A6">
            <w:pPr>
              <w:jc w:val="center"/>
              <w:rPr>
                <w:color w:val="auto"/>
                <w:sz w:val="24"/>
                <w:highlight w:val="none"/>
              </w:rPr>
            </w:pPr>
            <w:r>
              <w:rPr>
                <w:rFonts w:hint="eastAsia"/>
                <w:color w:val="auto"/>
                <w:sz w:val="32"/>
                <w:szCs w:val="32"/>
                <w:highlight w:val="none"/>
              </w:rPr>
              <w:t>南京医科大学履约保证金退还申请单</w:t>
            </w:r>
          </w:p>
        </w:tc>
      </w:tr>
      <w:tr w14:paraId="31A2083B">
        <w:tblPrEx>
          <w:tblCellMar>
            <w:top w:w="0" w:type="dxa"/>
            <w:left w:w="108" w:type="dxa"/>
            <w:bottom w:w="0" w:type="dxa"/>
            <w:right w:w="108" w:type="dxa"/>
          </w:tblCellMar>
        </w:tblPrEx>
        <w:trPr>
          <w:trHeight w:val="549"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4F73B36">
            <w:pPr>
              <w:jc w:val="center"/>
              <w:rPr>
                <w:color w:val="auto"/>
                <w:sz w:val="24"/>
                <w:highlight w:val="none"/>
              </w:rPr>
            </w:pPr>
            <w:r>
              <w:rPr>
                <w:rFonts w:hint="eastAsia"/>
                <w:color w:val="auto"/>
                <w:sz w:val="24"/>
                <w:highlight w:val="none"/>
              </w:rPr>
              <w:t>采购项目</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2AEA66E6">
            <w:pPr>
              <w:rPr>
                <w:color w:val="auto"/>
                <w:sz w:val="24"/>
                <w:highlight w:val="none"/>
              </w:rPr>
            </w:pPr>
          </w:p>
        </w:tc>
      </w:tr>
      <w:tr w14:paraId="31A560CA">
        <w:tblPrEx>
          <w:tblCellMar>
            <w:top w:w="0" w:type="dxa"/>
            <w:left w:w="108" w:type="dxa"/>
            <w:bottom w:w="0" w:type="dxa"/>
            <w:right w:w="108" w:type="dxa"/>
          </w:tblCellMar>
        </w:tblPrEx>
        <w:trPr>
          <w:trHeight w:val="630"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B6ECEEC">
            <w:pPr>
              <w:jc w:val="center"/>
              <w:rPr>
                <w:color w:val="auto"/>
                <w:sz w:val="24"/>
                <w:highlight w:val="none"/>
              </w:rPr>
            </w:pPr>
            <w:r>
              <w:rPr>
                <w:rFonts w:hint="eastAsia"/>
                <w:color w:val="auto"/>
                <w:sz w:val="24"/>
                <w:highlight w:val="none"/>
              </w:rPr>
              <w:t>合同编号</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0AE71F28">
            <w:pPr>
              <w:rPr>
                <w:color w:val="auto"/>
                <w:sz w:val="24"/>
                <w:highlight w:val="none"/>
              </w:rPr>
            </w:pPr>
          </w:p>
        </w:tc>
      </w:tr>
      <w:tr w14:paraId="7C69A3DA">
        <w:tblPrEx>
          <w:tblCellMar>
            <w:top w:w="0" w:type="dxa"/>
            <w:left w:w="108" w:type="dxa"/>
            <w:bottom w:w="0" w:type="dxa"/>
            <w:right w:w="108" w:type="dxa"/>
          </w:tblCellMar>
        </w:tblPrEx>
        <w:trPr>
          <w:trHeight w:val="640" w:hRule="atLeast"/>
        </w:trPr>
        <w:tc>
          <w:tcPr>
            <w:tcW w:w="2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04806DED">
            <w:pPr>
              <w:jc w:val="center"/>
              <w:rPr>
                <w:color w:val="auto"/>
                <w:sz w:val="24"/>
                <w:highlight w:val="none"/>
              </w:rPr>
            </w:pPr>
            <w:r>
              <w:rPr>
                <w:rFonts w:hint="eastAsia"/>
                <w:color w:val="auto"/>
                <w:sz w:val="24"/>
                <w:highlight w:val="none"/>
              </w:rPr>
              <w:t>合同总货款</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4CAA2440">
            <w:pPr>
              <w:rPr>
                <w:color w:val="auto"/>
                <w:sz w:val="24"/>
                <w:highlight w:val="none"/>
              </w:rPr>
            </w:pPr>
            <w:r>
              <w:rPr>
                <w:rFonts w:hint="eastAsia"/>
                <w:color w:val="auto"/>
                <w:sz w:val="24"/>
                <w:highlight w:val="none"/>
              </w:rPr>
              <w:t>人民币：             元</w:t>
            </w:r>
          </w:p>
        </w:tc>
      </w:tr>
      <w:tr w14:paraId="192CBFD2">
        <w:tblPrEx>
          <w:tblCellMar>
            <w:top w:w="0" w:type="dxa"/>
            <w:left w:w="108" w:type="dxa"/>
            <w:bottom w:w="0" w:type="dxa"/>
            <w:right w:w="108" w:type="dxa"/>
          </w:tblCellMar>
        </w:tblPrEx>
        <w:trPr>
          <w:trHeight w:val="658"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488C7966">
            <w:pPr>
              <w:jc w:val="center"/>
              <w:rPr>
                <w:color w:val="auto"/>
                <w:sz w:val="24"/>
                <w:highlight w:val="none"/>
              </w:rPr>
            </w:pPr>
            <w:r>
              <w:rPr>
                <w:rFonts w:hint="eastAsia"/>
                <w:color w:val="auto"/>
                <w:sz w:val="24"/>
                <w:highlight w:val="none"/>
              </w:rPr>
              <w:t>履约保证金金额</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7809F2E5">
            <w:pPr>
              <w:rPr>
                <w:color w:val="auto"/>
                <w:sz w:val="24"/>
                <w:highlight w:val="none"/>
              </w:rPr>
            </w:pPr>
            <w:r>
              <w:rPr>
                <w:rFonts w:hint="eastAsia"/>
                <w:color w:val="auto"/>
                <w:sz w:val="24"/>
                <w:highlight w:val="none"/>
              </w:rPr>
              <w:t>人民币：             元</w:t>
            </w:r>
          </w:p>
        </w:tc>
      </w:tr>
      <w:tr w14:paraId="6577A822">
        <w:tblPrEx>
          <w:tblCellMar>
            <w:top w:w="0" w:type="dxa"/>
            <w:left w:w="108" w:type="dxa"/>
            <w:bottom w:w="0" w:type="dxa"/>
            <w:right w:w="108" w:type="dxa"/>
          </w:tblCellMar>
        </w:tblPrEx>
        <w:trPr>
          <w:trHeight w:val="464"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40FE177">
            <w:pPr>
              <w:jc w:val="center"/>
              <w:rPr>
                <w:color w:val="auto"/>
                <w:sz w:val="24"/>
                <w:highlight w:val="none"/>
              </w:rPr>
            </w:pPr>
            <w:r>
              <w:rPr>
                <w:rFonts w:hint="eastAsia"/>
                <w:color w:val="auto"/>
                <w:sz w:val="24"/>
                <w:highlight w:val="none"/>
              </w:rPr>
              <w:t>收款单位</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3AF1A761">
            <w:pPr>
              <w:rPr>
                <w:color w:val="auto"/>
                <w:sz w:val="24"/>
                <w:highlight w:val="none"/>
              </w:rPr>
            </w:pPr>
          </w:p>
        </w:tc>
      </w:tr>
      <w:tr w14:paraId="51EA8A40">
        <w:tblPrEx>
          <w:tblCellMar>
            <w:top w:w="0" w:type="dxa"/>
            <w:left w:w="108" w:type="dxa"/>
            <w:bottom w:w="0" w:type="dxa"/>
            <w:right w:w="108" w:type="dxa"/>
          </w:tblCellMar>
        </w:tblPrEx>
        <w:trPr>
          <w:trHeight w:val="586" w:hRule="atLeast"/>
        </w:trPr>
        <w:tc>
          <w:tcPr>
            <w:tcW w:w="2647" w:type="dxa"/>
            <w:vMerge w:val="restart"/>
            <w:tcBorders>
              <w:top w:val="single" w:color="000000" w:sz="4" w:space="0"/>
              <w:left w:val="single" w:color="000000" w:sz="4" w:space="0"/>
              <w:bottom w:val="single" w:color="000000" w:sz="4" w:space="0"/>
              <w:right w:val="single" w:color="000000" w:sz="4" w:space="0"/>
            </w:tcBorders>
            <w:noWrap w:val="0"/>
            <w:vAlign w:val="center"/>
          </w:tcPr>
          <w:p w14:paraId="3A609686">
            <w:pPr>
              <w:jc w:val="center"/>
              <w:rPr>
                <w:color w:val="auto"/>
                <w:sz w:val="24"/>
                <w:highlight w:val="none"/>
              </w:rPr>
            </w:pPr>
            <w:r>
              <w:rPr>
                <w:rFonts w:hint="eastAsia"/>
                <w:color w:val="auto"/>
                <w:sz w:val="24"/>
                <w:highlight w:val="none"/>
              </w:rPr>
              <w:t>开户行账号</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7179237A">
            <w:pPr>
              <w:rPr>
                <w:color w:val="auto"/>
                <w:sz w:val="24"/>
                <w:highlight w:val="none"/>
              </w:rPr>
            </w:pPr>
            <w:r>
              <w:rPr>
                <w:rFonts w:hint="eastAsia"/>
                <w:color w:val="auto"/>
                <w:sz w:val="24"/>
                <w:highlight w:val="none"/>
              </w:rPr>
              <w:t xml:space="preserve">开户行： </w:t>
            </w:r>
          </w:p>
        </w:tc>
      </w:tr>
      <w:tr w14:paraId="21AA7F40">
        <w:tblPrEx>
          <w:tblCellMar>
            <w:top w:w="0" w:type="dxa"/>
            <w:left w:w="108" w:type="dxa"/>
            <w:bottom w:w="0" w:type="dxa"/>
            <w:right w:w="108" w:type="dxa"/>
          </w:tblCellMar>
        </w:tblPrEx>
        <w:trPr>
          <w:trHeight w:val="594" w:hRule="atLeast"/>
        </w:trPr>
        <w:tc>
          <w:tcPr>
            <w:tcW w:w="26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712BCD">
            <w:pPr>
              <w:jc w:val="center"/>
              <w:rPr>
                <w:color w:val="auto"/>
                <w:sz w:val="24"/>
                <w:highlight w:val="none"/>
              </w:rPr>
            </w:pP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6580F1F7">
            <w:pPr>
              <w:rPr>
                <w:color w:val="auto"/>
                <w:sz w:val="24"/>
                <w:highlight w:val="none"/>
              </w:rPr>
            </w:pPr>
            <w:r>
              <w:rPr>
                <w:rFonts w:hint="eastAsia"/>
                <w:color w:val="auto"/>
                <w:sz w:val="24"/>
                <w:highlight w:val="none"/>
              </w:rPr>
              <w:t>账  号</w:t>
            </w:r>
            <w:r>
              <w:rPr>
                <w:color w:val="auto"/>
                <w:sz w:val="24"/>
                <w:highlight w:val="none"/>
              </w:rPr>
              <w:t>：</w:t>
            </w:r>
          </w:p>
        </w:tc>
      </w:tr>
      <w:tr w14:paraId="4333F467">
        <w:tblPrEx>
          <w:tblCellMar>
            <w:top w:w="0" w:type="dxa"/>
            <w:left w:w="108" w:type="dxa"/>
            <w:bottom w:w="0" w:type="dxa"/>
            <w:right w:w="108" w:type="dxa"/>
          </w:tblCellMar>
        </w:tblPrEx>
        <w:trPr>
          <w:trHeight w:val="1562"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19E1E0A">
            <w:pPr>
              <w:jc w:val="center"/>
              <w:rPr>
                <w:color w:val="auto"/>
                <w:sz w:val="24"/>
                <w:highlight w:val="none"/>
              </w:rPr>
            </w:pPr>
            <w:r>
              <w:rPr>
                <w:rFonts w:hint="eastAsia"/>
                <w:color w:val="auto"/>
                <w:sz w:val="24"/>
                <w:highlight w:val="none"/>
              </w:rPr>
              <w:t>实验室（系）意见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257CF488">
            <w:pPr>
              <w:ind w:firstLine="480"/>
              <w:rPr>
                <w:color w:val="auto"/>
                <w:sz w:val="24"/>
                <w:highlight w:val="none"/>
              </w:rPr>
            </w:pPr>
            <w:r>
              <w:rPr>
                <w:rFonts w:hint="eastAsia"/>
                <w:color w:val="auto"/>
                <w:sz w:val="24"/>
                <w:highlight w:val="none"/>
              </w:rPr>
              <w:t>自验收合格之日起，已正常使用满一年且无违约情况发生。</w:t>
            </w:r>
          </w:p>
          <w:p w14:paraId="5177617A">
            <w:pPr>
              <w:rPr>
                <w:color w:val="auto"/>
                <w:sz w:val="24"/>
                <w:highlight w:val="none"/>
              </w:rPr>
            </w:pPr>
          </w:p>
          <w:p w14:paraId="3707189D">
            <w:pPr>
              <w:ind w:right="960" w:firstLine="360"/>
              <w:jc w:val="center"/>
              <w:rPr>
                <w:color w:val="auto"/>
                <w:sz w:val="24"/>
                <w:highlight w:val="none"/>
              </w:rPr>
            </w:pPr>
            <w:r>
              <w:rPr>
                <w:rFonts w:hint="eastAsia"/>
                <w:color w:val="auto"/>
                <w:sz w:val="24"/>
                <w:highlight w:val="none"/>
              </w:rPr>
              <w:t xml:space="preserve">                           签名：</w:t>
            </w:r>
          </w:p>
        </w:tc>
      </w:tr>
      <w:tr w14:paraId="20310B55">
        <w:tblPrEx>
          <w:tblCellMar>
            <w:top w:w="0" w:type="dxa"/>
            <w:left w:w="108" w:type="dxa"/>
            <w:bottom w:w="0" w:type="dxa"/>
            <w:right w:w="108" w:type="dxa"/>
          </w:tblCellMar>
        </w:tblPrEx>
        <w:trPr>
          <w:trHeight w:val="666"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670B2BE8">
            <w:pPr>
              <w:jc w:val="center"/>
              <w:rPr>
                <w:color w:val="auto"/>
                <w:sz w:val="24"/>
                <w:highlight w:val="none"/>
              </w:rPr>
            </w:pPr>
            <w:r>
              <w:rPr>
                <w:rFonts w:hint="eastAsia"/>
                <w:color w:val="auto"/>
                <w:sz w:val="24"/>
                <w:highlight w:val="none"/>
              </w:rPr>
              <w:t>物资保障科意见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0928A70A">
            <w:pPr>
              <w:rPr>
                <w:color w:val="auto"/>
                <w:sz w:val="24"/>
                <w:highlight w:val="none"/>
              </w:rPr>
            </w:pPr>
          </w:p>
        </w:tc>
      </w:tr>
      <w:tr w14:paraId="18C8617E">
        <w:tblPrEx>
          <w:tblCellMar>
            <w:top w:w="0" w:type="dxa"/>
            <w:left w:w="108" w:type="dxa"/>
            <w:bottom w:w="0" w:type="dxa"/>
            <w:right w:w="108" w:type="dxa"/>
          </w:tblCellMar>
        </w:tblPrEx>
        <w:trPr>
          <w:trHeight w:val="1525" w:hRule="atLeast"/>
        </w:trPr>
        <w:tc>
          <w:tcPr>
            <w:tcW w:w="2647" w:type="dxa"/>
            <w:tcBorders>
              <w:top w:val="single" w:color="000000" w:sz="4" w:space="0"/>
              <w:left w:val="single" w:color="000000" w:sz="4" w:space="0"/>
              <w:bottom w:val="single" w:color="000000" w:sz="4" w:space="0"/>
              <w:right w:val="single" w:color="000000" w:sz="4" w:space="0"/>
            </w:tcBorders>
            <w:noWrap w:val="0"/>
            <w:vAlign w:val="center"/>
          </w:tcPr>
          <w:p w14:paraId="4306F82A">
            <w:pPr>
              <w:jc w:val="center"/>
              <w:rPr>
                <w:color w:val="auto"/>
                <w:sz w:val="24"/>
                <w:highlight w:val="none"/>
              </w:rPr>
            </w:pPr>
            <w:r>
              <w:rPr>
                <w:rFonts w:hint="eastAsia"/>
                <w:color w:val="auto"/>
                <w:sz w:val="24"/>
                <w:highlight w:val="none"/>
              </w:rPr>
              <w:t>资产与产业管理处意见</w:t>
            </w:r>
          </w:p>
        </w:tc>
        <w:tc>
          <w:tcPr>
            <w:tcW w:w="5936" w:type="dxa"/>
            <w:tcBorders>
              <w:top w:val="single" w:color="000000" w:sz="4" w:space="0"/>
              <w:left w:val="single" w:color="000000" w:sz="4" w:space="0"/>
              <w:bottom w:val="single" w:color="000000" w:sz="4" w:space="0"/>
              <w:right w:val="single" w:color="000000" w:sz="4" w:space="0"/>
            </w:tcBorders>
            <w:noWrap w:val="0"/>
            <w:vAlign w:val="center"/>
          </w:tcPr>
          <w:p w14:paraId="28C3A82F">
            <w:pPr>
              <w:rPr>
                <w:color w:val="auto"/>
                <w:sz w:val="24"/>
                <w:highlight w:val="none"/>
              </w:rPr>
            </w:pPr>
          </w:p>
          <w:p w14:paraId="4B23BEFC">
            <w:pPr>
              <w:rPr>
                <w:color w:val="auto"/>
                <w:sz w:val="24"/>
                <w:highlight w:val="none"/>
              </w:rPr>
            </w:pPr>
          </w:p>
          <w:p w14:paraId="15FDAF0B">
            <w:pPr>
              <w:ind w:firstLine="3960"/>
              <w:rPr>
                <w:color w:val="auto"/>
                <w:sz w:val="24"/>
                <w:highlight w:val="none"/>
              </w:rPr>
            </w:pPr>
          </w:p>
        </w:tc>
      </w:tr>
    </w:tbl>
    <w:p w14:paraId="17265084">
      <w:pPr>
        <w:pStyle w:val="201"/>
        <w:ind w:firstLine="560"/>
        <w:rPr>
          <w:rFonts w:asciiTheme="minorEastAsia" w:hAnsiTheme="minorEastAsia" w:eastAsiaTheme="minorEastAsia"/>
          <w:color w:val="auto"/>
          <w:sz w:val="28"/>
          <w:szCs w:val="28"/>
          <w:highlight w:val="none"/>
        </w:rPr>
      </w:pPr>
    </w:p>
    <w:p w14:paraId="154876F4">
      <w:pPr>
        <w:pStyle w:val="201"/>
        <w:ind w:firstLine="560"/>
        <w:rPr>
          <w:rFonts w:asciiTheme="minorEastAsia" w:hAnsiTheme="minorEastAsia" w:eastAsiaTheme="minorEastAsia"/>
          <w:color w:val="auto"/>
          <w:sz w:val="28"/>
          <w:szCs w:val="28"/>
          <w:highlight w:val="none"/>
        </w:rPr>
      </w:pPr>
    </w:p>
    <w:p w14:paraId="3F141513">
      <w:pPr>
        <w:pStyle w:val="2"/>
        <w:pageBreakBefore/>
        <w:spacing w:after="120"/>
        <w:jc w:val="center"/>
        <w:rPr>
          <w:rFonts w:asciiTheme="majorEastAsia" w:hAnsiTheme="majorEastAsia" w:eastAsiaTheme="majorEastAsia" w:cstheme="minorBidi"/>
          <w:b/>
          <w:color w:val="auto"/>
          <w:sz w:val="36"/>
          <w:szCs w:val="36"/>
          <w:highlight w:val="none"/>
        </w:rPr>
      </w:pPr>
      <w:bookmarkStart w:id="70" w:name="_Toc804"/>
      <w:r>
        <w:rPr>
          <w:rFonts w:hint="eastAsia" w:asciiTheme="majorEastAsia" w:hAnsiTheme="majorEastAsia" w:eastAsiaTheme="majorEastAsia" w:cstheme="minorBidi"/>
          <w:b/>
          <w:color w:val="auto"/>
          <w:sz w:val="32"/>
          <w:szCs w:val="32"/>
          <w:highlight w:val="none"/>
        </w:rPr>
        <w:t>第六章  投标文件格式</w:t>
      </w:r>
      <w:bookmarkEnd w:id="70"/>
    </w:p>
    <w:p w14:paraId="01999DED">
      <w:pPr>
        <w:jc w:val="center"/>
        <w:rPr>
          <w:rFonts w:asciiTheme="majorEastAsia" w:hAnsiTheme="majorEastAsia" w:eastAsiaTheme="majorEastAsia"/>
          <w:b/>
          <w:color w:val="auto"/>
          <w:sz w:val="36"/>
          <w:szCs w:val="36"/>
          <w:highlight w:val="none"/>
        </w:rPr>
      </w:pPr>
      <w:bookmarkStart w:id="71" w:name="_Hlt26671244"/>
      <w:bookmarkEnd w:id="71"/>
      <w:bookmarkStart w:id="72" w:name="_Hlt26955039"/>
      <w:bookmarkEnd w:id="72"/>
      <w:bookmarkStart w:id="73" w:name="_Toc26554094"/>
      <w:bookmarkStart w:id="74" w:name="_Toc120614282"/>
      <w:bookmarkStart w:id="75" w:name="_Toc49090576"/>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具体格式以系统内为准</w:t>
      </w:r>
      <w:r>
        <w:rPr>
          <w:rFonts w:hint="eastAsia" w:ascii="宋体" w:hAnsi="宋体" w:cs="宋体"/>
          <w:b/>
          <w:color w:val="auto"/>
          <w:sz w:val="28"/>
          <w:szCs w:val="28"/>
          <w:highlight w:val="none"/>
          <w:lang w:eastAsia="zh-CN"/>
        </w:rPr>
        <w:t>）</w:t>
      </w:r>
    </w:p>
    <w:p w14:paraId="4D18F7A4">
      <w:pPr>
        <w:jc w:val="center"/>
        <w:rPr>
          <w:rFonts w:ascii="微软雅黑" w:hAnsi="微软雅黑" w:cs="微软雅黑"/>
          <w:b/>
          <w:color w:val="auto"/>
          <w:sz w:val="44"/>
          <w:szCs w:val="44"/>
          <w:highlight w:val="none"/>
        </w:rPr>
      </w:pPr>
      <w:r>
        <w:rPr>
          <w:rFonts w:hint="eastAsia" w:ascii="微软雅黑" w:hAnsi="微软雅黑" w:cs="微软雅黑"/>
          <w:b/>
          <w:color w:val="auto"/>
          <w:sz w:val="44"/>
          <w:szCs w:val="44"/>
          <w:highlight w:val="none"/>
        </w:rPr>
        <w:t>投  标  文  件</w:t>
      </w:r>
    </w:p>
    <w:p w14:paraId="4D8F7B0A">
      <w:pPr>
        <w:ind w:firstLine="482"/>
        <w:jc w:val="center"/>
        <w:rPr>
          <w:rFonts w:ascii="宋体" w:hAnsi="宋体" w:cs="宋体"/>
          <w:b/>
          <w:color w:val="auto"/>
          <w:sz w:val="24"/>
          <w:szCs w:val="24"/>
          <w:highlight w:val="none"/>
        </w:rPr>
      </w:pPr>
    </w:p>
    <w:p w14:paraId="2EB7DA43">
      <w:pPr>
        <w:ind w:firstLine="482"/>
        <w:jc w:val="center"/>
        <w:rPr>
          <w:rFonts w:ascii="宋体" w:hAnsi="宋体" w:cs="宋体"/>
          <w:b/>
          <w:color w:val="auto"/>
          <w:sz w:val="24"/>
          <w:szCs w:val="24"/>
          <w:highlight w:val="none"/>
        </w:rPr>
      </w:pPr>
    </w:p>
    <w:p w14:paraId="7C34D070">
      <w:pPr>
        <w:ind w:firstLine="482"/>
        <w:jc w:val="center"/>
        <w:rPr>
          <w:rFonts w:ascii="宋体" w:hAnsi="宋体" w:cs="宋体"/>
          <w:b/>
          <w:color w:val="auto"/>
          <w:sz w:val="24"/>
          <w:szCs w:val="24"/>
          <w:highlight w:val="none"/>
        </w:rPr>
      </w:pPr>
    </w:p>
    <w:p w14:paraId="1CE9FB9A">
      <w:pPr>
        <w:ind w:firstLine="482"/>
        <w:jc w:val="center"/>
        <w:rPr>
          <w:rFonts w:ascii="宋体" w:hAnsi="宋体" w:cs="宋体"/>
          <w:b/>
          <w:color w:val="auto"/>
          <w:sz w:val="24"/>
          <w:szCs w:val="24"/>
          <w:highlight w:val="none"/>
        </w:rPr>
      </w:pPr>
    </w:p>
    <w:p w14:paraId="31C2F550">
      <w:pPr>
        <w:ind w:firstLine="560"/>
        <w:rPr>
          <w:rFonts w:ascii="微软雅黑" w:hAnsi="微软雅黑" w:cs="微软雅黑"/>
          <w:b/>
          <w:color w:val="auto"/>
          <w:sz w:val="28"/>
          <w:szCs w:val="28"/>
          <w:highlight w:val="none"/>
        </w:rPr>
      </w:pPr>
      <w:r>
        <w:rPr>
          <w:color w:val="auto"/>
          <w:sz w:val="28"/>
          <w:highlight w:val="none"/>
        </w:rPr>
        <mc:AlternateContent>
          <mc:Choice Requires="wps">
            <w:drawing>
              <wp:anchor distT="0" distB="0" distL="114300" distR="114300" simplePos="0" relativeHeight="251659264" behindDoc="0" locked="0" layoutInCell="1" allowOverlap="1">
                <wp:simplePos x="0" y="0"/>
                <wp:positionH relativeFrom="column">
                  <wp:posOffset>1602105</wp:posOffset>
                </wp:positionH>
                <wp:positionV relativeFrom="paragraph">
                  <wp:posOffset>240665</wp:posOffset>
                </wp:positionV>
                <wp:extent cx="3389630" cy="635"/>
                <wp:effectExtent l="0" t="0" r="0" b="0"/>
                <wp:wrapNone/>
                <wp:docPr id="1" name="直线 8"/>
                <wp:cNvGraphicFramePr/>
                <a:graphic xmlns:a="http://schemas.openxmlformats.org/drawingml/2006/main">
                  <a:graphicData uri="http://schemas.microsoft.com/office/word/2010/wordprocessingShape">
                    <wps:wsp>
                      <wps:cNvCnPr/>
                      <wps:spPr bwMode="auto">
                        <a:xfrm>
                          <a:off x="0" y="0"/>
                          <a:ext cx="338963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8" o:spid="_x0000_s1026" o:spt="20" style="position:absolute;left:0pt;margin-left:126.15pt;margin-top:18.95pt;height:0.05pt;width:266.9pt;z-index:251659264;mso-width-relative:page;mso-height-relative:page;" filled="f" stroked="t" coordsize="21600,21600" o:gfxdata="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fTGcr2AAAAAkBAAAPAAAAAAAAAAEAIAAAACIAAABkcnMvZG93bnJldi54&#10;bWxQSwECFAAUAAAACACHTuJA6c5Bi/oBAAABBAAADgAAAAAAAAABACAAAAAnAQAAZHJzL2Uyb0Rv&#10;Yy54bWxQSwUGAAAAAAYABgBZAQAAkwUAAAAA&#10;">
                <v:fill on="f" focussize="0,0"/>
                <v:stroke color="#000000" joinstyle="round"/>
                <v:imagedata o:title=""/>
                <o:lock v:ext="edit" aspectratio="f"/>
              </v:line>
            </w:pict>
          </mc:Fallback>
        </mc:AlternateContent>
      </w:r>
      <w:r>
        <w:rPr>
          <w:rFonts w:hint="eastAsia" w:ascii="微软雅黑" w:hAnsi="微软雅黑" w:cs="微软雅黑"/>
          <w:b/>
          <w:color w:val="auto"/>
          <w:sz w:val="28"/>
          <w:szCs w:val="28"/>
          <w:highlight w:val="none"/>
        </w:rPr>
        <w:t>项 目 名 称：</w:t>
      </w:r>
    </w:p>
    <w:p w14:paraId="1BABBAEF">
      <w:pPr>
        <w:ind w:firstLine="560"/>
        <w:rPr>
          <w:rFonts w:ascii="微软雅黑" w:hAnsi="微软雅黑" w:cs="微软雅黑"/>
          <w:b/>
          <w:color w:val="auto"/>
          <w:sz w:val="28"/>
          <w:szCs w:val="28"/>
          <w:highlight w:val="none"/>
        </w:rPr>
      </w:pPr>
      <w:r>
        <w:rPr>
          <w:color w:val="auto"/>
          <w:sz w:val="28"/>
          <w:highlight w:val="none"/>
        </w:rPr>
        <mc:AlternateContent>
          <mc:Choice Requires="wps">
            <w:drawing>
              <wp:anchor distT="0" distB="0" distL="114300" distR="114300" simplePos="0" relativeHeight="251660288" behindDoc="0" locked="0" layoutInCell="1" allowOverlap="1">
                <wp:simplePos x="0" y="0"/>
                <wp:positionH relativeFrom="column">
                  <wp:posOffset>1579245</wp:posOffset>
                </wp:positionH>
                <wp:positionV relativeFrom="paragraph">
                  <wp:posOffset>304165</wp:posOffset>
                </wp:positionV>
                <wp:extent cx="3389630" cy="635"/>
                <wp:effectExtent l="0" t="0" r="0" b="0"/>
                <wp:wrapNone/>
                <wp:docPr id="2" name="直线 9"/>
                <wp:cNvGraphicFramePr/>
                <a:graphic xmlns:a="http://schemas.openxmlformats.org/drawingml/2006/main">
                  <a:graphicData uri="http://schemas.microsoft.com/office/word/2010/wordprocessingShape">
                    <wps:wsp>
                      <wps:cNvCnPr/>
                      <wps:spPr bwMode="auto">
                        <a:xfrm>
                          <a:off x="0" y="0"/>
                          <a:ext cx="338963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9" o:spid="_x0000_s1026" o:spt="20" style="position:absolute;left:0pt;margin-left:124.35pt;margin-top:23.95pt;height:0.05pt;width:266.9pt;z-index:251660288;mso-width-relative:page;mso-height-relative:page;" filled="f" stroked="t" coordsize="21600,21600" o:gfxdata="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1Zxk2AAAAAkBAAAPAAAAAAAAAAEAIAAAACIAAABkcnMvZG93bnJldi54&#10;bWxQSwECFAAUAAAACACHTuJA33lYKfoBAAABBAAADgAAAAAAAAABACAAAAAnAQAAZHJzL2Uyb0Rv&#10;Yy54bWxQSwUGAAAAAAYABgBZAQAAkwUAAAAA&#10;">
                <v:fill on="f" focussize="0,0"/>
                <v:stroke color="#000000" joinstyle="round"/>
                <v:imagedata o:title=""/>
                <o:lock v:ext="edit" aspectratio="f"/>
              </v:line>
            </w:pict>
          </mc:Fallback>
        </mc:AlternateContent>
      </w:r>
      <w:r>
        <w:rPr>
          <w:rFonts w:hint="eastAsia" w:ascii="微软雅黑" w:hAnsi="微软雅黑" w:cs="微软雅黑"/>
          <w:b/>
          <w:color w:val="auto"/>
          <w:sz w:val="28"/>
          <w:szCs w:val="28"/>
          <w:highlight w:val="none"/>
        </w:rPr>
        <w:t>项 目 编 号：</w:t>
      </w:r>
    </w:p>
    <w:p w14:paraId="5F047F0F">
      <w:pPr>
        <w:ind w:firstLine="560"/>
        <w:rPr>
          <w:rFonts w:ascii="微软雅黑" w:hAnsi="微软雅黑" w:cs="微软雅黑"/>
          <w:b/>
          <w:color w:val="auto"/>
          <w:sz w:val="28"/>
          <w:szCs w:val="28"/>
          <w:highlight w:val="none"/>
          <w:u w:val="single"/>
        </w:rPr>
      </w:pPr>
      <w:r>
        <w:rPr>
          <w:color w:val="auto"/>
          <w:sz w:val="28"/>
          <w:highlight w:val="none"/>
        </w:rPr>
        <mc:AlternateContent>
          <mc:Choice Requires="wps">
            <w:drawing>
              <wp:anchor distT="0" distB="0" distL="114300" distR="114300" simplePos="0" relativeHeight="251661312" behindDoc="0" locked="0" layoutInCell="1" allowOverlap="1">
                <wp:simplePos x="0" y="0"/>
                <wp:positionH relativeFrom="column">
                  <wp:posOffset>1617345</wp:posOffset>
                </wp:positionH>
                <wp:positionV relativeFrom="paragraph">
                  <wp:posOffset>337185</wp:posOffset>
                </wp:positionV>
                <wp:extent cx="3389630" cy="635"/>
                <wp:effectExtent l="0" t="0" r="0" b="0"/>
                <wp:wrapNone/>
                <wp:docPr id="3" name="直线 10"/>
                <wp:cNvGraphicFramePr/>
                <a:graphic xmlns:a="http://schemas.openxmlformats.org/drawingml/2006/main">
                  <a:graphicData uri="http://schemas.microsoft.com/office/word/2010/wordprocessingShape">
                    <wps:wsp>
                      <wps:cNvCnPr/>
                      <wps:spPr bwMode="auto">
                        <a:xfrm>
                          <a:off x="0" y="0"/>
                          <a:ext cx="338963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10" o:spid="_x0000_s1026" o:spt="20" style="position:absolute;left:0pt;margin-left:127.35pt;margin-top:26.55pt;height:0.05pt;width:266.9pt;z-index:251661312;mso-width-relative:page;mso-height-relative:page;" filled="f" stroked="t" coordsize="21600,21600" o:gfxdata="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otug2AAAAAkBAAAPAAAAAAAAAAEAIAAAACIAAABkcnMvZG93bnJldi54&#10;bWxQSwECFAAUAAAACACHTuJA5Jhgn/oBAAACBAAADgAAAAAAAAABACAAAAAnAQAAZHJzL2Uyb0Rv&#10;Yy54bWxQSwUGAAAAAAYABgBZAQAAkwUAAAAA&#10;">
                <v:fill on="f" focussize="0,0"/>
                <v:stroke color="#000000" joinstyle="round"/>
                <v:imagedata o:title=""/>
                <o:lock v:ext="edit" aspectratio="f"/>
              </v:line>
            </w:pict>
          </mc:Fallback>
        </mc:AlternateContent>
      </w:r>
      <w:r>
        <w:rPr>
          <w:rFonts w:hint="eastAsia" w:ascii="微软雅黑" w:hAnsi="微软雅黑" w:cs="微软雅黑"/>
          <w:b/>
          <w:color w:val="auto"/>
          <w:sz w:val="28"/>
          <w:szCs w:val="28"/>
          <w:highlight w:val="none"/>
        </w:rPr>
        <w:t>投标人名称 ：</w:t>
      </w:r>
    </w:p>
    <w:p w14:paraId="742B2809">
      <w:pPr>
        <w:ind w:firstLine="562"/>
        <w:rPr>
          <w:rFonts w:ascii="微软雅黑" w:hAnsi="微软雅黑" w:cs="微软雅黑"/>
          <w:b/>
          <w:color w:val="auto"/>
          <w:sz w:val="28"/>
          <w:szCs w:val="28"/>
          <w:highlight w:val="none"/>
        </w:rPr>
      </w:pPr>
      <w:r>
        <w:rPr>
          <w:rFonts w:hint="eastAsia" w:ascii="微软雅黑" w:hAnsi="微软雅黑" w:cs="微软雅黑"/>
          <w:b/>
          <w:color w:val="auto"/>
          <w:sz w:val="28"/>
          <w:szCs w:val="28"/>
          <w:highlight w:val="none"/>
        </w:rPr>
        <w:t xml:space="preserve">     </w:t>
      </w:r>
    </w:p>
    <w:p w14:paraId="372E8846">
      <w:pPr>
        <w:ind w:firstLine="562"/>
        <w:rPr>
          <w:rFonts w:ascii="微软雅黑" w:hAnsi="微软雅黑" w:cs="微软雅黑"/>
          <w:b/>
          <w:color w:val="auto"/>
          <w:sz w:val="28"/>
          <w:szCs w:val="28"/>
          <w:highlight w:val="none"/>
        </w:rPr>
      </w:pPr>
    </w:p>
    <w:p w14:paraId="45FB1033">
      <w:pPr>
        <w:ind w:firstLine="562"/>
        <w:rPr>
          <w:rFonts w:ascii="微软雅黑" w:hAnsi="微软雅黑" w:cs="微软雅黑"/>
          <w:b/>
          <w:color w:val="auto"/>
          <w:sz w:val="28"/>
          <w:szCs w:val="28"/>
          <w:highlight w:val="none"/>
        </w:rPr>
      </w:pPr>
    </w:p>
    <w:p w14:paraId="08E92CBC">
      <w:pPr>
        <w:ind w:firstLine="562"/>
        <w:jc w:val="center"/>
        <w:rPr>
          <w:rFonts w:ascii="微软雅黑" w:hAnsi="微软雅黑" w:cs="微软雅黑"/>
          <w:b/>
          <w:color w:val="auto"/>
          <w:sz w:val="28"/>
          <w:szCs w:val="28"/>
          <w:highlight w:val="none"/>
        </w:rPr>
      </w:pPr>
      <w:r>
        <w:rPr>
          <w:rFonts w:hint="eastAsia" w:ascii="微软雅黑" w:hAnsi="微软雅黑" w:cs="微软雅黑"/>
          <w:b/>
          <w:color w:val="auto"/>
          <w:sz w:val="28"/>
          <w:szCs w:val="28"/>
          <w:highlight w:val="none"/>
        </w:rPr>
        <w:t>年    月    日</w:t>
      </w:r>
    </w:p>
    <w:p w14:paraId="0C6F90E1">
      <w:pPr>
        <w:ind w:firstLine="482"/>
        <w:jc w:val="center"/>
        <w:rPr>
          <w:rFonts w:ascii="宋体" w:hAnsi="宋体" w:cs="宋体"/>
          <w:b/>
          <w:bCs/>
          <w:color w:val="auto"/>
          <w:sz w:val="24"/>
          <w:szCs w:val="24"/>
          <w:highlight w:val="none"/>
        </w:rPr>
      </w:pPr>
    </w:p>
    <w:p w14:paraId="6A31436C">
      <w:pPr>
        <w:ind w:firstLine="480"/>
        <w:rPr>
          <w:rFonts w:ascii="宋体" w:hAnsi="宋体" w:cs="宋体"/>
          <w:color w:val="auto"/>
          <w:sz w:val="24"/>
          <w:szCs w:val="24"/>
          <w:highlight w:val="none"/>
        </w:rPr>
      </w:pPr>
    </w:p>
    <w:p w14:paraId="451A7691">
      <w:pPr>
        <w:ind w:firstLine="723"/>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p>
    <w:p w14:paraId="07E42422">
      <w:pPr>
        <w:pStyle w:val="201"/>
        <w:ind w:left="0" w:firstLine="0"/>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目  录</w:t>
      </w:r>
    </w:p>
    <w:p w14:paraId="20D45C3D">
      <w:pPr>
        <w:pStyle w:val="201"/>
        <w:ind w:firstLine="723"/>
        <w:jc w:val="center"/>
        <w:rPr>
          <w:rFonts w:ascii="宋体" w:hAnsi="宋体" w:cs="宋体"/>
          <w:b/>
          <w:bCs/>
          <w:color w:val="auto"/>
          <w:sz w:val="36"/>
          <w:szCs w:val="36"/>
          <w:highlight w:val="none"/>
        </w:rPr>
      </w:pPr>
    </w:p>
    <w:p w14:paraId="48E23096">
      <w:pPr>
        <w:pStyle w:val="201"/>
        <w:ind w:firstLine="723"/>
        <w:jc w:val="center"/>
        <w:rPr>
          <w:rFonts w:ascii="宋体" w:hAnsi="宋体" w:cs="宋体"/>
          <w:b/>
          <w:bCs/>
          <w:color w:val="auto"/>
          <w:sz w:val="36"/>
          <w:szCs w:val="36"/>
          <w:highlight w:val="none"/>
        </w:rPr>
      </w:pPr>
    </w:p>
    <w:p w14:paraId="6A8D8292">
      <w:pPr>
        <w:pStyle w:val="201"/>
        <w:ind w:firstLine="723"/>
        <w:jc w:val="center"/>
        <w:rPr>
          <w:rFonts w:ascii="宋体" w:hAnsi="宋体" w:cs="宋体"/>
          <w:b/>
          <w:bCs/>
          <w:color w:val="auto"/>
          <w:sz w:val="36"/>
          <w:szCs w:val="36"/>
          <w:highlight w:val="none"/>
        </w:rPr>
      </w:pPr>
    </w:p>
    <w:p w14:paraId="47178ED2">
      <w:pPr>
        <w:pStyle w:val="201"/>
        <w:ind w:firstLine="723"/>
        <w:jc w:val="center"/>
        <w:rPr>
          <w:rFonts w:ascii="宋体" w:hAnsi="宋体" w:cs="宋体"/>
          <w:b/>
          <w:bCs/>
          <w:color w:val="auto"/>
          <w:sz w:val="36"/>
          <w:szCs w:val="36"/>
          <w:highlight w:val="none"/>
        </w:rPr>
      </w:pPr>
    </w:p>
    <w:p w14:paraId="487B3D43">
      <w:pPr>
        <w:pStyle w:val="201"/>
        <w:ind w:firstLine="723"/>
        <w:jc w:val="center"/>
        <w:rPr>
          <w:rFonts w:ascii="宋体" w:hAnsi="宋体" w:cs="宋体"/>
          <w:b/>
          <w:bCs/>
          <w:color w:val="auto"/>
          <w:sz w:val="36"/>
          <w:szCs w:val="36"/>
          <w:highlight w:val="none"/>
        </w:rPr>
      </w:pPr>
    </w:p>
    <w:p w14:paraId="4EC857D6">
      <w:pPr>
        <w:pStyle w:val="201"/>
        <w:ind w:firstLine="723"/>
        <w:jc w:val="center"/>
        <w:rPr>
          <w:rFonts w:ascii="宋体" w:hAnsi="宋体" w:cs="宋体"/>
          <w:b/>
          <w:bCs/>
          <w:color w:val="auto"/>
          <w:sz w:val="36"/>
          <w:szCs w:val="36"/>
          <w:highlight w:val="none"/>
        </w:rPr>
      </w:pPr>
    </w:p>
    <w:p w14:paraId="79B2E90B">
      <w:pPr>
        <w:pStyle w:val="201"/>
        <w:ind w:firstLine="723"/>
        <w:jc w:val="center"/>
        <w:rPr>
          <w:rFonts w:ascii="宋体" w:hAnsi="宋体" w:cs="宋体"/>
          <w:b/>
          <w:bCs/>
          <w:color w:val="auto"/>
          <w:sz w:val="36"/>
          <w:szCs w:val="36"/>
          <w:highlight w:val="none"/>
        </w:rPr>
      </w:pPr>
    </w:p>
    <w:p w14:paraId="1EFAA8A6">
      <w:pPr>
        <w:pStyle w:val="201"/>
        <w:ind w:firstLine="723"/>
        <w:jc w:val="center"/>
        <w:rPr>
          <w:rFonts w:ascii="宋体" w:hAnsi="宋体" w:cs="宋体"/>
          <w:b/>
          <w:bCs/>
          <w:color w:val="auto"/>
          <w:sz w:val="36"/>
          <w:szCs w:val="36"/>
          <w:highlight w:val="none"/>
        </w:rPr>
      </w:pPr>
    </w:p>
    <w:p w14:paraId="1154921A">
      <w:pPr>
        <w:pStyle w:val="201"/>
        <w:ind w:firstLine="723"/>
        <w:jc w:val="center"/>
        <w:rPr>
          <w:rFonts w:ascii="宋体" w:hAnsi="宋体" w:cs="宋体"/>
          <w:b/>
          <w:bCs/>
          <w:color w:val="auto"/>
          <w:sz w:val="36"/>
          <w:szCs w:val="36"/>
          <w:highlight w:val="none"/>
        </w:rPr>
      </w:pPr>
    </w:p>
    <w:p w14:paraId="00ED64E0">
      <w:pPr>
        <w:pStyle w:val="201"/>
        <w:ind w:firstLine="723"/>
        <w:jc w:val="center"/>
        <w:rPr>
          <w:rFonts w:ascii="宋体" w:hAnsi="宋体" w:cs="宋体"/>
          <w:b/>
          <w:bCs/>
          <w:color w:val="auto"/>
          <w:sz w:val="36"/>
          <w:szCs w:val="36"/>
          <w:highlight w:val="none"/>
        </w:rPr>
      </w:pPr>
    </w:p>
    <w:p w14:paraId="1BAB1F90">
      <w:pPr>
        <w:pStyle w:val="201"/>
        <w:ind w:firstLine="723"/>
        <w:jc w:val="center"/>
        <w:rPr>
          <w:rFonts w:ascii="宋体" w:hAnsi="宋体" w:cs="宋体"/>
          <w:b/>
          <w:bCs/>
          <w:color w:val="auto"/>
          <w:sz w:val="36"/>
          <w:szCs w:val="36"/>
          <w:highlight w:val="none"/>
        </w:rPr>
      </w:pPr>
    </w:p>
    <w:p w14:paraId="4DF33FB3">
      <w:pPr>
        <w:pStyle w:val="201"/>
        <w:ind w:firstLine="723"/>
        <w:jc w:val="center"/>
        <w:rPr>
          <w:rFonts w:ascii="宋体" w:hAnsi="宋体" w:cs="宋体"/>
          <w:b/>
          <w:bCs/>
          <w:color w:val="auto"/>
          <w:sz w:val="36"/>
          <w:szCs w:val="36"/>
          <w:highlight w:val="none"/>
        </w:rPr>
      </w:pPr>
    </w:p>
    <w:p w14:paraId="0F265611">
      <w:pPr>
        <w:pStyle w:val="201"/>
        <w:ind w:firstLine="723"/>
        <w:jc w:val="center"/>
        <w:rPr>
          <w:rFonts w:ascii="宋体" w:hAnsi="宋体" w:cs="宋体"/>
          <w:b/>
          <w:bCs/>
          <w:color w:val="auto"/>
          <w:sz w:val="36"/>
          <w:szCs w:val="36"/>
          <w:highlight w:val="none"/>
        </w:rPr>
      </w:pPr>
    </w:p>
    <w:p w14:paraId="1D568CC3">
      <w:pPr>
        <w:pStyle w:val="201"/>
        <w:ind w:firstLine="723"/>
        <w:jc w:val="center"/>
        <w:rPr>
          <w:rFonts w:ascii="宋体" w:hAnsi="宋体" w:cs="宋体"/>
          <w:b/>
          <w:bCs/>
          <w:color w:val="auto"/>
          <w:sz w:val="36"/>
          <w:szCs w:val="36"/>
          <w:highlight w:val="none"/>
        </w:rPr>
      </w:pPr>
    </w:p>
    <w:p w14:paraId="02522D32">
      <w:pPr>
        <w:pStyle w:val="201"/>
        <w:ind w:firstLine="482"/>
        <w:jc w:val="both"/>
        <w:rPr>
          <w:rFonts w:ascii="宋体" w:hAnsi="宋体" w:cs="宋体"/>
          <w:b/>
          <w:bCs/>
          <w:color w:val="auto"/>
          <w:highlight w:val="none"/>
        </w:rPr>
      </w:pPr>
    </w:p>
    <w:p w14:paraId="71D1E30F">
      <w:pPr>
        <w:pStyle w:val="201"/>
        <w:ind w:firstLine="482"/>
        <w:jc w:val="both"/>
        <w:rPr>
          <w:rFonts w:ascii="宋体" w:hAnsi="宋体" w:cs="宋体"/>
          <w:b/>
          <w:bCs/>
          <w:color w:val="auto"/>
          <w:highlight w:val="none"/>
        </w:rPr>
      </w:pPr>
    </w:p>
    <w:p w14:paraId="6C5799A3">
      <w:pPr>
        <w:ind w:firstLine="482"/>
        <w:rPr>
          <w:rFonts w:ascii="宋体" w:hAnsi="宋体" w:cs="宋体"/>
          <w:b/>
          <w:bCs/>
          <w:color w:val="auto"/>
          <w:sz w:val="24"/>
          <w:szCs w:val="24"/>
          <w:highlight w:val="none"/>
        </w:rPr>
      </w:pPr>
      <w:bookmarkStart w:id="76" w:name="_Toc517190894"/>
      <w:r>
        <w:rPr>
          <w:rFonts w:hint="eastAsia" w:ascii="宋体" w:hAnsi="宋体" w:cs="宋体"/>
          <w:b/>
          <w:bCs/>
          <w:color w:val="auto"/>
          <w:sz w:val="24"/>
          <w:szCs w:val="24"/>
          <w:highlight w:val="none"/>
        </w:rPr>
        <w:t>附件一</w:t>
      </w:r>
    </w:p>
    <w:p w14:paraId="33D43DD5">
      <w:pPr>
        <w:ind w:firstLine="562"/>
        <w:jc w:val="center"/>
        <w:outlineLvl w:val="1"/>
        <w:rPr>
          <w:rFonts w:ascii="宋体" w:hAnsi="宋体" w:cs="宋体"/>
          <w:b/>
          <w:color w:val="auto"/>
          <w:sz w:val="28"/>
          <w:szCs w:val="28"/>
          <w:highlight w:val="none"/>
        </w:rPr>
      </w:pPr>
      <w:bookmarkStart w:id="77" w:name="_Toc20196"/>
      <w:r>
        <w:rPr>
          <w:rFonts w:hint="eastAsia" w:ascii="宋体" w:hAnsi="宋体" w:cs="宋体"/>
          <w:b/>
          <w:color w:val="auto"/>
          <w:sz w:val="28"/>
          <w:szCs w:val="28"/>
          <w:highlight w:val="none"/>
        </w:rPr>
        <w:t>投标函</w:t>
      </w:r>
      <w:bookmarkEnd w:id="76"/>
      <w:bookmarkEnd w:id="77"/>
    </w:p>
    <w:p w14:paraId="6FF51DCA">
      <w:pPr>
        <w:pStyle w:val="201"/>
        <w:rPr>
          <w:rFonts w:ascii="宋体" w:hAnsi="宋体" w:cs="宋体"/>
          <w:color w:val="auto"/>
          <w:highlight w:val="none"/>
        </w:rPr>
      </w:pPr>
      <w:r>
        <w:rPr>
          <w:rFonts w:hint="eastAsia" w:ascii="宋体" w:hAnsi="宋体" w:cs="宋体"/>
          <w:color w:val="auto"/>
          <w:highlight w:val="none"/>
        </w:rPr>
        <w:t>致：南京医科大学</w:t>
      </w:r>
    </w:p>
    <w:p w14:paraId="445A3111">
      <w:pPr>
        <w:pStyle w:val="201"/>
        <w:rPr>
          <w:rFonts w:ascii="宋体" w:hAnsi="宋体" w:cs="宋体"/>
          <w:color w:val="auto"/>
          <w:highlight w:val="none"/>
        </w:rPr>
      </w:pPr>
      <w:r>
        <w:rPr>
          <w:rFonts w:hint="eastAsia" w:ascii="宋体" w:hAnsi="宋体" w:cs="宋体"/>
          <w:color w:val="auto"/>
          <w:highlight w:val="none"/>
        </w:rPr>
        <w:t xml:space="preserve">根据贵方的 </w:t>
      </w:r>
      <w:r>
        <w:rPr>
          <w:rFonts w:hint="eastAsia" w:ascii="宋体" w:hAnsi="宋体" w:cs="宋体"/>
          <w:color w:val="auto"/>
          <w:highlight w:val="none"/>
          <w:u w:val="single"/>
        </w:rPr>
        <w:t xml:space="preserve">                     </w:t>
      </w:r>
      <w:r>
        <w:rPr>
          <w:rFonts w:hint="eastAsia" w:ascii="宋体" w:hAnsi="宋体" w:cs="宋体"/>
          <w:color w:val="auto"/>
          <w:highlight w:val="none"/>
        </w:rPr>
        <w:t>项目（项目编号：     ）招标文件，正式授权下述签字人_____________(姓名)代表我方_____________</w:t>
      </w:r>
      <w:r>
        <w:rPr>
          <w:rFonts w:hint="eastAsia" w:ascii="宋体" w:hAnsi="宋体" w:cs="宋体"/>
          <w:color w:val="auto"/>
          <w:highlight w:val="none"/>
          <w:u w:val="single"/>
        </w:rPr>
        <w:t xml:space="preserve">_       </w:t>
      </w:r>
      <w:r>
        <w:rPr>
          <w:rFonts w:hint="eastAsia" w:ascii="宋体" w:hAnsi="宋体" w:cs="宋体"/>
          <w:color w:val="auto"/>
          <w:highlight w:val="none"/>
        </w:rPr>
        <w:t>（投标人的名称），全权处理本次项目投标的有关事宜。</w:t>
      </w:r>
    </w:p>
    <w:p w14:paraId="16177411">
      <w:pPr>
        <w:pStyle w:val="201"/>
        <w:rPr>
          <w:rFonts w:ascii="宋体" w:hAnsi="宋体" w:cs="宋体"/>
          <w:color w:val="auto"/>
          <w:highlight w:val="none"/>
        </w:rPr>
      </w:pPr>
      <w:r>
        <w:rPr>
          <w:rFonts w:hint="eastAsia" w:ascii="宋体" w:hAnsi="宋体" w:cs="宋体"/>
          <w:color w:val="auto"/>
          <w:highlight w:val="none"/>
        </w:rPr>
        <w:t>据此函，我公司宣布同意如下：</w:t>
      </w:r>
    </w:p>
    <w:p w14:paraId="1C35FD85">
      <w:pPr>
        <w:pStyle w:val="201"/>
        <w:rPr>
          <w:rFonts w:ascii="宋体" w:hAnsi="宋体" w:cs="宋体"/>
          <w:color w:val="auto"/>
          <w:highlight w:val="none"/>
        </w:rPr>
      </w:pPr>
      <w:r>
        <w:rPr>
          <w:rFonts w:hint="eastAsia" w:ascii="宋体" w:hAnsi="宋体" w:cs="宋体"/>
          <w:color w:val="auto"/>
          <w:highlight w:val="none"/>
        </w:rPr>
        <w:t>1.按招标文件规定的各项要求，向买方提供所需货物与服务。</w:t>
      </w:r>
    </w:p>
    <w:p w14:paraId="6201139B">
      <w:pPr>
        <w:pStyle w:val="201"/>
        <w:rPr>
          <w:rFonts w:ascii="宋体" w:hAnsi="宋体" w:cs="宋体"/>
          <w:color w:val="auto"/>
          <w:highlight w:val="none"/>
        </w:rPr>
      </w:pPr>
      <w:r>
        <w:rPr>
          <w:rFonts w:hint="eastAsia" w:ascii="宋体" w:hAnsi="宋体" w:cs="宋体"/>
          <w:color w:val="auto"/>
          <w:highlight w:val="none"/>
        </w:rPr>
        <w:t>2.我们完全理解贵方不一定将合同授予最低报价的投标人。</w:t>
      </w:r>
    </w:p>
    <w:p w14:paraId="1D34D26C">
      <w:pPr>
        <w:pStyle w:val="201"/>
        <w:rPr>
          <w:rFonts w:ascii="宋体" w:hAnsi="宋体" w:cs="宋体"/>
          <w:color w:val="auto"/>
          <w:highlight w:val="none"/>
        </w:rPr>
      </w:pPr>
      <w:r>
        <w:rPr>
          <w:rFonts w:hint="eastAsia" w:ascii="宋体" w:hAnsi="宋体" w:cs="宋体"/>
          <w:color w:val="auto"/>
          <w:highlight w:val="none"/>
        </w:rPr>
        <w:t>3.我们已详细审核全部招标文件及其有效补充文件，我们知道必须放弃提出含糊不清或误解问题的权利。</w:t>
      </w:r>
    </w:p>
    <w:p w14:paraId="43A3DC22">
      <w:pPr>
        <w:pStyle w:val="201"/>
        <w:rPr>
          <w:rFonts w:ascii="宋体" w:hAnsi="宋体" w:cs="宋体"/>
          <w:color w:val="auto"/>
          <w:highlight w:val="none"/>
        </w:rPr>
      </w:pPr>
      <w:r>
        <w:rPr>
          <w:rFonts w:hint="eastAsia" w:ascii="宋体" w:hAnsi="宋体" w:cs="宋体"/>
          <w:color w:val="auto"/>
          <w:highlight w:val="none"/>
        </w:rPr>
        <w:t>4.我们同意从规定的开标日期起遵循本投标文件，并在规定的投标有效期</w:t>
      </w:r>
      <w:r>
        <w:rPr>
          <w:rFonts w:hint="eastAsia" w:ascii="宋体" w:hAnsi="宋体" w:cs="宋体"/>
          <w:color w:val="auto"/>
          <w:highlight w:val="none"/>
          <w:u w:val="single"/>
        </w:rPr>
        <w:t xml:space="preserve">      </w:t>
      </w:r>
      <w:r>
        <w:rPr>
          <w:rFonts w:hint="eastAsia" w:ascii="宋体" w:hAnsi="宋体" w:cs="宋体"/>
          <w:color w:val="auto"/>
          <w:highlight w:val="none"/>
        </w:rPr>
        <w:t>天期满之前均具有约束力。</w:t>
      </w:r>
    </w:p>
    <w:p w14:paraId="6B2677AF">
      <w:pPr>
        <w:pStyle w:val="201"/>
        <w:rPr>
          <w:rFonts w:ascii="宋体" w:hAnsi="宋体" w:cs="宋体"/>
          <w:color w:val="auto"/>
          <w:highlight w:val="none"/>
        </w:rPr>
      </w:pPr>
      <w:r>
        <w:rPr>
          <w:rFonts w:hint="eastAsia" w:ascii="宋体" w:hAnsi="宋体" w:cs="宋体"/>
          <w:color w:val="auto"/>
          <w:highlight w:val="none"/>
        </w:rPr>
        <w:t>5.如果在开标后规定的投标有效期内撤回投标或中标后拒绝签订合同，我们的投标保证金可不予退还。</w:t>
      </w:r>
    </w:p>
    <w:p w14:paraId="21F29AF8">
      <w:pPr>
        <w:pStyle w:val="201"/>
        <w:rPr>
          <w:rFonts w:ascii="宋体" w:hAnsi="宋体" w:cs="宋体"/>
          <w:color w:val="auto"/>
          <w:highlight w:val="none"/>
        </w:rPr>
      </w:pPr>
      <w:r>
        <w:rPr>
          <w:rFonts w:hint="eastAsia" w:ascii="宋体" w:hAnsi="宋体" w:cs="宋体"/>
          <w:color w:val="auto"/>
          <w:highlight w:val="none"/>
        </w:rPr>
        <w:t>6.同意向贵方提供贵方可能另外要求的与投标有关的任何证据或资料，并保证我方已提供和将要提供的文件是真实的、准确的。</w:t>
      </w:r>
    </w:p>
    <w:p w14:paraId="1F9B4F48">
      <w:pPr>
        <w:pStyle w:val="201"/>
        <w:rPr>
          <w:rFonts w:ascii="宋体" w:hAnsi="宋体" w:cs="宋体"/>
          <w:color w:val="auto"/>
          <w:highlight w:val="none"/>
        </w:rPr>
      </w:pPr>
      <w:r>
        <w:rPr>
          <w:rFonts w:hint="eastAsia" w:ascii="宋体" w:hAnsi="宋体" w:cs="宋体"/>
          <w:color w:val="auto"/>
          <w:highlight w:val="none"/>
        </w:rPr>
        <w:t>7.一旦我方中标,我方将根据招标文件的规定，严格履行合同的责任和义务,并保证在招标文件规定的时间完成项目，交付买方验收、使用。</w:t>
      </w:r>
    </w:p>
    <w:p w14:paraId="13B03469">
      <w:pPr>
        <w:pStyle w:val="201"/>
        <w:rPr>
          <w:rFonts w:ascii="宋体" w:hAnsi="宋体" w:cs="宋体"/>
          <w:color w:val="auto"/>
          <w:highlight w:val="none"/>
        </w:rPr>
      </w:pPr>
      <w:r>
        <w:rPr>
          <w:rFonts w:hint="eastAsia" w:ascii="宋体" w:hAnsi="宋体" w:cs="宋体"/>
          <w:color w:val="auto"/>
          <w:highlight w:val="none"/>
        </w:rPr>
        <w:t>8.与本投标有关的正式通讯地址为：</w:t>
      </w:r>
    </w:p>
    <w:p w14:paraId="78FA2DCF">
      <w:pPr>
        <w:pStyle w:val="201"/>
        <w:ind w:left="440"/>
        <w:rPr>
          <w:rFonts w:ascii="宋体" w:hAnsi="宋体" w:cs="宋体"/>
          <w:color w:val="auto"/>
          <w:highlight w:val="none"/>
        </w:rPr>
      </w:pPr>
      <w:r>
        <w:rPr>
          <w:rFonts w:hint="eastAsia" w:ascii="宋体" w:hAnsi="宋体" w:cs="宋体"/>
          <w:color w:val="auto"/>
          <w:highlight w:val="none"/>
        </w:rPr>
        <w:t>地址：</w:t>
      </w:r>
    </w:p>
    <w:p w14:paraId="26376E4A">
      <w:pPr>
        <w:pStyle w:val="201"/>
        <w:ind w:left="440"/>
        <w:rPr>
          <w:rFonts w:ascii="宋体" w:hAnsi="宋体" w:cs="宋体"/>
          <w:color w:val="auto"/>
          <w:highlight w:val="none"/>
        </w:rPr>
      </w:pPr>
      <w:r>
        <w:rPr>
          <w:rFonts w:hint="eastAsia" w:ascii="宋体" w:hAnsi="宋体" w:cs="宋体"/>
          <w:color w:val="auto"/>
          <w:highlight w:val="none"/>
        </w:rPr>
        <w:t>邮编：                           电话：</w:t>
      </w:r>
    </w:p>
    <w:p w14:paraId="517FAF36">
      <w:pPr>
        <w:pStyle w:val="201"/>
        <w:ind w:left="440" w:firstLine="482"/>
        <w:rPr>
          <w:rFonts w:ascii="宋体" w:hAnsi="宋体" w:cs="宋体"/>
          <w:b/>
          <w:color w:val="auto"/>
          <w:highlight w:val="none"/>
          <w:u w:val="single"/>
        </w:rPr>
      </w:pPr>
    </w:p>
    <w:p w14:paraId="7A90A954">
      <w:pPr>
        <w:pStyle w:val="201"/>
        <w:ind w:left="440" w:firstLine="482"/>
        <w:rPr>
          <w:rFonts w:ascii="宋体" w:hAnsi="宋体" w:cs="宋体"/>
          <w:b/>
          <w:color w:val="auto"/>
          <w:highlight w:val="none"/>
          <w:u w:val="single"/>
        </w:rPr>
      </w:pPr>
    </w:p>
    <w:p w14:paraId="59D2BCF5">
      <w:pPr>
        <w:pStyle w:val="201"/>
        <w:rPr>
          <w:rFonts w:ascii="宋体" w:hAnsi="宋体" w:cs="宋体"/>
          <w:color w:val="auto"/>
          <w:highlight w:val="none"/>
        </w:rPr>
      </w:pPr>
      <w:r>
        <w:rPr>
          <w:rFonts w:hint="eastAsia" w:ascii="宋体" w:hAnsi="宋体" w:cs="宋体"/>
          <w:color w:val="auto"/>
          <w:highlight w:val="none"/>
        </w:rPr>
        <w:t xml:space="preserve">投标人授权代表（签字或签章）：  </w:t>
      </w:r>
    </w:p>
    <w:p w14:paraId="014B7000">
      <w:pPr>
        <w:pStyle w:val="201"/>
        <w:rPr>
          <w:rFonts w:ascii="宋体" w:hAnsi="宋体" w:cs="宋体"/>
          <w:color w:val="auto"/>
          <w:highlight w:val="none"/>
        </w:rPr>
      </w:pPr>
      <w:r>
        <w:rPr>
          <w:rFonts w:hint="eastAsia" w:ascii="宋体" w:hAnsi="宋体" w:cs="宋体"/>
          <w:color w:val="auto"/>
          <w:highlight w:val="none"/>
        </w:rPr>
        <w:t>法定代表人（签字或签章）：</w:t>
      </w:r>
    </w:p>
    <w:p w14:paraId="1CFF2ECD">
      <w:pPr>
        <w:pStyle w:val="201"/>
        <w:rPr>
          <w:rFonts w:ascii="宋体" w:hAnsi="宋体" w:cs="宋体"/>
          <w:color w:val="auto"/>
          <w:highlight w:val="none"/>
        </w:rPr>
      </w:pPr>
      <w:r>
        <w:rPr>
          <w:rFonts w:hint="eastAsia" w:ascii="宋体" w:hAnsi="宋体" w:cs="宋体"/>
          <w:color w:val="auto"/>
          <w:highlight w:val="none"/>
        </w:rPr>
        <w:t>投标人名称（加盖CA电子公章）：</w:t>
      </w:r>
    </w:p>
    <w:p w14:paraId="3624C907">
      <w:pPr>
        <w:pStyle w:val="201"/>
        <w:ind w:left="440" w:firstLine="3000"/>
        <w:rPr>
          <w:rFonts w:ascii="宋体" w:hAnsi="宋体" w:cs="宋体"/>
          <w:color w:val="auto"/>
          <w:highlight w:val="none"/>
        </w:rPr>
      </w:pPr>
    </w:p>
    <w:p w14:paraId="4425AEEF">
      <w:pPr>
        <w:pStyle w:val="201"/>
        <w:jc w:val="right"/>
        <w:rPr>
          <w:rFonts w:ascii="宋体" w:hAnsi="宋体" w:cs="宋体"/>
          <w:color w:val="auto"/>
          <w:highlight w:val="none"/>
        </w:rPr>
      </w:pPr>
      <w:r>
        <w:rPr>
          <w:rFonts w:hint="eastAsia" w:ascii="宋体" w:hAnsi="宋体" w:cs="宋体"/>
          <w:color w:val="auto"/>
          <w:highlight w:val="none"/>
        </w:rPr>
        <w:t>日期：    年  月  日</w:t>
      </w:r>
    </w:p>
    <w:p w14:paraId="0E4DF790">
      <w:pPr>
        <w:ind w:firstLine="440"/>
        <w:rPr>
          <w:rFonts w:ascii="宋体" w:hAnsi="宋体" w:cs="宋体"/>
          <w:color w:val="auto"/>
          <w:sz w:val="24"/>
          <w:szCs w:val="24"/>
          <w:highlight w:val="none"/>
        </w:rPr>
      </w:pPr>
      <w:r>
        <w:rPr>
          <w:rFonts w:hint="eastAsia" w:ascii="宋体" w:hAnsi="宋体" w:cs="宋体"/>
          <w:color w:val="auto"/>
          <w:highlight w:val="none"/>
        </w:rPr>
        <w:br w:type="page" w:clear="all"/>
      </w:r>
    </w:p>
    <w:p w14:paraId="68E0D3A3">
      <w:pPr>
        <w:pStyle w:val="201"/>
        <w:ind w:firstLine="482"/>
        <w:jc w:val="both"/>
        <w:rPr>
          <w:rFonts w:ascii="宋体" w:hAnsi="宋体" w:cs="宋体"/>
          <w:color w:val="auto"/>
          <w:highlight w:val="none"/>
        </w:rPr>
      </w:pPr>
      <w:r>
        <w:rPr>
          <w:rFonts w:hint="eastAsia" w:ascii="宋体" w:hAnsi="宋体" w:cs="宋体"/>
          <w:b/>
          <w:bCs/>
          <w:color w:val="auto"/>
          <w:highlight w:val="none"/>
        </w:rPr>
        <w:t>附件二</w:t>
      </w:r>
    </w:p>
    <w:p w14:paraId="1840E45B">
      <w:pPr>
        <w:ind w:firstLine="562"/>
        <w:jc w:val="center"/>
        <w:outlineLvl w:val="1"/>
        <w:rPr>
          <w:rFonts w:ascii="宋体" w:hAnsi="宋体" w:cs="宋体"/>
          <w:b/>
          <w:color w:val="auto"/>
          <w:sz w:val="28"/>
          <w:szCs w:val="28"/>
          <w:highlight w:val="none"/>
        </w:rPr>
      </w:pPr>
      <w:bookmarkStart w:id="78" w:name="_Toc15543"/>
      <w:bookmarkStart w:id="79" w:name="_Toc517190895"/>
      <w:r>
        <w:rPr>
          <w:rFonts w:hint="eastAsia" w:ascii="宋体" w:hAnsi="宋体" w:cs="宋体"/>
          <w:b/>
          <w:color w:val="auto"/>
          <w:sz w:val="28"/>
          <w:szCs w:val="28"/>
          <w:highlight w:val="none"/>
        </w:rPr>
        <w:t>授权书</w:t>
      </w:r>
      <w:bookmarkEnd w:id="78"/>
      <w:bookmarkEnd w:id="79"/>
    </w:p>
    <w:p w14:paraId="06F0367A">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（投标人名称）授权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（被授权人的姓名）为我方就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）采购活动的合法代理人，以本公司名义全权处理一切与该项目采购投标、合同签订等有关的事务。</w:t>
      </w:r>
    </w:p>
    <w:p w14:paraId="1CC2C474">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0947091F">
      <w:pPr>
        <w:pStyle w:val="217"/>
        <w:spacing w:after="120"/>
        <w:ind w:firstLine="480"/>
        <w:rPr>
          <w:rFonts w:ascii="宋体" w:hAnsi="宋体" w:cs="宋体"/>
          <w:color w:val="auto"/>
          <w:sz w:val="24"/>
          <w:szCs w:val="24"/>
          <w:highlight w:val="none"/>
        </w:rPr>
      </w:pPr>
      <w:r>
        <w:rPr>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1849120</wp:posOffset>
                </wp:positionH>
                <wp:positionV relativeFrom="paragraph">
                  <wp:posOffset>209550</wp:posOffset>
                </wp:positionV>
                <wp:extent cx="1897380" cy="635"/>
                <wp:effectExtent l="0" t="0" r="0" b="0"/>
                <wp:wrapNone/>
                <wp:docPr id="4" name="直线 14"/>
                <wp:cNvGraphicFramePr/>
                <a:graphic xmlns:a="http://schemas.openxmlformats.org/drawingml/2006/main">
                  <a:graphicData uri="http://schemas.microsoft.com/office/word/2010/wordprocessingShape">
                    <wps:wsp>
                      <wps:cNvCnPr/>
                      <wps:spPr bwMode="auto">
                        <a:xfrm>
                          <a:off x="0" y="0"/>
                          <a:ext cx="189738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14" o:spid="_x0000_s1026" o:spt="20" style="position:absolute;left:0pt;margin-left:145.6pt;margin-top:16.5pt;height:0.05pt;width:149.4pt;z-index:251664384;mso-width-relative:page;mso-height-relative:page;" filled="f" stroked="t" coordsize="21600,21600" o:gfxdata="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YJCYTNcAAAAJAQAADwAAAAAAAAABACAAAAAiAAAAZHJzL2Rvd25yZXYu&#10;eG1sUEsBAhQAFAAAAAgAh07iQA0xXvv8AQAAAgQAAA4AAAAAAAAAAQAgAAAAJgEAAGRycy9lMm9E&#10;b2MueG1sUEsFBgAAAAAGAAYAWQEAAJQFA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代理人（被授权人）：                         </w:t>
      </w:r>
    </w:p>
    <w:p w14:paraId="6BAA6236">
      <w:pPr>
        <w:pStyle w:val="217"/>
        <w:spacing w:after="120"/>
        <w:ind w:firstLine="480"/>
        <w:rPr>
          <w:rFonts w:ascii="宋体" w:hAnsi="宋体" w:cs="宋体"/>
          <w:color w:val="auto"/>
          <w:sz w:val="24"/>
          <w:szCs w:val="24"/>
          <w:highlight w:val="none"/>
          <w:u w:val="singl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1228725</wp:posOffset>
                </wp:positionH>
                <wp:positionV relativeFrom="paragraph">
                  <wp:posOffset>142240</wp:posOffset>
                </wp:positionV>
                <wp:extent cx="2381250" cy="635"/>
                <wp:effectExtent l="0" t="0" r="0" b="0"/>
                <wp:wrapNone/>
                <wp:docPr id="5" name="直线 11"/>
                <wp:cNvGraphicFramePr/>
                <a:graphic xmlns:a="http://schemas.openxmlformats.org/drawingml/2006/main">
                  <a:graphicData uri="http://schemas.microsoft.com/office/word/2010/wordprocessingShape">
                    <wps:wsp>
                      <wps:cNvCnPr/>
                      <wps:spPr bwMode="auto">
                        <a:xfrm>
                          <a:off x="0" y="0"/>
                          <a:ext cx="238125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11" o:spid="_x0000_s1026" o:spt="20" style="position:absolute;left:0pt;margin-left:96.75pt;margin-top:11.2pt;height:0.05pt;width:187.5pt;z-index:251662336;mso-width-relative:page;mso-height-relative:page;" filled="f" stroked="t" coordsize="21600,21600" o:gfxdata="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shs8XWAAAACQEAAA8AAAAAAAAAAQAgAAAAIgAAAGRycy9kb3ducmV2Lnht&#10;bFBLAQIUABQAAAAIAIdO4kB3N3bD+wEAAAIEAAAOAAAAAAAAAAEAIAAAACUBAABkcnMvZTJvRG9j&#10;LnhtbFBLBQYAAAAABgAGAFkBAACSBQ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身份证号码：                               </w:t>
      </w:r>
    </w:p>
    <w:p w14:paraId="211CF2F7">
      <w:pPr>
        <w:pStyle w:val="217"/>
        <w:spacing w:after="120"/>
        <w:ind w:firstLine="480"/>
        <w:rPr>
          <w:rFonts w:ascii="宋体" w:hAnsi="宋体" w:cs="宋体"/>
          <w:color w:val="auto"/>
          <w:sz w:val="24"/>
          <w:szCs w:val="24"/>
          <w:highlight w:val="none"/>
        </w:rPr>
      </w:pPr>
      <w:r>
        <w:rPr>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1664970</wp:posOffset>
                </wp:positionH>
                <wp:positionV relativeFrom="paragraph">
                  <wp:posOffset>170815</wp:posOffset>
                </wp:positionV>
                <wp:extent cx="1897380" cy="635"/>
                <wp:effectExtent l="0" t="0" r="0" b="0"/>
                <wp:wrapNone/>
                <wp:docPr id="6" name="直线 13"/>
                <wp:cNvGraphicFramePr/>
                <a:graphic xmlns:a="http://schemas.openxmlformats.org/drawingml/2006/main">
                  <a:graphicData uri="http://schemas.microsoft.com/office/word/2010/wordprocessingShape">
                    <wps:wsp>
                      <wps:cNvCnPr/>
                      <wps:spPr bwMode="auto">
                        <a:xfrm>
                          <a:off x="0" y="0"/>
                          <a:ext cx="1897380" cy="635"/>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13" o:spid="_x0000_s1026" o:spt="20" style="position:absolute;left:0pt;margin-left:131.1pt;margin-top:13.45pt;height:0.05pt;width:149.4pt;z-index:251663360;mso-width-relative:page;mso-height-relative:page;" filled="f" stroked="t" coordsize="21600,21600" o:gfxdata="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P60ULXAAAACQEAAA8AAAAAAAAAAQAgAAAAIgAAAGRycy9kb3ducmV2Lnht&#10;bFBLAQIUABQAAAAIAIdO4kBtAyWj+gEAAAIEAAAOAAAAAAAAAAEAIAAAACYBAABkcnMvZTJvRG9j&#10;LnhtbFBLBQYAAAAABgAGAFkBAACSBQAAAAA=&#10;">
                <v:fill on="f"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联系电话：（手机）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1BE71BA4">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单位名称：________________________________</w:t>
      </w:r>
    </w:p>
    <w:p w14:paraId="548A7487">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单位地址：________________________________</w:t>
      </w:r>
    </w:p>
    <w:p w14:paraId="6E1E2F1A">
      <w:pPr>
        <w:pStyle w:val="217"/>
        <w:spacing w:after="120"/>
        <w:ind w:firstLine="480"/>
        <w:jc w:val="right"/>
        <w:rPr>
          <w:rFonts w:ascii="宋体" w:hAnsi="宋体" w:cs="宋体"/>
          <w:color w:val="auto"/>
          <w:sz w:val="24"/>
          <w:szCs w:val="24"/>
          <w:highlight w:val="none"/>
        </w:rPr>
      </w:pPr>
    </w:p>
    <w:p w14:paraId="0050CC95">
      <w:pPr>
        <w:pStyle w:val="217"/>
        <w:spacing w:after="120"/>
        <w:ind w:firstLine="480"/>
        <w:rPr>
          <w:rFonts w:ascii="宋体" w:hAnsi="宋体" w:cs="宋体"/>
          <w:color w:val="auto"/>
          <w:sz w:val="24"/>
          <w:szCs w:val="24"/>
          <w:highlight w:val="none"/>
        </w:rPr>
      </w:pPr>
    </w:p>
    <w:p w14:paraId="6EF22D15">
      <w:pPr>
        <w:pStyle w:val="217"/>
        <w:spacing w:after="120"/>
        <w:ind w:firstLine="480"/>
        <w:rPr>
          <w:rFonts w:ascii="宋体" w:hAnsi="宋体" w:cs="宋体"/>
          <w:color w:val="auto"/>
          <w:sz w:val="24"/>
          <w:szCs w:val="24"/>
          <w:highlight w:val="none"/>
        </w:rPr>
      </w:pPr>
    </w:p>
    <w:p w14:paraId="7849060F">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法定代表人（签字或签章）：</w:t>
      </w:r>
    </w:p>
    <w:p w14:paraId="1183880F">
      <w:pPr>
        <w:pStyle w:val="217"/>
        <w:spacing w:after="120"/>
        <w:ind w:firstLine="480"/>
        <w:rPr>
          <w:rFonts w:ascii="宋体" w:hAnsi="宋体" w:cs="宋体"/>
          <w:color w:val="auto"/>
          <w:sz w:val="24"/>
          <w:szCs w:val="24"/>
          <w:highlight w:val="none"/>
        </w:rPr>
      </w:pPr>
    </w:p>
    <w:p w14:paraId="7E6DE88D">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投标人名称（加盖CA电子公章）：</w:t>
      </w:r>
    </w:p>
    <w:p w14:paraId="5ADE07AD">
      <w:pPr>
        <w:pStyle w:val="217"/>
        <w:spacing w:after="120"/>
        <w:ind w:firstLine="480"/>
        <w:jc w:val="right"/>
        <w:rPr>
          <w:rFonts w:ascii="宋体" w:hAnsi="宋体" w:cs="宋体"/>
          <w:color w:val="auto"/>
          <w:sz w:val="24"/>
          <w:szCs w:val="24"/>
          <w:highlight w:val="none"/>
        </w:rPr>
      </w:pPr>
    </w:p>
    <w:p w14:paraId="4EE16A53">
      <w:pPr>
        <w:pStyle w:val="217"/>
        <w:spacing w:after="120"/>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法定代表人及被授权人身份证正反面扫描件：</w:t>
      </w:r>
    </w:p>
    <w:p w14:paraId="7F289EEF">
      <w:pPr>
        <w:pStyle w:val="217"/>
        <w:spacing w:after="120"/>
        <w:ind w:firstLine="480"/>
        <w:jc w:val="right"/>
        <w:rPr>
          <w:rFonts w:ascii="宋体" w:hAnsi="宋体" w:cs="宋体"/>
          <w:color w:val="auto"/>
          <w:sz w:val="24"/>
          <w:szCs w:val="24"/>
          <w:highlight w:val="none"/>
        </w:rPr>
      </w:pPr>
    </w:p>
    <w:p w14:paraId="0D22A93B">
      <w:pPr>
        <w:pStyle w:val="217"/>
        <w:spacing w:after="120"/>
        <w:ind w:firstLine="480"/>
        <w:jc w:val="right"/>
        <w:rPr>
          <w:rFonts w:ascii="宋体" w:hAnsi="宋体" w:cs="宋体"/>
          <w:color w:val="auto"/>
          <w:sz w:val="24"/>
          <w:szCs w:val="24"/>
          <w:highlight w:val="none"/>
        </w:rPr>
      </w:pPr>
    </w:p>
    <w:p w14:paraId="39F19072">
      <w:pPr>
        <w:pStyle w:val="217"/>
        <w:spacing w:after="120"/>
        <w:ind w:firstLine="48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7FD60954">
      <w:pPr>
        <w:pStyle w:val="5"/>
        <w:spacing w:after="120"/>
        <w:ind w:firstLine="480"/>
        <w:rPr>
          <w:rFonts w:ascii="宋体" w:hAnsi="宋体" w:cs="宋体"/>
          <w:color w:val="auto"/>
          <w:sz w:val="24"/>
          <w:szCs w:val="24"/>
          <w:highlight w:val="none"/>
        </w:rPr>
      </w:pPr>
      <w:bookmarkStart w:id="80" w:name="_Hlt26671380"/>
      <w:bookmarkEnd w:id="80"/>
      <w:bookmarkStart w:id="81" w:name="_格式3__银行出具的资信证明"/>
      <w:bookmarkEnd w:id="81"/>
      <w:bookmarkStart w:id="82" w:name="_Hlt26955070"/>
      <w:bookmarkEnd w:id="82"/>
    </w:p>
    <w:p w14:paraId="19B38547">
      <w:pPr>
        <w:ind w:firstLine="440"/>
        <w:rPr>
          <w:color w:val="auto"/>
          <w:highlight w:val="none"/>
        </w:rPr>
      </w:pPr>
    </w:p>
    <w:p w14:paraId="379DEA9C">
      <w:pPr>
        <w:pStyle w:val="17"/>
        <w:ind w:left="0" w:righ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附件</w:t>
      </w:r>
      <w:bookmarkStart w:id="83" w:name="_Toc517190896"/>
      <w:r>
        <w:rPr>
          <w:rFonts w:hint="eastAsia" w:ascii="宋体" w:hAnsi="宋体" w:cs="宋体"/>
          <w:b/>
          <w:bCs/>
          <w:color w:val="auto"/>
          <w:sz w:val="24"/>
          <w:szCs w:val="24"/>
          <w:highlight w:val="none"/>
        </w:rPr>
        <w:t>三</w:t>
      </w:r>
    </w:p>
    <w:p w14:paraId="0DAEF698">
      <w:pPr>
        <w:ind w:firstLine="562"/>
        <w:jc w:val="center"/>
        <w:outlineLvl w:val="1"/>
        <w:rPr>
          <w:rFonts w:ascii="宋体" w:hAnsi="宋体" w:cs="宋体"/>
          <w:b/>
          <w:color w:val="auto"/>
          <w:sz w:val="28"/>
          <w:szCs w:val="28"/>
          <w:highlight w:val="none"/>
        </w:rPr>
      </w:pPr>
      <w:bookmarkStart w:id="84" w:name="_Toc23798"/>
      <w:r>
        <w:rPr>
          <w:rFonts w:hint="eastAsia" w:ascii="宋体" w:hAnsi="宋体" w:cs="宋体"/>
          <w:b/>
          <w:color w:val="auto"/>
          <w:sz w:val="28"/>
          <w:szCs w:val="28"/>
          <w:highlight w:val="none"/>
        </w:rPr>
        <w:t>开标一览表</w:t>
      </w:r>
      <w:bookmarkEnd w:id="83"/>
      <w:r>
        <w:rPr>
          <w:rFonts w:hint="eastAsia" w:ascii="宋体" w:hAnsi="宋体" w:cs="宋体"/>
          <w:b/>
          <w:color w:val="auto"/>
          <w:sz w:val="28"/>
          <w:szCs w:val="28"/>
          <w:highlight w:val="none"/>
        </w:rPr>
        <w:t>（具体格式以系统内为准）</w:t>
      </w:r>
      <w:bookmarkEnd w:id="84"/>
    </w:p>
    <w:p w14:paraId="0BD01BB1">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p>
    <w:tbl>
      <w:tblPr>
        <w:tblStyle w:val="40"/>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4967"/>
        <w:gridCol w:w="1639"/>
      </w:tblGrid>
      <w:tr w14:paraId="29C0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034" w:type="dxa"/>
            <w:noWrap w:val="0"/>
            <w:vAlign w:val="center"/>
          </w:tcPr>
          <w:p w14:paraId="2AB23F04">
            <w:pPr>
              <w:pStyle w:val="5"/>
              <w:spacing w:after="120" w:line="440" w:lineRule="exact"/>
              <w:ind w:firstLine="0"/>
              <w:jc w:val="center"/>
              <w:rPr>
                <w:rFonts w:ascii="宋体" w:hAnsi="宋体" w:cs="宋体"/>
                <w:b/>
                <w:bCs/>
                <w:color w:val="auto"/>
                <w:highlight w:val="none"/>
              </w:rPr>
            </w:pPr>
            <w:r>
              <w:rPr>
                <w:rFonts w:hint="eastAsia" w:ascii="宋体" w:hAnsi="宋体" w:cs="宋体"/>
                <w:b/>
                <w:bCs/>
                <w:color w:val="auto"/>
                <w:highlight w:val="none"/>
              </w:rPr>
              <w:t>投标保证金</w:t>
            </w:r>
          </w:p>
        </w:tc>
        <w:tc>
          <w:tcPr>
            <w:tcW w:w="4967" w:type="dxa"/>
            <w:noWrap w:val="0"/>
            <w:vAlign w:val="center"/>
          </w:tcPr>
          <w:p w14:paraId="1B6A3F54">
            <w:pPr>
              <w:pStyle w:val="5"/>
              <w:spacing w:after="120" w:line="440" w:lineRule="exact"/>
              <w:ind w:firstLine="0"/>
              <w:rPr>
                <w:rFonts w:ascii="宋体" w:hAnsi="宋体" w:cs="宋体"/>
                <w:color w:val="auto"/>
                <w:highlight w:val="none"/>
              </w:rPr>
            </w:pPr>
            <w:r>
              <w:rPr>
                <w:rFonts w:hint="eastAsia" w:ascii="宋体" w:hAnsi="宋体" w:cs="宋体"/>
                <w:color w:val="auto"/>
                <w:highlight w:val="none"/>
              </w:rPr>
              <w:t xml:space="preserve">/ </w:t>
            </w:r>
          </w:p>
        </w:tc>
        <w:tc>
          <w:tcPr>
            <w:tcW w:w="1639" w:type="dxa"/>
            <w:noWrap w:val="0"/>
            <w:vAlign w:val="center"/>
          </w:tcPr>
          <w:p w14:paraId="56FF80F4">
            <w:pPr>
              <w:pStyle w:val="5"/>
              <w:spacing w:after="120" w:line="440" w:lineRule="exact"/>
              <w:ind w:firstLine="474"/>
              <w:rPr>
                <w:rFonts w:ascii="宋体" w:hAnsi="宋体" w:cs="宋体"/>
                <w:color w:val="auto"/>
                <w:highlight w:val="none"/>
              </w:rPr>
            </w:pPr>
            <w:r>
              <w:rPr>
                <w:rFonts w:hint="eastAsia" w:ascii="宋体" w:hAnsi="宋体" w:cs="宋体"/>
                <w:b/>
                <w:bCs/>
                <w:color w:val="auto"/>
                <w:highlight w:val="none"/>
              </w:rPr>
              <w:t>备注</w:t>
            </w:r>
          </w:p>
        </w:tc>
      </w:tr>
      <w:tr w14:paraId="6E55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jc w:val="center"/>
        </w:trPr>
        <w:tc>
          <w:tcPr>
            <w:tcW w:w="2034" w:type="dxa"/>
            <w:noWrap w:val="0"/>
            <w:vAlign w:val="center"/>
          </w:tcPr>
          <w:p w14:paraId="087CB236">
            <w:pPr>
              <w:pStyle w:val="5"/>
              <w:spacing w:after="120" w:line="440" w:lineRule="exact"/>
              <w:ind w:firstLine="0"/>
              <w:jc w:val="center"/>
              <w:rPr>
                <w:rFonts w:ascii="宋体" w:hAnsi="宋体" w:cs="宋体"/>
                <w:b/>
                <w:bCs/>
                <w:color w:val="auto"/>
                <w:highlight w:val="none"/>
              </w:rPr>
            </w:pPr>
            <w:r>
              <w:rPr>
                <w:rFonts w:hint="eastAsia" w:ascii="宋体" w:hAnsi="宋体" w:cs="宋体"/>
                <w:b/>
                <w:bCs/>
                <w:color w:val="auto"/>
                <w:highlight w:val="none"/>
              </w:rPr>
              <w:t>投标报价</w:t>
            </w:r>
          </w:p>
        </w:tc>
        <w:tc>
          <w:tcPr>
            <w:tcW w:w="4967" w:type="dxa"/>
            <w:noWrap w:val="0"/>
            <w:vAlign w:val="center"/>
          </w:tcPr>
          <w:p w14:paraId="624D2AC4">
            <w:pPr>
              <w:pStyle w:val="5"/>
              <w:spacing w:after="120" w:line="440" w:lineRule="exact"/>
              <w:ind w:firstLine="0"/>
              <w:rPr>
                <w:rFonts w:ascii="宋体" w:hAnsi="宋体" w:cs="宋体"/>
                <w:bCs/>
                <w:color w:val="auto"/>
                <w:highlight w:val="none"/>
              </w:rPr>
            </w:pPr>
            <w:r>
              <w:rPr>
                <w:rFonts w:hint="eastAsia" w:ascii="宋体" w:hAnsi="宋体" w:cs="宋体"/>
                <w:color w:val="auto"/>
                <w:highlight w:val="none"/>
              </w:rPr>
              <w:t>小写：人民币：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    </w:t>
            </w:r>
            <w:r>
              <w:rPr>
                <w:rFonts w:hint="eastAsia" w:ascii="宋体" w:hAnsi="宋体" w:cs="宋体"/>
                <w:bCs/>
                <w:color w:val="auto"/>
                <w:highlight w:val="none"/>
              </w:rPr>
              <w:t xml:space="preserve">    </w:t>
            </w:r>
          </w:p>
          <w:p w14:paraId="57A5D2C7">
            <w:pPr>
              <w:pStyle w:val="5"/>
              <w:spacing w:after="120" w:line="440" w:lineRule="exact"/>
              <w:ind w:firstLine="472"/>
              <w:rPr>
                <w:rFonts w:ascii="宋体" w:hAnsi="宋体" w:cs="宋体"/>
                <w:color w:val="auto"/>
                <w:highlight w:val="none"/>
              </w:rPr>
            </w:pPr>
          </w:p>
          <w:p w14:paraId="02EE9337">
            <w:pPr>
              <w:pStyle w:val="5"/>
              <w:spacing w:after="120" w:line="440" w:lineRule="exact"/>
              <w:ind w:firstLine="0"/>
              <w:rPr>
                <w:rFonts w:ascii="宋体" w:hAnsi="宋体" w:cs="宋体"/>
                <w:color w:val="auto"/>
                <w:highlight w:val="none"/>
              </w:rPr>
            </w:pPr>
            <w:r>
              <w:rPr>
                <w:rFonts w:hint="eastAsia" w:ascii="宋体" w:hAnsi="宋体" w:cs="宋体"/>
                <w:color w:val="auto"/>
                <w:highlight w:val="none"/>
              </w:rPr>
              <w:t xml:space="preserve">大写：人民币：       </w:t>
            </w:r>
          </w:p>
        </w:tc>
        <w:tc>
          <w:tcPr>
            <w:tcW w:w="1639" w:type="dxa"/>
            <w:noWrap w:val="0"/>
            <w:vAlign w:val="center"/>
          </w:tcPr>
          <w:p w14:paraId="15FC7F37">
            <w:pPr>
              <w:pStyle w:val="5"/>
              <w:spacing w:after="120" w:line="440" w:lineRule="exact"/>
              <w:ind w:firstLine="0"/>
              <w:rPr>
                <w:rFonts w:ascii="宋体" w:hAnsi="宋体" w:cs="宋体"/>
                <w:bCs/>
                <w:color w:val="auto"/>
                <w:highlight w:val="none"/>
              </w:rPr>
            </w:pPr>
          </w:p>
          <w:p w14:paraId="20863492">
            <w:pPr>
              <w:pStyle w:val="5"/>
              <w:spacing w:after="120" w:line="440" w:lineRule="exact"/>
              <w:ind w:firstLine="0"/>
              <w:rPr>
                <w:rFonts w:ascii="宋体" w:hAnsi="宋体" w:cs="宋体"/>
                <w:color w:val="auto"/>
                <w:highlight w:val="none"/>
              </w:rPr>
            </w:pPr>
          </w:p>
        </w:tc>
      </w:tr>
      <w:tr w14:paraId="393D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034" w:type="dxa"/>
            <w:noWrap w:val="0"/>
            <w:vAlign w:val="center"/>
          </w:tcPr>
          <w:p w14:paraId="4538005A">
            <w:pPr>
              <w:pStyle w:val="5"/>
              <w:spacing w:after="120" w:line="440" w:lineRule="exact"/>
              <w:ind w:firstLine="0"/>
              <w:jc w:val="center"/>
              <w:rPr>
                <w:rFonts w:ascii="宋体" w:hAnsi="宋体" w:cs="宋体"/>
                <w:b/>
                <w:bCs/>
                <w:color w:val="auto"/>
                <w:highlight w:val="none"/>
              </w:rPr>
            </w:pPr>
            <w:r>
              <w:rPr>
                <w:rFonts w:hint="eastAsia" w:ascii="宋体" w:hAnsi="宋体" w:cs="宋体"/>
                <w:b/>
                <w:bCs/>
                <w:color w:val="auto"/>
                <w:highlight w:val="none"/>
              </w:rPr>
              <w:t>合同履行时间</w:t>
            </w:r>
          </w:p>
        </w:tc>
        <w:tc>
          <w:tcPr>
            <w:tcW w:w="4967" w:type="dxa"/>
            <w:noWrap w:val="0"/>
            <w:vAlign w:val="center"/>
          </w:tcPr>
          <w:p w14:paraId="5E2AF81C">
            <w:pPr>
              <w:pStyle w:val="5"/>
              <w:tabs>
                <w:tab w:val="left" w:pos="3624"/>
              </w:tabs>
              <w:spacing w:after="120" w:line="440" w:lineRule="exact"/>
              <w:ind w:firstLine="0"/>
              <w:rPr>
                <w:rFonts w:ascii="宋体" w:hAnsi="宋体" w:cs="宋体"/>
                <w:color w:val="auto"/>
                <w:highlight w:val="none"/>
                <w:u w:val="single"/>
              </w:rPr>
            </w:pPr>
            <w:r>
              <w:rPr>
                <w:rFonts w:hint="eastAsia" w:ascii="宋体" w:hAnsi="宋体" w:cs="宋体"/>
                <w:color w:val="auto"/>
                <w:highlight w:val="none"/>
                <w:u w:val="single"/>
              </w:rPr>
              <w:t>满足采购文件要求。</w:t>
            </w:r>
          </w:p>
        </w:tc>
        <w:tc>
          <w:tcPr>
            <w:tcW w:w="1639" w:type="dxa"/>
            <w:noWrap w:val="0"/>
            <w:vAlign w:val="center"/>
          </w:tcPr>
          <w:p w14:paraId="54A59DCE">
            <w:pPr>
              <w:pStyle w:val="5"/>
              <w:spacing w:after="120" w:line="440" w:lineRule="exact"/>
              <w:ind w:firstLine="472"/>
              <w:rPr>
                <w:rFonts w:ascii="宋体" w:hAnsi="宋体" w:cs="宋体"/>
                <w:color w:val="auto"/>
                <w:highlight w:val="none"/>
              </w:rPr>
            </w:pPr>
          </w:p>
          <w:p w14:paraId="782B82ED">
            <w:pPr>
              <w:pStyle w:val="5"/>
              <w:spacing w:after="120" w:line="440" w:lineRule="exact"/>
              <w:ind w:firstLine="472"/>
              <w:rPr>
                <w:rFonts w:ascii="宋体" w:hAnsi="宋体" w:cs="宋体"/>
                <w:color w:val="auto"/>
                <w:highlight w:val="none"/>
              </w:rPr>
            </w:pPr>
          </w:p>
        </w:tc>
      </w:tr>
      <w:tr w14:paraId="28BB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2034" w:type="dxa"/>
            <w:noWrap w:val="0"/>
            <w:vAlign w:val="center"/>
          </w:tcPr>
          <w:p w14:paraId="4EEED2D1">
            <w:pPr>
              <w:pStyle w:val="5"/>
              <w:spacing w:after="120"/>
              <w:ind w:firstLine="0"/>
              <w:jc w:val="center"/>
              <w:rPr>
                <w:rFonts w:ascii="宋体" w:hAnsi="宋体" w:cs="宋体"/>
                <w:b/>
                <w:bCs/>
                <w:color w:val="auto"/>
                <w:highlight w:val="none"/>
              </w:rPr>
            </w:pPr>
            <w:r>
              <w:rPr>
                <w:rFonts w:hint="eastAsia" w:ascii="宋体" w:hAnsi="宋体" w:cs="宋体"/>
                <w:b/>
                <w:bCs/>
                <w:color w:val="auto"/>
                <w:highlight w:val="none"/>
              </w:rPr>
              <w:t>投标标的是否全部由小微企业提供</w:t>
            </w:r>
          </w:p>
        </w:tc>
        <w:tc>
          <w:tcPr>
            <w:tcW w:w="4967" w:type="dxa"/>
            <w:noWrap w:val="0"/>
            <w:vAlign w:val="center"/>
          </w:tcPr>
          <w:p w14:paraId="6A628A1B">
            <w:pPr>
              <w:pStyle w:val="5"/>
              <w:spacing w:after="120"/>
              <w:ind w:firstLine="0"/>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lang w:val="zh-CN"/>
              </w:rPr>
              <w:t>填写“是”或“否</w:t>
            </w:r>
            <w:r>
              <w:rPr>
                <w:rFonts w:hint="eastAsia" w:ascii="宋体" w:hAnsi="宋体" w:cs="宋体"/>
                <w:color w:val="auto"/>
                <w:highlight w:val="none"/>
              </w:rPr>
              <w:t>）</w:t>
            </w:r>
          </w:p>
        </w:tc>
        <w:tc>
          <w:tcPr>
            <w:tcW w:w="1639" w:type="dxa"/>
            <w:noWrap w:val="0"/>
            <w:vAlign w:val="center"/>
          </w:tcPr>
          <w:p w14:paraId="29DE570B">
            <w:pPr>
              <w:pStyle w:val="5"/>
              <w:spacing w:after="120"/>
              <w:ind w:firstLine="472"/>
              <w:rPr>
                <w:rFonts w:ascii="宋体" w:hAnsi="宋体" w:cs="宋体"/>
                <w:color w:val="auto"/>
                <w:highlight w:val="none"/>
              </w:rPr>
            </w:pPr>
          </w:p>
        </w:tc>
      </w:tr>
    </w:tbl>
    <w:p w14:paraId="5189C49F">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8D7405E">
      <w:pPr>
        <w:ind w:firstLine="480"/>
        <w:rPr>
          <w:rFonts w:ascii="宋体" w:hAnsi="宋体" w:cs="宋体"/>
          <w:color w:val="auto"/>
          <w:sz w:val="24"/>
          <w:szCs w:val="24"/>
          <w:highlight w:val="none"/>
        </w:rPr>
      </w:pPr>
    </w:p>
    <w:p w14:paraId="6689EBF3">
      <w:pPr>
        <w:ind w:firstLine="36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1BCCF2BA">
      <w:pPr>
        <w:pStyle w:val="17"/>
        <w:ind w:left="1540" w:right="1540" w:firstLine="440"/>
        <w:rPr>
          <w:color w:val="auto"/>
          <w:highlight w:val="none"/>
        </w:rPr>
      </w:pPr>
    </w:p>
    <w:p w14:paraId="16DF6C93">
      <w:pPr>
        <w:ind w:firstLine="360"/>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ascii="宋体" w:hAnsi="宋体" w:cs="宋体"/>
          <w:color w:val="auto"/>
          <w:highlight w:val="none"/>
        </w:rPr>
        <w:t>加盖CA电子公章</w:t>
      </w:r>
      <w:r>
        <w:rPr>
          <w:rFonts w:hint="eastAsia" w:ascii="宋体" w:hAnsi="宋体" w:cs="宋体"/>
          <w:color w:val="auto"/>
          <w:sz w:val="24"/>
          <w:szCs w:val="24"/>
          <w:highlight w:val="none"/>
        </w:rPr>
        <w:t>）：</w:t>
      </w:r>
    </w:p>
    <w:p w14:paraId="6543708D">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10F194E1">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p>
    <w:p w14:paraId="001F170C">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附件四</w:t>
      </w:r>
    </w:p>
    <w:p w14:paraId="3AC2A2F1">
      <w:pPr>
        <w:pStyle w:val="39"/>
        <w:ind w:firstLine="0"/>
        <w:rPr>
          <w:color w:val="auto"/>
          <w:highlight w:val="none"/>
        </w:rPr>
      </w:pPr>
    </w:p>
    <w:p w14:paraId="4128A5FD">
      <w:pPr>
        <w:ind w:firstLine="562"/>
        <w:jc w:val="center"/>
        <w:outlineLvl w:val="1"/>
        <w:rPr>
          <w:rFonts w:ascii="宋体" w:hAnsi="宋体" w:cs="宋体"/>
          <w:b/>
          <w:color w:val="auto"/>
          <w:sz w:val="28"/>
          <w:szCs w:val="28"/>
          <w:highlight w:val="none"/>
        </w:rPr>
      </w:pPr>
      <w:bookmarkStart w:id="85" w:name="_Toc26687"/>
      <w:r>
        <w:rPr>
          <w:rFonts w:hint="eastAsia" w:ascii="宋体" w:hAnsi="宋体" w:cs="宋体"/>
          <w:b/>
          <w:color w:val="auto"/>
          <w:sz w:val="28"/>
          <w:szCs w:val="28"/>
          <w:highlight w:val="none"/>
        </w:rPr>
        <w:t>投标产品配置及分项报价表</w:t>
      </w:r>
      <w:bookmarkEnd w:id="85"/>
    </w:p>
    <w:p w14:paraId="2D40AA53">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p>
    <w:tbl>
      <w:tblPr>
        <w:tblStyle w:val="40"/>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1272"/>
        <w:gridCol w:w="1045"/>
        <w:gridCol w:w="900"/>
        <w:gridCol w:w="771"/>
        <w:gridCol w:w="1059"/>
        <w:gridCol w:w="948"/>
        <w:gridCol w:w="1233"/>
        <w:gridCol w:w="1293"/>
      </w:tblGrid>
      <w:tr w14:paraId="2FDE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689" w:type="dxa"/>
            <w:tcBorders>
              <w:top w:val="single" w:color="auto" w:sz="4" w:space="0"/>
              <w:left w:val="single" w:color="auto" w:sz="4" w:space="0"/>
              <w:bottom w:val="single" w:color="auto" w:sz="4" w:space="0"/>
              <w:right w:val="single" w:color="auto" w:sz="4" w:space="0"/>
            </w:tcBorders>
            <w:noWrap w:val="0"/>
            <w:vAlign w:val="center"/>
          </w:tcPr>
          <w:p w14:paraId="676204D7">
            <w:pPr>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68EBE2DC">
            <w:pPr>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45" w:type="dxa"/>
            <w:tcBorders>
              <w:top w:val="single" w:color="auto" w:sz="4" w:space="0"/>
              <w:left w:val="single" w:color="auto" w:sz="4" w:space="0"/>
              <w:bottom w:val="single" w:color="auto" w:sz="4" w:space="0"/>
              <w:right w:val="single" w:color="auto" w:sz="4" w:space="0"/>
            </w:tcBorders>
            <w:noWrap w:val="0"/>
            <w:vAlign w:val="center"/>
          </w:tcPr>
          <w:p w14:paraId="23D17B01">
            <w:pPr>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E1FD108">
            <w:pPr>
              <w:jc w:val="center"/>
              <w:rPr>
                <w:rFonts w:ascii="宋体" w:hAnsi="宋体" w:cs="宋体"/>
                <w:color w:val="auto"/>
                <w:sz w:val="24"/>
                <w:szCs w:val="24"/>
                <w:highlight w:val="none"/>
              </w:rPr>
            </w:pPr>
            <w:r>
              <w:rPr>
                <w:rFonts w:hint="eastAsia" w:ascii="宋体" w:hAnsi="宋体" w:cs="宋体"/>
                <w:color w:val="auto"/>
                <w:sz w:val="24"/>
                <w:szCs w:val="24"/>
                <w:highlight w:val="none"/>
              </w:rPr>
              <w:t>单位</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56FBD220">
            <w:pPr>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1059" w:type="dxa"/>
            <w:tcBorders>
              <w:top w:val="single" w:color="auto" w:sz="4" w:space="0"/>
              <w:left w:val="single" w:color="auto" w:sz="4" w:space="0"/>
              <w:bottom w:val="single" w:color="auto" w:sz="4" w:space="0"/>
              <w:right w:val="single" w:color="auto" w:sz="4" w:space="0"/>
            </w:tcBorders>
            <w:noWrap w:val="0"/>
            <w:vAlign w:val="center"/>
          </w:tcPr>
          <w:p w14:paraId="70CC32FF">
            <w:pPr>
              <w:jc w:val="center"/>
              <w:rPr>
                <w:rFonts w:ascii="宋体" w:hAnsi="宋体" w:cs="宋体"/>
                <w:color w:val="auto"/>
                <w:sz w:val="24"/>
                <w:szCs w:val="24"/>
                <w:highlight w:val="none"/>
              </w:rPr>
            </w:pPr>
            <w:r>
              <w:rPr>
                <w:rFonts w:hint="eastAsia" w:ascii="宋体" w:hAnsi="宋体" w:cs="宋体"/>
                <w:color w:val="auto"/>
                <w:sz w:val="24"/>
                <w:szCs w:val="24"/>
                <w:highlight w:val="none"/>
              </w:rPr>
              <w:t>规格</w:t>
            </w:r>
          </w:p>
          <w:p w14:paraId="3457DC53">
            <w:pPr>
              <w:jc w:val="center"/>
              <w:rPr>
                <w:rFonts w:ascii="宋体" w:hAnsi="宋体" w:cs="宋体"/>
                <w:color w:val="auto"/>
                <w:sz w:val="24"/>
                <w:szCs w:val="24"/>
                <w:highlight w:val="none"/>
              </w:rPr>
            </w:pPr>
            <w:r>
              <w:rPr>
                <w:rFonts w:hint="eastAsia" w:ascii="宋体" w:hAnsi="宋体" w:cs="宋体"/>
                <w:color w:val="auto"/>
                <w:sz w:val="24"/>
                <w:szCs w:val="24"/>
                <w:highlight w:val="none"/>
              </w:rPr>
              <w:t>型号</w:t>
            </w:r>
          </w:p>
        </w:tc>
        <w:tc>
          <w:tcPr>
            <w:tcW w:w="948" w:type="dxa"/>
            <w:tcBorders>
              <w:top w:val="single" w:color="auto" w:sz="4" w:space="0"/>
              <w:left w:val="single" w:color="auto" w:sz="4" w:space="0"/>
              <w:bottom w:val="single" w:color="auto" w:sz="4" w:space="0"/>
              <w:right w:val="single" w:color="auto" w:sz="4" w:space="0"/>
            </w:tcBorders>
            <w:noWrap w:val="0"/>
            <w:vAlign w:val="center"/>
          </w:tcPr>
          <w:p w14:paraId="79C8C23C">
            <w:pPr>
              <w:jc w:val="center"/>
              <w:rPr>
                <w:rFonts w:ascii="宋体" w:hAnsi="宋体" w:cs="宋体"/>
                <w:color w:val="auto"/>
                <w:sz w:val="24"/>
                <w:szCs w:val="24"/>
                <w:highlight w:val="none"/>
              </w:rPr>
            </w:pPr>
            <w:r>
              <w:rPr>
                <w:rFonts w:hint="eastAsia" w:ascii="宋体" w:hAnsi="宋体" w:cs="宋体"/>
                <w:color w:val="auto"/>
                <w:sz w:val="24"/>
                <w:szCs w:val="24"/>
                <w:highlight w:val="none"/>
              </w:rPr>
              <w:t>制造商</w:t>
            </w:r>
          </w:p>
        </w:tc>
        <w:tc>
          <w:tcPr>
            <w:tcW w:w="1233" w:type="dxa"/>
            <w:tcBorders>
              <w:top w:val="single" w:color="auto" w:sz="4" w:space="0"/>
              <w:left w:val="single" w:color="auto" w:sz="4" w:space="0"/>
              <w:bottom w:val="single" w:color="auto" w:sz="4" w:space="0"/>
              <w:right w:val="single" w:color="auto" w:sz="4" w:space="0"/>
            </w:tcBorders>
            <w:noWrap w:val="0"/>
            <w:vAlign w:val="center"/>
          </w:tcPr>
          <w:p w14:paraId="0A3EF6BF">
            <w:pPr>
              <w:jc w:val="center"/>
              <w:rPr>
                <w:rFonts w:ascii="宋体" w:hAnsi="宋体" w:cs="宋体"/>
                <w:color w:val="auto"/>
                <w:sz w:val="24"/>
                <w:szCs w:val="24"/>
                <w:highlight w:val="none"/>
              </w:rPr>
            </w:pPr>
            <w:r>
              <w:rPr>
                <w:rFonts w:hint="eastAsia" w:ascii="宋体" w:hAnsi="宋体" w:cs="宋体"/>
                <w:color w:val="auto"/>
                <w:sz w:val="24"/>
                <w:szCs w:val="24"/>
                <w:highlight w:val="none"/>
              </w:rPr>
              <w:t>单价</w:t>
            </w:r>
          </w:p>
          <w:p w14:paraId="4027DE3B">
            <w:pPr>
              <w:jc w:val="center"/>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1293" w:type="dxa"/>
            <w:tcBorders>
              <w:top w:val="single" w:color="auto" w:sz="4" w:space="0"/>
              <w:left w:val="single" w:color="auto" w:sz="4" w:space="0"/>
              <w:bottom w:val="single" w:color="auto" w:sz="4" w:space="0"/>
              <w:right w:val="single" w:color="auto" w:sz="4" w:space="0"/>
            </w:tcBorders>
            <w:noWrap w:val="0"/>
            <w:vAlign w:val="center"/>
          </w:tcPr>
          <w:p w14:paraId="789F509D">
            <w:pPr>
              <w:jc w:val="center"/>
              <w:rPr>
                <w:rFonts w:ascii="宋体" w:hAnsi="宋体" w:cs="宋体"/>
                <w:color w:val="auto"/>
                <w:sz w:val="24"/>
                <w:szCs w:val="24"/>
                <w:highlight w:val="none"/>
              </w:rPr>
            </w:pPr>
            <w:r>
              <w:rPr>
                <w:rFonts w:hint="eastAsia" w:ascii="宋体" w:hAnsi="宋体" w:cs="宋体"/>
                <w:color w:val="auto"/>
                <w:sz w:val="24"/>
                <w:szCs w:val="24"/>
                <w:highlight w:val="none"/>
              </w:rPr>
              <w:t>总价</w:t>
            </w:r>
          </w:p>
          <w:p w14:paraId="541997F3">
            <w:pPr>
              <w:jc w:val="center"/>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1097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9" w:type="dxa"/>
            <w:tcBorders>
              <w:top w:val="single" w:color="auto" w:sz="4" w:space="0"/>
              <w:left w:val="single" w:color="auto" w:sz="4" w:space="0"/>
              <w:bottom w:val="single" w:color="auto" w:sz="4" w:space="0"/>
              <w:right w:val="single" w:color="auto" w:sz="4" w:space="0"/>
            </w:tcBorders>
            <w:noWrap w:val="0"/>
            <w:vAlign w:val="center"/>
          </w:tcPr>
          <w:p w14:paraId="3F71FA88">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2BBB335F">
            <w:pPr>
              <w:jc w:val="center"/>
              <w:rPr>
                <w:rFonts w:ascii="宋体" w:hAnsi="宋体" w:cs="宋体"/>
                <w:color w:val="auto"/>
                <w:sz w:val="24"/>
                <w:szCs w:val="24"/>
                <w:highlight w:val="none"/>
              </w:rPr>
            </w:pPr>
          </w:p>
        </w:tc>
        <w:tc>
          <w:tcPr>
            <w:tcW w:w="1045" w:type="dxa"/>
            <w:tcBorders>
              <w:top w:val="single" w:color="auto" w:sz="4" w:space="0"/>
              <w:left w:val="single" w:color="auto" w:sz="4" w:space="0"/>
              <w:bottom w:val="single" w:color="auto" w:sz="4" w:space="0"/>
              <w:right w:val="single" w:color="auto" w:sz="4" w:space="0"/>
            </w:tcBorders>
            <w:noWrap w:val="0"/>
            <w:vAlign w:val="center"/>
          </w:tcPr>
          <w:p w14:paraId="779C9788">
            <w:pPr>
              <w:ind w:firstLine="480"/>
              <w:jc w:val="center"/>
              <w:rPr>
                <w:rFonts w:ascii="宋体" w:hAnsi="宋体" w:cs="宋体"/>
                <w:color w:val="auto"/>
                <w:sz w:val="24"/>
                <w:szCs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373274F">
            <w:pPr>
              <w:ind w:firstLine="480"/>
              <w:jc w:val="center"/>
              <w:rPr>
                <w:rFonts w:ascii="宋体" w:hAnsi="宋体" w:cs="宋体"/>
                <w:color w:val="auto"/>
                <w:sz w:val="24"/>
                <w:szCs w:val="24"/>
                <w:highlight w:val="none"/>
              </w:rPr>
            </w:pPr>
          </w:p>
        </w:tc>
        <w:tc>
          <w:tcPr>
            <w:tcW w:w="771" w:type="dxa"/>
            <w:tcBorders>
              <w:top w:val="single" w:color="auto" w:sz="4" w:space="0"/>
              <w:left w:val="single" w:color="auto" w:sz="4" w:space="0"/>
              <w:bottom w:val="single" w:color="auto" w:sz="4" w:space="0"/>
              <w:right w:val="single" w:color="auto" w:sz="4" w:space="0"/>
            </w:tcBorders>
            <w:noWrap w:val="0"/>
            <w:vAlign w:val="center"/>
          </w:tcPr>
          <w:p w14:paraId="0227CBB3">
            <w:pPr>
              <w:ind w:firstLine="480"/>
              <w:jc w:val="center"/>
              <w:rPr>
                <w:rFonts w:ascii="宋体" w:hAnsi="宋体" w:cs="宋体"/>
                <w:color w:val="auto"/>
                <w:sz w:val="24"/>
                <w:szCs w:val="24"/>
                <w:highlight w:val="none"/>
              </w:rPr>
            </w:pPr>
          </w:p>
        </w:tc>
        <w:tc>
          <w:tcPr>
            <w:tcW w:w="1059" w:type="dxa"/>
            <w:tcBorders>
              <w:top w:val="single" w:color="auto" w:sz="4" w:space="0"/>
              <w:left w:val="single" w:color="auto" w:sz="4" w:space="0"/>
              <w:bottom w:val="single" w:color="auto" w:sz="4" w:space="0"/>
              <w:right w:val="single" w:color="auto" w:sz="4" w:space="0"/>
            </w:tcBorders>
            <w:noWrap w:val="0"/>
            <w:vAlign w:val="center"/>
          </w:tcPr>
          <w:p w14:paraId="7E51AAF7">
            <w:pPr>
              <w:ind w:firstLine="480"/>
              <w:jc w:val="center"/>
              <w:rPr>
                <w:rFonts w:ascii="宋体" w:hAnsi="宋体" w:cs="宋体"/>
                <w:color w:val="auto"/>
                <w:sz w:val="24"/>
                <w:szCs w:val="24"/>
                <w:highlight w:val="none"/>
              </w:rPr>
            </w:pPr>
          </w:p>
        </w:tc>
        <w:tc>
          <w:tcPr>
            <w:tcW w:w="948" w:type="dxa"/>
            <w:tcBorders>
              <w:top w:val="single" w:color="auto" w:sz="4" w:space="0"/>
              <w:left w:val="single" w:color="auto" w:sz="4" w:space="0"/>
              <w:bottom w:val="single" w:color="auto" w:sz="4" w:space="0"/>
              <w:right w:val="single" w:color="auto" w:sz="4" w:space="0"/>
            </w:tcBorders>
            <w:noWrap w:val="0"/>
            <w:vAlign w:val="center"/>
          </w:tcPr>
          <w:p w14:paraId="6AEC4EFC">
            <w:pPr>
              <w:ind w:firstLine="480"/>
              <w:jc w:val="center"/>
              <w:rPr>
                <w:rFonts w:ascii="宋体" w:hAnsi="宋体" w:cs="宋体"/>
                <w:color w:val="auto"/>
                <w:sz w:val="24"/>
                <w:szCs w:val="24"/>
                <w:highlight w:val="none"/>
              </w:rPr>
            </w:pPr>
          </w:p>
        </w:tc>
        <w:tc>
          <w:tcPr>
            <w:tcW w:w="1233" w:type="dxa"/>
            <w:tcBorders>
              <w:top w:val="single" w:color="auto" w:sz="4" w:space="0"/>
              <w:left w:val="single" w:color="auto" w:sz="4" w:space="0"/>
              <w:bottom w:val="single" w:color="auto" w:sz="4" w:space="0"/>
              <w:right w:val="single" w:color="auto" w:sz="4" w:space="0"/>
            </w:tcBorders>
            <w:noWrap w:val="0"/>
            <w:vAlign w:val="center"/>
          </w:tcPr>
          <w:p w14:paraId="7E0CB470">
            <w:pPr>
              <w:ind w:firstLine="480"/>
              <w:jc w:val="center"/>
              <w:rPr>
                <w:rFonts w:ascii="宋体" w:hAnsi="宋体" w:cs="宋体"/>
                <w:color w:val="auto"/>
                <w:sz w:val="24"/>
                <w:szCs w:val="24"/>
                <w:highlight w:val="none"/>
              </w:rPr>
            </w:pPr>
          </w:p>
        </w:tc>
        <w:tc>
          <w:tcPr>
            <w:tcW w:w="1293" w:type="dxa"/>
            <w:tcBorders>
              <w:top w:val="single" w:color="auto" w:sz="4" w:space="0"/>
              <w:left w:val="single" w:color="auto" w:sz="4" w:space="0"/>
              <w:bottom w:val="single" w:color="auto" w:sz="4" w:space="0"/>
              <w:right w:val="single" w:color="auto" w:sz="4" w:space="0"/>
            </w:tcBorders>
            <w:noWrap w:val="0"/>
            <w:vAlign w:val="center"/>
          </w:tcPr>
          <w:p w14:paraId="5203AD7D">
            <w:pPr>
              <w:ind w:firstLine="480"/>
              <w:jc w:val="center"/>
              <w:rPr>
                <w:rFonts w:ascii="宋体" w:hAnsi="宋体" w:cs="宋体"/>
                <w:color w:val="auto"/>
                <w:sz w:val="24"/>
                <w:szCs w:val="24"/>
                <w:highlight w:val="none"/>
              </w:rPr>
            </w:pPr>
          </w:p>
        </w:tc>
      </w:tr>
      <w:tr w14:paraId="63BC3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917" w:type="dxa"/>
            <w:gridSpan w:val="8"/>
            <w:tcBorders>
              <w:top w:val="single" w:color="auto" w:sz="4" w:space="0"/>
              <w:left w:val="single" w:color="auto" w:sz="4" w:space="0"/>
              <w:bottom w:val="single" w:color="auto" w:sz="4" w:space="0"/>
              <w:right w:val="single" w:color="auto" w:sz="4" w:space="0"/>
            </w:tcBorders>
            <w:noWrap w:val="0"/>
            <w:vAlign w:val="center"/>
          </w:tcPr>
          <w:p w14:paraId="79762C93">
            <w:pPr>
              <w:jc w:val="center"/>
              <w:rPr>
                <w:rFonts w:ascii="宋体" w:hAnsi="宋体" w:cs="宋体"/>
                <w:color w:val="auto"/>
                <w:sz w:val="24"/>
                <w:szCs w:val="24"/>
                <w:highlight w:val="none"/>
              </w:rPr>
            </w:pPr>
            <w:r>
              <w:rPr>
                <w:rFonts w:hint="eastAsia" w:ascii="宋体" w:hAnsi="宋体" w:cs="宋体"/>
                <w:color w:val="auto"/>
                <w:sz w:val="24"/>
                <w:szCs w:val="24"/>
                <w:highlight w:val="none"/>
              </w:rPr>
              <w:t>合计</w:t>
            </w:r>
          </w:p>
        </w:tc>
        <w:tc>
          <w:tcPr>
            <w:tcW w:w="1293" w:type="dxa"/>
            <w:tcBorders>
              <w:top w:val="single" w:color="auto" w:sz="4" w:space="0"/>
              <w:left w:val="single" w:color="auto" w:sz="4" w:space="0"/>
              <w:bottom w:val="single" w:color="auto" w:sz="4" w:space="0"/>
              <w:right w:val="single" w:color="auto" w:sz="4" w:space="0"/>
            </w:tcBorders>
            <w:noWrap w:val="0"/>
            <w:vAlign w:val="center"/>
          </w:tcPr>
          <w:p w14:paraId="3D01455D">
            <w:pPr>
              <w:ind w:firstLine="480"/>
              <w:jc w:val="center"/>
              <w:rPr>
                <w:rFonts w:ascii="宋体" w:hAnsi="宋体" w:cs="宋体"/>
                <w:color w:val="auto"/>
                <w:sz w:val="24"/>
                <w:szCs w:val="24"/>
                <w:highlight w:val="none"/>
              </w:rPr>
            </w:pPr>
          </w:p>
        </w:tc>
      </w:tr>
      <w:tr w14:paraId="6BC9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917" w:type="dxa"/>
            <w:gridSpan w:val="8"/>
            <w:tcBorders>
              <w:top w:val="single" w:color="auto" w:sz="4" w:space="0"/>
              <w:left w:val="single" w:color="auto" w:sz="4" w:space="0"/>
              <w:bottom w:val="single" w:color="auto" w:sz="4" w:space="0"/>
              <w:right w:val="single" w:color="auto" w:sz="4" w:space="0"/>
            </w:tcBorders>
            <w:noWrap w:val="0"/>
            <w:vAlign w:val="center"/>
          </w:tcPr>
          <w:p w14:paraId="2AE7A57A">
            <w:pPr>
              <w:rPr>
                <w:rFonts w:ascii="宋体" w:hAnsi="宋体" w:cs="宋体"/>
                <w:color w:val="auto"/>
                <w:sz w:val="24"/>
                <w:szCs w:val="24"/>
                <w:highlight w:val="none"/>
              </w:rPr>
            </w:pPr>
            <w:r>
              <w:rPr>
                <w:rFonts w:hint="eastAsia" w:ascii="宋体" w:hAnsi="宋体"/>
                <w:b/>
                <w:bCs/>
                <w:color w:val="auto"/>
                <w:szCs w:val="21"/>
                <w:highlight w:val="none"/>
              </w:rPr>
              <w:t>本采购包中提供的符合本国产品标准的产品成本之和占该采购</w:t>
            </w:r>
            <w:bookmarkStart w:id="86" w:name="OLE_LINK16"/>
            <w:r>
              <w:rPr>
                <w:rFonts w:hint="eastAsia" w:ascii="宋体" w:hAnsi="宋体"/>
                <w:b/>
                <w:bCs/>
                <w:color w:val="auto"/>
                <w:szCs w:val="21"/>
                <w:highlight w:val="none"/>
              </w:rPr>
              <w:t>包</w:t>
            </w:r>
            <w:bookmarkEnd w:id="86"/>
            <w:r>
              <w:rPr>
                <w:rFonts w:hint="eastAsia" w:ascii="宋体" w:hAnsi="宋体"/>
                <w:b/>
                <w:bCs/>
                <w:color w:val="auto"/>
                <w:szCs w:val="21"/>
                <w:highlight w:val="none"/>
              </w:rPr>
              <w:t>提供的全部产品成本之和的比例为______%</w:t>
            </w:r>
          </w:p>
        </w:tc>
        <w:tc>
          <w:tcPr>
            <w:tcW w:w="1293" w:type="dxa"/>
            <w:tcBorders>
              <w:top w:val="single" w:color="auto" w:sz="4" w:space="0"/>
              <w:left w:val="single" w:color="auto" w:sz="4" w:space="0"/>
              <w:bottom w:val="single" w:color="auto" w:sz="4" w:space="0"/>
              <w:right w:val="single" w:color="auto" w:sz="4" w:space="0"/>
            </w:tcBorders>
            <w:noWrap w:val="0"/>
            <w:vAlign w:val="center"/>
          </w:tcPr>
          <w:p w14:paraId="4D265E44">
            <w:pPr>
              <w:ind w:firstLine="480"/>
              <w:jc w:val="center"/>
              <w:rPr>
                <w:rFonts w:ascii="宋体" w:hAnsi="宋体" w:cs="宋体"/>
                <w:color w:val="auto"/>
                <w:sz w:val="24"/>
                <w:szCs w:val="24"/>
                <w:highlight w:val="none"/>
              </w:rPr>
            </w:pPr>
          </w:p>
        </w:tc>
      </w:tr>
    </w:tbl>
    <w:p w14:paraId="0443DB87">
      <w:pPr>
        <w:ind w:firstLine="480"/>
        <w:rPr>
          <w:rFonts w:ascii="宋体" w:hAnsi="宋体" w:cs="宋体"/>
          <w:color w:val="auto"/>
          <w:sz w:val="24"/>
          <w:szCs w:val="24"/>
          <w:highlight w:val="none"/>
        </w:rPr>
      </w:pPr>
    </w:p>
    <w:p w14:paraId="1990D374">
      <w:pPr>
        <w:ind w:firstLine="480"/>
        <w:rPr>
          <w:rFonts w:ascii="宋体" w:hAnsi="宋体" w:cs="宋体"/>
          <w:color w:val="auto"/>
          <w:sz w:val="24"/>
          <w:szCs w:val="24"/>
          <w:highlight w:val="none"/>
        </w:rPr>
      </w:pPr>
    </w:p>
    <w:p w14:paraId="383CD96B">
      <w:pPr>
        <w:ind w:firstLine="440"/>
        <w:rPr>
          <w:rFonts w:ascii="宋体" w:hAnsi="宋体"/>
          <w:color w:val="auto"/>
          <w:szCs w:val="21"/>
          <w:highlight w:val="none"/>
        </w:rPr>
      </w:pPr>
      <w:r>
        <w:rPr>
          <w:rFonts w:hint="eastAsia" w:ascii="宋体" w:hAnsi="宋体"/>
          <w:color w:val="auto"/>
          <w:szCs w:val="21"/>
          <w:highlight w:val="none"/>
        </w:rPr>
        <w:t>注：1.上述单价为综合单价，包括货物的供货、运输、保险费、安装调试、验收、培训、售后服务及税金等一切费用。</w:t>
      </w:r>
    </w:p>
    <w:p w14:paraId="6EE6B0F9">
      <w:pPr>
        <w:ind w:firstLine="440"/>
        <w:rPr>
          <w:rFonts w:ascii="宋体" w:hAnsi="宋体"/>
          <w:color w:val="auto"/>
          <w:szCs w:val="21"/>
          <w:highlight w:val="none"/>
        </w:rPr>
      </w:pPr>
      <w:r>
        <w:rPr>
          <w:rFonts w:hint="eastAsia" w:ascii="宋体" w:hAnsi="宋体"/>
          <w:color w:val="auto"/>
          <w:szCs w:val="21"/>
          <w:highlight w:val="none"/>
        </w:rPr>
        <w:t>2.投标人应根据其项目情况提供详细分项报价。</w:t>
      </w:r>
    </w:p>
    <w:p w14:paraId="70E517C3">
      <w:pPr>
        <w:ind w:firstLine="440"/>
        <w:rPr>
          <w:rFonts w:ascii="宋体" w:hAnsi="宋体"/>
          <w:b/>
          <w:bCs/>
          <w:color w:val="auto"/>
          <w:szCs w:val="21"/>
          <w:highlight w:val="none"/>
        </w:rPr>
      </w:pPr>
      <w:r>
        <w:rPr>
          <w:rFonts w:hint="eastAsia" w:ascii="宋体" w:hAnsi="宋体"/>
          <w:color w:val="auto"/>
          <w:szCs w:val="21"/>
          <w:highlight w:val="none"/>
        </w:rPr>
        <w:t>3.</w:t>
      </w:r>
      <w:r>
        <w:rPr>
          <w:rFonts w:hint="eastAsia" w:ascii="宋体" w:hAnsi="宋体"/>
          <w:b/>
          <w:bCs/>
          <w:color w:val="auto"/>
          <w:szCs w:val="21"/>
          <w:highlight w:val="none"/>
        </w:rPr>
        <w:t>如果不提供详细分项报价将视为没有实质性响应招标文件。</w:t>
      </w:r>
    </w:p>
    <w:p w14:paraId="364FDED5">
      <w:pPr>
        <w:ind w:firstLine="440"/>
        <w:rPr>
          <w:rFonts w:ascii="宋体" w:hAnsi="宋体"/>
          <w:color w:val="auto"/>
          <w:szCs w:val="21"/>
          <w:highlight w:val="none"/>
        </w:rPr>
      </w:pPr>
      <w:r>
        <w:rPr>
          <w:rFonts w:hint="eastAsia" w:ascii="宋体" w:hAnsi="宋体"/>
          <w:color w:val="auto"/>
          <w:szCs w:val="21"/>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0864548">
      <w:pPr>
        <w:ind w:firstLine="480"/>
        <w:rPr>
          <w:rFonts w:ascii="宋体" w:hAnsi="宋体" w:cs="宋体"/>
          <w:color w:val="auto"/>
          <w:sz w:val="24"/>
          <w:szCs w:val="24"/>
          <w:highlight w:val="none"/>
        </w:rPr>
      </w:pPr>
    </w:p>
    <w:p w14:paraId="504BBC16">
      <w:pPr>
        <w:ind w:firstLine="24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5C1099AC">
      <w:pPr>
        <w:pStyle w:val="17"/>
        <w:ind w:left="1540" w:right="1540" w:firstLine="440"/>
        <w:rPr>
          <w:color w:val="auto"/>
          <w:highlight w:val="none"/>
        </w:rPr>
      </w:pPr>
    </w:p>
    <w:p w14:paraId="5FEE34C8">
      <w:pPr>
        <w:ind w:firstLine="24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投标人名称（加盖CA电子公章）：</w:t>
      </w:r>
    </w:p>
    <w:p w14:paraId="05575042">
      <w:pPr>
        <w:ind w:firstLine="480"/>
        <w:jc w:val="center"/>
        <w:rPr>
          <w:rFonts w:ascii="宋体" w:hAnsi="宋体" w:cs="宋体"/>
          <w:color w:val="auto"/>
          <w:sz w:val="24"/>
          <w:szCs w:val="24"/>
          <w:highlight w:val="none"/>
        </w:rPr>
      </w:pPr>
    </w:p>
    <w:p w14:paraId="4019C0B8">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46AA0929">
      <w:pPr>
        <w:spacing w:after="120"/>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p>
    <w:p w14:paraId="217FEC63">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附件五</w:t>
      </w:r>
    </w:p>
    <w:p w14:paraId="5580232E">
      <w:pPr>
        <w:ind w:firstLine="562"/>
        <w:jc w:val="center"/>
        <w:outlineLvl w:val="1"/>
        <w:rPr>
          <w:rFonts w:ascii="宋体" w:hAnsi="宋体" w:cs="宋体"/>
          <w:b/>
          <w:color w:val="auto"/>
          <w:sz w:val="28"/>
          <w:szCs w:val="28"/>
          <w:highlight w:val="none"/>
        </w:rPr>
      </w:pPr>
      <w:bookmarkStart w:id="87" w:name="_Toc18114"/>
      <w:r>
        <w:rPr>
          <w:rFonts w:hint="eastAsia" w:ascii="宋体" w:hAnsi="宋体" w:cs="宋体"/>
          <w:b/>
          <w:color w:val="auto"/>
          <w:sz w:val="28"/>
          <w:szCs w:val="28"/>
          <w:highlight w:val="none"/>
        </w:rPr>
        <w:t>商务条款响应表</w:t>
      </w:r>
      <w:bookmarkEnd w:id="87"/>
    </w:p>
    <w:p w14:paraId="3D640C5E">
      <w:pPr>
        <w:shd w:val="clear" w:color="auto" w:fill="FFFFFF"/>
        <w:ind w:firstLine="480"/>
        <w:rPr>
          <w:rFonts w:ascii="Arial" w:hAnsi="Arial" w:cs="Arial"/>
          <w:color w:val="auto"/>
          <w:szCs w:val="21"/>
          <w:highlight w:val="none"/>
        </w:rPr>
      </w:pPr>
      <w:r>
        <w:rPr>
          <w:rFonts w:ascii="Arial" w:hAnsi="Arial" w:cs="Arial"/>
          <w:color w:val="auto"/>
          <w:sz w:val="24"/>
          <w:highlight w:val="none"/>
        </w:rPr>
        <w:t> </w:t>
      </w: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p>
    <w:tbl>
      <w:tblPr>
        <w:tblStyle w:val="40"/>
        <w:tblW w:w="8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74"/>
        <w:gridCol w:w="1679"/>
        <w:gridCol w:w="2488"/>
        <w:gridCol w:w="3004"/>
      </w:tblGrid>
      <w:tr w14:paraId="34D4C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974" w:type="dxa"/>
            <w:noWrap w:val="0"/>
            <w:tcMar>
              <w:top w:w="0" w:type="dxa"/>
              <w:left w:w="10" w:type="dxa"/>
              <w:bottom w:w="0" w:type="dxa"/>
              <w:right w:w="10" w:type="dxa"/>
            </w:tcMar>
            <w:vAlign w:val="center"/>
          </w:tcPr>
          <w:p w14:paraId="2742DDF7">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序号</w:t>
            </w:r>
          </w:p>
        </w:tc>
        <w:tc>
          <w:tcPr>
            <w:tcW w:w="1679" w:type="dxa"/>
            <w:noWrap w:val="0"/>
            <w:tcMar>
              <w:top w:w="0" w:type="dxa"/>
              <w:left w:w="10" w:type="dxa"/>
              <w:bottom w:w="0" w:type="dxa"/>
              <w:right w:w="10" w:type="dxa"/>
            </w:tcMar>
            <w:vAlign w:val="center"/>
          </w:tcPr>
          <w:p w14:paraId="1DEE08CF">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招标文件要求</w:t>
            </w:r>
          </w:p>
        </w:tc>
        <w:tc>
          <w:tcPr>
            <w:tcW w:w="2488" w:type="dxa"/>
            <w:noWrap w:val="0"/>
            <w:tcMar>
              <w:top w:w="0" w:type="dxa"/>
              <w:left w:w="10" w:type="dxa"/>
              <w:bottom w:w="0" w:type="dxa"/>
              <w:right w:w="10" w:type="dxa"/>
            </w:tcMar>
            <w:vAlign w:val="center"/>
          </w:tcPr>
          <w:p w14:paraId="78C25567">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投标响应</w:t>
            </w:r>
          </w:p>
        </w:tc>
        <w:tc>
          <w:tcPr>
            <w:tcW w:w="3004" w:type="dxa"/>
            <w:noWrap w:val="0"/>
            <w:tcMar>
              <w:top w:w="0" w:type="dxa"/>
              <w:left w:w="10" w:type="dxa"/>
              <w:bottom w:w="0" w:type="dxa"/>
              <w:right w:w="10" w:type="dxa"/>
            </w:tcMar>
            <w:vAlign w:val="center"/>
          </w:tcPr>
          <w:p w14:paraId="502282B8">
            <w:pPr>
              <w:spacing w:line="3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偏离情况</w:t>
            </w:r>
          </w:p>
          <w:p w14:paraId="496F7D03">
            <w:pPr>
              <w:spacing w:line="320" w:lineRule="exact"/>
              <w:jc w:val="center"/>
              <w:rPr>
                <w:rFonts w:ascii="宋体" w:hAnsi="宋体" w:cs="宋体"/>
                <w:color w:val="auto"/>
                <w:sz w:val="24"/>
                <w:szCs w:val="24"/>
                <w:highlight w:val="none"/>
              </w:rPr>
            </w:pPr>
            <w:r>
              <w:rPr>
                <w:rFonts w:hint="eastAsia" w:ascii="宋体" w:hAnsi="宋体" w:cs="宋体"/>
                <w:b/>
                <w:bCs/>
                <w:color w:val="auto"/>
                <w:sz w:val="21"/>
                <w:szCs w:val="21"/>
                <w:highlight w:val="none"/>
              </w:rPr>
              <w:t>（无、正、负偏离）</w:t>
            </w:r>
          </w:p>
        </w:tc>
      </w:tr>
      <w:tr w14:paraId="1FAD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1483DECF">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679" w:type="dxa"/>
            <w:noWrap w:val="0"/>
            <w:tcMar>
              <w:top w:w="0" w:type="dxa"/>
              <w:left w:w="10" w:type="dxa"/>
              <w:bottom w:w="0" w:type="dxa"/>
              <w:right w:w="10" w:type="dxa"/>
            </w:tcMar>
            <w:vAlign w:val="center"/>
          </w:tcPr>
          <w:p w14:paraId="06D5B73E">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2488" w:type="dxa"/>
            <w:noWrap w:val="0"/>
            <w:tcMar>
              <w:top w:w="0" w:type="dxa"/>
              <w:left w:w="10" w:type="dxa"/>
              <w:bottom w:w="0" w:type="dxa"/>
              <w:right w:w="10" w:type="dxa"/>
            </w:tcMar>
            <w:vAlign w:val="center"/>
          </w:tcPr>
          <w:p w14:paraId="34DAC70F">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3004" w:type="dxa"/>
            <w:noWrap w:val="0"/>
            <w:tcMar>
              <w:top w:w="0" w:type="dxa"/>
              <w:left w:w="10" w:type="dxa"/>
              <w:bottom w:w="0" w:type="dxa"/>
              <w:right w:w="10" w:type="dxa"/>
            </w:tcMar>
            <w:vAlign w:val="center"/>
          </w:tcPr>
          <w:p w14:paraId="0BC7E7B9">
            <w:pPr>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1700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224D9DF2">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679" w:type="dxa"/>
            <w:noWrap w:val="0"/>
            <w:tcMar>
              <w:top w:w="0" w:type="dxa"/>
              <w:left w:w="10" w:type="dxa"/>
              <w:bottom w:w="0" w:type="dxa"/>
              <w:right w:w="10" w:type="dxa"/>
            </w:tcMar>
            <w:vAlign w:val="center"/>
          </w:tcPr>
          <w:p w14:paraId="794FD284">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2488" w:type="dxa"/>
            <w:noWrap w:val="0"/>
            <w:tcMar>
              <w:top w:w="0" w:type="dxa"/>
              <w:left w:w="10" w:type="dxa"/>
              <w:bottom w:w="0" w:type="dxa"/>
              <w:right w:w="10" w:type="dxa"/>
            </w:tcMar>
            <w:vAlign w:val="center"/>
          </w:tcPr>
          <w:p w14:paraId="570ECCE6">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3004" w:type="dxa"/>
            <w:noWrap w:val="0"/>
            <w:tcMar>
              <w:top w:w="0" w:type="dxa"/>
              <w:left w:w="10" w:type="dxa"/>
              <w:bottom w:w="0" w:type="dxa"/>
              <w:right w:w="10" w:type="dxa"/>
            </w:tcMar>
            <w:vAlign w:val="center"/>
          </w:tcPr>
          <w:p w14:paraId="5F615BBA">
            <w:pPr>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713C1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3E91105F">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679" w:type="dxa"/>
            <w:noWrap w:val="0"/>
            <w:tcMar>
              <w:top w:w="0" w:type="dxa"/>
              <w:left w:w="10" w:type="dxa"/>
              <w:bottom w:w="0" w:type="dxa"/>
              <w:right w:w="10" w:type="dxa"/>
            </w:tcMar>
            <w:vAlign w:val="center"/>
          </w:tcPr>
          <w:p w14:paraId="1AFD2B54">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2488" w:type="dxa"/>
            <w:noWrap w:val="0"/>
            <w:tcMar>
              <w:top w:w="0" w:type="dxa"/>
              <w:left w:w="10" w:type="dxa"/>
              <w:bottom w:w="0" w:type="dxa"/>
              <w:right w:w="10" w:type="dxa"/>
            </w:tcMar>
            <w:vAlign w:val="center"/>
          </w:tcPr>
          <w:p w14:paraId="1DFE799C">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3004" w:type="dxa"/>
            <w:noWrap w:val="0"/>
            <w:tcMar>
              <w:top w:w="0" w:type="dxa"/>
              <w:left w:w="10" w:type="dxa"/>
              <w:bottom w:w="0" w:type="dxa"/>
              <w:right w:w="10" w:type="dxa"/>
            </w:tcMar>
            <w:vAlign w:val="center"/>
          </w:tcPr>
          <w:p w14:paraId="35EA0CFD">
            <w:pPr>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73F22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0AE5BD01">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679" w:type="dxa"/>
            <w:noWrap w:val="0"/>
            <w:tcMar>
              <w:top w:w="0" w:type="dxa"/>
              <w:left w:w="10" w:type="dxa"/>
              <w:bottom w:w="0" w:type="dxa"/>
              <w:right w:w="10" w:type="dxa"/>
            </w:tcMar>
            <w:vAlign w:val="center"/>
          </w:tcPr>
          <w:p w14:paraId="1DF70651">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2488" w:type="dxa"/>
            <w:noWrap w:val="0"/>
            <w:tcMar>
              <w:top w:w="0" w:type="dxa"/>
              <w:left w:w="10" w:type="dxa"/>
              <w:bottom w:w="0" w:type="dxa"/>
              <w:right w:w="10" w:type="dxa"/>
            </w:tcMar>
            <w:vAlign w:val="center"/>
          </w:tcPr>
          <w:p w14:paraId="763BA79A">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3004" w:type="dxa"/>
            <w:noWrap w:val="0"/>
            <w:tcMar>
              <w:top w:w="0" w:type="dxa"/>
              <w:left w:w="10" w:type="dxa"/>
              <w:bottom w:w="0" w:type="dxa"/>
              <w:right w:w="10" w:type="dxa"/>
            </w:tcMar>
            <w:vAlign w:val="center"/>
          </w:tcPr>
          <w:p w14:paraId="20A3116A">
            <w:pPr>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5682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6A1E3365">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1679" w:type="dxa"/>
            <w:noWrap w:val="0"/>
            <w:tcMar>
              <w:top w:w="0" w:type="dxa"/>
              <w:left w:w="10" w:type="dxa"/>
              <w:bottom w:w="0" w:type="dxa"/>
              <w:right w:w="10" w:type="dxa"/>
            </w:tcMar>
            <w:vAlign w:val="center"/>
          </w:tcPr>
          <w:p w14:paraId="556FF278">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2488" w:type="dxa"/>
            <w:noWrap w:val="0"/>
            <w:tcMar>
              <w:top w:w="0" w:type="dxa"/>
              <w:left w:w="10" w:type="dxa"/>
              <w:bottom w:w="0" w:type="dxa"/>
              <w:right w:w="10" w:type="dxa"/>
            </w:tcMar>
            <w:vAlign w:val="center"/>
          </w:tcPr>
          <w:p w14:paraId="22BC0B76">
            <w:pPr>
              <w:rPr>
                <w:rFonts w:ascii="宋体" w:hAnsi="宋体" w:cs="宋体"/>
                <w:color w:val="auto"/>
                <w:sz w:val="24"/>
                <w:szCs w:val="24"/>
                <w:highlight w:val="none"/>
              </w:rPr>
            </w:pPr>
            <w:r>
              <w:rPr>
                <w:rFonts w:hint="eastAsia" w:ascii="宋体" w:hAnsi="宋体" w:cs="宋体"/>
                <w:color w:val="auto"/>
                <w:sz w:val="24"/>
                <w:szCs w:val="24"/>
                <w:highlight w:val="none"/>
              </w:rPr>
              <w:t> </w:t>
            </w:r>
          </w:p>
        </w:tc>
        <w:tc>
          <w:tcPr>
            <w:tcW w:w="3004" w:type="dxa"/>
            <w:noWrap w:val="0"/>
            <w:tcMar>
              <w:top w:w="0" w:type="dxa"/>
              <w:left w:w="10" w:type="dxa"/>
              <w:bottom w:w="0" w:type="dxa"/>
              <w:right w:w="10" w:type="dxa"/>
            </w:tcMar>
            <w:vAlign w:val="center"/>
          </w:tcPr>
          <w:p w14:paraId="4D4570E0">
            <w:pPr>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1E56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08C4998F">
            <w:pPr>
              <w:rPr>
                <w:rFonts w:ascii="宋体" w:hAnsi="宋体" w:cs="宋体"/>
                <w:color w:val="auto"/>
                <w:sz w:val="24"/>
                <w:szCs w:val="24"/>
                <w:highlight w:val="none"/>
              </w:rPr>
            </w:pPr>
          </w:p>
        </w:tc>
        <w:tc>
          <w:tcPr>
            <w:tcW w:w="1679" w:type="dxa"/>
            <w:noWrap w:val="0"/>
            <w:tcMar>
              <w:top w:w="0" w:type="dxa"/>
              <w:left w:w="10" w:type="dxa"/>
              <w:bottom w:w="0" w:type="dxa"/>
              <w:right w:w="10" w:type="dxa"/>
            </w:tcMar>
            <w:vAlign w:val="center"/>
          </w:tcPr>
          <w:p w14:paraId="6A79E0FA">
            <w:pPr>
              <w:rPr>
                <w:rFonts w:ascii="宋体" w:hAnsi="宋体" w:cs="宋体"/>
                <w:color w:val="auto"/>
                <w:sz w:val="24"/>
                <w:szCs w:val="24"/>
                <w:highlight w:val="none"/>
              </w:rPr>
            </w:pPr>
          </w:p>
        </w:tc>
        <w:tc>
          <w:tcPr>
            <w:tcW w:w="2488" w:type="dxa"/>
            <w:noWrap w:val="0"/>
            <w:tcMar>
              <w:top w:w="0" w:type="dxa"/>
              <w:left w:w="10" w:type="dxa"/>
              <w:bottom w:w="0" w:type="dxa"/>
              <w:right w:w="10" w:type="dxa"/>
            </w:tcMar>
            <w:vAlign w:val="center"/>
          </w:tcPr>
          <w:p w14:paraId="04998BAE">
            <w:pPr>
              <w:rPr>
                <w:rFonts w:ascii="宋体" w:hAnsi="宋体" w:cs="宋体"/>
                <w:color w:val="auto"/>
                <w:sz w:val="24"/>
                <w:szCs w:val="24"/>
                <w:highlight w:val="none"/>
              </w:rPr>
            </w:pPr>
          </w:p>
        </w:tc>
        <w:tc>
          <w:tcPr>
            <w:tcW w:w="3004" w:type="dxa"/>
            <w:noWrap w:val="0"/>
            <w:tcMar>
              <w:top w:w="0" w:type="dxa"/>
              <w:left w:w="10" w:type="dxa"/>
              <w:bottom w:w="0" w:type="dxa"/>
              <w:right w:w="10" w:type="dxa"/>
            </w:tcMar>
            <w:vAlign w:val="center"/>
          </w:tcPr>
          <w:p w14:paraId="2C9EE11E">
            <w:pPr>
              <w:rPr>
                <w:rFonts w:ascii="宋体" w:hAnsi="宋体" w:cs="宋体"/>
                <w:color w:val="auto"/>
                <w:sz w:val="24"/>
                <w:szCs w:val="24"/>
                <w:highlight w:val="none"/>
              </w:rPr>
            </w:pPr>
          </w:p>
        </w:tc>
      </w:tr>
      <w:tr w14:paraId="3647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74" w:type="dxa"/>
            <w:noWrap w:val="0"/>
            <w:tcMar>
              <w:top w:w="0" w:type="dxa"/>
              <w:left w:w="10" w:type="dxa"/>
              <w:bottom w:w="0" w:type="dxa"/>
              <w:right w:w="10" w:type="dxa"/>
            </w:tcMar>
            <w:vAlign w:val="center"/>
          </w:tcPr>
          <w:p w14:paraId="6FC6C7C4">
            <w:pPr>
              <w:rPr>
                <w:rFonts w:ascii="宋体" w:hAnsi="宋体" w:cs="宋体"/>
                <w:color w:val="auto"/>
                <w:sz w:val="24"/>
                <w:szCs w:val="24"/>
                <w:highlight w:val="none"/>
              </w:rPr>
            </w:pPr>
          </w:p>
        </w:tc>
        <w:tc>
          <w:tcPr>
            <w:tcW w:w="1679" w:type="dxa"/>
            <w:noWrap w:val="0"/>
            <w:tcMar>
              <w:top w:w="0" w:type="dxa"/>
              <w:left w:w="10" w:type="dxa"/>
              <w:bottom w:w="0" w:type="dxa"/>
              <w:right w:w="10" w:type="dxa"/>
            </w:tcMar>
            <w:vAlign w:val="center"/>
          </w:tcPr>
          <w:p w14:paraId="183ACA08">
            <w:pPr>
              <w:rPr>
                <w:rFonts w:ascii="宋体" w:hAnsi="宋体" w:cs="宋体"/>
                <w:color w:val="auto"/>
                <w:sz w:val="24"/>
                <w:szCs w:val="24"/>
                <w:highlight w:val="none"/>
              </w:rPr>
            </w:pPr>
          </w:p>
        </w:tc>
        <w:tc>
          <w:tcPr>
            <w:tcW w:w="2488" w:type="dxa"/>
            <w:noWrap w:val="0"/>
            <w:tcMar>
              <w:top w:w="0" w:type="dxa"/>
              <w:left w:w="10" w:type="dxa"/>
              <w:bottom w:w="0" w:type="dxa"/>
              <w:right w:w="10" w:type="dxa"/>
            </w:tcMar>
            <w:vAlign w:val="center"/>
          </w:tcPr>
          <w:p w14:paraId="29C6FBB8">
            <w:pPr>
              <w:rPr>
                <w:rFonts w:ascii="宋体" w:hAnsi="宋体" w:cs="宋体"/>
                <w:color w:val="auto"/>
                <w:sz w:val="24"/>
                <w:szCs w:val="24"/>
                <w:highlight w:val="none"/>
              </w:rPr>
            </w:pPr>
          </w:p>
        </w:tc>
        <w:tc>
          <w:tcPr>
            <w:tcW w:w="3004" w:type="dxa"/>
            <w:noWrap w:val="0"/>
            <w:tcMar>
              <w:top w:w="0" w:type="dxa"/>
              <w:left w:w="10" w:type="dxa"/>
              <w:bottom w:w="0" w:type="dxa"/>
              <w:right w:w="10" w:type="dxa"/>
            </w:tcMar>
            <w:vAlign w:val="center"/>
          </w:tcPr>
          <w:p w14:paraId="62FC4415">
            <w:pPr>
              <w:rPr>
                <w:rFonts w:ascii="宋体" w:hAnsi="宋体" w:cs="宋体"/>
                <w:color w:val="auto"/>
                <w:sz w:val="24"/>
                <w:szCs w:val="24"/>
                <w:highlight w:val="none"/>
              </w:rPr>
            </w:pPr>
          </w:p>
        </w:tc>
      </w:tr>
    </w:tbl>
    <w:p w14:paraId="30062B02">
      <w:pPr>
        <w:ind w:firstLine="480"/>
        <w:rPr>
          <w:rFonts w:ascii="宋体" w:hAnsi="宋体" w:cs="宋体"/>
          <w:color w:val="auto"/>
          <w:sz w:val="24"/>
          <w:szCs w:val="24"/>
          <w:highlight w:val="none"/>
        </w:rPr>
      </w:pPr>
    </w:p>
    <w:p w14:paraId="48C6A468">
      <w:pPr>
        <w:ind w:firstLine="480"/>
        <w:rPr>
          <w:rFonts w:ascii="宋体" w:hAnsi="宋体"/>
          <w:color w:val="auto"/>
          <w:sz w:val="24"/>
          <w:szCs w:val="24"/>
          <w:highlight w:val="none"/>
        </w:rPr>
      </w:pPr>
      <w:r>
        <w:rPr>
          <w:rFonts w:hint="eastAsia" w:ascii="宋体" w:hAnsi="宋体" w:cs="宋体"/>
          <w:color w:val="auto"/>
          <w:sz w:val="24"/>
          <w:szCs w:val="24"/>
          <w:highlight w:val="none"/>
        </w:rPr>
        <w:t>说明：</w:t>
      </w:r>
      <w:r>
        <w:rPr>
          <w:rFonts w:hint="eastAsia" w:ascii="宋体" w:hAnsi="宋体"/>
          <w:color w:val="auto"/>
          <w:sz w:val="24"/>
          <w:szCs w:val="24"/>
          <w:highlight w:val="none"/>
        </w:rPr>
        <w:t>（1）投标人应秉持诚实守信的原则，</w:t>
      </w:r>
      <w:r>
        <w:rPr>
          <w:rFonts w:ascii="宋体" w:hAnsi="宋体"/>
          <w:color w:val="auto"/>
          <w:sz w:val="24"/>
          <w:szCs w:val="24"/>
          <w:highlight w:val="none"/>
        </w:rPr>
        <w:t>对包括</w:t>
      </w:r>
      <w:r>
        <w:rPr>
          <w:rFonts w:hint="eastAsia" w:ascii="宋体" w:hAnsi="宋体" w:cs="宋体"/>
          <w:b/>
          <w:bCs/>
          <w:color w:val="auto"/>
          <w:sz w:val="24"/>
          <w:szCs w:val="24"/>
          <w:highlight w:val="none"/>
          <w:lang w:val="zh-CN"/>
        </w:rPr>
        <w:t>服务要求、安装要求、交货期、交货方式及交货地点</w:t>
      </w:r>
      <w:r>
        <w:rPr>
          <w:rFonts w:ascii="宋体" w:hAnsi="宋体"/>
          <w:b/>
          <w:bCs/>
          <w:color w:val="auto"/>
          <w:sz w:val="24"/>
          <w:szCs w:val="24"/>
          <w:highlight w:val="none"/>
        </w:rPr>
        <w:t>、</w:t>
      </w:r>
      <w:r>
        <w:rPr>
          <w:rFonts w:hint="eastAsia" w:ascii="宋体" w:hAnsi="宋体"/>
          <w:b/>
          <w:bCs/>
          <w:color w:val="auto"/>
          <w:sz w:val="24"/>
          <w:szCs w:val="24"/>
          <w:highlight w:val="none"/>
        </w:rPr>
        <w:t>其他技术服务需求、</w:t>
      </w:r>
      <w:r>
        <w:rPr>
          <w:rFonts w:ascii="宋体" w:hAnsi="宋体"/>
          <w:b/>
          <w:bCs/>
          <w:color w:val="auto"/>
          <w:sz w:val="24"/>
          <w:szCs w:val="24"/>
          <w:highlight w:val="none"/>
        </w:rPr>
        <w:t>付款方式、合同条款等</w:t>
      </w:r>
      <w:r>
        <w:rPr>
          <w:rFonts w:ascii="宋体" w:hAnsi="宋体"/>
          <w:color w:val="auto"/>
          <w:sz w:val="24"/>
          <w:szCs w:val="24"/>
          <w:highlight w:val="none"/>
        </w:rPr>
        <w:t>商务条款的响应有任何偏离，请在本表中详细填写。如不列出，则视为</w:t>
      </w:r>
      <w:r>
        <w:rPr>
          <w:rFonts w:hint="eastAsia" w:ascii="宋体" w:hAnsi="宋体"/>
          <w:color w:val="auto"/>
          <w:sz w:val="24"/>
          <w:szCs w:val="24"/>
          <w:highlight w:val="none"/>
        </w:rPr>
        <w:t>投标人</w:t>
      </w:r>
      <w:r>
        <w:rPr>
          <w:rFonts w:ascii="宋体" w:hAnsi="宋体"/>
          <w:color w:val="auto"/>
          <w:sz w:val="24"/>
          <w:szCs w:val="24"/>
          <w:highlight w:val="none"/>
        </w:rPr>
        <w:t>完全同意招标文件的商务条款。</w:t>
      </w:r>
    </w:p>
    <w:p w14:paraId="6DA4E683">
      <w:pPr>
        <w:ind w:firstLine="480"/>
        <w:rPr>
          <w:rFonts w:ascii="宋体" w:hAnsi="宋体"/>
          <w:color w:val="auto"/>
          <w:sz w:val="24"/>
          <w:szCs w:val="24"/>
          <w:highlight w:val="none"/>
        </w:rPr>
      </w:pPr>
      <w:r>
        <w:rPr>
          <w:rFonts w:hint="eastAsia" w:ascii="宋体" w:hAnsi="宋体"/>
          <w:bCs/>
          <w:color w:val="auto"/>
          <w:sz w:val="24"/>
          <w:szCs w:val="24"/>
          <w:highlight w:val="none"/>
        </w:rPr>
        <w:t>（2）</w:t>
      </w:r>
      <w:r>
        <w:rPr>
          <w:rFonts w:hint="eastAsia" w:ascii="宋体" w:hAnsi="宋体"/>
          <w:b/>
          <w:i/>
          <w:iCs/>
          <w:color w:val="auto"/>
          <w:sz w:val="24"/>
          <w:szCs w:val="24"/>
          <w:highlight w:val="none"/>
          <w:u w:val="single"/>
        </w:rPr>
        <w:t>商务要求中</w:t>
      </w:r>
      <w:r>
        <w:rPr>
          <w:rFonts w:hint="eastAsia" w:ascii="宋体" w:hAnsi="宋体"/>
          <w:b/>
          <w:bCs/>
          <w:i/>
          <w:iCs/>
          <w:color w:val="auto"/>
          <w:sz w:val="24"/>
          <w:szCs w:val="24"/>
          <w:highlight w:val="none"/>
          <w:u w:val="single"/>
        </w:rPr>
        <w:t>标注</w:t>
      </w:r>
      <w:r>
        <w:rPr>
          <w:rFonts w:ascii="宋体" w:hAnsi="宋体"/>
          <w:b/>
          <w:bCs/>
          <w:i/>
          <w:iCs/>
          <w:color w:val="auto"/>
          <w:sz w:val="24"/>
          <w:szCs w:val="24"/>
          <w:highlight w:val="none"/>
          <w:u w:val="single"/>
        </w:rPr>
        <w:t>“★”</w:t>
      </w:r>
      <w:r>
        <w:rPr>
          <w:rFonts w:hint="eastAsia" w:ascii="宋体" w:hAnsi="宋体"/>
          <w:b/>
          <w:bCs/>
          <w:i/>
          <w:iCs/>
          <w:color w:val="auto"/>
          <w:sz w:val="24"/>
          <w:szCs w:val="24"/>
          <w:highlight w:val="none"/>
          <w:u w:val="single"/>
        </w:rPr>
        <w:t>的</w:t>
      </w:r>
      <w:r>
        <w:rPr>
          <w:rFonts w:hint="eastAsia" w:ascii="宋体" w:hAnsi="宋体"/>
          <w:b/>
          <w:i/>
          <w:iCs/>
          <w:color w:val="auto"/>
          <w:sz w:val="24"/>
          <w:szCs w:val="24"/>
          <w:highlight w:val="none"/>
          <w:u w:val="single"/>
        </w:rPr>
        <w:t>为实质性条款，不允许负偏离，否则将作无效投标处理。</w:t>
      </w:r>
    </w:p>
    <w:p w14:paraId="1FECA3C6">
      <w:pPr>
        <w:ind w:firstLine="480"/>
        <w:rPr>
          <w:rFonts w:ascii="宋体" w:hAnsi="宋体" w:cs="宋体"/>
          <w:color w:val="auto"/>
          <w:sz w:val="24"/>
          <w:szCs w:val="24"/>
          <w:highlight w:val="none"/>
        </w:rPr>
      </w:pPr>
      <w:r>
        <w:rPr>
          <w:rFonts w:hint="eastAsia" w:ascii="宋体" w:hAnsi="宋体" w:cs="宋体"/>
          <w:color w:val="auto"/>
          <w:sz w:val="24"/>
          <w:szCs w:val="24"/>
          <w:highlight w:val="none"/>
        </w:rPr>
        <w:t>（3）如果行数不够，请自行增加。</w:t>
      </w:r>
    </w:p>
    <w:p w14:paraId="6E832D13">
      <w:pPr>
        <w:ind w:firstLine="480"/>
        <w:rPr>
          <w:rFonts w:ascii="宋体" w:hAnsi="宋体" w:cs="宋体"/>
          <w:color w:val="auto"/>
          <w:sz w:val="24"/>
          <w:szCs w:val="24"/>
          <w:highlight w:val="none"/>
        </w:rPr>
      </w:pPr>
    </w:p>
    <w:p w14:paraId="6A50B32E">
      <w:pPr>
        <w:ind w:firstLine="480"/>
        <w:rPr>
          <w:rFonts w:ascii="宋体" w:hAnsi="宋体" w:cs="宋体"/>
          <w:color w:val="auto"/>
          <w:sz w:val="24"/>
          <w:szCs w:val="24"/>
          <w:highlight w:val="none"/>
        </w:rPr>
      </w:pPr>
    </w:p>
    <w:p w14:paraId="118EB1AC">
      <w:pPr>
        <w:ind w:firstLine="24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23EB6096">
      <w:pPr>
        <w:pStyle w:val="17"/>
        <w:ind w:left="1540" w:right="1540" w:firstLine="440"/>
        <w:rPr>
          <w:color w:val="auto"/>
          <w:highlight w:val="none"/>
        </w:rPr>
      </w:pPr>
    </w:p>
    <w:p w14:paraId="115736C6">
      <w:pPr>
        <w:ind w:firstLine="24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421156CA">
      <w:pPr>
        <w:ind w:firstLine="480"/>
        <w:jc w:val="center"/>
        <w:rPr>
          <w:rFonts w:ascii="宋体" w:hAnsi="宋体" w:cs="宋体"/>
          <w:color w:val="auto"/>
          <w:sz w:val="24"/>
          <w:szCs w:val="24"/>
          <w:highlight w:val="none"/>
        </w:rPr>
      </w:pPr>
    </w:p>
    <w:p w14:paraId="5B63567E">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4731D3B5">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p>
    <w:p w14:paraId="74D14306">
      <w:pPr>
        <w:ind w:firstLine="482"/>
        <w:rPr>
          <w:rFonts w:ascii="宋体" w:hAnsi="宋体" w:cs="宋体"/>
          <w:b/>
          <w:color w:val="auto"/>
          <w:sz w:val="24"/>
          <w:szCs w:val="24"/>
          <w:highlight w:val="none"/>
        </w:rPr>
      </w:pPr>
      <w:r>
        <w:rPr>
          <w:rFonts w:hint="eastAsia" w:ascii="宋体" w:hAnsi="宋体" w:cs="宋体"/>
          <w:b/>
          <w:bCs/>
          <w:color w:val="auto"/>
          <w:sz w:val="24"/>
          <w:szCs w:val="24"/>
          <w:highlight w:val="none"/>
        </w:rPr>
        <w:t>附件</w:t>
      </w:r>
      <w:bookmarkEnd w:id="73"/>
      <w:bookmarkEnd w:id="74"/>
      <w:bookmarkEnd w:id="75"/>
      <w:bookmarkStart w:id="88" w:name="_Toc120614284"/>
      <w:r>
        <w:rPr>
          <w:rFonts w:hint="eastAsia" w:ascii="宋体" w:hAnsi="宋体" w:cs="宋体"/>
          <w:b/>
          <w:bCs/>
          <w:color w:val="auto"/>
          <w:sz w:val="24"/>
          <w:szCs w:val="24"/>
          <w:highlight w:val="none"/>
        </w:rPr>
        <w:t>六</w:t>
      </w:r>
    </w:p>
    <w:p w14:paraId="148AC705">
      <w:pPr>
        <w:ind w:firstLine="562"/>
        <w:jc w:val="center"/>
        <w:outlineLvl w:val="1"/>
        <w:rPr>
          <w:rFonts w:ascii="宋体" w:hAnsi="宋体" w:cs="宋体"/>
          <w:b/>
          <w:color w:val="auto"/>
          <w:sz w:val="28"/>
          <w:szCs w:val="28"/>
          <w:highlight w:val="none"/>
        </w:rPr>
      </w:pPr>
      <w:bookmarkStart w:id="89" w:name="_Toc7379"/>
      <w:bookmarkStart w:id="105" w:name="_GoBack"/>
      <w:bookmarkEnd w:id="105"/>
      <w:r>
        <w:rPr>
          <w:rFonts w:hint="eastAsia" w:ascii="宋体" w:hAnsi="宋体" w:cs="宋体"/>
          <w:b/>
          <w:color w:val="auto"/>
          <w:sz w:val="28"/>
          <w:szCs w:val="28"/>
          <w:highlight w:val="none"/>
        </w:rPr>
        <w:t>技术参数响应表</w:t>
      </w:r>
      <w:bookmarkEnd w:id="89"/>
    </w:p>
    <w:p w14:paraId="1D4C83FA">
      <w:pPr>
        <w:pStyle w:val="17"/>
        <w:ind w:left="0" w:right="1540" w:firstLine="482"/>
        <w:rPr>
          <w:color w:val="auto"/>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p>
    <w:tbl>
      <w:tblPr>
        <w:tblStyle w:val="40"/>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08"/>
        <w:gridCol w:w="1788"/>
        <w:gridCol w:w="2256"/>
        <w:gridCol w:w="1775"/>
      </w:tblGrid>
      <w:tr w14:paraId="7B85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502" w:type="pct"/>
            <w:noWrap w:val="0"/>
            <w:vAlign w:val="center"/>
          </w:tcPr>
          <w:p w14:paraId="01FAA01B">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066" w:type="pct"/>
            <w:noWrap w:val="0"/>
            <w:vAlign w:val="center"/>
          </w:tcPr>
          <w:p w14:paraId="1195138D">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招标文件要求</w:t>
            </w:r>
          </w:p>
        </w:tc>
        <w:tc>
          <w:tcPr>
            <w:tcW w:w="1054" w:type="pct"/>
            <w:noWrap w:val="0"/>
            <w:vAlign w:val="center"/>
          </w:tcPr>
          <w:p w14:paraId="00A974C1">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投标响应</w:t>
            </w:r>
          </w:p>
        </w:tc>
        <w:tc>
          <w:tcPr>
            <w:tcW w:w="1330" w:type="pct"/>
            <w:noWrap w:val="0"/>
            <w:vAlign w:val="center"/>
          </w:tcPr>
          <w:p w14:paraId="416108A7">
            <w:pPr>
              <w:spacing w:line="3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偏离情况</w:t>
            </w:r>
          </w:p>
          <w:p w14:paraId="2067BFC9">
            <w:pPr>
              <w:spacing w:line="320" w:lineRule="exact"/>
              <w:jc w:val="center"/>
              <w:rPr>
                <w:rFonts w:ascii="宋体" w:hAnsi="宋体" w:cs="宋体"/>
                <w:b/>
                <w:bCs/>
                <w:color w:val="auto"/>
                <w:sz w:val="24"/>
                <w:szCs w:val="24"/>
                <w:highlight w:val="none"/>
              </w:rPr>
            </w:pPr>
            <w:r>
              <w:rPr>
                <w:rFonts w:hint="eastAsia" w:ascii="宋体" w:hAnsi="宋体" w:cs="宋体"/>
                <w:b/>
                <w:bCs/>
                <w:color w:val="auto"/>
                <w:sz w:val="21"/>
                <w:szCs w:val="21"/>
                <w:highlight w:val="none"/>
              </w:rPr>
              <w:t>（无、正、负偏离）</w:t>
            </w:r>
          </w:p>
        </w:tc>
        <w:tc>
          <w:tcPr>
            <w:tcW w:w="1046" w:type="pct"/>
            <w:noWrap w:val="0"/>
          </w:tcPr>
          <w:p w14:paraId="34AA5FE2">
            <w:pPr>
              <w:spacing w:line="3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佐证材料页码</w:t>
            </w:r>
          </w:p>
          <w:p w14:paraId="5545A353">
            <w:pPr>
              <w:spacing w:line="3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（如有）</w:t>
            </w:r>
          </w:p>
        </w:tc>
      </w:tr>
      <w:tr w14:paraId="421E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4723803E">
            <w:pPr>
              <w:jc w:val="center"/>
              <w:rPr>
                <w:rFonts w:ascii="宋体" w:hAnsi="宋体" w:cs="宋体"/>
                <w:color w:val="auto"/>
                <w:sz w:val="24"/>
                <w:szCs w:val="24"/>
                <w:highlight w:val="none"/>
              </w:rPr>
            </w:pPr>
          </w:p>
        </w:tc>
        <w:tc>
          <w:tcPr>
            <w:tcW w:w="1066" w:type="pct"/>
            <w:noWrap w:val="0"/>
          </w:tcPr>
          <w:p w14:paraId="2015EEFD">
            <w:pPr>
              <w:jc w:val="center"/>
              <w:rPr>
                <w:rFonts w:ascii="宋体" w:hAnsi="宋体" w:cs="宋体"/>
                <w:color w:val="auto"/>
                <w:sz w:val="24"/>
                <w:szCs w:val="24"/>
                <w:highlight w:val="none"/>
              </w:rPr>
            </w:pPr>
          </w:p>
        </w:tc>
        <w:tc>
          <w:tcPr>
            <w:tcW w:w="1054" w:type="pct"/>
            <w:noWrap w:val="0"/>
          </w:tcPr>
          <w:p w14:paraId="0CEC8427">
            <w:pPr>
              <w:jc w:val="center"/>
              <w:rPr>
                <w:rFonts w:ascii="宋体" w:hAnsi="宋体" w:cs="宋体"/>
                <w:color w:val="auto"/>
                <w:sz w:val="24"/>
                <w:szCs w:val="24"/>
                <w:highlight w:val="none"/>
              </w:rPr>
            </w:pPr>
          </w:p>
        </w:tc>
        <w:tc>
          <w:tcPr>
            <w:tcW w:w="1330" w:type="pct"/>
            <w:noWrap w:val="0"/>
          </w:tcPr>
          <w:p w14:paraId="00381185">
            <w:pPr>
              <w:jc w:val="center"/>
              <w:rPr>
                <w:rFonts w:ascii="宋体" w:hAnsi="宋体" w:cs="宋体"/>
                <w:color w:val="auto"/>
                <w:sz w:val="24"/>
                <w:szCs w:val="24"/>
                <w:highlight w:val="none"/>
              </w:rPr>
            </w:pPr>
          </w:p>
        </w:tc>
        <w:tc>
          <w:tcPr>
            <w:tcW w:w="1046" w:type="pct"/>
            <w:noWrap w:val="0"/>
          </w:tcPr>
          <w:p w14:paraId="23CC1E60">
            <w:pPr>
              <w:jc w:val="center"/>
              <w:rPr>
                <w:rFonts w:ascii="宋体" w:hAnsi="宋体" w:cs="宋体"/>
                <w:color w:val="auto"/>
                <w:sz w:val="24"/>
                <w:szCs w:val="24"/>
                <w:highlight w:val="none"/>
              </w:rPr>
            </w:pPr>
          </w:p>
        </w:tc>
      </w:tr>
      <w:tr w14:paraId="0D47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746FB8B2">
            <w:pPr>
              <w:jc w:val="center"/>
              <w:rPr>
                <w:rFonts w:ascii="宋体" w:hAnsi="宋体" w:cs="宋体"/>
                <w:color w:val="auto"/>
                <w:sz w:val="24"/>
                <w:szCs w:val="24"/>
                <w:highlight w:val="none"/>
              </w:rPr>
            </w:pPr>
          </w:p>
        </w:tc>
        <w:tc>
          <w:tcPr>
            <w:tcW w:w="1066" w:type="pct"/>
            <w:noWrap w:val="0"/>
          </w:tcPr>
          <w:p w14:paraId="0C2EE7F8">
            <w:pPr>
              <w:jc w:val="center"/>
              <w:rPr>
                <w:rFonts w:ascii="宋体" w:hAnsi="宋体" w:cs="宋体"/>
                <w:color w:val="auto"/>
                <w:sz w:val="24"/>
                <w:szCs w:val="24"/>
                <w:highlight w:val="none"/>
              </w:rPr>
            </w:pPr>
          </w:p>
        </w:tc>
        <w:tc>
          <w:tcPr>
            <w:tcW w:w="1054" w:type="pct"/>
            <w:noWrap w:val="0"/>
          </w:tcPr>
          <w:p w14:paraId="746D046E">
            <w:pPr>
              <w:jc w:val="center"/>
              <w:rPr>
                <w:rFonts w:ascii="宋体" w:hAnsi="宋体" w:cs="宋体"/>
                <w:color w:val="auto"/>
                <w:sz w:val="24"/>
                <w:szCs w:val="24"/>
                <w:highlight w:val="none"/>
              </w:rPr>
            </w:pPr>
          </w:p>
        </w:tc>
        <w:tc>
          <w:tcPr>
            <w:tcW w:w="1330" w:type="pct"/>
            <w:noWrap w:val="0"/>
          </w:tcPr>
          <w:p w14:paraId="7EA28384">
            <w:pPr>
              <w:jc w:val="center"/>
              <w:rPr>
                <w:rFonts w:ascii="宋体" w:hAnsi="宋体" w:cs="宋体"/>
                <w:color w:val="auto"/>
                <w:sz w:val="24"/>
                <w:szCs w:val="24"/>
                <w:highlight w:val="none"/>
              </w:rPr>
            </w:pPr>
          </w:p>
        </w:tc>
        <w:tc>
          <w:tcPr>
            <w:tcW w:w="1046" w:type="pct"/>
            <w:noWrap w:val="0"/>
          </w:tcPr>
          <w:p w14:paraId="3FA6584D">
            <w:pPr>
              <w:jc w:val="center"/>
              <w:rPr>
                <w:rFonts w:ascii="宋体" w:hAnsi="宋体" w:cs="宋体"/>
                <w:color w:val="auto"/>
                <w:sz w:val="24"/>
                <w:szCs w:val="24"/>
                <w:highlight w:val="none"/>
              </w:rPr>
            </w:pPr>
          </w:p>
        </w:tc>
      </w:tr>
      <w:tr w14:paraId="6774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2E7D0506">
            <w:pPr>
              <w:jc w:val="center"/>
              <w:rPr>
                <w:rFonts w:ascii="宋体" w:hAnsi="宋体" w:cs="宋体"/>
                <w:color w:val="auto"/>
                <w:sz w:val="24"/>
                <w:szCs w:val="24"/>
                <w:highlight w:val="none"/>
              </w:rPr>
            </w:pPr>
          </w:p>
        </w:tc>
        <w:tc>
          <w:tcPr>
            <w:tcW w:w="1066" w:type="pct"/>
            <w:noWrap w:val="0"/>
          </w:tcPr>
          <w:p w14:paraId="283E34C6">
            <w:pPr>
              <w:jc w:val="center"/>
              <w:rPr>
                <w:rFonts w:ascii="宋体" w:hAnsi="宋体" w:cs="宋体"/>
                <w:color w:val="auto"/>
                <w:sz w:val="24"/>
                <w:szCs w:val="24"/>
                <w:highlight w:val="none"/>
              </w:rPr>
            </w:pPr>
          </w:p>
        </w:tc>
        <w:tc>
          <w:tcPr>
            <w:tcW w:w="1054" w:type="pct"/>
            <w:noWrap w:val="0"/>
          </w:tcPr>
          <w:p w14:paraId="3DB3FADA">
            <w:pPr>
              <w:jc w:val="center"/>
              <w:rPr>
                <w:rFonts w:ascii="宋体" w:hAnsi="宋体" w:cs="宋体"/>
                <w:color w:val="auto"/>
                <w:sz w:val="24"/>
                <w:szCs w:val="24"/>
                <w:highlight w:val="none"/>
              </w:rPr>
            </w:pPr>
          </w:p>
        </w:tc>
        <w:tc>
          <w:tcPr>
            <w:tcW w:w="1330" w:type="pct"/>
            <w:noWrap w:val="0"/>
          </w:tcPr>
          <w:p w14:paraId="39845624">
            <w:pPr>
              <w:jc w:val="center"/>
              <w:rPr>
                <w:rFonts w:ascii="宋体" w:hAnsi="宋体" w:cs="宋体"/>
                <w:color w:val="auto"/>
                <w:sz w:val="24"/>
                <w:szCs w:val="24"/>
                <w:highlight w:val="none"/>
              </w:rPr>
            </w:pPr>
          </w:p>
        </w:tc>
        <w:tc>
          <w:tcPr>
            <w:tcW w:w="1046" w:type="pct"/>
            <w:noWrap w:val="0"/>
          </w:tcPr>
          <w:p w14:paraId="56115C77">
            <w:pPr>
              <w:jc w:val="center"/>
              <w:rPr>
                <w:rFonts w:ascii="宋体" w:hAnsi="宋体" w:cs="宋体"/>
                <w:color w:val="auto"/>
                <w:sz w:val="24"/>
                <w:szCs w:val="24"/>
                <w:highlight w:val="none"/>
              </w:rPr>
            </w:pPr>
          </w:p>
        </w:tc>
      </w:tr>
      <w:tr w14:paraId="4A07E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060248CD">
            <w:pPr>
              <w:jc w:val="center"/>
              <w:rPr>
                <w:rFonts w:ascii="宋体" w:hAnsi="宋体" w:cs="宋体"/>
                <w:color w:val="auto"/>
                <w:sz w:val="24"/>
                <w:szCs w:val="24"/>
                <w:highlight w:val="none"/>
              </w:rPr>
            </w:pPr>
          </w:p>
        </w:tc>
        <w:tc>
          <w:tcPr>
            <w:tcW w:w="1066" w:type="pct"/>
            <w:noWrap w:val="0"/>
          </w:tcPr>
          <w:p w14:paraId="02DF1EB8">
            <w:pPr>
              <w:jc w:val="center"/>
              <w:rPr>
                <w:rFonts w:ascii="宋体" w:hAnsi="宋体" w:cs="宋体"/>
                <w:color w:val="auto"/>
                <w:sz w:val="24"/>
                <w:szCs w:val="24"/>
                <w:highlight w:val="none"/>
              </w:rPr>
            </w:pPr>
          </w:p>
        </w:tc>
        <w:tc>
          <w:tcPr>
            <w:tcW w:w="1054" w:type="pct"/>
            <w:noWrap w:val="0"/>
          </w:tcPr>
          <w:p w14:paraId="47DC6AA9">
            <w:pPr>
              <w:jc w:val="center"/>
              <w:rPr>
                <w:rFonts w:ascii="宋体" w:hAnsi="宋体" w:cs="宋体"/>
                <w:color w:val="auto"/>
                <w:sz w:val="24"/>
                <w:szCs w:val="24"/>
                <w:highlight w:val="none"/>
              </w:rPr>
            </w:pPr>
          </w:p>
        </w:tc>
        <w:tc>
          <w:tcPr>
            <w:tcW w:w="1330" w:type="pct"/>
            <w:noWrap w:val="0"/>
          </w:tcPr>
          <w:p w14:paraId="1AE789D6">
            <w:pPr>
              <w:jc w:val="center"/>
              <w:rPr>
                <w:rFonts w:ascii="宋体" w:hAnsi="宋体" w:cs="宋体"/>
                <w:color w:val="auto"/>
                <w:sz w:val="24"/>
                <w:szCs w:val="24"/>
                <w:highlight w:val="none"/>
              </w:rPr>
            </w:pPr>
          </w:p>
        </w:tc>
        <w:tc>
          <w:tcPr>
            <w:tcW w:w="1046" w:type="pct"/>
            <w:noWrap w:val="0"/>
          </w:tcPr>
          <w:p w14:paraId="03B3ACA2">
            <w:pPr>
              <w:jc w:val="center"/>
              <w:rPr>
                <w:rFonts w:ascii="宋体" w:hAnsi="宋体" w:cs="宋体"/>
                <w:color w:val="auto"/>
                <w:sz w:val="24"/>
                <w:szCs w:val="24"/>
                <w:highlight w:val="none"/>
              </w:rPr>
            </w:pPr>
          </w:p>
        </w:tc>
      </w:tr>
      <w:tr w14:paraId="407E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6369333B">
            <w:pPr>
              <w:jc w:val="center"/>
              <w:rPr>
                <w:rFonts w:ascii="宋体" w:hAnsi="宋体" w:cs="宋体"/>
                <w:color w:val="auto"/>
                <w:sz w:val="24"/>
                <w:szCs w:val="24"/>
                <w:highlight w:val="none"/>
              </w:rPr>
            </w:pPr>
          </w:p>
        </w:tc>
        <w:tc>
          <w:tcPr>
            <w:tcW w:w="1066" w:type="pct"/>
            <w:noWrap w:val="0"/>
          </w:tcPr>
          <w:p w14:paraId="12D21FE9">
            <w:pPr>
              <w:jc w:val="center"/>
              <w:rPr>
                <w:rFonts w:ascii="宋体" w:hAnsi="宋体" w:cs="宋体"/>
                <w:color w:val="auto"/>
                <w:sz w:val="24"/>
                <w:szCs w:val="24"/>
                <w:highlight w:val="none"/>
              </w:rPr>
            </w:pPr>
          </w:p>
        </w:tc>
        <w:tc>
          <w:tcPr>
            <w:tcW w:w="1054" w:type="pct"/>
            <w:noWrap w:val="0"/>
          </w:tcPr>
          <w:p w14:paraId="3B6BE024">
            <w:pPr>
              <w:jc w:val="center"/>
              <w:rPr>
                <w:rFonts w:ascii="宋体" w:hAnsi="宋体" w:cs="宋体"/>
                <w:color w:val="auto"/>
                <w:sz w:val="24"/>
                <w:szCs w:val="24"/>
                <w:highlight w:val="none"/>
              </w:rPr>
            </w:pPr>
          </w:p>
        </w:tc>
        <w:tc>
          <w:tcPr>
            <w:tcW w:w="1330" w:type="pct"/>
            <w:noWrap w:val="0"/>
          </w:tcPr>
          <w:p w14:paraId="740B05A0">
            <w:pPr>
              <w:jc w:val="center"/>
              <w:rPr>
                <w:rFonts w:ascii="宋体" w:hAnsi="宋体" w:cs="宋体"/>
                <w:color w:val="auto"/>
                <w:sz w:val="24"/>
                <w:szCs w:val="24"/>
                <w:highlight w:val="none"/>
              </w:rPr>
            </w:pPr>
          </w:p>
        </w:tc>
        <w:tc>
          <w:tcPr>
            <w:tcW w:w="1046" w:type="pct"/>
            <w:noWrap w:val="0"/>
          </w:tcPr>
          <w:p w14:paraId="281E539A">
            <w:pPr>
              <w:jc w:val="center"/>
              <w:rPr>
                <w:rFonts w:ascii="宋体" w:hAnsi="宋体" w:cs="宋体"/>
                <w:color w:val="auto"/>
                <w:sz w:val="24"/>
                <w:szCs w:val="24"/>
                <w:highlight w:val="none"/>
              </w:rPr>
            </w:pPr>
          </w:p>
        </w:tc>
      </w:tr>
      <w:tr w14:paraId="3F21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17F9B8AD">
            <w:pPr>
              <w:jc w:val="center"/>
              <w:rPr>
                <w:rFonts w:ascii="宋体" w:hAnsi="宋体" w:cs="宋体"/>
                <w:color w:val="auto"/>
                <w:sz w:val="24"/>
                <w:szCs w:val="24"/>
                <w:highlight w:val="none"/>
              </w:rPr>
            </w:pPr>
          </w:p>
        </w:tc>
        <w:tc>
          <w:tcPr>
            <w:tcW w:w="1066" w:type="pct"/>
            <w:noWrap w:val="0"/>
          </w:tcPr>
          <w:p w14:paraId="7C64966D">
            <w:pPr>
              <w:jc w:val="center"/>
              <w:rPr>
                <w:rFonts w:ascii="宋体" w:hAnsi="宋体" w:cs="宋体"/>
                <w:color w:val="auto"/>
                <w:sz w:val="24"/>
                <w:szCs w:val="24"/>
                <w:highlight w:val="none"/>
              </w:rPr>
            </w:pPr>
          </w:p>
        </w:tc>
        <w:tc>
          <w:tcPr>
            <w:tcW w:w="1054" w:type="pct"/>
            <w:noWrap w:val="0"/>
          </w:tcPr>
          <w:p w14:paraId="12D87507">
            <w:pPr>
              <w:jc w:val="center"/>
              <w:rPr>
                <w:rFonts w:ascii="宋体" w:hAnsi="宋体" w:cs="宋体"/>
                <w:color w:val="auto"/>
                <w:sz w:val="24"/>
                <w:szCs w:val="24"/>
                <w:highlight w:val="none"/>
              </w:rPr>
            </w:pPr>
          </w:p>
        </w:tc>
        <w:tc>
          <w:tcPr>
            <w:tcW w:w="1330" w:type="pct"/>
            <w:noWrap w:val="0"/>
          </w:tcPr>
          <w:p w14:paraId="0C0E6C15">
            <w:pPr>
              <w:jc w:val="center"/>
              <w:rPr>
                <w:rFonts w:ascii="宋体" w:hAnsi="宋体" w:cs="宋体"/>
                <w:color w:val="auto"/>
                <w:sz w:val="24"/>
                <w:szCs w:val="24"/>
                <w:highlight w:val="none"/>
              </w:rPr>
            </w:pPr>
          </w:p>
        </w:tc>
        <w:tc>
          <w:tcPr>
            <w:tcW w:w="1046" w:type="pct"/>
            <w:noWrap w:val="0"/>
          </w:tcPr>
          <w:p w14:paraId="363D79B8">
            <w:pPr>
              <w:jc w:val="center"/>
              <w:rPr>
                <w:rFonts w:ascii="宋体" w:hAnsi="宋体" w:cs="宋体"/>
                <w:color w:val="auto"/>
                <w:sz w:val="24"/>
                <w:szCs w:val="24"/>
                <w:highlight w:val="none"/>
              </w:rPr>
            </w:pPr>
          </w:p>
        </w:tc>
      </w:tr>
      <w:tr w14:paraId="70F5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361A28FA">
            <w:pPr>
              <w:jc w:val="center"/>
              <w:rPr>
                <w:rFonts w:ascii="宋体" w:hAnsi="宋体" w:cs="宋体"/>
                <w:color w:val="auto"/>
                <w:sz w:val="24"/>
                <w:szCs w:val="24"/>
                <w:highlight w:val="none"/>
              </w:rPr>
            </w:pPr>
          </w:p>
        </w:tc>
        <w:tc>
          <w:tcPr>
            <w:tcW w:w="1066" w:type="pct"/>
            <w:noWrap w:val="0"/>
          </w:tcPr>
          <w:p w14:paraId="5CFE31BD">
            <w:pPr>
              <w:jc w:val="center"/>
              <w:rPr>
                <w:rFonts w:ascii="宋体" w:hAnsi="宋体" w:cs="宋体"/>
                <w:color w:val="auto"/>
                <w:sz w:val="24"/>
                <w:szCs w:val="24"/>
                <w:highlight w:val="none"/>
              </w:rPr>
            </w:pPr>
          </w:p>
        </w:tc>
        <w:tc>
          <w:tcPr>
            <w:tcW w:w="1054" w:type="pct"/>
            <w:noWrap w:val="0"/>
          </w:tcPr>
          <w:p w14:paraId="17E0822B">
            <w:pPr>
              <w:jc w:val="center"/>
              <w:rPr>
                <w:rFonts w:ascii="宋体" w:hAnsi="宋体" w:cs="宋体"/>
                <w:color w:val="auto"/>
                <w:sz w:val="24"/>
                <w:szCs w:val="24"/>
                <w:highlight w:val="none"/>
              </w:rPr>
            </w:pPr>
          </w:p>
        </w:tc>
        <w:tc>
          <w:tcPr>
            <w:tcW w:w="1330" w:type="pct"/>
            <w:noWrap w:val="0"/>
          </w:tcPr>
          <w:p w14:paraId="2907D5A9">
            <w:pPr>
              <w:jc w:val="center"/>
              <w:rPr>
                <w:rFonts w:ascii="宋体" w:hAnsi="宋体" w:cs="宋体"/>
                <w:color w:val="auto"/>
                <w:sz w:val="24"/>
                <w:szCs w:val="24"/>
                <w:highlight w:val="none"/>
              </w:rPr>
            </w:pPr>
          </w:p>
        </w:tc>
        <w:tc>
          <w:tcPr>
            <w:tcW w:w="1046" w:type="pct"/>
            <w:noWrap w:val="0"/>
          </w:tcPr>
          <w:p w14:paraId="72401B3B">
            <w:pPr>
              <w:jc w:val="center"/>
              <w:rPr>
                <w:rFonts w:ascii="宋体" w:hAnsi="宋体" w:cs="宋体"/>
                <w:color w:val="auto"/>
                <w:sz w:val="24"/>
                <w:szCs w:val="24"/>
                <w:highlight w:val="none"/>
              </w:rPr>
            </w:pPr>
          </w:p>
        </w:tc>
      </w:tr>
      <w:tr w14:paraId="1F0A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2" w:type="pct"/>
            <w:noWrap w:val="0"/>
          </w:tcPr>
          <w:p w14:paraId="36301EA7">
            <w:pPr>
              <w:jc w:val="center"/>
              <w:rPr>
                <w:rFonts w:ascii="宋体" w:hAnsi="宋体" w:cs="宋体"/>
                <w:color w:val="auto"/>
                <w:sz w:val="24"/>
                <w:szCs w:val="24"/>
                <w:highlight w:val="none"/>
              </w:rPr>
            </w:pPr>
          </w:p>
        </w:tc>
        <w:tc>
          <w:tcPr>
            <w:tcW w:w="1066" w:type="pct"/>
            <w:noWrap w:val="0"/>
          </w:tcPr>
          <w:p w14:paraId="7650D94B">
            <w:pPr>
              <w:jc w:val="center"/>
              <w:rPr>
                <w:rFonts w:ascii="宋体" w:hAnsi="宋体" w:cs="宋体"/>
                <w:color w:val="auto"/>
                <w:sz w:val="24"/>
                <w:szCs w:val="24"/>
                <w:highlight w:val="none"/>
              </w:rPr>
            </w:pPr>
          </w:p>
        </w:tc>
        <w:tc>
          <w:tcPr>
            <w:tcW w:w="1054" w:type="pct"/>
            <w:noWrap w:val="0"/>
          </w:tcPr>
          <w:p w14:paraId="566185C0">
            <w:pPr>
              <w:jc w:val="center"/>
              <w:rPr>
                <w:rFonts w:ascii="宋体" w:hAnsi="宋体" w:cs="宋体"/>
                <w:color w:val="auto"/>
                <w:sz w:val="24"/>
                <w:szCs w:val="24"/>
                <w:highlight w:val="none"/>
              </w:rPr>
            </w:pPr>
          </w:p>
        </w:tc>
        <w:tc>
          <w:tcPr>
            <w:tcW w:w="1330" w:type="pct"/>
            <w:noWrap w:val="0"/>
          </w:tcPr>
          <w:p w14:paraId="19621D0E">
            <w:pPr>
              <w:jc w:val="center"/>
              <w:rPr>
                <w:rFonts w:ascii="宋体" w:hAnsi="宋体" w:cs="宋体"/>
                <w:color w:val="auto"/>
                <w:sz w:val="24"/>
                <w:szCs w:val="24"/>
                <w:highlight w:val="none"/>
              </w:rPr>
            </w:pPr>
          </w:p>
        </w:tc>
        <w:tc>
          <w:tcPr>
            <w:tcW w:w="1046" w:type="pct"/>
            <w:noWrap w:val="0"/>
          </w:tcPr>
          <w:p w14:paraId="2E86AAB0">
            <w:pPr>
              <w:jc w:val="center"/>
              <w:rPr>
                <w:rFonts w:ascii="宋体" w:hAnsi="宋体" w:cs="宋体"/>
                <w:color w:val="auto"/>
                <w:sz w:val="24"/>
                <w:szCs w:val="24"/>
                <w:highlight w:val="none"/>
              </w:rPr>
            </w:pPr>
          </w:p>
        </w:tc>
      </w:tr>
    </w:tbl>
    <w:p w14:paraId="0E5DA957">
      <w:pPr>
        <w:ind w:firstLine="480"/>
        <w:rPr>
          <w:rFonts w:ascii="宋体" w:hAnsi="宋体" w:cs="宋体"/>
          <w:color w:val="auto"/>
          <w:sz w:val="24"/>
          <w:szCs w:val="24"/>
          <w:highlight w:val="none"/>
        </w:rPr>
      </w:pPr>
    </w:p>
    <w:p w14:paraId="4097B2A8">
      <w:pPr>
        <w:ind w:firstLine="480"/>
        <w:rPr>
          <w:rFonts w:ascii="宋体" w:hAnsi="宋体" w:cs="宋体"/>
          <w:color w:val="auto"/>
          <w:sz w:val="24"/>
          <w:szCs w:val="24"/>
          <w:highlight w:val="none"/>
        </w:rPr>
      </w:pPr>
      <w:r>
        <w:rPr>
          <w:rFonts w:hint="eastAsia" w:ascii="宋体" w:hAnsi="宋体" w:cs="宋体"/>
          <w:color w:val="auto"/>
          <w:sz w:val="24"/>
          <w:szCs w:val="24"/>
          <w:highlight w:val="none"/>
        </w:rPr>
        <w:t>说明：（1）请对第三章项目需求的技术要求进行响应，未按要求提供佐证材料、缺项漏项视为负偏离，加★技术要求未按要求提供佐证材料或负偏离将作无效投标处理。</w:t>
      </w:r>
    </w:p>
    <w:p w14:paraId="7F22DB81">
      <w:pPr>
        <w:ind w:firstLine="480"/>
        <w:rPr>
          <w:rFonts w:ascii="宋体" w:hAnsi="宋体"/>
          <w:color w:val="auto"/>
          <w:sz w:val="24"/>
          <w:szCs w:val="24"/>
          <w:highlight w:val="none"/>
        </w:rPr>
      </w:pPr>
      <w:r>
        <w:rPr>
          <w:rFonts w:hint="eastAsia" w:ascii="宋体" w:hAnsi="宋体" w:cs="宋体"/>
          <w:color w:val="auto"/>
          <w:sz w:val="24"/>
          <w:szCs w:val="24"/>
          <w:highlight w:val="none"/>
        </w:rPr>
        <w:t>（2）如果行数不够，请自行增加。</w:t>
      </w:r>
    </w:p>
    <w:p w14:paraId="58000894">
      <w:pPr>
        <w:ind w:firstLine="480"/>
        <w:rPr>
          <w:rFonts w:ascii="宋体" w:hAnsi="宋体" w:cs="宋体"/>
          <w:color w:val="auto"/>
          <w:sz w:val="24"/>
          <w:szCs w:val="24"/>
          <w:highlight w:val="none"/>
        </w:rPr>
      </w:pPr>
    </w:p>
    <w:p w14:paraId="5CF3DF77">
      <w:pPr>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1B983B91">
      <w:pPr>
        <w:pStyle w:val="17"/>
        <w:ind w:left="1540" w:right="1540" w:firstLine="440"/>
        <w:rPr>
          <w:color w:val="auto"/>
          <w:highlight w:val="none"/>
        </w:rPr>
      </w:pPr>
    </w:p>
    <w:p w14:paraId="54E3B7EF">
      <w:pPr>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76930AC6">
      <w:pPr>
        <w:ind w:firstLine="480"/>
        <w:rPr>
          <w:rFonts w:ascii="宋体" w:hAnsi="宋体" w:cs="宋体"/>
          <w:color w:val="auto"/>
          <w:sz w:val="24"/>
          <w:szCs w:val="24"/>
          <w:highlight w:val="none"/>
        </w:rPr>
      </w:pPr>
    </w:p>
    <w:p w14:paraId="6DDAC0F1">
      <w:pPr>
        <w:ind w:firstLine="5760"/>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7BA00984">
      <w:pPr>
        <w:ind w:firstLine="482"/>
        <w:rPr>
          <w:rFonts w:ascii="Arial" w:hAnsi="Arial" w:cs="Arial"/>
          <w:b/>
          <w:color w:val="auto"/>
          <w:sz w:val="24"/>
          <w:szCs w:val="24"/>
          <w:highlight w:val="none"/>
        </w:rPr>
      </w:pPr>
      <w:r>
        <w:rPr>
          <w:rFonts w:ascii="Arial" w:hAnsi="Arial" w:cs="Arial"/>
          <w:b/>
          <w:color w:val="auto"/>
          <w:sz w:val="24"/>
          <w:szCs w:val="24"/>
          <w:highlight w:val="none"/>
        </w:rPr>
        <w:br w:type="page" w:clear="all"/>
      </w:r>
    </w:p>
    <w:p w14:paraId="19D660EB">
      <w:pPr>
        <w:ind w:firstLine="482"/>
        <w:rPr>
          <w:rFonts w:ascii="Arial" w:hAnsi="Arial" w:cs="Arial"/>
          <w:color w:val="auto"/>
          <w:sz w:val="28"/>
          <w:szCs w:val="36"/>
          <w:highlight w:val="none"/>
        </w:rPr>
      </w:pPr>
      <w:r>
        <w:rPr>
          <w:rFonts w:ascii="Arial" w:hAnsi="Arial" w:cs="Arial"/>
          <w:b/>
          <w:color w:val="auto"/>
          <w:sz w:val="24"/>
          <w:szCs w:val="24"/>
          <w:highlight w:val="none"/>
        </w:rPr>
        <w:t>附件</w:t>
      </w:r>
      <w:r>
        <w:rPr>
          <w:rFonts w:hint="eastAsia" w:ascii="Arial" w:hAnsi="Arial" w:cs="Arial"/>
          <w:b/>
          <w:color w:val="auto"/>
          <w:sz w:val="24"/>
          <w:szCs w:val="24"/>
          <w:highlight w:val="none"/>
        </w:rPr>
        <w:t>七</w:t>
      </w:r>
    </w:p>
    <w:p w14:paraId="3E5BA718">
      <w:pPr>
        <w:ind w:firstLine="562"/>
        <w:jc w:val="center"/>
        <w:outlineLvl w:val="1"/>
        <w:rPr>
          <w:rFonts w:ascii="宋体" w:hAnsi="宋体" w:cs="宋体"/>
          <w:b/>
          <w:color w:val="auto"/>
          <w:sz w:val="28"/>
          <w:szCs w:val="28"/>
          <w:highlight w:val="none"/>
        </w:rPr>
      </w:pPr>
      <w:bookmarkStart w:id="90" w:name="_Toc11716"/>
      <w:r>
        <w:rPr>
          <w:rFonts w:hint="eastAsia" w:ascii="宋体" w:hAnsi="宋体" w:cs="宋体"/>
          <w:b/>
          <w:color w:val="auto"/>
          <w:sz w:val="28"/>
          <w:szCs w:val="28"/>
          <w:highlight w:val="none"/>
        </w:rPr>
        <w:t>无重大违法记录声明</w:t>
      </w:r>
      <w:bookmarkEnd w:id="90"/>
    </w:p>
    <w:p w14:paraId="3F15B078">
      <w:pPr>
        <w:ind w:firstLine="480"/>
        <w:rPr>
          <w:rFonts w:ascii="宋体" w:hAnsi="宋体" w:cs="宋体"/>
          <w:color w:val="auto"/>
          <w:sz w:val="24"/>
          <w:szCs w:val="24"/>
          <w:highlight w:val="none"/>
        </w:rPr>
      </w:pPr>
      <w:r>
        <w:rPr>
          <w:rFonts w:hint="eastAsia" w:ascii="宋体" w:hAnsi="宋体" w:cs="宋体"/>
          <w:color w:val="auto"/>
          <w:sz w:val="24"/>
          <w:szCs w:val="24"/>
          <w:highlight w:val="none"/>
        </w:rPr>
        <w:t>南京医科大学：</w:t>
      </w:r>
    </w:p>
    <w:p w14:paraId="5EF94594">
      <w:pPr>
        <w:ind w:firstLine="384"/>
        <w:rPr>
          <w:rFonts w:ascii="宋体" w:hAnsi="宋体" w:cs="宋体"/>
          <w:color w:val="auto"/>
          <w:sz w:val="24"/>
          <w:szCs w:val="24"/>
          <w:highlight w:val="none"/>
        </w:rPr>
      </w:pPr>
      <w:r>
        <w:rPr>
          <w:rFonts w:hint="eastAsia" w:ascii="宋体" w:hAnsi="宋体" w:cs="宋体"/>
          <w:color w:val="auto"/>
          <w:sz w:val="24"/>
          <w:szCs w:val="24"/>
          <w:highlight w:val="none"/>
        </w:rPr>
        <w:t>我单位郑重声明：</w:t>
      </w:r>
    </w:p>
    <w:p w14:paraId="7799EAC6">
      <w:pPr>
        <w:shd w:val="clear" w:color="auto" w:fill="FFFFFF"/>
        <w:ind w:firstLine="352"/>
        <w:rPr>
          <w:rFonts w:ascii="宋体" w:hAnsi="宋体" w:cs="宋体"/>
          <w:b/>
          <w:color w:val="auto"/>
          <w:sz w:val="24"/>
          <w:szCs w:val="24"/>
          <w:highlight w:val="none"/>
        </w:rPr>
      </w:pPr>
      <w:r>
        <w:rPr>
          <w:rFonts w:hint="eastAsia" w:ascii="宋体" w:hAnsi="宋体" w:cs="宋体"/>
          <w:color w:val="auto"/>
          <w:sz w:val="24"/>
          <w:szCs w:val="24"/>
          <w:highlight w:val="none"/>
        </w:rPr>
        <w:t>我单位参加政府采购活动前3年内在经营活动中</w:t>
      </w:r>
      <w:r>
        <w:rPr>
          <w:rFonts w:hint="eastAsia" w:ascii="宋体" w:hAnsi="宋体" w:cs="宋体"/>
          <w:b/>
          <w:bCs/>
          <w:color w:val="auto"/>
          <w:sz w:val="24"/>
          <w:szCs w:val="24"/>
          <w:highlight w:val="none"/>
        </w:rPr>
        <w:t>没有</w:t>
      </w:r>
      <w:r>
        <w:rPr>
          <w:rFonts w:hint="eastAsia" w:ascii="宋体" w:hAnsi="宋体" w:cs="宋体"/>
          <w:b/>
          <w:color w:val="auto"/>
          <w:sz w:val="24"/>
          <w:szCs w:val="24"/>
          <w:highlight w:val="none"/>
        </w:rPr>
        <w:t>重大违法记录，且不是失信被执行人、重大税收违法案件当事人名单、政府采购严重违法失信行为记录名单的供应商。</w:t>
      </w:r>
    </w:p>
    <w:p w14:paraId="28037412">
      <w:pPr>
        <w:ind w:firstLine="480"/>
        <w:rPr>
          <w:rFonts w:ascii="宋体" w:hAnsi="宋体" w:cs="宋体"/>
          <w:color w:val="auto"/>
          <w:sz w:val="24"/>
          <w:szCs w:val="24"/>
          <w:highlight w:val="none"/>
        </w:rPr>
      </w:pPr>
    </w:p>
    <w:p w14:paraId="5A5BE21E">
      <w:pPr>
        <w:ind w:firstLine="360"/>
        <w:rPr>
          <w:rFonts w:ascii="宋体" w:hAnsi="宋体" w:cs="宋体"/>
          <w:color w:val="auto"/>
          <w:sz w:val="24"/>
          <w:szCs w:val="24"/>
          <w:highlight w:val="none"/>
        </w:rPr>
      </w:pPr>
      <w:r>
        <w:rPr>
          <w:rFonts w:hint="eastAsia" w:ascii="宋体" w:hAnsi="宋体" w:cs="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32709C58">
      <w:pPr>
        <w:pStyle w:val="17"/>
        <w:ind w:left="1540" w:right="1540" w:firstLine="480"/>
        <w:rPr>
          <w:rFonts w:ascii="宋体" w:hAnsi="宋体" w:cs="宋体"/>
          <w:color w:val="auto"/>
          <w:sz w:val="24"/>
          <w:szCs w:val="24"/>
          <w:highlight w:val="none"/>
        </w:rPr>
      </w:pPr>
    </w:p>
    <w:p w14:paraId="1609D68B">
      <w:pPr>
        <w:pStyle w:val="17"/>
        <w:ind w:left="1540" w:right="1540" w:firstLine="480"/>
        <w:rPr>
          <w:rFonts w:ascii="宋体" w:hAnsi="宋体" w:cs="宋体"/>
          <w:color w:val="auto"/>
          <w:sz w:val="24"/>
          <w:szCs w:val="24"/>
          <w:highlight w:val="none"/>
        </w:rPr>
      </w:pPr>
    </w:p>
    <w:p w14:paraId="53DFB489">
      <w:pPr>
        <w:pStyle w:val="17"/>
        <w:ind w:left="1540" w:right="1540" w:firstLine="480"/>
        <w:rPr>
          <w:rFonts w:ascii="宋体" w:hAnsi="宋体" w:cs="宋体"/>
          <w:color w:val="auto"/>
          <w:sz w:val="24"/>
          <w:szCs w:val="24"/>
          <w:highlight w:val="none"/>
        </w:rPr>
      </w:pPr>
    </w:p>
    <w:p w14:paraId="75850FA5">
      <w:pPr>
        <w:ind w:firstLine="480"/>
        <w:rPr>
          <w:rFonts w:ascii="宋体" w:hAnsi="宋体" w:cs="宋体"/>
          <w:color w:val="auto"/>
          <w:sz w:val="24"/>
          <w:szCs w:val="24"/>
          <w:highlight w:val="none"/>
        </w:rPr>
      </w:pPr>
    </w:p>
    <w:p w14:paraId="309D5326">
      <w:pPr>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6AC4E031">
      <w:pPr>
        <w:pStyle w:val="17"/>
        <w:ind w:left="1540" w:right="1540" w:firstLine="440"/>
        <w:rPr>
          <w:color w:val="auto"/>
          <w:highlight w:val="none"/>
        </w:rPr>
      </w:pPr>
    </w:p>
    <w:p w14:paraId="00487811">
      <w:pPr>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4B04A596">
      <w:pPr>
        <w:ind w:firstLine="480"/>
        <w:rPr>
          <w:rFonts w:ascii="宋体" w:hAnsi="宋体" w:cs="宋体"/>
          <w:color w:val="auto"/>
          <w:sz w:val="24"/>
          <w:szCs w:val="24"/>
          <w:highlight w:val="none"/>
        </w:rPr>
      </w:pPr>
    </w:p>
    <w:p w14:paraId="2F80E4EC">
      <w:pPr>
        <w:ind w:firstLine="5760"/>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bookmarkEnd w:id="88"/>
    <w:p w14:paraId="79644339">
      <w:pPr>
        <w:pStyle w:val="5"/>
        <w:spacing w:after="120"/>
        <w:ind w:firstLine="480"/>
        <w:rPr>
          <w:rFonts w:ascii="宋体" w:hAnsi="宋体" w:cs="宋体"/>
          <w:color w:val="auto"/>
          <w:sz w:val="24"/>
          <w:szCs w:val="24"/>
          <w:highlight w:val="none"/>
        </w:rPr>
      </w:pPr>
    </w:p>
    <w:p w14:paraId="13578C24">
      <w:pPr>
        <w:pStyle w:val="201"/>
        <w:rPr>
          <w:rFonts w:ascii="宋体" w:hAnsi="宋体" w:cs="宋体"/>
          <w:color w:val="auto"/>
          <w:highlight w:val="none"/>
        </w:rPr>
      </w:pPr>
    </w:p>
    <w:p w14:paraId="20726355">
      <w:pPr>
        <w:pStyle w:val="201"/>
        <w:rPr>
          <w:rFonts w:ascii="宋体" w:hAnsi="宋体" w:cs="宋体"/>
          <w:color w:val="auto"/>
          <w:highlight w:val="none"/>
        </w:rPr>
      </w:pPr>
    </w:p>
    <w:p w14:paraId="4FDA0C5E">
      <w:pPr>
        <w:pStyle w:val="201"/>
        <w:rPr>
          <w:rFonts w:ascii="宋体" w:hAnsi="宋体" w:cs="宋体"/>
          <w:color w:val="auto"/>
          <w:highlight w:val="none"/>
        </w:rPr>
      </w:pPr>
    </w:p>
    <w:p w14:paraId="73C495A2">
      <w:pPr>
        <w:ind w:firstLine="482"/>
        <w:rPr>
          <w:rFonts w:ascii="Arial" w:hAnsi="Arial" w:cs="Arial"/>
          <w:b/>
          <w:color w:val="auto"/>
          <w:sz w:val="24"/>
          <w:szCs w:val="24"/>
          <w:highlight w:val="none"/>
        </w:rPr>
      </w:pPr>
      <w:bookmarkStart w:id="91" w:name="_Hlk60665956"/>
      <w:r>
        <w:rPr>
          <w:rFonts w:ascii="Arial" w:hAnsi="Arial" w:cs="Arial"/>
          <w:b/>
          <w:color w:val="auto"/>
          <w:sz w:val="24"/>
          <w:szCs w:val="24"/>
          <w:highlight w:val="none"/>
        </w:rPr>
        <w:br w:type="page" w:clear="all"/>
      </w:r>
    </w:p>
    <w:p w14:paraId="426F785C">
      <w:pPr>
        <w:spacing w:after="120"/>
        <w:ind w:firstLine="482"/>
        <w:rPr>
          <w:rFonts w:ascii="Arial" w:hAnsi="Arial" w:cs="Arial"/>
          <w:b/>
          <w:color w:val="auto"/>
          <w:sz w:val="24"/>
          <w:szCs w:val="24"/>
          <w:highlight w:val="none"/>
        </w:rPr>
      </w:pPr>
      <w:r>
        <w:rPr>
          <w:rFonts w:ascii="Arial" w:hAnsi="Arial" w:cs="Arial"/>
          <w:b/>
          <w:color w:val="auto"/>
          <w:sz w:val="24"/>
          <w:szCs w:val="24"/>
          <w:highlight w:val="none"/>
        </w:rPr>
        <w:t>附件</w:t>
      </w:r>
      <w:r>
        <w:rPr>
          <w:rFonts w:hint="eastAsia" w:ascii="Arial" w:hAnsi="Arial" w:cs="Arial"/>
          <w:b/>
          <w:color w:val="auto"/>
          <w:sz w:val="24"/>
          <w:szCs w:val="24"/>
          <w:highlight w:val="none"/>
        </w:rPr>
        <w:t>八</w:t>
      </w:r>
    </w:p>
    <w:p w14:paraId="6410FF8E">
      <w:pPr>
        <w:ind w:firstLine="562"/>
        <w:jc w:val="center"/>
        <w:outlineLvl w:val="1"/>
        <w:rPr>
          <w:rFonts w:ascii="宋体" w:hAnsi="宋体" w:cs="宋体"/>
          <w:b/>
          <w:color w:val="auto"/>
          <w:sz w:val="28"/>
          <w:szCs w:val="28"/>
          <w:highlight w:val="none"/>
        </w:rPr>
      </w:pPr>
      <w:bookmarkStart w:id="92" w:name="_Toc18868"/>
      <w:r>
        <w:rPr>
          <w:rFonts w:hint="eastAsia" w:ascii="宋体" w:hAnsi="宋体" w:cs="宋体"/>
          <w:b/>
          <w:color w:val="auto"/>
          <w:sz w:val="28"/>
          <w:szCs w:val="28"/>
          <w:highlight w:val="none"/>
        </w:rPr>
        <w:t>具备履行合同所必需的设备和专业技术能力声明</w:t>
      </w:r>
      <w:bookmarkEnd w:id="92"/>
    </w:p>
    <w:p w14:paraId="054AC822">
      <w:pPr>
        <w:ind w:firstLine="480"/>
        <w:rPr>
          <w:rFonts w:ascii="宋体" w:hAnsi="宋体" w:cs="宋体"/>
          <w:color w:val="auto"/>
          <w:sz w:val="24"/>
          <w:szCs w:val="24"/>
          <w:highlight w:val="none"/>
        </w:rPr>
      </w:pPr>
      <w:r>
        <w:rPr>
          <w:rFonts w:hint="eastAsia" w:ascii="宋体" w:hAnsi="宋体" w:cs="宋体"/>
          <w:color w:val="auto"/>
          <w:sz w:val="24"/>
          <w:szCs w:val="24"/>
          <w:highlight w:val="none"/>
        </w:rPr>
        <w:t>南京医科大学：</w:t>
      </w:r>
    </w:p>
    <w:p w14:paraId="5E4D117F">
      <w:pPr>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（投标人名称）郑重声明：</w:t>
      </w:r>
    </w:p>
    <w:p w14:paraId="1FDEC8BF">
      <w:pPr>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我公司具备履行本项采购合同所必需的设备和专业技术能力，为履行本项采购合同我单位具备如下主要设备和主要专业技术能力：</w:t>
      </w:r>
    </w:p>
    <w:p w14:paraId="3F6BD51B">
      <w:pPr>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主要设备有：                         </w:t>
      </w:r>
    </w:p>
    <w:p w14:paraId="069A5E86">
      <w:pPr>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                 </w:t>
      </w:r>
    </w:p>
    <w:p w14:paraId="1E6E4B98">
      <w:pPr>
        <w:ind w:firstLine="480"/>
        <w:rPr>
          <w:rFonts w:ascii="宋体" w:hAnsi="宋体" w:cs="宋体"/>
          <w:color w:val="auto"/>
          <w:sz w:val="24"/>
          <w:szCs w:val="24"/>
          <w:highlight w:val="none"/>
        </w:rPr>
      </w:pPr>
    </w:p>
    <w:p w14:paraId="389AA84B">
      <w:pPr>
        <w:ind w:firstLine="480"/>
        <w:rPr>
          <w:rFonts w:ascii="宋体" w:hAnsi="宋体" w:cs="宋体"/>
          <w:color w:val="auto"/>
          <w:sz w:val="24"/>
          <w:szCs w:val="24"/>
          <w:highlight w:val="none"/>
        </w:rPr>
      </w:pPr>
    </w:p>
    <w:p w14:paraId="158F4801">
      <w:pPr>
        <w:ind w:firstLine="480"/>
        <w:rPr>
          <w:rFonts w:ascii="宋体" w:hAnsi="宋体" w:cs="宋体"/>
          <w:color w:val="auto"/>
          <w:sz w:val="24"/>
          <w:szCs w:val="24"/>
          <w:highlight w:val="none"/>
        </w:rPr>
      </w:pPr>
    </w:p>
    <w:p w14:paraId="09AACE33">
      <w:pPr>
        <w:ind w:firstLine="480"/>
        <w:rPr>
          <w:rFonts w:ascii="宋体" w:hAnsi="宋体" w:cs="宋体"/>
          <w:color w:val="auto"/>
          <w:sz w:val="24"/>
          <w:szCs w:val="24"/>
          <w:highlight w:val="none"/>
        </w:rPr>
      </w:pPr>
    </w:p>
    <w:p w14:paraId="51C915F7">
      <w:pPr>
        <w:ind w:firstLine="480"/>
        <w:rPr>
          <w:rFonts w:ascii="宋体" w:hAnsi="宋体" w:cs="宋体"/>
          <w:color w:val="auto"/>
          <w:sz w:val="24"/>
          <w:szCs w:val="24"/>
          <w:highlight w:val="none"/>
        </w:rPr>
      </w:pPr>
    </w:p>
    <w:p w14:paraId="0E8423CF">
      <w:pPr>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2998B90F">
      <w:pPr>
        <w:pStyle w:val="17"/>
        <w:ind w:left="1540" w:right="1540" w:firstLine="440"/>
        <w:rPr>
          <w:color w:val="auto"/>
          <w:highlight w:val="none"/>
        </w:rPr>
      </w:pPr>
    </w:p>
    <w:p w14:paraId="1672903A">
      <w:pPr>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552E61D1">
      <w:pPr>
        <w:ind w:firstLine="480"/>
        <w:rPr>
          <w:rFonts w:ascii="宋体" w:hAnsi="宋体" w:cs="宋体"/>
          <w:color w:val="auto"/>
          <w:sz w:val="24"/>
          <w:szCs w:val="24"/>
          <w:highlight w:val="none"/>
        </w:rPr>
      </w:pPr>
    </w:p>
    <w:p w14:paraId="29C7FF28">
      <w:pPr>
        <w:ind w:firstLine="5760"/>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7C93BF8">
      <w:pPr>
        <w:ind w:firstLine="480"/>
        <w:rPr>
          <w:rFonts w:ascii="宋体" w:hAnsi="宋体" w:cs="宋体"/>
          <w:color w:val="auto"/>
          <w:sz w:val="24"/>
          <w:szCs w:val="24"/>
          <w:highlight w:val="none"/>
        </w:rPr>
      </w:pPr>
    </w:p>
    <w:p w14:paraId="24752507">
      <w:pPr>
        <w:spacing w:line="460" w:lineRule="exact"/>
        <w:ind w:firstLine="480"/>
        <w:rPr>
          <w:rFonts w:ascii="宋体" w:hAnsi="宋体" w:cs="宋体"/>
          <w:color w:val="auto"/>
          <w:sz w:val="24"/>
          <w:szCs w:val="24"/>
          <w:highlight w:val="none"/>
        </w:rPr>
      </w:pPr>
    </w:p>
    <w:p w14:paraId="54982A92">
      <w:pPr>
        <w:spacing w:line="460" w:lineRule="exact"/>
        <w:ind w:firstLine="480"/>
        <w:rPr>
          <w:rFonts w:ascii="宋体" w:hAnsi="宋体" w:cs="宋体"/>
          <w:color w:val="auto"/>
          <w:sz w:val="24"/>
          <w:szCs w:val="24"/>
          <w:highlight w:val="none"/>
        </w:rPr>
      </w:pPr>
    </w:p>
    <w:p w14:paraId="1F20C3B2">
      <w:pPr>
        <w:spacing w:after="120"/>
        <w:ind w:firstLine="482"/>
        <w:rPr>
          <w:rFonts w:ascii="Arial" w:hAnsi="Arial" w:cs="Arial"/>
          <w:b/>
          <w:color w:val="auto"/>
          <w:sz w:val="24"/>
          <w:szCs w:val="24"/>
          <w:highlight w:val="none"/>
        </w:rPr>
      </w:pPr>
    </w:p>
    <w:p w14:paraId="0653A975">
      <w:pPr>
        <w:ind w:firstLine="482"/>
        <w:rPr>
          <w:rFonts w:ascii="Arial" w:hAnsi="Arial" w:cs="Arial"/>
          <w:b/>
          <w:color w:val="auto"/>
          <w:sz w:val="24"/>
          <w:szCs w:val="24"/>
          <w:highlight w:val="none"/>
        </w:rPr>
      </w:pPr>
      <w:r>
        <w:rPr>
          <w:rFonts w:ascii="Arial" w:hAnsi="Arial" w:cs="Arial"/>
          <w:b/>
          <w:color w:val="auto"/>
          <w:sz w:val="24"/>
          <w:szCs w:val="24"/>
          <w:highlight w:val="none"/>
        </w:rPr>
        <w:br w:type="page" w:clear="all"/>
      </w:r>
    </w:p>
    <w:p w14:paraId="5F71185D">
      <w:pPr>
        <w:spacing w:after="120"/>
        <w:ind w:firstLine="482"/>
        <w:rPr>
          <w:rFonts w:ascii="Arial" w:hAnsi="Arial" w:cs="Arial"/>
          <w:b/>
          <w:color w:val="auto"/>
          <w:sz w:val="24"/>
          <w:szCs w:val="24"/>
          <w:highlight w:val="none"/>
        </w:rPr>
      </w:pPr>
      <w:r>
        <w:rPr>
          <w:rFonts w:ascii="Arial" w:hAnsi="Arial" w:cs="Arial"/>
          <w:b/>
          <w:color w:val="auto"/>
          <w:sz w:val="24"/>
          <w:szCs w:val="24"/>
          <w:highlight w:val="none"/>
        </w:rPr>
        <w:t>附件</w:t>
      </w:r>
      <w:r>
        <w:rPr>
          <w:rFonts w:hint="eastAsia" w:ascii="Arial" w:hAnsi="Arial" w:cs="Arial"/>
          <w:b/>
          <w:color w:val="auto"/>
          <w:sz w:val="24"/>
          <w:szCs w:val="24"/>
          <w:highlight w:val="none"/>
        </w:rPr>
        <w:t>九</w:t>
      </w:r>
    </w:p>
    <w:p w14:paraId="2A56E5A5">
      <w:pPr>
        <w:ind w:firstLine="562"/>
        <w:jc w:val="center"/>
        <w:outlineLvl w:val="1"/>
        <w:rPr>
          <w:rFonts w:ascii="宋体" w:hAnsi="宋体" w:cs="宋体"/>
          <w:b/>
          <w:color w:val="auto"/>
          <w:sz w:val="28"/>
          <w:szCs w:val="28"/>
          <w:highlight w:val="none"/>
        </w:rPr>
      </w:pPr>
      <w:bookmarkStart w:id="93" w:name="_Toc12556"/>
      <w:bookmarkStart w:id="94" w:name="_Toc896"/>
      <w:bookmarkStart w:id="95" w:name="_Toc7690"/>
      <w:r>
        <w:rPr>
          <w:rFonts w:hint="eastAsia" w:ascii="宋体" w:hAnsi="宋体" w:cs="宋体"/>
          <w:b/>
          <w:color w:val="auto"/>
          <w:sz w:val="28"/>
          <w:szCs w:val="28"/>
          <w:highlight w:val="none"/>
        </w:rPr>
        <w:t>中小企业声明函（货物）</w:t>
      </w:r>
      <w:bookmarkEnd w:id="93"/>
      <w:bookmarkEnd w:id="94"/>
      <w:bookmarkEnd w:id="95"/>
    </w:p>
    <w:p w14:paraId="796E1193">
      <w:pPr>
        <w:pStyle w:val="15"/>
        <w:spacing w:after="12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p>
    <w:p w14:paraId="7C45C1BB">
      <w:pPr>
        <w:pStyle w:val="207"/>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 xml:space="preserve"> [采购文件中明确的所属行业] </w:t>
      </w:r>
      <w:r>
        <w:rPr>
          <w:rFonts w:hint="eastAsia"/>
          <w:color w:val="auto"/>
          <w:highlight w:val="none"/>
        </w:rPr>
        <w:t xml:space="preserve">行业；制造商为 </w:t>
      </w:r>
      <w:r>
        <w:rPr>
          <w:rFonts w:hint="eastAsia"/>
          <w:color w:val="auto"/>
          <w:highlight w:val="none"/>
          <w:u w:val="single"/>
        </w:rPr>
        <w:t xml:space="preserve">[企业名称] </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 xml:space="preserve">万元，资产总额为         </w:t>
      </w:r>
      <w:r>
        <w:rPr>
          <w:rFonts w:hint="eastAsia"/>
          <w:color w:val="auto"/>
          <w:highlight w:val="none"/>
          <w:u w:val="single"/>
        </w:rPr>
        <w:tab/>
      </w:r>
      <w:r>
        <w:rPr>
          <w:rFonts w:hint="eastAsia"/>
          <w:color w:val="auto"/>
          <w:highlight w:val="none"/>
        </w:rPr>
        <w:t xml:space="preserve">万元，属于 </w:t>
      </w:r>
      <w:r>
        <w:rPr>
          <w:rFonts w:ascii="Wingdings 2" w:hAnsi="Wingdings 2" w:eastAsia="Wingdings 2" w:cs="Wingdings 2"/>
          <w:color w:val="auto"/>
          <w:highlight w:val="none"/>
          <w:u w:val="single"/>
        </w:rPr>
        <w:t>*</w:t>
      </w:r>
      <w:r>
        <w:rPr>
          <w:rFonts w:hint="eastAsia"/>
          <w:color w:val="auto"/>
          <w:highlight w:val="none"/>
          <w:u w:val="single"/>
        </w:rPr>
        <w:t xml:space="preserve">中型企业  </w:t>
      </w:r>
      <w:r>
        <w:rPr>
          <w:rFonts w:ascii="Wingdings 2" w:hAnsi="Wingdings 2" w:eastAsia="Wingdings 2" w:cs="Wingdings 2"/>
          <w:color w:val="auto"/>
          <w:highlight w:val="none"/>
          <w:u w:val="single"/>
        </w:rPr>
        <w:t>*</w:t>
      </w:r>
      <w:r>
        <w:rPr>
          <w:rFonts w:hint="eastAsia"/>
          <w:color w:val="auto"/>
          <w:highlight w:val="none"/>
          <w:u w:val="single"/>
        </w:rPr>
        <w:t xml:space="preserve">小型企业     </w:t>
      </w:r>
      <w:r>
        <w:rPr>
          <w:rFonts w:ascii="Wingdings 2" w:hAnsi="Wingdings 2" w:eastAsia="Wingdings 2" w:cs="Wingdings 2"/>
          <w:color w:val="auto"/>
          <w:highlight w:val="none"/>
          <w:u w:val="single"/>
        </w:rPr>
        <w:t>*</w:t>
      </w:r>
      <w:r>
        <w:rPr>
          <w:rFonts w:hint="eastAsia"/>
          <w:color w:val="auto"/>
          <w:highlight w:val="none"/>
          <w:u w:val="single"/>
        </w:rPr>
        <w:t xml:space="preserve">微型企业 </w:t>
      </w:r>
      <w:r>
        <w:rPr>
          <w:rFonts w:hint="eastAsia"/>
          <w:color w:val="auto"/>
          <w:highlight w:val="none"/>
        </w:rPr>
        <w:t xml:space="preserve"> ；</w:t>
      </w:r>
    </w:p>
    <w:p w14:paraId="4A9B9465">
      <w:pPr>
        <w:pStyle w:val="207"/>
        <w:rPr>
          <w:color w:val="auto"/>
          <w:highlight w:val="none"/>
        </w:rPr>
      </w:pPr>
      <w:r>
        <w:rPr>
          <w:rFonts w:hint="eastAsia"/>
          <w:color w:val="auto"/>
          <w:highlight w:val="none"/>
        </w:rPr>
        <w:t>2、</w:t>
      </w:r>
      <w:r>
        <w:rPr>
          <w:rFonts w:hint="eastAsia"/>
          <w:color w:val="auto"/>
          <w:highlight w:val="none"/>
          <w:u w:val="single"/>
        </w:rPr>
        <w:t xml:space="preserve">[标的名称] </w:t>
      </w:r>
      <w:r>
        <w:rPr>
          <w:rFonts w:hint="eastAsia"/>
          <w:color w:val="auto"/>
          <w:highlight w:val="none"/>
        </w:rPr>
        <w:t xml:space="preserve"> ，属于 </w:t>
      </w:r>
      <w:r>
        <w:rPr>
          <w:rFonts w:hint="eastAsia"/>
          <w:color w:val="auto"/>
          <w:highlight w:val="none"/>
          <w:u w:val="single"/>
        </w:rPr>
        <w:t xml:space="preserve">[采购文件中明确的所属行业] </w:t>
      </w:r>
      <w:r>
        <w:rPr>
          <w:rFonts w:hint="eastAsia"/>
          <w:color w:val="auto"/>
          <w:highlight w:val="none"/>
        </w:rPr>
        <w:t xml:space="preserve">行业；制造商为 </w:t>
      </w:r>
      <w:r>
        <w:rPr>
          <w:rFonts w:hint="eastAsia"/>
          <w:color w:val="auto"/>
          <w:highlight w:val="none"/>
          <w:u w:val="single"/>
        </w:rPr>
        <w:t>[企业名称]</w:t>
      </w:r>
      <w:r>
        <w:rPr>
          <w:rFonts w:hint="eastAsia"/>
          <w:color w:val="auto"/>
          <w:highlight w:val="none"/>
        </w:rPr>
        <w:t xml:space="preserve"> ，从业人员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 xml:space="preserve">万元，资产总额为         </w:t>
      </w:r>
      <w:r>
        <w:rPr>
          <w:rFonts w:hint="eastAsia"/>
          <w:color w:val="auto"/>
          <w:highlight w:val="none"/>
          <w:u w:val="single"/>
        </w:rPr>
        <w:tab/>
      </w:r>
      <w:r>
        <w:rPr>
          <w:rFonts w:hint="eastAsia"/>
          <w:color w:val="auto"/>
          <w:highlight w:val="none"/>
        </w:rPr>
        <w:t xml:space="preserve">万元，属于 </w:t>
      </w:r>
      <w:r>
        <w:rPr>
          <w:rFonts w:ascii="Wingdings 2" w:hAnsi="Wingdings 2" w:eastAsia="Wingdings 2" w:cs="Wingdings 2"/>
          <w:color w:val="auto"/>
          <w:highlight w:val="none"/>
          <w:u w:val="single"/>
        </w:rPr>
        <w:t>*</w:t>
      </w:r>
      <w:r>
        <w:rPr>
          <w:rFonts w:hint="eastAsia"/>
          <w:color w:val="auto"/>
          <w:highlight w:val="none"/>
          <w:u w:val="single"/>
        </w:rPr>
        <w:t xml:space="preserve">中型企业  </w:t>
      </w:r>
      <w:r>
        <w:rPr>
          <w:rFonts w:ascii="Wingdings 2" w:hAnsi="Wingdings 2" w:eastAsia="Wingdings 2" w:cs="Wingdings 2"/>
          <w:color w:val="auto"/>
          <w:highlight w:val="none"/>
          <w:u w:val="single"/>
        </w:rPr>
        <w:t>*</w:t>
      </w:r>
      <w:r>
        <w:rPr>
          <w:rFonts w:hint="eastAsia"/>
          <w:color w:val="auto"/>
          <w:highlight w:val="none"/>
          <w:u w:val="single"/>
        </w:rPr>
        <w:t xml:space="preserve">小型企业     </w:t>
      </w:r>
      <w:r>
        <w:rPr>
          <w:rFonts w:ascii="Wingdings 2" w:hAnsi="Wingdings 2" w:eastAsia="Wingdings 2" w:cs="Wingdings 2"/>
          <w:color w:val="auto"/>
          <w:highlight w:val="none"/>
          <w:u w:val="single"/>
        </w:rPr>
        <w:t>*</w:t>
      </w:r>
      <w:r>
        <w:rPr>
          <w:rFonts w:hint="eastAsia"/>
          <w:color w:val="auto"/>
          <w:highlight w:val="none"/>
          <w:u w:val="single"/>
        </w:rPr>
        <w:t>微型企业</w:t>
      </w:r>
      <w:r>
        <w:rPr>
          <w:rFonts w:hint="eastAsia"/>
          <w:color w:val="auto"/>
          <w:highlight w:val="none"/>
        </w:rPr>
        <w:t xml:space="preserve">  ；</w:t>
      </w:r>
    </w:p>
    <w:p w14:paraId="07F021B6">
      <w:pPr>
        <w:pStyle w:val="15"/>
        <w:spacing w:after="12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11C05CC">
      <w:pPr>
        <w:pStyle w:val="15"/>
        <w:spacing w:after="12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4877F26">
      <w:pPr>
        <w:pStyle w:val="15"/>
        <w:spacing w:after="12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如组成联合体或者接受分包合同的中小企业与联合体内的其他企业，分包企业之间不存在直接控制、管理关系；</w:t>
      </w:r>
    </w:p>
    <w:p w14:paraId="74ACDD3C">
      <w:pPr>
        <w:pStyle w:val="15"/>
        <w:spacing w:after="120"/>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1818663">
      <w:pPr>
        <w:pStyle w:val="15"/>
        <w:spacing w:after="120" w:line="300" w:lineRule="auto"/>
        <w:ind w:firstLine="480"/>
        <w:rPr>
          <w:rFonts w:ascii="宋体" w:hAnsi="宋体" w:eastAsia="宋体" w:cs="宋体"/>
          <w:color w:val="auto"/>
          <w:sz w:val="24"/>
          <w:szCs w:val="24"/>
          <w:highlight w:val="none"/>
        </w:rPr>
      </w:pPr>
    </w:p>
    <w:p w14:paraId="4FE3FC8C">
      <w:pPr>
        <w:ind w:left="5500" w:firstLine="480"/>
        <w:rPr>
          <w:rFonts w:ascii="宋体" w:hAnsi="宋体" w:cs="宋体"/>
          <w:color w:val="auto"/>
          <w:sz w:val="24"/>
          <w:szCs w:val="24"/>
          <w:highlight w:val="none"/>
        </w:rPr>
      </w:pPr>
    </w:p>
    <w:p w14:paraId="58C78A76">
      <w:pPr>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5E208B57">
      <w:pPr>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541282F0">
      <w:pPr>
        <w:ind w:firstLine="5040"/>
        <w:rPr>
          <w:rFonts w:ascii="宋体" w:hAnsi="宋体" w:cs="宋体"/>
          <w:color w:val="auto"/>
          <w:sz w:val="24"/>
          <w:szCs w:val="24"/>
          <w:highlight w:val="none"/>
        </w:rPr>
      </w:pPr>
      <w:r>
        <w:rPr>
          <w:rFonts w:hint="eastAsia" w:ascii="宋体" w:hAnsi="宋体" w:cs="宋体"/>
          <w:color w:val="auto"/>
          <w:sz w:val="24"/>
          <w:szCs w:val="24"/>
          <w:highlight w:val="none"/>
        </w:rPr>
        <w:t>日  期：</w:t>
      </w:r>
      <w:bookmarkEnd w:id="91"/>
      <w:r>
        <w:rPr>
          <w:rFonts w:hint="eastAsia" w:ascii="宋体" w:hAnsi="宋体" w:cs="宋体"/>
          <w:color w:val="auto"/>
          <w:sz w:val="24"/>
          <w:szCs w:val="24"/>
          <w:highlight w:val="none"/>
        </w:rPr>
        <w:t xml:space="preserve">  年  月  日</w:t>
      </w:r>
    </w:p>
    <w:p w14:paraId="2A646DA7">
      <w:pPr>
        <w:rPr>
          <w:rFonts w:ascii="宋体" w:hAnsi="宋体"/>
          <w:b/>
          <w:bCs/>
          <w:color w:val="auto"/>
          <w:highlight w:val="none"/>
        </w:rPr>
      </w:pPr>
    </w:p>
    <w:p w14:paraId="3105BB40">
      <w:pPr>
        <w:rPr>
          <w:rFonts w:ascii="宋体" w:hAnsi="宋体"/>
          <w:b/>
          <w:bCs/>
          <w:color w:val="auto"/>
          <w:highlight w:val="none"/>
        </w:rPr>
      </w:pPr>
    </w:p>
    <w:p w14:paraId="6798E3D7">
      <w:pPr>
        <w:rPr>
          <w:rFonts w:ascii="宋体" w:hAnsi="宋体"/>
          <w:b/>
          <w:bCs/>
          <w:color w:val="auto"/>
          <w:highlight w:val="none"/>
        </w:rPr>
      </w:pPr>
      <w:r>
        <w:rPr>
          <w:rFonts w:hint="eastAsia" w:ascii="宋体" w:hAnsi="宋体"/>
          <w:b/>
          <w:bCs/>
          <w:color w:val="auto"/>
          <w:highlight w:val="none"/>
        </w:rPr>
        <w:t>注：</w:t>
      </w:r>
    </w:p>
    <w:p w14:paraId="551C8909">
      <w:pPr>
        <w:ind w:firstLine="440"/>
        <w:rPr>
          <w:rFonts w:ascii="宋体" w:hAnsi="宋体" w:cs="宋体"/>
          <w:color w:val="auto"/>
          <w:szCs w:val="21"/>
          <w:highlight w:val="none"/>
        </w:rPr>
      </w:pPr>
      <w:r>
        <w:rPr>
          <w:rFonts w:ascii="宋体" w:hAnsi="宋体"/>
          <w:color w:val="auto"/>
          <w:highlight w:val="none"/>
        </w:rPr>
        <w:t>1</w:t>
      </w:r>
      <w:r>
        <w:rPr>
          <w:rFonts w:hint="eastAsia" w:ascii="宋体" w:hAnsi="宋体"/>
          <w:color w:val="auto"/>
          <w:highlight w:val="none"/>
        </w:rPr>
        <w:t>）</w:t>
      </w:r>
      <w:r>
        <w:rPr>
          <w:rFonts w:hint="eastAsia" w:ascii="宋体" w:hAnsi="宋体" w:cs="宋体"/>
          <w:color w:val="auto"/>
          <w:szCs w:val="21"/>
          <w:highlight w:val="none"/>
        </w:rPr>
        <w:t>从业人员、营业收入、资产总额填报上一年度数据，无上一年度数据的新成立企业可不填报。</w:t>
      </w:r>
    </w:p>
    <w:p w14:paraId="45341A52">
      <w:pPr>
        <w:ind w:firstLine="440"/>
        <w:rPr>
          <w:rFonts w:ascii="宋体" w:hAnsi="宋体"/>
          <w:color w:val="auto"/>
          <w:highlight w:val="none"/>
        </w:rPr>
      </w:pPr>
      <w:r>
        <w:rPr>
          <w:rFonts w:hint="eastAsia" w:ascii="宋体" w:hAnsi="宋体"/>
          <w:color w:val="auto"/>
          <w:highlight w:val="none"/>
        </w:rPr>
        <w:t>2）投标人提供的货物</w:t>
      </w:r>
      <w:r>
        <w:rPr>
          <w:rFonts w:hint="eastAsia" w:ascii="宋体" w:hAnsi="宋体"/>
          <w:b/>
          <w:bCs/>
          <w:color w:val="auto"/>
          <w:highlight w:val="none"/>
          <w:u w:val="single"/>
        </w:rPr>
        <w:t>全部由符合政策要求的中小企业制造的</w:t>
      </w:r>
      <w:r>
        <w:rPr>
          <w:rFonts w:hint="eastAsia" w:ascii="宋体" w:hAnsi="宋体"/>
          <w:color w:val="auto"/>
          <w:highlight w:val="none"/>
        </w:rPr>
        <w:t>参加本次政府采购项目需提供此声明函（中小企业划型标准详见《关于印发中小企业划型标准规定的通知》工信部联企业〔</w:t>
      </w:r>
      <w:r>
        <w:rPr>
          <w:rFonts w:ascii="宋体" w:hAnsi="宋体"/>
          <w:color w:val="auto"/>
          <w:highlight w:val="none"/>
        </w:rPr>
        <w:t>2011</w:t>
      </w:r>
      <w:r>
        <w:rPr>
          <w:rFonts w:hint="eastAsia" w:ascii="宋体" w:hAnsi="宋体"/>
          <w:color w:val="auto"/>
          <w:highlight w:val="none"/>
        </w:rPr>
        <w:t>〕</w:t>
      </w:r>
      <w:r>
        <w:rPr>
          <w:rFonts w:ascii="宋体" w:hAnsi="宋体"/>
          <w:color w:val="auto"/>
          <w:highlight w:val="none"/>
        </w:rPr>
        <w:t>300</w:t>
      </w:r>
      <w:r>
        <w:rPr>
          <w:rFonts w:hint="eastAsia" w:ascii="宋体" w:hAnsi="宋体"/>
          <w:color w:val="auto"/>
          <w:highlight w:val="none"/>
        </w:rPr>
        <w:t>号）。</w:t>
      </w:r>
      <w:r>
        <w:rPr>
          <w:rFonts w:hint="eastAsia" w:ascii="宋体" w:hAnsi="宋体"/>
          <w:bCs/>
          <w:color w:val="auto"/>
          <w:szCs w:val="21"/>
          <w:highlight w:val="none"/>
        </w:rPr>
        <w:t>《中小企业声明函（货物）》中“</w:t>
      </w:r>
      <w:r>
        <w:rPr>
          <w:rFonts w:hint="eastAsia" w:ascii="宋体" w:hAnsi="宋体"/>
          <w:bCs/>
          <w:color w:val="auto"/>
          <w:szCs w:val="21"/>
          <w:highlight w:val="none"/>
          <w:u w:val="single"/>
        </w:rPr>
        <w:t>采购文件中</w:t>
      </w:r>
      <w:r>
        <w:rPr>
          <w:rFonts w:ascii="宋体" w:hAnsi="宋体"/>
          <w:bCs/>
          <w:color w:val="auto"/>
          <w:szCs w:val="21"/>
          <w:highlight w:val="none"/>
          <w:u w:val="single"/>
        </w:rPr>
        <w:t>明确的所属行业</w:t>
      </w:r>
      <w:r>
        <w:rPr>
          <w:rFonts w:hint="eastAsia" w:ascii="宋体" w:hAnsi="宋体"/>
          <w:bCs/>
          <w:color w:val="auto"/>
          <w:szCs w:val="21"/>
          <w:highlight w:val="none"/>
        </w:rPr>
        <w:t>”为</w:t>
      </w:r>
      <w:r>
        <w:rPr>
          <w:rFonts w:ascii="宋体" w:hAnsi="宋体"/>
          <w:bCs/>
          <w:color w:val="auto"/>
          <w:szCs w:val="21"/>
          <w:highlight w:val="none"/>
        </w:rPr>
        <w:t>：</w:t>
      </w:r>
      <w:r>
        <w:rPr>
          <w:rFonts w:hint="eastAsia" w:ascii="宋体" w:hAnsi="宋体"/>
          <w:color w:val="auto"/>
          <w:szCs w:val="21"/>
          <w:highlight w:val="none"/>
          <w:u w:val="single"/>
        </w:rPr>
        <w:t>工业</w:t>
      </w:r>
      <w:r>
        <w:rPr>
          <w:rFonts w:ascii="宋体" w:hAnsi="宋体"/>
          <w:bCs/>
          <w:color w:val="auto"/>
          <w:szCs w:val="21"/>
          <w:highlight w:val="none"/>
        </w:rPr>
        <w:t>。</w:t>
      </w:r>
    </w:p>
    <w:p w14:paraId="0563720C">
      <w:pPr>
        <w:ind w:firstLine="440"/>
        <w:rPr>
          <w:rFonts w:ascii="宋体" w:hAnsi="宋体"/>
          <w:color w:val="auto"/>
          <w:highlight w:val="none"/>
        </w:rPr>
      </w:pPr>
      <w:r>
        <w:rPr>
          <w:rFonts w:ascii="宋体" w:hAnsi="宋体"/>
          <w:color w:val="auto"/>
          <w:highlight w:val="none"/>
        </w:rPr>
        <w:t>3</w:t>
      </w:r>
      <w:r>
        <w:rPr>
          <w:rFonts w:hint="eastAsia" w:ascii="宋体" w:hAnsi="宋体"/>
          <w:color w:val="auto"/>
          <w:highlight w:val="none"/>
        </w:rPr>
        <w:t>）投标人未按上述要求提供声明函的，价格将不做相应扣除。</w:t>
      </w:r>
    </w:p>
    <w:p w14:paraId="76F269BA">
      <w:pPr>
        <w:ind w:firstLine="440"/>
        <w:rPr>
          <w:rFonts w:ascii="宋体" w:hAnsi="宋体"/>
          <w:color w:val="auto"/>
          <w:highlight w:val="none"/>
        </w:rPr>
      </w:pPr>
      <w:r>
        <w:rPr>
          <w:rFonts w:ascii="宋体" w:hAnsi="宋体"/>
          <w:color w:val="auto"/>
          <w:highlight w:val="none"/>
        </w:rPr>
        <w:t>4</w:t>
      </w:r>
      <w:r>
        <w:rPr>
          <w:rFonts w:hint="eastAsia" w:ascii="宋体" w:hAnsi="宋体"/>
          <w:color w:val="auto"/>
          <w:highlight w:val="none"/>
        </w:rPr>
        <w:t>）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1C6BBE35">
      <w:pPr>
        <w:ind w:firstLine="4620"/>
        <w:rPr>
          <w:rFonts w:ascii="宋体" w:hAnsi="宋体" w:cs="宋体"/>
          <w:color w:val="auto"/>
          <w:highlight w:val="none"/>
        </w:rPr>
      </w:pPr>
      <w:r>
        <w:rPr>
          <w:rFonts w:hint="eastAsia" w:ascii="宋体" w:hAnsi="宋体" w:cs="宋体"/>
          <w:color w:val="auto"/>
          <w:highlight w:val="none"/>
        </w:rPr>
        <w:br w:type="page" w:clear="all"/>
      </w:r>
    </w:p>
    <w:p w14:paraId="640ACD1F">
      <w:pPr>
        <w:pStyle w:val="201"/>
        <w:ind w:firstLine="482"/>
        <w:rPr>
          <w:rFonts w:ascii="宋体" w:hAnsi="宋体" w:cs="宋体"/>
          <w:color w:val="auto"/>
          <w:highlight w:val="none"/>
        </w:rPr>
      </w:pPr>
      <w:r>
        <w:rPr>
          <w:rFonts w:cs="Arial"/>
          <w:b/>
          <w:color w:val="auto"/>
          <w:highlight w:val="none"/>
        </w:rPr>
        <w:t>附件</w:t>
      </w:r>
      <w:r>
        <w:rPr>
          <w:rFonts w:hint="eastAsia" w:cs="Arial"/>
          <w:b/>
          <w:color w:val="auto"/>
          <w:highlight w:val="none"/>
        </w:rPr>
        <w:t>十</w:t>
      </w:r>
    </w:p>
    <w:p w14:paraId="51B09B8B">
      <w:pPr>
        <w:ind w:firstLine="562"/>
        <w:jc w:val="center"/>
        <w:outlineLvl w:val="1"/>
        <w:rPr>
          <w:rFonts w:ascii="宋体" w:hAnsi="宋体" w:cs="宋体"/>
          <w:b/>
          <w:color w:val="auto"/>
          <w:sz w:val="28"/>
          <w:szCs w:val="28"/>
          <w:highlight w:val="none"/>
        </w:rPr>
      </w:pPr>
      <w:bookmarkStart w:id="96" w:name="_Toc1046"/>
      <w:bookmarkStart w:id="97" w:name="_Toc4019"/>
      <w:bookmarkStart w:id="98" w:name="_Toc4927"/>
      <w:r>
        <w:rPr>
          <w:rFonts w:hint="eastAsia" w:ascii="宋体" w:hAnsi="宋体" w:cs="宋体"/>
          <w:b/>
          <w:color w:val="auto"/>
          <w:sz w:val="28"/>
          <w:szCs w:val="28"/>
          <w:highlight w:val="none"/>
        </w:rPr>
        <w:t>残疾人福利性单位声明函</w:t>
      </w:r>
      <w:bookmarkEnd w:id="96"/>
      <w:bookmarkEnd w:id="97"/>
      <w:bookmarkEnd w:id="98"/>
    </w:p>
    <w:p w14:paraId="6984CB72">
      <w:pPr>
        <w:spacing w:before="48"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rPr>
        <w:t>_</w:t>
      </w:r>
      <w:bookmarkStart w:id="99" w:name="_Hlk60666078"/>
      <w:r>
        <w:rPr>
          <w:rFonts w:hint="eastAsia" w:ascii="宋体" w:hAnsi="宋体" w:cs="宋体"/>
          <w:color w:val="auto"/>
          <w:sz w:val="24"/>
          <w:szCs w:val="24"/>
          <w:highlight w:val="none"/>
          <w:u w:val="single"/>
        </w:rPr>
        <w:t xml:space="preserve"> [采购人名称] </w:t>
      </w:r>
      <w:bookmarkEnd w:id="99"/>
      <w:r>
        <w:rPr>
          <w:rFonts w:hint="eastAsia" w:ascii="宋体" w:hAnsi="宋体" w:cs="宋体"/>
          <w:color w:val="auto"/>
          <w:sz w:val="24"/>
          <w:szCs w:val="24"/>
          <w:highlight w:val="none"/>
          <w:u w:val="single"/>
        </w:rPr>
        <w:t>_</w:t>
      </w:r>
      <w:r>
        <w:rPr>
          <w:rFonts w:hint="eastAsia" w:ascii="宋体" w:hAnsi="宋体" w:cs="宋体"/>
          <w:color w:val="auto"/>
          <w:sz w:val="24"/>
          <w:szCs w:val="24"/>
          <w:highlight w:val="none"/>
        </w:rPr>
        <w:t>单位的采购文件编号为</w:t>
      </w:r>
      <w:r>
        <w:rPr>
          <w:rFonts w:hint="eastAsia" w:ascii="宋体" w:hAnsi="宋体" w:cs="宋体"/>
          <w:color w:val="auto"/>
          <w:sz w:val="24"/>
          <w:szCs w:val="24"/>
          <w:highlight w:val="none"/>
          <w:u w:val="single"/>
        </w:rPr>
        <w:t>_</w:t>
      </w:r>
      <w:bookmarkStart w:id="100" w:name="_Hlk60666088"/>
      <w:r>
        <w:rPr>
          <w:rFonts w:hint="eastAsia" w:ascii="宋体" w:hAnsi="宋体" w:cs="宋体"/>
          <w:color w:val="auto"/>
          <w:sz w:val="24"/>
          <w:szCs w:val="24"/>
          <w:highlight w:val="none"/>
          <w:u w:val="single"/>
        </w:rPr>
        <w:t xml:space="preserve"> [项目编号] </w:t>
      </w:r>
      <w:bookmarkEnd w:id="100"/>
      <w:r>
        <w:rPr>
          <w:rFonts w:hint="eastAsia" w:ascii="宋体" w:hAnsi="宋体" w:cs="宋体"/>
          <w:color w:val="auto"/>
          <w:sz w:val="24"/>
          <w:szCs w:val="24"/>
          <w:highlight w:val="none"/>
          <w:u w:val="single"/>
        </w:rPr>
        <w:t>_</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 xml:space="preserve">  </w:t>
      </w:r>
      <w:bookmarkStart w:id="101" w:name="_Hlk60666094"/>
      <w:r>
        <w:rPr>
          <w:rFonts w:hint="eastAsia" w:ascii="宋体" w:hAnsi="宋体" w:cs="宋体"/>
          <w:color w:val="auto"/>
          <w:sz w:val="24"/>
          <w:szCs w:val="24"/>
          <w:highlight w:val="none"/>
          <w:u w:val="single"/>
        </w:rPr>
        <w:t>[项目名称]</w:t>
      </w:r>
      <w:bookmarkEnd w:id="101"/>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项目采购活动提供全部由本单位制造的货物（全部由本单位承担工程/提供服务），或者提供其他残疾人福利性单位</w:t>
      </w:r>
      <w:bookmarkStart w:id="102" w:name="_Hlk60666108"/>
      <w:r>
        <w:rPr>
          <w:rFonts w:hint="eastAsia" w:ascii="宋体" w:hAnsi="宋体" w:cs="宋体"/>
          <w:color w:val="auto"/>
          <w:sz w:val="24"/>
          <w:szCs w:val="24"/>
          <w:highlight w:val="none"/>
          <w:u w:val="single"/>
        </w:rPr>
        <w:t xml:space="preserve">  [残疾人福利性单位名称]  </w:t>
      </w:r>
      <w:bookmarkEnd w:id="102"/>
      <w:r>
        <w:rPr>
          <w:rFonts w:hint="eastAsia" w:ascii="宋体" w:hAnsi="宋体" w:cs="宋体"/>
          <w:color w:val="auto"/>
          <w:sz w:val="24"/>
          <w:szCs w:val="24"/>
          <w:highlight w:val="none"/>
        </w:rPr>
        <w:t>制造的货物（不包括使用非残疾人福利性单位注册商标的货物）。</w:t>
      </w:r>
    </w:p>
    <w:p w14:paraId="1C6AC595">
      <w:pPr>
        <w:spacing w:before="48"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6B454B86">
      <w:pPr>
        <w:spacing w:before="48"/>
        <w:ind w:firstLine="480"/>
        <w:rPr>
          <w:rFonts w:ascii="宋体" w:hAnsi="宋体" w:cs="宋体"/>
          <w:color w:val="auto"/>
          <w:sz w:val="24"/>
          <w:szCs w:val="24"/>
          <w:highlight w:val="none"/>
        </w:rPr>
      </w:pPr>
    </w:p>
    <w:p w14:paraId="6551CC75">
      <w:pPr>
        <w:spacing w:line="588" w:lineRule="exact"/>
        <w:ind w:firstLine="480"/>
        <w:rPr>
          <w:rFonts w:ascii="宋体" w:hAnsi="宋体" w:cs="宋体"/>
          <w:b/>
          <w:bCs/>
          <w:color w:val="auto"/>
          <w:sz w:val="24"/>
          <w:szCs w:val="24"/>
          <w:highlight w:val="none"/>
        </w:rPr>
      </w:pPr>
      <w:bookmarkStart w:id="103" w:name="_Hlk60666116"/>
      <w:r>
        <w:rPr>
          <w:rFonts w:hint="eastAsia" w:ascii="宋体" w:hAnsi="宋体" w:cs="宋体"/>
          <w:color w:val="auto"/>
          <w:sz w:val="24"/>
          <w:szCs w:val="24"/>
          <w:highlight w:val="none"/>
        </w:rPr>
        <w:t xml:space="preserve"> </w:t>
      </w:r>
      <w:bookmarkEnd w:id="103"/>
    </w:p>
    <w:p w14:paraId="3740FFCB">
      <w:pPr>
        <w:spacing w:line="588" w:lineRule="exact"/>
        <w:ind w:firstLine="504"/>
        <w:rPr>
          <w:rFonts w:ascii="宋体" w:hAnsi="宋体" w:cs="宋体"/>
          <w:color w:val="auto"/>
          <w:spacing w:val="6"/>
          <w:sz w:val="24"/>
          <w:szCs w:val="24"/>
          <w:highlight w:val="none"/>
        </w:rPr>
      </w:pPr>
    </w:p>
    <w:p w14:paraId="0F2A38B7">
      <w:pPr>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法定代表人或授权代表（签字或签章）：</w:t>
      </w:r>
    </w:p>
    <w:p w14:paraId="5D45F92E">
      <w:pPr>
        <w:spacing w:line="588" w:lineRule="exact"/>
        <w:ind w:firstLine="480"/>
        <w:rPr>
          <w:rFonts w:ascii="宋体" w:hAnsi="宋体" w:cs="宋体"/>
          <w:color w:val="auto"/>
          <w:spacing w:val="6"/>
          <w:sz w:val="24"/>
          <w:szCs w:val="24"/>
          <w:highlight w:val="none"/>
        </w:rPr>
      </w:pPr>
      <w:r>
        <w:rPr>
          <w:rFonts w:hint="eastAsia" w:ascii="宋体" w:hAnsi="宋体" w:cs="宋体"/>
          <w:color w:val="auto"/>
          <w:sz w:val="24"/>
          <w:szCs w:val="24"/>
          <w:highlight w:val="none"/>
        </w:rPr>
        <w:t>投标人名称（</w:t>
      </w:r>
      <w:r>
        <w:rPr>
          <w:rFonts w:hint="eastAsia" w:cs="方正魏碑_GBK" w:asciiTheme="minorEastAsia" w:hAnsiTheme="minorEastAsia" w:eastAsiaTheme="minorEastAsia"/>
          <w:color w:val="auto"/>
          <w:szCs w:val="24"/>
          <w:highlight w:val="none"/>
          <w:shd w:val="clear" w:color="auto" w:fill="FFFFFF"/>
        </w:rPr>
        <w:t>加盖CA电子公章</w:t>
      </w:r>
      <w:r>
        <w:rPr>
          <w:rFonts w:hint="eastAsia" w:ascii="宋体" w:hAnsi="宋体" w:cs="宋体"/>
          <w:color w:val="auto"/>
          <w:sz w:val="24"/>
          <w:szCs w:val="24"/>
          <w:highlight w:val="none"/>
        </w:rPr>
        <w:t>）：</w:t>
      </w:r>
    </w:p>
    <w:p w14:paraId="72BC46FF">
      <w:pPr>
        <w:ind w:left="5500" w:firstLine="480"/>
        <w:rPr>
          <w:rFonts w:ascii="宋体" w:hAnsi="宋体" w:cs="宋体"/>
          <w:color w:val="auto"/>
          <w:sz w:val="24"/>
          <w:szCs w:val="24"/>
          <w:highlight w:val="none"/>
        </w:rPr>
      </w:pPr>
    </w:p>
    <w:p w14:paraId="2B523FCC">
      <w:pPr>
        <w:ind w:left="5500" w:firstLine="480"/>
        <w:rPr>
          <w:rFonts w:ascii="宋体" w:hAnsi="宋体" w:cs="宋体"/>
          <w:color w:val="auto"/>
          <w:sz w:val="24"/>
          <w:szCs w:val="24"/>
          <w:highlight w:val="none"/>
        </w:rPr>
      </w:pPr>
    </w:p>
    <w:p w14:paraId="79C094D0">
      <w:pPr>
        <w:ind w:left="5500" w:firstLine="480"/>
        <w:rPr>
          <w:rFonts w:ascii="宋体" w:hAnsi="宋体" w:cs="宋体"/>
          <w:color w:val="auto"/>
          <w:sz w:val="24"/>
          <w:szCs w:val="24"/>
          <w:highlight w:val="none"/>
        </w:rPr>
      </w:pPr>
    </w:p>
    <w:p w14:paraId="7B512F21">
      <w:pPr>
        <w:ind w:left="5500"/>
        <w:rPr>
          <w:rFonts w:ascii="宋体" w:hAnsi="宋体" w:cs="宋体"/>
          <w:color w:val="auto"/>
          <w:highlight w:val="none"/>
        </w:rPr>
      </w:pPr>
      <w:r>
        <w:rPr>
          <w:rFonts w:hint="eastAsia" w:ascii="宋体" w:hAnsi="宋体" w:cs="宋体"/>
          <w:color w:val="auto"/>
          <w:sz w:val="24"/>
          <w:szCs w:val="24"/>
          <w:highlight w:val="none"/>
        </w:rPr>
        <w:t>日  期：  年   月   日</w:t>
      </w:r>
    </w:p>
    <w:p w14:paraId="618B1570">
      <w:pPr>
        <w:spacing w:after="120"/>
        <w:ind w:firstLine="440"/>
        <w:rPr>
          <w:rFonts w:ascii="宋体" w:hAnsi="宋体" w:cs="宋体"/>
          <w:color w:val="auto"/>
          <w:sz w:val="24"/>
          <w:szCs w:val="24"/>
          <w:highlight w:val="none"/>
        </w:rPr>
      </w:pPr>
      <w:r>
        <w:rPr>
          <w:rFonts w:hint="eastAsia" w:ascii="宋体" w:hAnsi="宋体" w:cs="宋体"/>
          <w:color w:val="auto"/>
          <w:highlight w:val="none"/>
        </w:rPr>
        <w:br w:type="page" w:clear="all"/>
      </w:r>
    </w:p>
    <w:p w14:paraId="693D2F2B">
      <w:pPr>
        <w:pStyle w:val="201"/>
        <w:ind w:firstLine="482"/>
        <w:rPr>
          <w:rFonts w:ascii="宋体" w:hAnsi="宋体" w:cs="宋体"/>
          <w:color w:val="auto"/>
          <w:highlight w:val="none"/>
        </w:rPr>
      </w:pPr>
      <w:r>
        <w:rPr>
          <w:rFonts w:cs="Arial"/>
          <w:b/>
          <w:color w:val="auto"/>
          <w:highlight w:val="none"/>
        </w:rPr>
        <w:t>附件</w:t>
      </w:r>
      <w:r>
        <w:rPr>
          <w:rFonts w:hint="eastAsia" w:cs="Arial"/>
          <w:b/>
          <w:color w:val="auto"/>
          <w:highlight w:val="none"/>
        </w:rPr>
        <w:t>十一</w:t>
      </w:r>
    </w:p>
    <w:p w14:paraId="199A740E">
      <w:pPr>
        <w:ind w:firstLine="562"/>
        <w:jc w:val="center"/>
        <w:outlineLvl w:val="1"/>
        <w:rPr>
          <w:rFonts w:ascii="宋体" w:hAnsi="宋体" w:cs="宋体"/>
          <w:b/>
          <w:color w:val="auto"/>
          <w:sz w:val="28"/>
          <w:szCs w:val="28"/>
          <w:highlight w:val="none"/>
        </w:rPr>
      </w:pPr>
      <w:bookmarkStart w:id="104" w:name="_Toc1763"/>
      <w:r>
        <w:rPr>
          <w:rFonts w:hint="eastAsia" w:ascii="宋体" w:hAnsi="宋体" w:cs="宋体"/>
          <w:b/>
          <w:color w:val="auto"/>
          <w:sz w:val="28"/>
          <w:szCs w:val="28"/>
          <w:highlight w:val="none"/>
        </w:rPr>
        <w:t>关于符合本国产品标准的声明函</w:t>
      </w:r>
      <w:bookmarkEnd w:id="104"/>
    </w:p>
    <w:p w14:paraId="07EC42BC">
      <w:pPr>
        <w:ind w:firstLine="562"/>
        <w:jc w:val="center"/>
        <w:rPr>
          <w:rFonts w:ascii="宋体" w:hAnsi="宋体"/>
          <w:b/>
          <w:color w:val="auto"/>
          <w:sz w:val="28"/>
          <w:szCs w:val="28"/>
          <w:highlight w:val="none"/>
        </w:rPr>
      </w:pPr>
    </w:p>
    <w:p w14:paraId="296E7338">
      <w:pPr>
        <w:pStyle w:val="36"/>
        <w:spacing w:before="0" w:beforeAutospacing="0" w:after="0" w:afterAutospacing="0"/>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31326E8">
      <w:pPr>
        <w:pStyle w:val="36"/>
        <w:spacing w:before="30" w:beforeAutospacing="0" w:after="30" w:afterAutospacing="0"/>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1.</w:t>
      </w:r>
      <w:r>
        <w:rPr>
          <w:rStyle w:val="46"/>
          <w:rFonts w:hint="eastAsia" w:cs="方正魏碑_GBK" w:asciiTheme="minorEastAsia" w:hAnsiTheme="minorEastAsia" w:eastAsiaTheme="minorEastAsia"/>
          <w:i w:val="0"/>
          <w:color w:val="auto"/>
          <w:szCs w:val="24"/>
          <w:highlight w:val="none"/>
          <w:u w:val="single"/>
          <w:shd w:val="clear" w:color="auto" w:fill="FFFFFF"/>
        </w:rPr>
        <w:t>（产品名称1）</w:t>
      </w:r>
      <w:r>
        <w:rPr>
          <w:rStyle w:val="46"/>
          <w:rFonts w:hint="eastAsia" w:cs="方正魏碑_GBK" w:asciiTheme="minorEastAsia" w:hAnsiTheme="minorEastAsia" w:eastAsiaTheme="minorEastAsia"/>
          <w:i w:val="0"/>
          <w:color w:val="auto"/>
          <w:szCs w:val="24"/>
          <w:highlight w:val="none"/>
          <w:shd w:val="clear" w:color="auto" w:fill="FFFFFF"/>
          <w:vertAlign w:val="superscript"/>
        </w:rPr>
        <w:t>1</w:t>
      </w:r>
      <w:r>
        <w:rPr>
          <w:rFonts w:hint="eastAsia" w:cs="方正魏碑_GBK" w:asciiTheme="minorEastAsia" w:hAnsiTheme="minorEastAsia" w:eastAsiaTheme="minorEastAsia"/>
          <w:color w:val="auto"/>
          <w:szCs w:val="24"/>
          <w:highlight w:val="none"/>
          <w:shd w:val="clear" w:color="auto" w:fill="FFFFFF"/>
        </w:rPr>
        <w:t>，生产厂为</w:t>
      </w:r>
      <w:r>
        <w:rPr>
          <w:rStyle w:val="46"/>
          <w:rFonts w:hint="eastAsia" w:cs="方正魏碑_GBK" w:asciiTheme="minorEastAsia" w:hAnsiTheme="minorEastAsia" w:eastAsiaTheme="minorEastAsia"/>
          <w:i w:val="0"/>
          <w:color w:val="auto"/>
          <w:szCs w:val="24"/>
          <w:highlight w:val="none"/>
          <w:u w:val="single"/>
          <w:shd w:val="clear" w:color="auto" w:fill="FFFFFF"/>
        </w:rPr>
        <w:t>（厂名）</w:t>
      </w:r>
      <w:r>
        <w:rPr>
          <w:rStyle w:val="46"/>
          <w:rFonts w:hint="eastAsia" w:cs="方正魏碑_GBK" w:asciiTheme="minorEastAsia" w:hAnsiTheme="minorEastAsia" w:eastAsiaTheme="minorEastAsia"/>
          <w:i w:val="0"/>
          <w:color w:val="auto"/>
          <w:szCs w:val="24"/>
          <w:highlight w:val="none"/>
          <w:shd w:val="clear" w:color="auto" w:fill="FFFFFF"/>
          <w:vertAlign w:val="superscript"/>
        </w:rPr>
        <w:t>2</w:t>
      </w:r>
      <w:r>
        <w:rPr>
          <w:rFonts w:hint="eastAsia" w:cs="方正魏碑_GBK" w:asciiTheme="minorEastAsia" w:hAnsiTheme="minorEastAsia" w:eastAsiaTheme="minorEastAsia"/>
          <w:color w:val="auto"/>
          <w:szCs w:val="24"/>
          <w:highlight w:val="none"/>
          <w:shd w:val="clear" w:color="auto" w:fill="FFFFFF"/>
        </w:rPr>
        <w:t>，厂址为</w:t>
      </w:r>
      <w:r>
        <w:rPr>
          <w:rStyle w:val="46"/>
          <w:rFonts w:hint="eastAsia" w:cs="方正魏碑_GBK" w:asciiTheme="minorEastAsia" w:hAnsiTheme="minorEastAsia" w:eastAsiaTheme="minorEastAsia"/>
          <w:i w:val="0"/>
          <w:color w:val="auto"/>
          <w:szCs w:val="24"/>
          <w:highlight w:val="none"/>
          <w:u w:val="single"/>
          <w:shd w:val="clear" w:color="auto" w:fill="FFFFFF"/>
        </w:rPr>
        <w:t>（生产厂址）</w:t>
      </w:r>
      <w:r>
        <w:rPr>
          <w:rFonts w:hint="eastAsia" w:cs="方正魏碑_GBK" w:asciiTheme="minorEastAsia" w:hAnsiTheme="minorEastAsia" w:eastAsiaTheme="minorEastAsia"/>
          <w:color w:val="auto"/>
          <w:szCs w:val="24"/>
          <w:highlight w:val="none"/>
          <w:shd w:val="clear" w:color="auto" w:fill="FFFFFF"/>
        </w:rPr>
        <w:t>。</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的中国境内生产的组件成本占比≥</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46"/>
          <w:rFonts w:hint="eastAsia" w:cs="方正魏碑_GBK" w:asciiTheme="minorEastAsia" w:hAnsiTheme="minorEastAsia" w:eastAsiaTheme="minorEastAsia"/>
          <w:i w:val="0"/>
          <w:color w:val="auto"/>
          <w:szCs w:val="24"/>
          <w:highlight w:val="none"/>
          <w:shd w:val="clear" w:color="auto" w:fill="FFFFFF"/>
          <w:vertAlign w:val="superscript"/>
        </w:rPr>
        <w:t>3</w:t>
      </w:r>
      <w:r>
        <w:rPr>
          <w:rFonts w:hint="eastAsia" w:cs="方正魏碑_GBK" w:asciiTheme="minorEastAsia" w:hAnsiTheme="minorEastAsia" w:eastAsiaTheme="minorEastAsia"/>
          <w:color w:val="auto"/>
          <w:szCs w:val="24"/>
          <w:highlight w:val="none"/>
          <w:shd w:val="clear" w:color="auto" w:fill="FFFFFF"/>
        </w:rPr>
        <w:t>。</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46"/>
          <w:rFonts w:hint="eastAsia" w:cs="方正魏碑_GBK" w:asciiTheme="minorEastAsia" w:hAnsiTheme="minorEastAsia" w:eastAsiaTheme="minorEastAsia"/>
          <w:i w:val="0"/>
          <w:color w:val="auto"/>
          <w:szCs w:val="24"/>
          <w:highlight w:val="none"/>
          <w:shd w:val="clear" w:color="auto" w:fill="FFFFFF"/>
          <w:vertAlign w:val="superscript"/>
        </w:rPr>
        <w:t>4</w:t>
      </w:r>
      <w:r>
        <w:rPr>
          <w:rFonts w:hint="eastAsia" w:cs="方正魏碑_GBK" w:asciiTheme="minorEastAsia" w:hAnsiTheme="minorEastAsia" w:eastAsiaTheme="minorEastAsia"/>
          <w:color w:val="auto"/>
          <w:szCs w:val="24"/>
          <w:highlight w:val="none"/>
          <w:shd w:val="clear" w:color="auto" w:fill="FFFFFF"/>
        </w:rPr>
        <w:t>在中国境内生产。</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46"/>
          <w:rFonts w:hint="eastAsia" w:cs="方正魏碑_GBK" w:asciiTheme="minorEastAsia" w:hAnsiTheme="minorEastAsia" w:eastAsiaTheme="minorEastAsia"/>
          <w:i w:val="0"/>
          <w:color w:val="auto"/>
          <w:szCs w:val="24"/>
          <w:highlight w:val="none"/>
          <w:shd w:val="clear" w:color="auto" w:fill="FFFFFF"/>
          <w:vertAlign w:val="superscript"/>
        </w:rPr>
        <w:t>5</w:t>
      </w:r>
      <w:r>
        <w:rPr>
          <w:rFonts w:hint="eastAsia" w:cs="方正魏碑_GBK" w:asciiTheme="minorEastAsia" w:hAnsiTheme="minorEastAsia" w:eastAsiaTheme="minorEastAsia"/>
          <w:color w:val="auto"/>
          <w:szCs w:val="24"/>
          <w:highlight w:val="none"/>
          <w:shd w:val="clear" w:color="auto" w:fill="FFFFFF"/>
        </w:rPr>
        <w:t>在中国境内完成。</w:t>
      </w:r>
    </w:p>
    <w:p w14:paraId="01A1C149">
      <w:pPr>
        <w:pStyle w:val="36"/>
        <w:spacing w:before="30" w:beforeAutospacing="0" w:after="30" w:afterAutospacing="0"/>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2.</w:t>
      </w:r>
      <w:r>
        <w:rPr>
          <w:rStyle w:val="46"/>
          <w:rFonts w:hint="eastAsia" w:cs="方正魏碑_GBK" w:asciiTheme="minorEastAsia" w:hAnsiTheme="minorEastAsia" w:eastAsiaTheme="minorEastAsia"/>
          <w:i w:val="0"/>
          <w:color w:val="auto"/>
          <w:szCs w:val="24"/>
          <w:highlight w:val="none"/>
          <w:u w:val="single"/>
          <w:shd w:val="clear" w:color="auto" w:fill="FFFFFF"/>
        </w:rPr>
        <w:t>（产品名称2）</w:t>
      </w:r>
      <w:r>
        <w:rPr>
          <w:rFonts w:hint="eastAsia" w:cs="方正魏碑_GBK" w:asciiTheme="minorEastAsia" w:hAnsiTheme="minorEastAsia" w:eastAsiaTheme="minorEastAsia"/>
          <w:color w:val="auto"/>
          <w:szCs w:val="24"/>
          <w:highlight w:val="none"/>
          <w:shd w:val="clear" w:color="auto" w:fill="FFFFFF"/>
        </w:rPr>
        <w:t>，生产厂为</w:t>
      </w:r>
      <w:r>
        <w:rPr>
          <w:rStyle w:val="46"/>
          <w:rFonts w:hint="eastAsia" w:cs="方正魏碑_GBK" w:asciiTheme="minorEastAsia" w:hAnsiTheme="minorEastAsia" w:eastAsiaTheme="minorEastAsia"/>
          <w:i w:val="0"/>
          <w:color w:val="auto"/>
          <w:szCs w:val="24"/>
          <w:highlight w:val="none"/>
          <w:u w:val="single"/>
          <w:shd w:val="clear" w:color="auto" w:fill="FFFFFF"/>
        </w:rPr>
        <w:t>（厂名）</w:t>
      </w:r>
      <w:r>
        <w:rPr>
          <w:rFonts w:hint="eastAsia" w:cs="方正魏碑_GBK" w:asciiTheme="minorEastAsia" w:hAnsiTheme="minorEastAsia" w:eastAsiaTheme="minorEastAsia"/>
          <w:color w:val="auto"/>
          <w:szCs w:val="24"/>
          <w:highlight w:val="none"/>
          <w:shd w:val="clear" w:color="auto" w:fill="FFFFFF"/>
        </w:rPr>
        <w:t>，厂址为</w:t>
      </w:r>
      <w:r>
        <w:rPr>
          <w:rStyle w:val="46"/>
          <w:rFonts w:hint="eastAsia" w:cs="方正魏碑_GBK" w:asciiTheme="minorEastAsia" w:hAnsiTheme="minorEastAsia" w:eastAsiaTheme="minorEastAsia"/>
          <w:i w:val="0"/>
          <w:color w:val="auto"/>
          <w:szCs w:val="24"/>
          <w:highlight w:val="none"/>
          <w:u w:val="single"/>
          <w:shd w:val="clear" w:color="auto" w:fill="FFFFFF"/>
        </w:rPr>
        <w:t>（生产厂址）</w:t>
      </w:r>
      <w:r>
        <w:rPr>
          <w:rFonts w:hint="eastAsia" w:cs="方正魏碑_GBK" w:asciiTheme="minorEastAsia" w:hAnsiTheme="minorEastAsia" w:eastAsiaTheme="minorEastAsia"/>
          <w:color w:val="auto"/>
          <w:szCs w:val="24"/>
          <w:highlight w:val="none"/>
          <w:shd w:val="clear" w:color="auto" w:fill="FFFFFF"/>
        </w:rPr>
        <w:t>。</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的中国境内生产的组件成本占比≥</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在中国境内生产。</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的</w:t>
      </w:r>
      <w:r>
        <w:rPr>
          <w:rStyle w:val="46"/>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在中国境内完成。</w:t>
      </w:r>
    </w:p>
    <w:p w14:paraId="071BF346">
      <w:pPr>
        <w:pStyle w:val="36"/>
        <w:spacing w:before="30" w:beforeAutospacing="0" w:after="30" w:afterAutospacing="0"/>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w:t>
      </w:r>
    </w:p>
    <w:p w14:paraId="16786916">
      <w:pPr>
        <w:pStyle w:val="36"/>
        <w:spacing w:before="30" w:beforeAutospacing="0" w:after="30" w:afterAutospacing="0"/>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本公司（单位）对上述声明内容的真实性负责。如有虚假，愿承担相应法律责任。</w:t>
      </w:r>
    </w:p>
    <w:p w14:paraId="7D2053DF">
      <w:pPr>
        <w:pStyle w:val="36"/>
        <w:spacing w:before="30" w:beforeAutospacing="0" w:after="30" w:afterAutospacing="0"/>
        <w:ind w:firstLine="480"/>
        <w:rPr>
          <w:rFonts w:cs="方正魏碑_GBK" w:asciiTheme="minorEastAsia" w:hAnsiTheme="minorEastAsia" w:eastAsiaTheme="minorEastAsia"/>
          <w:color w:val="auto"/>
          <w:szCs w:val="24"/>
          <w:highlight w:val="none"/>
        </w:rPr>
      </w:pPr>
    </w:p>
    <w:p w14:paraId="529F55B2">
      <w:pPr>
        <w:pStyle w:val="36"/>
        <w:spacing w:before="30" w:beforeAutospacing="0" w:after="30" w:afterAutospacing="0"/>
        <w:ind w:firstLine="480"/>
        <w:jc w:val="righ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公司（单位）名称（加盖CA电子公章）：　        </w:t>
      </w:r>
    </w:p>
    <w:p w14:paraId="4B0278C0">
      <w:pPr>
        <w:pStyle w:val="36"/>
        <w:spacing w:before="30" w:beforeAutospacing="0" w:after="30" w:afterAutospacing="0"/>
        <w:ind w:firstLine="480"/>
        <w:jc w:val="center"/>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日期：　     </w:t>
      </w:r>
      <w:r>
        <w:rPr>
          <w:rFonts w:hint="eastAsia"/>
          <w:color w:val="auto"/>
          <w:szCs w:val="24"/>
          <w:highlight w:val="none"/>
          <w:shd w:val="clear" w:color="auto" w:fill="FFFFFF"/>
        </w:rPr>
        <w:t>年　</w:t>
      </w:r>
      <w:r>
        <w:rPr>
          <w:rFonts w:hint="eastAsia" w:cs="方正魏碑_GBK" w:asciiTheme="minorEastAsia" w:hAnsiTheme="minorEastAsia" w:eastAsiaTheme="minorEastAsia"/>
          <w:color w:val="auto"/>
          <w:szCs w:val="24"/>
          <w:highlight w:val="none"/>
          <w:shd w:val="clear" w:color="auto" w:fill="FFFFFF"/>
        </w:rPr>
        <w:t>  </w:t>
      </w:r>
      <w:r>
        <w:rPr>
          <w:rFonts w:hint="eastAsia"/>
          <w:color w:val="auto"/>
          <w:szCs w:val="24"/>
          <w:highlight w:val="none"/>
          <w:shd w:val="clear" w:color="auto" w:fill="FFFFFF"/>
        </w:rPr>
        <w:t>月　</w:t>
      </w:r>
      <w:r>
        <w:rPr>
          <w:rFonts w:hint="eastAsia" w:cs="方正魏碑_GBK" w:asciiTheme="minorEastAsia" w:hAnsiTheme="minorEastAsia" w:eastAsiaTheme="minorEastAsia"/>
          <w:color w:val="auto"/>
          <w:szCs w:val="24"/>
          <w:highlight w:val="none"/>
          <w:shd w:val="clear" w:color="auto" w:fill="FFFFFF"/>
        </w:rPr>
        <w:t>  </w:t>
      </w:r>
      <w:r>
        <w:rPr>
          <w:rFonts w:hint="eastAsia"/>
          <w:color w:val="auto"/>
          <w:szCs w:val="24"/>
          <w:highlight w:val="none"/>
          <w:shd w:val="clear" w:color="auto" w:fill="FFFFFF"/>
        </w:rPr>
        <w:t>日</w:t>
      </w:r>
      <w:r>
        <w:rPr>
          <w:rFonts w:hint="eastAsia" w:cs="方正魏碑_GBK" w:asciiTheme="minorEastAsia" w:hAnsiTheme="minorEastAsia" w:eastAsiaTheme="minorEastAsia"/>
          <w:color w:val="auto"/>
          <w:szCs w:val="24"/>
          <w:highlight w:val="none"/>
          <w:shd w:val="clear" w:color="auto" w:fill="FFFFFF"/>
        </w:rPr>
        <w:t>         </w:t>
      </w:r>
    </w:p>
    <w:p w14:paraId="233FD0E6">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__________________</w:t>
      </w:r>
    </w:p>
    <w:p w14:paraId="1D4F3143">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1.产品如有型号，请在“产品名称”栏一并填写。</w:t>
      </w:r>
    </w:p>
    <w:p w14:paraId="71AE1126">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2.生产厂名与厂址应与生产厂营业执照载明的相关信息保持一致。</w:t>
      </w:r>
    </w:p>
    <w:p w14:paraId="1276F7FA">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3.该产品的中国境内生产的组件成本占比相关要求实施前，“规定比例”栏可不填，下同。</w:t>
      </w:r>
    </w:p>
    <w:p w14:paraId="68D52873">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4.该产品的关键组件要求实施前，“关键组件”栏可不填，下同。</w:t>
      </w:r>
    </w:p>
    <w:p w14:paraId="4BFA7A0B">
      <w:pPr>
        <w:pStyle w:val="36"/>
        <w:spacing w:before="30" w:beforeAutospacing="0" w:after="30" w:afterAutospacing="0" w:line="0" w:lineRule="atLeast"/>
        <w:ind w:firstLine="480"/>
        <w:rPr>
          <w:rFonts w:cs="方正魏碑_GBK" w:asciiTheme="minorEastAsia" w:hAnsiTheme="minorEastAsia" w:eastAsiaTheme="minorEastAsia"/>
          <w:color w:val="auto"/>
          <w:szCs w:val="24"/>
          <w:highlight w:val="none"/>
          <w:shd w:val="clear" w:color="auto" w:fill="FFFFFF"/>
        </w:rPr>
      </w:pPr>
      <w:r>
        <w:rPr>
          <w:rFonts w:hint="eastAsia" w:cs="方正魏碑_GBK" w:asciiTheme="minorEastAsia" w:hAnsiTheme="minorEastAsia" w:eastAsiaTheme="minorEastAsia"/>
          <w:color w:val="auto"/>
          <w:szCs w:val="24"/>
          <w:highlight w:val="none"/>
          <w:shd w:val="clear" w:color="auto" w:fill="FFFFFF"/>
        </w:rPr>
        <w:t>5.该产品的关键工序要求实施前，“关键工序”栏可不填，下同。</w:t>
      </w:r>
    </w:p>
    <w:p w14:paraId="0B9E3998">
      <w:pPr>
        <w:spacing w:line="400" w:lineRule="exact"/>
        <w:ind w:firstLine="480"/>
        <w:rPr>
          <w:rFonts w:cs="方正魏碑_GBK" w:asciiTheme="minorEastAsia" w:hAnsiTheme="minorEastAsia" w:eastAsiaTheme="minorEastAsia"/>
          <w:color w:val="auto"/>
          <w:sz w:val="24"/>
          <w:szCs w:val="24"/>
          <w:highlight w:val="none"/>
          <w:shd w:val="clear" w:color="auto" w:fill="FFFFFF"/>
        </w:rPr>
      </w:pPr>
      <w:r>
        <w:rPr>
          <w:rFonts w:hint="eastAsia" w:cs="方正魏碑_GBK" w:asciiTheme="minorEastAsia" w:hAnsiTheme="minorEastAsia" w:eastAsiaTheme="minorEastAsia"/>
          <w:color w:val="auto"/>
          <w:sz w:val="24"/>
          <w:szCs w:val="24"/>
          <w:highlight w:val="none"/>
          <w:shd w:val="clear" w:color="auto" w:fill="FFFFFF"/>
        </w:rPr>
        <w:t>6.《声明函》中标注“</w:t>
      </w:r>
      <w:r>
        <w:rPr>
          <w:rStyle w:val="46"/>
          <w:rFonts w:hint="eastAsia" w:cs="方正魏碑_GBK" w:asciiTheme="minorEastAsia" w:hAnsiTheme="minorEastAsia" w:eastAsiaTheme="minorEastAsia"/>
          <w:i w:val="0"/>
          <w:color w:val="auto"/>
          <w:sz w:val="24"/>
          <w:szCs w:val="24"/>
          <w:highlight w:val="none"/>
          <w:u w:val="single"/>
          <w:shd w:val="clear" w:color="auto" w:fill="FFFFFF"/>
        </w:rPr>
        <w:t xml:space="preserve">/  </w:t>
      </w:r>
      <w:r>
        <w:rPr>
          <w:rFonts w:hint="eastAsia" w:cs="方正魏碑_GBK" w:asciiTheme="minorEastAsia" w:hAnsiTheme="minorEastAsia" w:eastAsiaTheme="minorEastAsia"/>
          <w:color w:val="auto"/>
          <w:sz w:val="24"/>
          <w:szCs w:val="24"/>
          <w:highlight w:val="none"/>
          <w:shd w:val="clear" w:color="auto" w:fill="FFFFFF"/>
        </w:rPr>
        <w:t>”的地方无需填写。</w:t>
      </w:r>
    </w:p>
    <w:p w14:paraId="0321E4BD">
      <w:pPr>
        <w:spacing w:line="400" w:lineRule="exact"/>
        <w:ind w:firstLine="480"/>
        <w:rPr>
          <w:rFonts w:cs="宋体" w:asciiTheme="minorEastAsia" w:hAnsiTheme="minorEastAsia" w:eastAsiaTheme="minorEastAsia"/>
          <w:color w:val="auto"/>
          <w:highlight w:val="none"/>
        </w:rPr>
      </w:pPr>
      <w:r>
        <w:rPr>
          <w:rFonts w:hint="eastAsia" w:cs="方正魏碑_GBK" w:asciiTheme="minorEastAsia" w:hAnsiTheme="minorEastAsia" w:eastAsiaTheme="minorEastAsia"/>
          <w:color w:val="auto"/>
          <w:sz w:val="24"/>
          <w:szCs w:val="24"/>
          <w:highlight w:val="none"/>
          <w:shd w:val="clear" w:color="auto" w:fill="FFFFFF"/>
        </w:rPr>
        <w:t>供应商提供虚假《声明函》、虚假证明文件谋取中标、成交的，依照《中华人民共和国政府采购法》等法律法规规定追究相应责任。</w:t>
      </w:r>
    </w:p>
    <w:sectPr>
      <w:footerReference r:id="rId7" w:type="first"/>
      <w:footerReference r:id="rId5" w:type="default"/>
      <w:footerReference r:id="rId6" w:type="even"/>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方正魏碑_GBK">
    <w:altName w:val="XcGJSymbol"/>
    <w:panose1 w:val="020B0503020202020204"/>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77779">
    <w:pPr>
      <w:pStyle w:val="25"/>
      <w:framePr w:wrap="around" w:vAnchor="text" w:hAnchor="margin" w:xAlign="center" w:y="1"/>
      <w:ind w:firstLine="360"/>
      <w:rPr>
        <w:rStyle w:val="45"/>
        <w:rFonts w:ascii="宋体" w:hAnsi="宋体"/>
      </w:rPr>
    </w:pPr>
    <w:r>
      <w:rPr>
        <w:rFonts w:ascii="宋体" w:hAnsi="宋体"/>
      </w:rPr>
      <w:fldChar w:fldCharType="begin"/>
    </w:r>
    <w:r>
      <w:rPr>
        <w:rStyle w:val="45"/>
        <w:rFonts w:ascii="宋体" w:hAnsi="宋体"/>
      </w:rPr>
      <w:instrText xml:space="preserve">PAGE  </w:instrText>
    </w:r>
    <w:r>
      <w:rPr>
        <w:rFonts w:ascii="宋体" w:hAnsi="宋体"/>
      </w:rPr>
      <w:fldChar w:fldCharType="separate"/>
    </w:r>
    <w:r>
      <w:rPr>
        <w:rStyle w:val="45"/>
        <w:rFonts w:ascii="宋体" w:hAnsi="宋体"/>
      </w:rPr>
      <w:t>40</w:t>
    </w:r>
    <w:r>
      <w:rPr>
        <w:rFonts w:ascii="宋体" w:hAnsi="宋体"/>
      </w:rPr>
      <w:fldChar w:fldCharType="end"/>
    </w:r>
  </w:p>
  <w:p w14:paraId="5E65DEC1">
    <w:pPr>
      <w:pStyle w:val="25"/>
      <w:ind w:firstLine="361"/>
      <w:jc w:val="center"/>
      <w:rPr>
        <w:b/>
        <w:i/>
      </w:rPr>
    </w:pPr>
  </w:p>
  <w:p w14:paraId="722520E6">
    <w:pPr>
      <w:ind w:firstLine="440"/>
    </w:pPr>
  </w:p>
  <w:p w14:paraId="567A36B9">
    <w:pPr>
      <w:ind w:firstLine="4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73FA2">
    <w:pPr>
      <w:pStyle w:val="25"/>
      <w:framePr w:wrap="around" w:vAnchor="text" w:hAnchor="margin" w:xAlign="center" w:y="1"/>
      <w:ind w:firstLine="360"/>
      <w:rPr>
        <w:rStyle w:val="45"/>
      </w:rPr>
    </w:pPr>
    <w:r>
      <w:fldChar w:fldCharType="begin"/>
    </w:r>
    <w:r>
      <w:rPr>
        <w:rStyle w:val="45"/>
      </w:rPr>
      <w:instrText xml:space="preserve">PAGE  </w:instrText>
    </w:r>
    <w:r>
      <w:fldChar w:fldCharType="separate"/>
    </w:r>
    <w:r>
      <w:rPr>
        <w:rStyle w:val="45"/>
      </w:rPr>
      <w:t>1</w:t>
    </w:r>
    <w:r>
      <w:fldChar w:fldCharType="end"/>
    </w:r>
  </w:p>
  <w:p w14:paraId="0FD1C508">
    <w:pPr>
      <w:pStyle w:val="25"/>
      <w:ind w:firstLine="360"/>
    </w:pPr>
  </w:p>
  <w:p w14:paraId="7DAA261C">
    <w:pPr>
      <w:ind w:firstLine="440"/>
    </w:pPr>
  </w:p>
  <w:p w14:paraId="4D82ADF3">
    <w:pPr>
      <w:ind w:firstLine="4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37045">
    <w:pPr>
      <w:pStyle w:val="25"/>
      <w:ind w:firstLine="360"/>
    </w:pPr>
  </w:p>
  <w:p w14:paraId="4A18AAD4">
    <w:pPr>
      <w:pStyle w:val="2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206"/>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248C179"/>
    <w:multiLevelType w:val="multilevel"/>
    <w:tmpl w:val="0248C17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E84432"/>
    <w:rsid w:val="30110AE9"/>
    <w:rsid w:val="5AAA3E42"/>
    <w:rsid w:val="712154E9"/>
    <w:rsid w:val="7A3B2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name="toc 3"/>
    <w:lsdException w:uiPriority="39" w:semiHidden="0" w:name="toc 4"/>
    <w:lsdException w:qFormat="1" w:uiPriority="39" w:semiHidden="0" w:name="toc 5"/>
    <w:lsdException w:uiPriority="39" w:semiHidden="0" w:name="toc 6"/>
    <w:lsdException w:qFormat="1" w:uiPriority="39" w:semiHidden="0" w:name="toc 7"/>
    <w:lsdException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hint="default" w:ascii="Tahoma" w:hAnsi="Tahoma" w:eastAsia="宋体" w:cstheme="minorBidi"/>
      <w:sz w:val="22"/>
      <w:szCs w:val="22"/>
      <w:lang w:val="en-US" w:eastAsia="zh-CN" w:bidi="ar-SA"/>
    </w:rPr>
  </w:style>
  <w:style w:type="paragraph" w:styleId="2">
    <w:name w:val="heading 1"/>
    <w:basedOn w:val="1"/>
    <w:next w:val="1"/>
    <w:link w:val="199"/>
    <w:qFormat/>
    <w:uiPriority w:val="0"/>
    <w:pPr>
      <w:keepNext/>
      <w:widowControl w:val="0"/>
      <w:jc w:val="center"/>
      <w:outlineLvl w:val="0"/>
    </w:pPr>
    <w:rPr>
      <w:rFonts w:ascii="楷体_GB2312" w:hAnsi="Times New Roman" w:eastAsia="楷体_GB2312" w:cs="Times New Roman"/>
      <w:sz w:val="28"/>
      <w:szCs w:val="28"/>
    </w:rPr>
  </w:style>
  <w:style w:type="paragraph" w:styleId="3">
    <w:name w:val="heading 2"/>
    <w:basedOn w:val="1"/>
    <w:next w:val="1"/>
    <w:link w:val="21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link w:val="202"/>
    <w:qFormat/>
    <w:uiPriority w:val="0"/>
    <w:pPr>
      <w:keepNext/>
      <w:keepLines/>
      <w:widowControl w:val="0"/>
      <w:spacing w:before="260" w:after="260" w:line="416" w:lineRule="auto"/>
      <w:jc w:val="both"/>
      <w:outlineLvl w:val="2"/>
    </w:pPr>
    <w:rPr>
      <w:rFonts w:ascii="Times New Roman" w:hAnsi="Times New Roman" w:cs="Times New Roman"/>
      <w:b/>
      <w:bCs/>
      <w:sz w:val="32"/>
      <w:szCs w:val="32"/>
    </w:rPr>
  </w:style>
  <w:style w:type="paragraph" w:styleId="6">
    <w:name w:val="heading 4"/>
    <w:basedOn w:val="1"/>
    <w:next w:val="5"/>
    <w:link w:val="203"/>
    <w:qFormat/>
    <w:uiPriority w:val="0"/>
    <w:pPr>
      <w:keepNext/>
      <w:keepLines/>
      <w:widowControl w:val="0"/>
      <w:spacing w:before="280" w:after="290" w:line="376" w:lineRule="auto"/>
      <w:jc w:val="both"/>
      <w:outlineLvl w:val="3"/>
    </w:pPr>
    <w:rPr>
      <w:rFonts w:ascii="Arial" w:hAnsi="Arial" w:eastAsia="黑体" w:cs="Arial"/>
      <w:b/>
      <w:bCs/>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08"/>
    <w:qFormat/>
    <w:uiPriority w:val="0"/>
    <w:pPr>
      <w:widowControl w:val="0"/>
      <w:ind w:firstLine="420"/>
      <w:jc w:val="both"/>
    </w:pPr>
    <w:rPr>
      <w:rFonts w:asciiTheme="minorHAnsi" w:hAnsiTheme="minorHAnsi"/>
      <w:sz w:val="21"/>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22"/>
    <w:unhideWhenUsed/>
    <w:qFormat/>
    <w:uiPriority w:val="0"/>
  </w:style>
  <w:style w:type="paragraph" w:styleId="15">
    <w:name w:val="Body Text"/>
    <w:basedOn w:val="1"/>
    <w:link w:val="218"/>
    <w:qFormat/>
    <w:uiPriority w:val="0"/>
    <w:pPr>
      <w:widowControl w:val="0"/>
      <w:jc w:val="both"/>
    </w:pPr>
    <w:rPr>
      <w:rFonts w:ascii="楷体_GB2312" w:hAnsi="Arial" w:eastAsia="楷体_GB2312"/>
      <w:sz w:val="28"/>
      <w:szCs w:val="28"/>
    </w:rPr>
  </w:style>
  <w:style w:type="paragraph" w:styleId="16">
    <w:name w:val="Body Text Indent"/>
    <w:basedOn w:val="1"/>
    <w:qFormat/>
    <w:uiPriority w:val="0"/>
    <w:pPr>
      <w:spacing w:line="440" w:lineRule="exact"/>
      <w:ind w:firstLine="403"/>
    </w:pPr>
    <w:rPr>
      <w:rFonts w:ascii="宋体" w:hAnsi="宋体" w:cs="宋体"/>
      <w:szCs w:val="21"/>
    </w:rPr>
  </w:style>
  <w:style w:type="paragraph" w:styleId="17">
    <w:name w:val="Block Text"/>
    <w:basedOn w:val="1"/>
    <w:unhideWhenUsed/>
    <w:qFormat/>
    <w:uiPriority w:val="99"/>
    <w:pPr>
      <w:spacing w:after="120"/>
      <w:ind w:left="1440" w:right="1440"/>
    </w:pPr>
  </w:style>
  <w:style w:type="paragraph" w:styleId="18">
    <w:name w:val="index 4"/>
    <w:basedOn w:val="1"/>
    <w:next w:val="1"/>
    <w:qFormat/>
    <w:uiPriority w:val="99"/>
    <w:pPr>
      <w:ind w:left="600"/>
    </w:pPr>
    <w:rPr>
      <w:rFonts w:ascii="Calibri" w:hAnsi="Calibri"/>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semiHidden/>
    <w:unhideWhenUsed/>
    <w:qFormat/>
    <w:uiPriority w:val="39"/>
    <w:pPr>
      <w:ind w:left="840"/>
    </w:pPr>
  </w:style>
  <w:style w:type="paragraph" w:styleId="21">
    <w:name w:val="Plain Text"/>
    <w:basedOn w:val="1"/>
    <w:link w:val="212"/>
    <w:qFormat/>
    <w:uiPriority w:val="0"/>
    <w:pPr>
      <w:widowControl w:val="0"/>
      <w:jc w:val="both"/>
    </w:pPr>
    <w:rPr>
      <w:rFonts w:ascii="宋体" w:hAnsi="Courier New" w:cs="Courier New"/>
      <w:sz w:val="21"/>
      <w:szCs w:val="21"/>
    </w:rPr>
  </w:style>
  <w:style w:type="paragraph" w:styleId="22">
    <w:name w:val="toc 8"/>
    <w:basedOn w:val="1"/>
    <w:next w:val="1"/>
    <w:unhideWhenUsed/>
    <w:uiPriority w:val="39"/>
    <w:pPr>
      <w:spacing w:after="57"/>
      <w:ind w:left="1984" w:right="0" w:firstLine="0"/>
    </w:pPr>
  </w:style>
  <w:style w:type="paragraph" w:styleId="23">
    <w:name w:val="endnote text"/>
    <w:basedOn w:val="1"/>
    <w:link w:val="194"/>
    <w:semiHidden/>
    <w:unhideWhenUsed/>
    <w:qFormat/>
    <w:uiPriority w:val="99"/>
    <w:pPr>
      <w:spacing w:after="0" w:line="240" w:lineRule="auto"/>
    </w:pPr>
    <w:rPr>
      <w:sz w:val="20"/>
    </w:rPr>
  </w:style>
  <w:style w:type="paragraph" w:styleId="24">
    <w:name w:val="Balloon Text"/>
    <w:basedOn w:val="1"/>
    <w:link w:val="219"/>
    <w:semiHidden/>
    <w:unhideWhenUsed/>
    <w:qFormat/>
    <w:uiPriority w:val="99"/>
    <w:rPr>
      <w:sz w:val="18"/>
      <w:szCs w:val="18"/>
    </w:rPr>
  </w:style>
  <w:style w:type="paragraph" w:styleId="25">
    <w:name w:val="footer"/>
    <w:basedOn w:val="1"/>
    <w:link w:val="198"/>
    <w:unhideWhenUsed/>
    <w:qFormat/>
    <w:uiPriority w:val="99"/>
    <w:pPr>
      <w:tabs>
        <w:tab w:val="center" w:pos="4153"/>
        <w:tab w:val="right" w:pos="8306"/>
      </w:tabs>
    </w:pPr>
    <w:rPr>
      <w:sz w:val="18"/>
      <w:szCs w:val="18"/>
    </w:rPr>
  </w:style>
  <w:style w:type="paragraph" w:styleId="26">
    <w:name w:val="envelope return"/>
    <w:basedOn w:val="1"/>
    <w:qFormat/>
    <w:uiPriority w:val="0"/>
    <w:rPr>
      <w:rFonts w:ascii="Arial" w:hAnsi="Arial"/>
    </w:rPr>
  </w:style>
  <w:style w:type="paragraph" w:styleId="27">
    <w:name w:val="header"/>
    <w:basedOn w:val="1"/>
    <w:link w:val="197"/>
    <w:unhideWhenUsed/>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qFormat/>
    <w:uiPriority w:val="39"/>
    <w:pPr>
      <w:widowControl w:val="0"/>
      <w:spacing w:before="120" w:after="120"/>
    </w:pPr>
    <w:rPr>
      <w:rFonts w:ascii="Calibri" w:hAnsi="Calibri" w:cs="Times New Roman"/>
      <w:b/>
      <w:bCs/>
      <w:caps/>
      <w:sz w:val="20"/>
      <w:szCs w:val="20"/>
    </w:rPr>
  </w:style>
  <w:style w:type="paragraph" w:styleId="29">
    <w:name w:val="toc 4"/>
    <w:basedOn w:val="1"/>
    <w:next w:val="1"/>
    <w:unhideWhenUsed/>
    <w:uiPriority w:val="39"/>
    <w:pPr>
      <w:spacing w:after="57"/>
      <w:ind w:left="850" w:right="0" w:firstLine="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uiPriority w:val="99"/>
    <w:pPr>
      <w:spacing w:after="40" w:line="240" w:lineRule="auto"/>
    </w:pPr>
    <w:rPr>
      <w:sz w:val="18"/>
    </w:rPr>
  </w:style>
  <w:style w:type="paragraph" w:styleId="32">
    <w:name w:val="toc 6"/>
    <w:basedOn w:val="1"/>
    <w:next w:val="1"/>
    <w:unhideWhenUsed/>
    <w:uiPriority w:val="39"/>
    <w:pPr>
      <w:spacing w:after="57"/>
      <w:ind w:left="1417" w:right="0" w:firstLine="0"/>
    </w:pPr>
  </w:style>
  <w:style w:type="paragraph" w:styleId="33">
    <w:name w:val="table of figures"/>
    <w:basedOn w:val="1"/>
    <w:next w:val="1"/>
    <w:unhideWhenUsed/>
    <w:uiPriority w:val="99"/>
    <w:pPr>
      <w:spacing w:after="0" w:afterAutospacing="0"/>
    </w:pPr>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100" w:beforeAutospacing="1" w:after="100" w:afterAutospacing="1"/>
    </w:pPr>
    <w:rPr>
      <w:rFonts w:ascii="宋体" w:hAnsi="宋体" w:cs="宋体"/>
      <w:sz w:val="24"/>
    </w:rPr>
  </w:style>
  <w:style w:type="paragraph" w:styleId="37">
    <w:name w:val="Title"/>
    <w:basedOn w:val="1"/>
    <w:next w:val="1"/>
    <w:link w:val="209"/>
    <w:qFormat/>
    <w:uiPriority w:val="0"/>
    <w:pPr>
      <w:widowControl w:val="0"/>
      <w:spacing w:before="240" w:after="60"/>
      <w:jc w:val="center"/>
      <w:outlineLvl w:val="0"/>
    </w:pPr>
    <w:rPr>
      <w:rFonts w:ascii="Cambria" w:hAnsi="Cambria"/>
      <w:b/>
      <w:bCs/>
      <w:sz w:val="32"/>
      <w:szCs w:val="32"/>
    </w:rPr>
  </w:style>
  <w:style w:type="paragraph" w:styleId="38">
    <w:name w:val="annotation subject"/>
    <w:basedOn w:val="14"/>
    <w:next w:val="14"/>
    <w:link w:val="223"/>
    <w:semiHidden/>
    <w:unhideWhenUsed/>
    <w:qFormat/>
    <w:uiPriority w:val="99"/>
    <w:rPr>
      <w:b/>
      <w:bCs/>
    </w:rPr>
  </w:style>
  <w:style w:type="paragraph" w:styleId="39">
    <w:name w:val="Body Text First Indent 2"/>
    <w:basedOn w:val="16"/>
    <w:next w:val="1"/>
    <w:link w:val="227"/>
    <w:qFormat/>
    <w:uiPriority w:val="99"/>
    <w:pPr>
      <w:widowControl w:val="0"/>
      <w:ind w:firstLine="420"/>
      <w:jc w:val="both"/>
    </w:pPr>
    <w:rPr>
      <w:rFonts w:ascii="Calibri" w:hAnsi="Calibri" w:cs="Calibri"/>
      <w:sz w:val="21"/>
    </w:rPr>
  </w:style>
  <w:style w:type="table" w:styleId="41">
    <w:name w:val="Table Grid"/>
    <w:basedOn w:val="4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basedOn w:val="42"/>
    <w:semiHidden/>
    <w:unhideWhenUsed/>
    <w:uiPriority w:val="99"/>
    <w:rPr>
      <w:vertAlign w:val="superscript"/>
    </w:rPr>
  </w:style>
  <w:style w:type="character" w:styleId="45">
    <w:name w:val="page number"/>
    <w:basedOn w:val="42"/>
    <w:qFormat/>
    <w:uiPriority w:val="0"/>
  </w:style>
  <w:style w:type="character" w:styleId="46">
    <w:name w:val="Emphasis"/>
    <w:basedOn w:val="42"/>
    <w:qFormat/>
    <w:uiPriority w:val="0"/>
    <w:rPr>
      <w:i/>
    </w:rPr>
  </w:style>
  <w:style w:type="character" w:styleId="47">
    <w:name w:val="Hyperlink"/>
    <w:qFormat/>
    <w:uiPriority w:val="99"/>
    <w:rPr>
      <w:color w:val="0000FF"/>
      <w:u w:val="single"/>
    </w:rPr>
  </w:style>
  <w:style w:type="character" w:styleId="48">
    <w:name w:val="annotation reference"/>
    <w:basedOn w:val="42"/>
    <w:semiHidden/>
    <w:unhideWhenUsed/>
    <w:qFormat/>
    <w:uiPriority w:val="99"/>
    <w:rPr>
      <w:sz w:val="21"/>
      <w:szCs w:val="21"/>
    </w:rPr>
  </w:style>
  <w:style w:type="character" w:styleId="49">
    <w:name w:val="footnote reference"/>
    <w:basedOn w:val="42"/>
    <w:unhideWhenUsed/>
    <w:uiPriority w:val="99"/>
    <w:rPr>
      <w:vertAlign w:val="superscript"/>
    </w:rPr>
  </w:style>
  <w:style w:type="character" w:customStyle="1" w:styleId="50">
    <w:name w:val="Heading 1 Char"/>
    <w:basedOn w:val="42"/>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link w:val="7"/>
    <w:qFormat/>
    <w:uiPriority w:val="9"/>
    <w:rPr>
      <w:rFonts w:ascii="Arial" w:hAnsi="Arial" w:eastAsia="Arial" w:cs="Arial"/>
      <w:b/>
      <w:bCs/>
      <w:sz w:val="24"/>
      <w:szCs w:val="24"/>
    </w:rPr>
  </w:style>
  <w:style w:type="character" w:customStyle="1" w:styleId="55">
    <w:name w:val="Heading 6 Char"/>
    <w:basedOn w:val="42"/>
    <w:link w:val="8"/>
    <w:qFormat/>
    <w:uiPriority w:val="9"/>
    <w:rPr>
      <w:rFonts w:ascii="Arial" w:hAnsi="Arial" w:eastAsia="Arial" w:cs="Arial"/>
      <w:b/>
      <w:bCs/>
      <w:sz w:val="22"/>
      <w:szCs w:val="22"/>
    </w:rPr>
  </w:style>
  <w:style w:type="character" w:customStyle="1" w:styleId="56">
    <w:name w:val="Heading 7 Char"/>
    <w:basedOn w:val="42"/>
    <w:link w:val="9"/>
    <w:qFormat/>
    <w:uiPriority w:val="9"/>
    <w:rPr>
      <w:rFonts w:ascii="Arial" w:hAnsi="Arial" w:eastAsia="Arial" w:cs="Arial"/>
      <w:b/>
      <w:bCs/>
      <w:i/>
      <w:iCs/>
      <w:sz w:val="22"/>
      <w:szCs w:val="22"/>
    </w:rPr>
  </w:style>
  <w:style w:type="character" w:customStyle="1" w:styleId="57">
    <w:name w:val="Heading 8 Char"/>
    <w:basedOn w:val="42"/>
    <w:link w:val="10"/>
    <w:qFormat/>
    <w:uiPriority w:val="9"/>
    <w:rPr>
      <w:rFonts w:ascii="Arial" w:hAnsi="Arial" w:eastAsia="Arial" w:cs="Arial"/>
      <w:i/>
      <w:iCs/>
      <w:sz w:val="22"/>
      <w:szCs w:val="22"/>
    </w:rPr>
  </w:style>
  <w:style w:type="character" w:customStyle="1" w:styleId="58">
    <w:name w:val="Heading 9 Char"/>
    <w:basedOn w:val="42"/>
    <w:link w:val="11"/>
    <w:qFormat/>
    <w:uiPriority w:val="9"/>
    <w:rPr>
      <w:rFonts w:ascii="Arial" w:hAnsi="Arial" w:eastAsia="Arial" w:cs="Arial"/>
      <w:i/>
      <w:iCs/>
      <w:sz w:val="21"/>
      <w:szCs w:val="21"/>
    </w:rPr>
  </w:style>
  <w:style w:type="character" w:customStyle="1" w:styleId="59">
    <w:name w:val="Title Char"/>
    <w:basedOn w:val="42"/>
    <w:qFormat/>
    <w:uiPriority w:val="10"/>
    <w:rPr>
      <w:sz w:val="48"/>
      <w:szCs w:val="48"/>
    </w:rPr>
  </w:style>
  <w:style w:type="character" w:customStyle="1" w:styleId="60">
    <w:name w:val="Subtitle Char"/>
    <w:basedOn w:val="42"/>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2"/>
    <w:qFormat/>
    <w:uiPriority w:val="99"/>
  </w:style>
  <w:style w:type="character" w:customStyle="1" w:styleId="66">
    <w:name w:val="Footer Char"/>
    <w:basedOn w:val="42"/>
    <w:qFormat/>
    <w:uiPriority w:val="99"/>
  </w:style>
  <w:style w:type="character" w:customStyle="1" w:styleId="67">
    <w:name w:val="Caption Char"/>
    <w:qFormat/>
    <w:uiPriority w:val="99"/>
  </w:style>
  <w:style w:type="table" w:customStyle="1" w:styleId="68">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1"/>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正文首行缩进 21"/>
    <w:basedOn w:val="16"/>
    <w:next w:val="1"/>
    <w:qFormat/>
    <w:uiPriority w:val="0"/>
    <w:pPr>
      <w:ind w:firstLine="200"/>
    </w:pPr>
    <w:rPr>
      <w:sz w:val="24"/>
    </w:rPr>
  </w:style>
  <w:style w:type="character" w:customStyle="1" w:styleId="197">
    <w:name w:val="页眉 Char"/>
    <w:basedOn w:val="42"/>
    <w:link w:val="27"/>
    <w:qFormat/>
    <w:uiPriority w:val="99"/>
    <w:rPr>
      <w:rFonts w:ascii="Tahoma" w:hAnsi="Tahoma"/>
      <w:sz w:val="18"/>
      <w:szCs w:val="18"/>
    </w:rPr>
  </w:style>
  <w:style w:type="character" w:customStyle="1" w:styleId="198">
    <w:name w:val="页脚 Char"/>
    <w:basedOn w:val="42"/>
    <w:link w:val="25"/>
    <w:qFormat/>
    <w:uiPriority w:val="99"/>
    <w:rPr>
      <w:rFonts w:ascii="Tahoma" w:hAnsi="Tahoma"/>
      <w:sz w:val="18"/>
      <w:szCs w:val="18"/>
    </w:rPr>
  </w:style>
  <w:style w:type="character" w:customStyle="1" w:styleId="199">
    <w:name w:val="标题 1 Char"/>
    <w:basedOn w:val="42"/>
    <w:link w:val="2"/>
    <w:qFormat/>
    <w:uiPriority w:val="9"/>
    <w:rPr>
      <w:rFonts w:ascii="楷体_GB2312" w:hAnsi="Times New Roman" w:eastAsia="楷体_GB2312" w:cs="Times New Roman"/>
      <w:sz w:val="28"/>
      <w:szCs w:val="28"/>
    </w:rPr>
  </w:style>
  <w:style w:type="paragraph" w:customStyle="1" w:styleId="200">
    <w:name w:val="招标"/>
    <w:basedOn w:val="1"/>
    <w:qFormat/>
    <w:uiPriority w:val="0"/>
    <w:pPr>
      <w:widowControl w:val="0"/>
      <w:spacing w:line="400" w:lineRule="exact"/>
      <w:ind w:firstLine="420"/>
    </w:pPr>
    <w:rPr>
      <w:rFonts w:ascii="宋体" w:hAnsi="宋体" w:cs="Times New Roman"/>
      <w:sz w:val="21"/>
      <w:szCs w:val="21"/>
    </w:rPr>
  </w:style>
  <w:style w:type="paragraph" w:customStyle="1" w:styleId="201">
    <w:name w:val="普通正文"/>
    <w:basedOn w:val="1"/>
    <w:qFormat/>
    <w:uiPriority w:val="0"/>
    <w:pPr>
      <w:widowControl w:val="0"/>
      <w:spacing w:before="120" w:after="120"/>
      <w:ind w:firstLine="480"/>
    </w:pPr>
    <w:rPr>
      <w:rFonts w:ascii="Arial" w:hAnsi="Arial" w:cs="Times New Roman"/>
      <w:sz w:val="24"/>
      <w:szCs w:val="24"/>
    </w:rPr>
  </w:style>
  <w:style w:type="character" w:customStyle="1" w:styleId="202">
    <w:name w:val="标题 3 Char"/>
    <w:basedOn w:val="42"/>
    <w:link w:val="4"/>
    <w:qFormat/>
    <w:uiPriority w:val="0"/>
    <w:rPr>
      <w:rFonts w:ascii="Times New Roman" w:hAnsi="Times New Roman" w:eastAsia="宋体" w:cs="Times New Roman"/>
      <w:b/>
      <w:bCs/>
      <w:sz w:val="32"/>
      <w:szCs w:val="32"/>
    </w:rPr>
  </w:style>
  <w:style w:type="character" w:customStyle="1" w:styleId="203">
    <w:name w:val="标题 4 Char"/>
    <w:basedOn w:val="42"/>
    <w:link w:val="6"/>
    <w:qFormat/>
    <w:uiPriority w:val="9"/>
    <w:rPr>
      <w:rFonts w:ascii="Arial" w:hAnsi="Arial" w:eastAsia="黑体" w:cs="Arial"/>
      <w:b/>
      <w:bCs/>
      <w:sz w:val="28"/>
      <w:szCs w:val="28"/>
    </w:rPr>
  </w:style>
  <w:style w:type="character" w:customStyle="1" w:styleId="204">
    <w:name w:val="标题 Char1"/>
    <w:basedOn w:val="42"/>
    <w:qFormat/>
    <w:uiPriority w:val="0"/>
    <w:rPr>
      <w:rFonts w:ascii="Cambria" w:hAnsi="Cambria"/>
      <w:b/>
      <w:bCs/>
      <w:sz w:val="32"/>
      <w:szCs w:val="32"/>
    </w:rPr>
  </w:style>
  <w:style w:type="character" w:customStyle="1" w:styleId="205">
    <w:name w:val="标题二 Char"/>
    <w:link w:val="206"/>
    <w:qFormat/>
    <w:uiPriority w:val="0"/>
    <w:rPr>
      <w:rFonts w:ascii="宋体" w:hAnsi="宋体" w:cs="Calibri"/>
      <w:b/>
      <w:color w:val="000000"/>
      <w:sz w:val="28"/>
      <w:szCs w:val="28"/>
    </w:rPr>
  </w:style>
  <w:style w:type="paragraph" w:customStyle="1" w:styleId="206">
    <w:name w:val="标题二"/>
    <w:basedOn w:val="207"/>
    <w:link w:val="205"/>
    <w:qFormat/>
    <w:uiPriority w:val="0"/>
    <w:pPr>
      <w:widowControl w:val="0"/>
      <w:numPr>
        <w:ilvl w:val="0"/>
        <w:numId w:val="1"/>
      </w:numPr>
      <w:contextualSpacing/>
    </w:pPr>
    <w:rPr>
      <w:rFonts w:ascii="宋体" w:hAnsi="宋体" w:cs="Calibri"/>
      <w:b/>
      <w:color w:val="000000"/>
      <w:sz w:val="28"/>
      <w:szCs w:val="28"/>
    </w:rPr>
  </w:style>
  <w:style w:type="paragraph" w:styleId="207">
    <w:name w:val="List Paragraph"/>
    <w:basedOn w:val="1"/>
    <w:link w:val="225"/>
    <w:qFormat/>
    <w:uiPriority w:val="34"/>
    <w:pPr>
      <w:spacing w:after="120"/>
      <w:ind w:left="110" w:firstLine="480"/>
    </w:pPr>
    <w:rPr>
      <w:rFonts w:cs="宋体" w:asciiTheme="minorEastAsia" w:hAnsiTheme="minorEastAsia" w:eastAsiaTheme="minorEastAsia"/>
      <w:sz w:val="24"/>
      <w:szCs w:val="24"/>
    </w:rPr>
  </w:style>
  <w:style w:type="character" w:customStyle="1" w:styleId="208">
    <w:name w:val="正文缩进 Char"/>
    <w:link w:val="5"/>
    <w:qFormat/>
    <w:uiPriority w:val="0"/>
    <w:rPr>
      <w:sz w:val="21"/>
      <w:szCs w:val="21"/>
    </w:rPr>
  </w:style>
  <w:style w:type="character" w:customStyle="1" w:styleId="209">
    <w:name w:val="标题 Char"/>
    <w:basedOn w:val="42"/>
    <w:link w:val="37"/>
    <w:qFormat/>
    <w:uiPriority w:val="10"/>
    <w:rPr>
      <w:rFonts w:eastAsia="宋体" w:asciiTheme="majorHAnsi" w:hAnsiTheme="majorHAnsi" w:cstheme="majorBidi"/>
      <w:b/>
      <w:bCs/>
      <w:sz w:val="32"/>
      <w:szCs w:val="32"/>
    </w:rPr>
  </w:style>
  <w:style w:type="character" w:customStyle="1" w:styleId="210">
    <w:name w:val="font1"/>
    <w:qFormat/>
    <w:uiPriority w:val="0"/>
    <w:rPr>
      <w:color w:val="333333"/>
      <w:spacing w:val="450"/>
      <w:sz w:val="18"/>
      <w:szCs w:val="18"/>
      <w:u w:val="none"/>
    </w:rPr>
  </w:style>
  <w:style w:type="character" w:customStyle="1" w:styleId="211">
    <w:name w:val="纯文本 Char"/>
    <w:qFormat/>
    <w:uiPriority w:val="0"/>
    <w:rPr>
      <w:rFonts w:ascii="宋体" w:hAnsi="Courier New" w:cs="Courier New"/>
      <w:sz w:val="21"/>
      <w:szCs w:val="21"/>
    </w:rPr>
  </w:style>
  <w:style w:type="character" w:customStyle="1" w:styleId="212">
    <w:name w:val="纯文本 Char1"/>
    <w:basedOn w:val="42"/>
    <w:link w:val="21"/>
    <w:qFormat/>
    <w:uiPriority w:val="0"/>
    <w:rPr>
      <w:rFonts w:ascii="宋体" w:hAnsi="Courier New" w:eastAsia="宋体" w:cs="Courier New"/>
      <w:sz w:val="21"/>
      <w:szCs w:val="21"/>
    </w:rPr>
  </w:style>
  <w:style w:type="character" w:customStyle="1" w:styleId="213">
    <w:name w:val="标题 2 Char"/>
    <w:basedOn w:val="42"/>
    <w:link w:val="3"/>
    <w:semiHidden/>
    <w:qFormat/>
    <w:uiPriority w:val="9"/>
    <w:rPr>
      <w:rFonts w:asciiTheme="majorHAnsi" w:hAnsiTheme="majorHAnsi" w:eastAsiaTheme="majorEastAsia" w:cstheme="majorBidi"/>
      <w:b/>
      <w:bCs/>
      <w:sz w:val="32"/>
      <w:szCs w:val="32"/>
    </w:rPr>
  </w:style>
  <w:style w:type="character" w:customStyle="1" w:styleId="214">
    <w:name w:val="正文文本 Char"/>
    <w:qFormat/>
    <w:uiPriority w:val="0"/>
    <w:rPr>
      <w:rFonts w:ascii="楷体_GB2312" w:hAnsi="Arial" w:eastAsia="楷体_GB2312"/>
      <w:sz w:val="28"/>
      <w:szCs w:val="28"/>
    </w:rPr>
  </w:style>
  <w:style w:type="character" w:customStyle="1" w:styleId="215">
    <w:name w:val="列出段落 Char"/>
    <w:link w:val="216"/>
    <w:qFormat/>
    <w:uiPriority w:val="34"/>
    <w:rPr>
      <w:rFonts w:ascii="Calibri" w:hAnsi="Calibri"/>
      <w:sz w:val="24"/>
      <w:szCs w:val="24"/>
      <w:lang w:eastAsia="en-US" w:bidi="en-US"/>
    </w:rPr>
  </w:style>
  <w:style w:type="paragraph" w:customStyle="1" w:styleId="216">
    <w:name w:val="列出段落11"/>
    <w:basedOn w:val="1"/>
    <w:link w:val="215"/>
    <w:qFormat/>
    <w:uiPriority w:val="34"/>
    <w:pPr>
      <w:ind w:left="720"/>
      <w:contextualSpacing/>
    </w:pPr>
    <w:rPr>
      <w:rFonts w:ascii="Calibri" w:hAnsi="Calibri"/>
      <w:sz w:val="24"/>
      <w:szCs w:val="24"/>
      <w:lang w:eastAsia="en-US" w:bidi="en-US"/>
    </w:rPr>
  </w:style>
  <w:style w:type="paragraph" w:customStyle="1" w:styleId="217">
    <w:name w:val="Char1"/>
    <w:basedOn w:val="1"/>
    <w:qFormat/>
    <w:uiPriority w:val="0"/>
    <w:pPr>
      <w:widowControl w:val="0"/>
      <w:tabs>
        <w:tab w:val="left" w:pos="360"/>
      </w:tabs>
      <w:ind w:firstLine="200"/>
      <w:jc w:val="both"/>
    </w:pPr>
    <w:rPr>
      <w:rFonts w:ascii="Times New Roman" w:hAnsi="Times New Roman" w:cs="Times New Roman"/>
      <w:sz w:val="28"/>
      <w:szCs w:val="30"/>
    </w:rPr>
  </w:style>
  <w:style w:type="character" w:customStyle="1" w:styleId="218">
    <w:name w:val="正文文本 Char1"/>
    <w:basedOn w:val="42"/>
    <w:link w:val="15"/>
    <w:semiHidden/>
    <w:qFormat/>
    <w:uiPriority w:val="99"/>
    <w:rPr>
      <w:rFonts w:ascii="Tahoma" w:hAnsi="Tahoma"/>
    </w:rPr>
  </w:style>
  <w:style w:type="character" w:customStyle="1" w:styleId="219">
    <w:name w:val="批注框文本 Char"/>
    <w:basedOn w:val="42"/>
    <w:link w:val="24"/>
    <w:semiHidden/>
    <w:qFormat/>
    <w:uiPriority w:val="99"/>
    <w:rPr>
      <w:rFonts w:ascii="Tahoma" w:hAnsi="Tahoma"/>
      <w:sz w:val="18"/>
      <w:szCs w:val="18"/>
    </w:rPr>
  </w:style>
  <w:style w:type="character" w:customStyle="1" w:styleId="220">
    <w:name w:val="NormalCharacter"/>
    <w:qFormat/>
    <w:uiPriority w:val="0"/>
    <w:rPr>
      <w:rFonts w:ascii="Times New Roman" w:hAnsi="Times New Roman" w:eastAsia="宋体" w:cs="Times New Roman"/>
      <w:sz w:val="21"/>
      <w:szCs w:val="22"/>
      <w:lang w:val="en-US" w:eastAsia="zh-CN" w:bidi="ar-SA"/>
    </w:rPr>
  </w:style>
  <w:style w:type="paragraph" w:customStyle="1" w:styleId="221">
    <w:name w:val="无间隔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22">
    <w:name w:val="批注文字 Char"/>
    <w:basedOn w:val="42"/>
    <w:link w:val="14"/>
    <w:qFormat/>
    <w:uiPriority w:val="0"/>
    <w:rPr>
      <w:rFonts w:ascii="Tahoma" w:hAnsi="Tahoma" w:eastAsia="微软雅黑" w:cstheme="minorBidi"/>
      <w:sz w:val="22"/>
      <w:szCs w:val="22"/>
    </w:rPr>
  </w:style>
  <w:style w:type="character" w:customStyle="1" w:styleId="223">
    <w:name w:val="批注主题 Char"/>
    <w:basedOn w:val="222"/>
    <w:link w:val="38"/>
    <w:semiHidden/>
    <w:qFormat/>
    <w:uiPriority w:val="99"/>
    <w:rPr>
      <w:rFonts w:ascii="Tahoma" w:hAnsi="Tahoma" w:eastAsia="微软雅黑" w:cstheme="minorBidi"/>
      <w:b/>
      <w:bCs/>
      <w:sz w:val="22"/>
      <w:szCs w:val="22"/>
    </w:rPr>
  </w:style>
  <w:style w:type="paragraph" w:customStyle="1" w:styleId="224">
    <w:name w:val="修订1"/>
    <w:hidden/>
    <w:unhideWhenUsed/>
    <w:qFormat/>
    <w:uiPriority w:val="99"/>
    <w:rPr>
      <w:rFonts w:hint="default" w:ascii="Tahoma" w:hAnsi="Tahoma" w:eastAsia="微软雅黑" w:cstheme="minorBidi"/>
      <w:sz w:val="22"/>
      <w:szCs w:val="22"/>
      <w:lang w:val="en-US" w:eastAsia="zh-CN" w:bidi="ar-SA"/>
    </w:rPr>
  </w:style>
  <w:style w:type="character" w:customStyle="1" w:styleId="225">
    <w:name w:val="列出段落 Char1"/>
    <w:link w:val="207"/>
    <w:qFormat/>
    <w:uiPriority w:val="34"/>
    <w:rPr>
      <w:rFonts w:cs="宋体" w:asciiTheme="minorEastAsia" w:hAnsiTheme="minorEastAsia" w:eastAsiaTheme="minorEastAsia"/>
      <w:sz w:val="24"/>
      <w:szCs w:val="24"/>
    </w:rPr>
  </w:style>
  <w:style w:type="paragraph" w:customStyle="1" w:styleId="226">
    <w:name w:val="修订2"/>
    <w:hidden/>
    <w:unhideWhenUsed/>
    <w:qFormat/>
    <w:uiPriority w:val="99"/>
    <w:rPr>
      <w:rFonts w:hint="default" w:ascii="Tahoma" w:hAnsi="Tahoma" w:eastAsia="微软雅黑" w:cstheme="minorBidi"/>
      <w:sz w:val="22"/>
      <w:szCs w:val="22"/>
      <w:lang w:val="en-US" w:eastAsia="zh-CN" w:bidi="ar-SA"/>
    </w:rPr>
  </w:style>
  <w:style w:type="character" w:customStyle="1" w:styleId="227">
    <w:name w:val="正文首行缩进 2 Char"/>
    <w:basedOn w:val="42"/>
    <w:link w:val="39"/>
    <w:qFormat/>
    <w:uiPriority w:val="99"/>
    <w:rPr>
      <w:rFonts w:ascii="Calibri" w:hAnsi="Calibri" w:cs="Calibri"/>
      <w:sz w:val="21"/>
      <w:szCs w:val="21"/>
    </w:rPr>
  </w:style>
  <w:style w:type="paragraph" w:customStyle="1" w:styleId="228">
    <w:name w:val="修订3"/>
    <w:hidden/>
    <w:unhideWhenUsed/>
    <w:qFormat/>
    <w:uiPriority w:val="99"/>
    <w:rPr>
      <w:rFonts w:hint="default" w:ascii="Tahoma" w:hAnsi="Tahoma" w:eastAsia="微软雅黑" w:cstheme="minorBidi"/>
      <w:sz w:val="22"/>
      <w:szCs w:val="22"/>
      <w:lang w:val="en-US" w:eastAsia="zh-CN" w:bidi="ar-SA"/>
    </w:rPr>
  </w:style>
  <w:style w:type="paragraph" w:customStyle="1" w:styleId="229">
    <w:name w:val="修订4"/>
    <w:hidden/>
    <w:semiHidden/>
    <w:qFormat/>
    <w:uiPriority w:val="99"/>
    <w:rPr>
      <w:rFonts w:hint="default" w:ascii="Tahoma" w:hAnsi="Tahoma" w:eastAsia="宋体" w:cstheme="minorBidi"/>
      <w:sz w:val="22"/>
      <w:szCs w:val="22"/>
      <w:lang w:val="en-US" w:eastAsia="zh-CN" w:bidi="ar-SA"/>
    </w:rPr>
  </w:style>
  <w:style w:type="paragraph" w:customStyle="1" w:styleId="230">
    <w:name w:val="标题 41"/>
    <w:basedOn w:val="1"/>
    <w:next w:val="5"/>
    <w:qFormat/>
    <w:uiPriority w:val="0"/>
    <w:pPr>
      <w:keepNext/>
      <w:keepLines/>
      <w:spacing w:before="280" w:after="290" w:line="376" w:lineRule="auto"/>
      <w:outlineLvl w:val="3"/>
    </w:pPr>
    <w:rPr>
      <w:rFonts w:ascii="Arial" w:hAnsi="Arial" w:eastAsia="黑体" w:cs="Arial"/>
      <w:b/>
      <w:bCs/>
      <w:sz w:val="28"/>
      <w:szCs w:val="28"/>
    </w:rPr>
  </w:style>
  <w:style w:type="paragraph" w:styleId="231">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32">
    <w:name w:val="未处理的提及1"/>
    <w:basedOn w:val="4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FFF229-EB9A-4D40-AD6B-7E9CD1303A6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55</Pages>
  <Words>16411</Words>
  <Characters>17607</Characters>
  <TotalTime>67</TotalTime>
  <ScaleCrop>false</ScaleCrop>
  <LinksUpToDate>false</LinksUpToDate>
  <CharactersWithSpaces>17834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2026-04-24T09:35:00Z</dcterms:created>
  <dc:creator>admin</dc:creator>
  <cp:lastModifiedBy>苍盛</cp:lastModifiedBy>
  <dcterms:modified xsi:type="dcterms:W3CDTF">2026-07-02T05:55:33Z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4942B224FCE2494C8DCE7D7ED5FF6648_13</vt:lpwstr>
  </property>
  <property fmtid="{D5CDD505-2E9C-101B-9397-08002B2CF9AE}" pid="4" name="KSOTemplateDocerSaveRecord">
    <vt:lpwstr>eyJoZGlkIjoiNmMxOTFjNTVkNmFjMGE3YmUyMWIzZDVhZGVmNGUyZDQiLCJ1c2VySWQiOiI1ODkxNjMwMTYifQ==</vt:lpwstr>
  </property>
</Properties>
</file>