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9FEE36">
      <w:pPr>
        <w:rPr>
          <w:rFonts w:hint="eastAsia" w:ascii="宋体" w:hAnsi="宋体" w:cs="宋体"/>
          <w:b/>
          <w:color w:val="auto"/>
          <w:sz w:val="84"/>
          <w:highlight w:val="none"/>
        </w:rPr>
      </w:pPr>
    </w:p>
    <w:p w14:paraId="2ACC4AC6">
      <w:pPr>
        <w:pStyle w:val="32"/>
        <w:rPr>
          <w:rFonts w:hint="eastAsia"/>
          <w:color w:val="auto"/>
          <w:highlight w:val="none"/>
        </w:rPr>
      </w:pPr>
    </w:p>
    <w:p w14:paraId="6DFDBE64">
      <w:pPr>
        <w:jc w:val="center"/>
        <w:rPr>
          <w:rFonts w:hint="eastAsia" w:ascii="宋体" w:hAnsi="宋体" w:cs="宋体"/>
          <w:b/>
          <w:bCs w:val="0"/>
          <w:color w:val="auto"/>
          <w:sz w:val="84"/>
          <w:highlight w:val="none"/>
        </w:rPr>
      </w:pPr>
      <w:r>
        <w:rPr>
          <w:rFonts w:hint="eastAsia" w:ascii="宋体" w:hAnsi="宋体" w:cs="宋体"/>
          <w:b/>
          <w:bCs w:val="0"/>
          <w:color w:val="auto"/>
          <w:sz w:val="84"/>
          <w:highlight w:val="none"/>
        </w:rPr>
        <w:t>苏 州 市 政 府 采 购</w:t>
      </w:r>
    </w:p>
    <w:p w14:paraId="6ACA5CD4">
      <w:pPr>
        <w:jc w:val="center"/>
        <w:rPr>
          <w:rFonts w:hint="eastAsia" w:ascii="宋体" w:hAnsi="宋体" w:cs="宋体"/>
          <w:b/>
          <w:bCs/>
          <w:color w:val="auto"/>
          <w:sz w:val="84"/>
          <w:szCs w:val="84"/>
          <w:highlight w:val="none"/>
        </w:rPr>
      </w:pPr>
      <w:r>
        <w:rPr>
          <w:rFonts w:hint="eastAsia" w:ascii="宋体" w:hAnsi="宋体" w:cs="宋体"/>
          <w:b/>
          <w:bCs w:val="0"/>
          <w:color w:val="auto"/>
          <w:sz w:val="84"/>
          <w:highlight w:val="none"/>
        </w:rPr>
        <w:t>招标文件</w:t>
      </w:r>
    </w:p>
    <w:p w14:paraId="535FE822">
      <w:pPr>
        <w:jc w:val="center"/>
        <w:rPr>
          <w:rFonts w:hint="eastAsia" w:ascii="宋体" w:hAnsi="宋体" w:cs="宋体"/>
          <w:b/>
          <w:bCs/>
          <w:color w:val="auto"/>
          <w:sz w:val="84"/>
          <w:szCs w:val="84"/>
          <w:highlight w:val="none"/>
        </w:rPr>
      </w:pPr>
    </w:p>
    <w:p w14:paraId="66BDB91B">
      <w:pPr>
        <w:rPr>
          <w:rFonts w:hint="eastAsia" w:ascii="宋体" w:hAnsi="宋体" w:cs="宋体"/>
          <w:color w:val="auto"/>
          <w:highlight w:val="none"/>
        </w:rPr>
      </w:pPr>
    </w:p>
    <w:p w14:paraId="5F2ADD70">
      <w:pPr>
        <w:spacing w:line="360" w:lineRule="auto"/>
        <w:ind w:firstLine="1276"/>
        <w:jc w:val="left"/>
        <w:rPr>
          <w:rFonts w:hint="eastAsia" w:ascii="宋体" w:hAnsi="宋体" w:cs="宋体"/>
          <w:b/>
          <w:bCs/>
          <w:color w:val="auto"/>
          <w:sz w:val="32"/>
          <w:szCs w:val="32"/>
          <w:highlight w:val="none"/>
        </w:rPr>
      </w:pPr>
      <w:r>
        <w:rPr>
          <w:rFonts w:hint="eastAsia" w:ascii="宋体" w:hAnsi="宋体" w:cs="宋体"/>
          <w:b/>
          <w:bCs/>
          <w:color w:val="auto"/>
          <w:sz w:val="32"/>
          <w:szCs w:val="32"/>
          <w:highlight w:val="none"/>
        </w:rPr>
        <w:t>招标编号：</w:t>
      </w:r>
      <w:r>
        <w:rPr>
          <w:rFonts w:hint="eastAsia" w:ascii="宋体" w:hAnsi="宋体" w:cs="宋体"/>
          <w:b/>
          <w:bCs/>
          <w:color w:val="auto"/>
          <w:sz w:val="32"/>
          <w:szCs w:val="32"/>
          <w:highlight w:val="none"/>
          <w:lang w:eastAsia="zh-CN"/>
        </w:rPr>
        <w:t>JSZC-320500-SZSD-G2026-0023</w:t>
      </w:r>
      <w:r>
        <w:rPr>
          <w:rFonts w:hint="default" w:ascii="宋体" w:hAnsi="宋体" w:cs="宋体"/>
          <w:b/>
          <w:bCs/>
          <w:color w:val="auto"/>
          <w:sz w:val="32"/>
          <w:szCs w:val="32"/>
          <w:highlight w:val="none"/>
          <w:lang w:eastAsia="zh-CN"/>
        </w:rPr>
        <w:t xml:space="preserve"> </w:t>
      </w:r>
      <w:r>
        <w:rPr>
          <w:rFonts w:hint="eastAsia" w:ascii="宋体" w:hAnsi="宋体" w:cs="宋体"/>
          <w:b/>
          <w:bCs/>
          <w:color w:val="auto"/>
          <w:sz w:val="32"/>
          <w:szCs w:val="32"/>
          <w:highlight w:val="none"/>
          <w:lang w:eastAsia="zh-CN"/>
        </w:rPr>
        <w:t xml:space="preserve"> </w:t>
      </w:r>
      <w:r>
        <w:rPr>
          <w:rFonts w:hint="eastAsia" w:ascii="宋体" w:hAnsi="宋体" w:cs="宋体"/>
          <w:b/>
          <w:bCs/>
          <w:color w:val="auto"/>
          <w:sz w:val="32"/>
          <w:szCs w:val="32"/>
          <w:highlight w:val="none"/>
        </w:rPr>
        <w:t xml:space="preserve">  </w:t>
      </w:r>
    </w:p>
    <w:p w14:paraId="4BE173A4">
      <w:pPr>
        <w:spacing w:line="360" w:lineRule="auto"/>
        <w:ind w:firstLine="1276"/>
        <w:jc w:val="left"/>
        <w:rPr>
          <w:rFonts w:hint="eastAsia" w:ascii="宋体" w:hAnsi="宋体" w:cs="宋体"/>
          <w:b/>
          <w:bCs/>
          <w:color w:val="auto"/>
          <w:sz w:val="32"/>
          <w:szCs w:val="32"/>
          <w:highlight w:val="none"/>
          <w:lang w:eastAsia="zh-CN"/>
        </w:rPr>
      </w:pPr>
      <w:r>
        <w:rPr>
          <w:rFonts w:hint="eastAsia" w:ascii="宋体" w:hAnsi="宋体" w:cs="宋体"/>
          <w:b/>
          <w:bCs/>
          <w:color w:val="auto"/>
          <w:sz w:val="32"/>
          <w:szCs w:val="32"/>
          <w:highlight w:val="none"/>
        </w:rPr>
        <w:t>采购单位：</w:t>
      </w:r>
      <w:r>
        <w:rPr>
          <w:rFonts w:hint="eastAsia" w:ascii="宋体" w:hAnsi="宋体" w:cs="宋体"/>
          <w:b/>
          <w:bCs/>
          <w:color w:val="auto"/>
          <w:sz w:val="32"/>
          <w:szCs w:val="32"/>
          <w:highlight w:val="none"/>
          <w:lang w:eastAsia="zh-CN"/>
        </w:rPr>
        <w:t>苏州市立医院</w:t>
      </w:r>
    </w:p>
    <w:p w14:paraId="29C42600">
      <w:pPr>
        <w:spacing w:line="360" w:lineRule="auto"/>
        <w:ind w:firstLine="1276"/>
        <w:jc w:val="left"/>
        <w:rPr>
          <w:rFonts w:hint="eastAsia" w:ascii="宋体" w:hAnsi="宋体" w:cs="宋体"/>
          <w:b/>
          <w:bCs/>
          <w:color w:val="auto"/>
          <w:sz w:val="32"/>
          <w:szCs w:val="32"/>
          <w:highlight w:val="none"/>
        </w:rPr>
      </w:pPr>
      <w:r>
        <w:rPr>
          <w:rFonts w:hint="eastAsia" w:ascii="宋体" w:hAnsi="宋体" w:cs="宋体"/>
          <w:b/>
          <w:bCs/>
          <w:color w:val="auto"/>
          <w:sz w:val="32"/>
          <w:szCs w:val="32"/>
          <w:highlight w:val="none"/>
        </w:rPr>
        <w:t>采购内容：</w:t>
      </w:r>
      <w:r>
        <w:rPr>
          <w:rFonts w:hint="eastAsia" w:ascii="宋体" w:hAnsi="宋体" w:cs="宋体"/>
          <w:b/>
          <w:bCs/>
          <w:color w:val="auto"/>
          <w:sz w:val="32"/>
          <w:szCs w:val="32"/>
          <w:highlight w:val="none"/>
          <w:lang w:val="en-US" w:eastAsia="zh-CN"/>
        </w:rPr>
        <w:t>检验科对外委托外送检测服务</w:t>
      </w:r>
    </w:p>
    <w:p w14:paraId="0C7ED63C">
      <w:pPr>
        <w:spacing w:line="360" w:lineRule="auto"/>
        <w:ind w:firstLine="1276"/>
        <w:rPr>
          <w:rFonts w:hint="eastAsia" w:ascii="宋体" w:hAnsi="宋体" w:cs="宋体"/>
          <w:b/>
          <w:bCs/>
          <w:color w:val="auto"/>
          <w:sz w:val="32"/>
          <w:szCs w:val="32"/>
          <w:highlight w:val="none"/>
        </w:rPr>
      </w:pPr>
      <w:r>
        <w:rPr>
          <w:rFonts w:hint="eastAsia" w:ascii="宋体" w:hAnsi="宋体" w:cs="宋体"/>
          <w:b/>
          <w:bCs/>
          <w:color w:val="auto"/>
          <w:sz w:val="32"/>
          <w:szCs w:val="32"/>
          <w:highlight w:val="none"/>
        </w:rPr>
        <w:t>项目类别：</w:t>
      </w:r>
      <w:r>
        <w:rPr>
          <w:rFonts w:hint="eastAsia" w:ascii="宋体" w:hAnsi="宋体"/>
          <w:b/>
          <w:bCs/>
          <w:color w:val="auto"/>
          <w:sz w:val="32"/>
          <w:szCs w:val="32"/>
          <w:highlight w:val="none"/>
        </w:rPr>
        <w:t>服务类</w:t>
      </w:r>
    </w:p>
    <w:p w14:paraId="2AD02AA1">
      <w:pPr>
        <w:jc w:val="center"/>
        <w:rPr>
          <w:rFonts w:hint="eastAsia" w:ascii="宋体" w:hAnsi="宋体" w:cs="宋体"/>
          <w:color w:val="auto"/>
          <w:sz w:val="32"/>
          <w:highlight w:val="none"/>
        </w:rPr>
      </w:pPr>
    </w:p>
    <w:p w14:paraId="75C20F06">
      <w:pPr>
        <w:jc w:val="center"/>
        <w:rPr>
          <w:rFonts w:hint="eastAsia" w:ascii="宋体" w:hAnsi="宋体" w:cs="宋体"/>
          <w:color w:val="auto"/>
          <w:sz w:val="32"/>
          <w:highlight w:val="none"/>
        </w:rPr>
      </w:pPr>
    </w:p>
    <w:p w14:paraId="17A06A91">
      <w:pPr>
        <w:pStyle w:val="40"/>
        <w:ind w:firstLine="420"/>
        <w:rPr>
          <w:rFonts w:hint="eastAsia" w:ascii="宋体" w:hAnsi="宋体" w:cs="宋体"/>
          <w:color w:val="auto"/>
          <w:highlight w:val="none"/>
        </w:rPr>
      </w:pPr>
    </w:p>
    <w:p w14:paraId="7DB0744D">
      <w:pPr>
        <w:jc w:val="center"/>
        <w:rPr>
          <w:rFonts w:hint="eastAsia" w:ascii="宋体" w:hAnsi="宋体" w:cs="宋体"/>
          <w:color w:val="auto"/>
          <w:sz w:val="32"/>
          <w:highlight w:val="none"/>
        </w:rPr>
      </w:pPr>
      <w:r>
        <w:rPr>
          <w:rFonts w:hint="eastAsia" w:ascii="宋体" w:hAnsi="宋体" w:cs="宋体"/>
          <w:color w:val="auto"/>
          <w:sz w:val="32"/>
          <w:highlight w:val="none"/>
        </w:rPr>
        <w:drawing>
          <wp:inline distT="0" distB="0" distL="0" distR="0">
            <wp:extent cx="2793365" cy="1384935"/>
            <wp:effectExtent l="0" t="0" r="6985" b="5715"/>
            <wp:docPr id="5" name="图片 4"/>
            <wp:cNvGraphicFramePr/>
            <a:graphic xmlns:a="http://schemas.openxmlformats.org/drawingml/2006/main">
              <a:graphicData uri="http://schemas.openxmlformats.org/drawingml/2006/picture">
                <pic:pic xmlns:pic="http://schemas.openxmlformats.org/drawingml/2006/picture">
                  <pic:nvPicPr>
                    <pic:cNvPr id="5" name="图片 4"/>
                    <pic:cNvPicPr/>
                  </pic:nvPicPr>
                  <pic:blipFill>
                    <a:blip r:embed="rId9"/>
                    <a:stretch>
                      <a:fillRect/>
                    </a:stretch>
                  </pic:blipFill>
                  <pic:spPr>
                    <a:xfrm>
                      <a:off x="0" y="0"/>
                      <a:ext cx="2793467" cy="1385049"/>
                    </a:xfrm>
                    <a:prstGeom prst="rect">
                      <a:avLst/>
                    </a:prstGeom>
                    <a:noFill/>
                    <a:ln>
                      <a:noFill/>
                    </a:ln>
                  </pic:spPr>
                </pic:pic>
              </a:graphicData>
            </a:graphic>
          </wp:inline>
        </w:drawing>
      </w:r>
    </w:p>
    <w:p w14:paraId="4C759013">
      <w:pPr>
        <w:rPr>
          <w:rFonts w:hint="eastAsia" w:ascii="宋体" w:hAnsi="宋体" w:cs="宋体"/>
          <w:color w:val="auto"/>
          <w:sz w:val="32"/>
          <w:highlight w:val="none"/>
        </w:rPr>
      </w:pPr>
    </w:p>
    <w:p w14:paraId="09C3CB96">
      <w:pPr>
        <w:rPr>
          <w:rFonts w:ascii="宋体" w:hAnsi="宋体" w:cs="宋体"/>
          <w:color w:val="auto"/>
          <w:sz w:val="36"/>
          <w:szCs w:val="36"/>
          <w:highlight w:val="none"/>
        </w:rPr>
      </w:pPr>
    </w:p>
    <w:p w14:paraId="0D59653D">
      <w:pPr>
        <w:rPr>
          <w:rFonts w:hint="eastAsia" w:ascii="宋体" w:hAnsi="宋体" w:cs="宋体"/>
          <w:color w:val="auto"/>
          <w:sz w:val="36"/>
          <w:szCs w:val="36"/>
          <w:highlight w:val="none"/>
        </w:rPr>
      </w:pPr>
    </w:p>
    <w:p w14:paraId="1340F10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cs="宋体"/>
          <w:color w:val="auto"/>
          <w:sz w:val="32"/>
          <w:szCs w:val="32"/>
          <w:highlight w:val="none"/>
        </w:rPr>
      </w:pPr>
      <w:r>
        <w:rPr>
          <w:rFonts w:hint="eastAsia" w:ascii="宋体" w:hAnsi="宋体" w:cs="宋体"/>
          <w:color w:val="auto"/>
          <w:sz w:val="32"/>
          <w:szCs w:val="32"/>
          <w:highlight w:val="none"/>
        </w:rPr>
        <w:t>苏州时代招投标有限公司</w:t>
      </w:r>
    </w:p>
    <w:p w14:paraId="34E426A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cs="宋体"/>
          <w:color w:val="auto"/>
          <w:sz w:val="32"/>
          <w:szCs w:val="32"/>
          <w:highlight w:val="none"/>
        </w:rPr>
      </w:pPr>
      <w:r>
        <w:rPr>
          <w:rFonts w:hint="eastAsia" w:ascii="宋体" w:hAnsi="宋体" w:cs="宋体"/>
          <w:color w:val="auto"/>
          <w:sz w:val="32"/>
          <w:szCs w:val="32"/>
          <w:highlight w:val="none"/>
        </w:rPr>
        <w:t>二〇二</w:t>
      </w:r>
      <w:r>
        <w:rPr>
          <w:rFonts w:hint="eastAsia" w:ascii="宋体" w:hAnsi="宋体" w:cs="宋体"/>
          <w:color w:val="auto"/>
          <w:sz w:val="32"/>
          <w:szCs w:val="32"/>
          <w:highlight w:val="none"/>
          <w:lang w:val="en-US" w:eastAsia="zh-CN"/>
        </w:rPr>
        <w:t>六</w:t>
      </w:r>
      <w:r>
        <w:rPr>
          <w:rFonts w:hint="eastAsia" w:ascii="宋体" w:hAnsi="宋体" w:cs="宋体"/>
          <w:color w:val="auto"/>
          <w:sz w:val="32"/>
          <w:szCs w:val="32"/>
          <w:highlight w:val="none"/>
        </w:rPr>
        <w:t>年</w:t>
      </w:r>
      <w:r>
        <w:rPr>
          <w:rFonts w:hint="eastAsia" w:ascii="宋体" w:hAnsi="宋体" w:cs="宋体"/>
          <w:color w:val="auto"/>
          <w:sz w:val="32"/>
          <w:szCs w:val="32"/>
          <w:highlight w:val="none"/>
          <w:lang w:val="en-US" w:eastAsia="zh-CN"/>
        </w:rPr>
        <w:t>六</w:t>
      </w:r>
      <w:r>
        <w:rPr>
          <w:rFonts w:hint="eastAsia" w:ascii="宋体" w:hAnsi="宋体" w:cs="宋体"/>
          <w:color w:val="auto"/>
          <w:sz w:val="32"/>
          <w:szCs w:val="32"/>
          <w:highlight w:val="none"/>
        </w:rPr>
        <w:t>月</w:t>
      </w:r>
    </w:p>
    <w:p w14:paraId="37DC632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cs="宋体"/>
          <w:color w:val="auto"/>
          <w:sz w:val="44"/>
          <w:szCs w:val="44"/>
          <w:highlight w:val="none"/>
        </w:rPr>
        <w:sectPr>
          <w:headerReference r:id="rId3" w:type="default"/>
          <w:footerReference r:id="rId4" w:type="default"/>
          <w:pgSz w:w="11906" w:h="16838"/>
          <w:pgMar w:top="1440" w:right="1633" w:bottom="1276" w:left="1633" w:header="851" w:footer="992" w:gutter="0"/>
          <w:pgNumType w:start="1"/>
          <w:cols w:space="1701" w:num="1"/>
          <w:docGrid w:linePitch="360" w:charSpace="0"/>
        </w:sectPr>
      </w:pPr>
    </w:p>
    <w:p w14:paraId="77F03EDA">
      <w:pPr>
        <w:jc w:val="center"/>
        <w:rPr>
          <w:rFonts w:hint="eastAsia" w:ascii="宋体" w:hAnsi="宋体" w:cs="宋体"/>
          <w:color w:val="auto"/>
          <w:sz w:val="44"/>
          <w:szCs w:val="44"/>
          <w:highlight w:val="none"/>
        </w:rPr>
      </w:pPr>
    </w:p>
    <w:p w14:paraId="2E4D5942">
      <w:pPr>
        <w:jc w:val="center"/>
        <w:rPr>
          <w:rFonts w:hint="eastAsia" w:ascii="宋体" w:hAnsi="宋体" w:cs="宋体"/>
          <w:color w:val="auto"/>
          <w:sz w:val="44"/>
          <w:szCs w:val="44"/>
          <w:highlight w:val="none"/>
        </w:rPr>
      </w:pPr>
      <w:r>
        <w:rPr>
          <w:rFonts w:hint="eastAsia" w:ascii="宋体" w:hAnsi="宋体" w:cs="宋体"/>
          <w:color w:val="auto"/>
          <w:sz w:val="44"/>
          <w:szCs w:val="44"/>
          <w:highlight w:val="none"/>
        </w:rPr>
        <w:t>总目录</w:t>
      </w:r>
    </w:p>
    <w:p w14:paraId="46ACAA65">
      <w:pPr>
        <w:pStyle w:val="193"/>
        <w:ind w:firstLine="0"/>
        <w:jc w:val="center"/>
        <w:rPr>
          <w:rFonts w:hint="eastAsia" w:ascii="宋体" w:hAnsi="宋体" w:eastAsia="宋体" w:cs="宋体"/>
          <w:color w:val="auto"/>
          <w:sz w:val="30"/>
          <w:highlight w:val="none"/>
        </w:rPr>
      </w:pPr>
    </w:p>
    <w:p w14:paraId="0B8731C5">
      <w:pPr>
        <w:keepNext w:val="0"/>
        <w:keepLines w:val="0"/>
        <w:pageBreakBefore w:val="0"/>
        <w:widowControl w:val="0"/>
        <w:kinsoku/>
        <w:wordWrap/>
        <w:overflowPunct/>
        <w:topLinePunct w:val="0"/>
        <w:autoSpaceDE/>
        <w:autoSpaceDN/>
        <w:bidi w:val="0"/>
        <w:adjustRightInd/>
        <w:snapToGrid/>
        <w:spacing w:line="480" w:lineRule="auto"/>
        <w:ind w:firstLine="560"/>
        <w:textAlignment w:val="auto"/>
        <w:rPr>
          <w:rFonts w:hint="eastAsia" w:ascii="宋体" w:hAnsi="宋体"/>
          <w:color w:val="auto"/>
          <w:sz w:val="28"/>
          <w:szCs w:val="28"/>
          <w:highlight w:val="none"/>
        </w:rPr>
      </w:pPr>
      <w:r>
        <w:rPr>
          <w:rFonts w:hint="eastAsia" w:ascii="宋体" w:hAnsi="宋体"/>
          <w:color w:val="auto"/>
          <w:sz w:val="28"/>
          <w:szCs w:val="28"/>
          <w:highlight w:val="none"/>
        </w:rPr>
        <w:t xml:space="preserve">前附表 …………………………………………………………… 2 </w:t>
      </w:r>
    </w:p>
    <w:p w14:paraId="4DF859A2">
      <w:pPr>
        <w:keepNext w:val="0"/>
        <w:keepLines w:val="0"/>
        <w:pageBreakBefore w:val="0"/>
        <w:widowControl w:val="0"/>
        <w:kinsoku/>
        <w:wordWrap/>
        <w:overflowPunct/>
        <w:topLinePunct w:val="0"/>
        <w:autoSpaceDE/>
        <w:autoSpaceDN/>
        <w:bidi w:val="0"/>
        <w:adjustRightInd/>
        <w:snapToGrid/>
        <w:spacing w:line="480" w:lineRule="auto"/>
        <w:ind w:firstLine="560"/>
        <w:textAlignment w:val="auto"/>
        <w:rPr>
          <w:rFonts w:hint="eastAsia" w:ascii="宋体" w:hAnsi="宋体"/>
          <w:color w:val="auto"/>
          <w:sz w:val="28"/>
          <w:szCs w:val="28"/>
          <w:highlight w:val="none"/>
        </w:rPr>
      </w:pPr>
      <w:r>
        <w:rPr>
          <w:rFonts w:hint="eastAsia" w:ascii="宋体" w:hAnsi="宋体"/>
          <w:color w:val="auto"/>
          <w:sz w:val="28"/>
          <w:szCs w:val="28"/>
          <w:highlight w:val="none"/>
        </w:rPr>
        <w:t>第一章 投标邀请函……………………………………………… 4</w:t>
      </w:r>
    </w:p>
    <w:p w14:paraId="320F11CF">
      <w:pPr>
        <w:keepNext w:val="0"/>
        <w:keepLines w:val="0"/>
        <w:pageBreakBefore w:val="0"/>
        <w:widowControl w:val="0"/>
        <w:kinsoku/>
        <w:wordWrap/>
        <w:overflowPunct/>
        <w:topLinePunct w:val="0"/>
        <w:autoSpaceDE/>
        <w:autoSpaceDN/>
        <w:bidi w:val="0"/>
        <w:adjustRightInd/>
        <w:snapToGrid/>
        <w:spacing w:line="480" w:lineRule="auto"/>
        <w:ind w:firstLine="560"/>
        <w:textAlignment w:val="auto"/>
        <w:rPr>
          <w:rFonts w:hint="eastAsia" w:ascii="宋体" w:hAnsi="宋体" w:eastAsia="宋体"/>
          <w:color w:val="auto"/>
          <w:sz w:val="28"/>
          <w:szCs w:val="28"/>
          <w:highlight w:val="none"/>
          <w:lang w:val="en-US" w:eastAsia="zh-CN"/>
        </w:rPr>
      </w:pPr>
      <w:r>
        <w:rPr>
          <w:rFonts w:hint="eastAsia" w:ascii="宋体" w:hAnsi="宋体"/>
          <w:color w:val="auto"/>
          <w:sz w:val="28"/>
          <w:szCs w:val="28"/>
          <w:highlight w:val="none"/>
        </w:rPr>
        <w:t xml:space="preserve">第二章 投标人须知……………………………………………… </w:t>
      </w:r>
      <w:r>
        <w:rPr>
          <w:rFonts w:hint="eastAsia" w:ascii="宋体" w:hAnsi="宋体"/>
          <w:color w:val="auto"/>
          <w:sz w:val="28"/>
          <w:szCs w:val="28"/>
          <w:highlight w:val="none"/>
          <w:lang w:val="en-US" w:eastAsia="zh-CN"/>
        </w:rPr>
        <w:t>8</w:t>
      </w:r>
    </w:p>
    <w:p w14:paraId="5AC8D1F1">
      <w:pPr>
        <w:keepNext w:val="0"/>
        <w:keepLines w:val="0"/>
        <w:pageBreakBefore w:val="0"/>
        <w:widowControl w:val="0"/>
        <w:kinsoku/>
        <w:wordWrap/>
        <w:overflowPunct/>
        <w:topLinePunct w:val="0"/>
        <w:autoSpaceDE/>
        <w:autoSpaceDN/>
        <w:bidi w:val="0"/>
        <w:adjustRightInd/>
        <w:snapToGrid/>
        <w:spacing w:line="480" w:lineRule="auto"/>
        <w:ind w:firstLine="560"/>
        <w:textAlignment w:val="auto"/>
        <w:rPr>
          <w:rFonts w:hint="eastAsia" w:ascii="宋体" w:hAnsi="宋体" w:eastAsia="宋体"/>
          <w:color w:val="auto"/>
          <w:sz w:val="28"/>
          <w:szCs w:val="28"/>
          <w:highlight w:val="none"/>
          <w:lang w:val="en-US" w:eastAsia="zh-CN"/>
        </w:rPr>
      </w:pPr>
      <w:r>
        <w:rPr>
          <w:rFonts w:hint="eastAsia" w:ascii="宋体" w:hAnsi="宋体"/>
          <w:color w:val="auto"/>
          <w:sz w:val="28"/>
          <w:szCs w:val="28"/>
          <w:highlight w:val="none"/>
        </w:rPr>
        <w:t>第三章 投标文件格式……………………………………………2</w:t>
      </w:r>
      <w:r>
        <w:rPr>
          <w:rFonts w:hint="eastAsia" w:ascii="宋体" w:hAnsi="宋体"/>
          <w:color w:val="auto"/>
          <w:sz w:val="28"/>
          <w:szCs w:val="28"/>
          <w:highlight w:val="none"/>
          <w:lang w:val="en-US" w:eastAsia="zh-CN"/>
        </w:rPr>
        <w:t>4</w:t>
      </w:r>
    </w:p>
    <w:p w14:paraId="76F31220">
      <w:pPr>
        <w:keepNext w:val="0"/>
        <w:keepLines w:val="0"/>
        <w:pageBreakBefore w:val="0"/>
        <w:widowControl w:val="0"/>
        <w:kinsoku/>
        <w:wordWrap/>
        <w:overflowPunct/>
        <w:topLinePunct w:val="0"/>
        <w:autoSpaceDE/>
        <w:autoSpaceDN/>
        <w:bidi w:val="0"/>
        <w:adjustRightInd/>
        <w:snapToGrid/>
        <w:spacing w:line="480" w:lineRule="auto"/>
        <w:ind w:firstLine="560"/>
        <w:textAlignment w:val="auto"/>
        <w:rPr>
          <w:rFonts w:hint="eastAsia" w:ascii="宋体" w:hAnsi="宋体" w:eastAsia="宋体"/>
          <w:color w:val="auto"/>
          <w:sz w:val="28"/>
          <w:szCs w:val="28"/>
          <w:highlight w:val="none"/>
          <w:lang w:val="en-US" w:eastAsia="zh-CN"/>
        </w:rPr>
      </w:pPr>
      <w:r>
        <w:rPr>
          <w:rFonts w:hint="eastAsia" w:ascii="宋体" w:hAnsi="宋体"/>
          <w:color w:val="auto"/>
          <w:sz w:val="28"/>
          <w:szCs w:val="28"/>
          <w:highlight w:val="none"/>
        </w:rPr>
        <w:t>第四章 招标书……………………………………………………3</w:t>
      </w:r>
      <w:r>
        <w:rPr>
          <w:rFonts w:hint="eastAsia" w:ascii="宋体" w:hAnsi="宋体"/>
          <w:color w:val="auto"/>
          <w:sz w:val="28"/>
          <w:szCs w:val="28"/>
          <w:highlight w:val="none"/>
          <w:lang w:val="en-US" w:eastAsia="zh-CN"/>
        </w:rPr>
        <w:t>8</w:t>
      </w:r>
    </w:p>
    <w:p w14:paraId="7CEA3A60">
      <w:pPr>
        <w:keepNext w:val="0"/>
        <w:keepLines w:val="0"/>
        <w:pageBreakBefore w:val="0"/>
        <w:widowControl w:val="0"/>
        <w:kinsoku/>
        <w:wordWrap/>
        <w:overflowPunct/>
        <w:topLinePunct w:val="0"/>
        <w:autoSpaceDE/>
        <w:autoSpaceDN/>
        <w:bidi w:val="0"/>
        <w:adjustRightInd/>
        <w:snapToGrid/>
        <w:spacing w:line="480" w:lineRule="auto"/>
        <w:ind w:firstLine="560"/>
        <w:textAlignment w:val="auto"/>
        <w:rPr>
          <w:rFonts w:hint="default" w:ascii="宋体" w:hAnsi="宋体" w:eastAsia="宋体"/>
          <w:color w:val="auto"/>
          <w:sz w:val="28"/>
          <w:szCs w:val="28"/>
          <w:highlight w:val="none"/>
          <w:lang w:val="en-US"/>
        </w:rPr>
      </w:pPr>
      <w:r>
        <w:rPr>
          <w:rFonts w:hint="eastAsia" w:ascii="宋体" w:hAnsi="宋体"/>
          <w:color w:val="auto"/>
          <w:sz w:val="28"/>
          <w:szCs w:val="28"/>
          <w:highlight w:val="none"/>
        </w:rPr>
        <w:t>第五章 合同主要条款……………………………………………</w:t>
      </w:r>
      <w:r>
        <w:rPr>
          <w:rFonts w:hint="eastAsia" w:ascii="宋体" w:hAnsi="宋体"/>
          <w:color w:val="auto"/>
          <w:sz w:val="28"/>
          <w:szCs w:val="28"/>
          <w:highlight w:val="none"/>
          <w:lang w:val="en-US" w:eastAsia="zh-CN"/>
        </w:rPr>
        <w:t>47</w:t>
      </w:r>
    </w:p>
    <w:p w14:paraId="66366BE9">
      <w:pPr>
        <w:keepNext w:val="0"/>
        <w:keepLines w:val="0"/>
        <w:pageBreakBefore w:val="0"/>
        <w:widowControl w:val="0"/>
        <w:kinsoku/>
        <w:wordWrap/>
        <w:overflowPunct/>
        <w:topLinePunct w:val="0"/>
        <w:autoSpaceDE/>
        <w:autoSpaceDN/>
        <w:bidi w:val="0"/>
        <w:adjustRightInd/>
        <w:snapToGrid/>
        <w:spacing w:line="480" w:lineRule="auto"/>
        <w:ind w:firstLine="560"/>
        <w:textAlignment w:val="auto"/>
        <w:rPr>
          <w:rFonts w:hint="default" w:ascii="宋体" w:hAnsi="宋体" w:eastAsia="宋体"/>
          <w:color w:val="auto"/>
          <w:sz w:val="28"/>
          <w:szCs w:val="28"/>
          <w:highlight w:val="none"/>
          <w:lang w:val="en-US"/>
        </w:rPr>
      </w:pPr>
      <w:r>
        <w:rPr>
          <w:rFonts w:hint="eastAsia" w:ascii="宋体" w:hAnsi="宋体"/>
          <w:color w:val="auto"/>
          <w:sz w:val="28"/>
          <w:szCs w:val="28"/>
          <w:highlight w:val="none"/>
        </w:rPr>
        <w:t>第六章 评标方法、评分标准……………………………………</w:t>
      </w:r>
      <w:r>
        <w:rPr>
          <w:rFonts w:hint="eastAsia" w:ascii="宋体" w:hAnsi="宋体"/>
          <w:color w:val="auto"/>
          <w:sz w:val="28"/>
          <w:szCs w:val="28"/>
          <w:highlight w:val="none"/>
          <w:lang w:val="en-US" w:eastAsia="zh-CN"/>
        </w:rPr>
        <w:t>56</w:t>
      </w:r>
    </w:p>
    <w:p w14:paraId="52B7E682">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cs="宋体"/>
          <w:color w:val="auto"/>
          <w:spacing w:val="20"/>
          <w:sz w:val="36"/>
          <w:highlight w:val="none"/>
        </w:rPr>
        <w:sectPr>
          <w:footerReference r:id="rId5" w:type="default"/>
          <w:pgSz w:w="11906" w:h="16838"/>
          <w:pgMar w:top="1440" w:right="1486" w:bottom="1440" w:left="1800" w:header="851" w:footer="992" w:gutter="0"/>
          <w:pgNumType w:start="1"/>
          <w:cols w:space="1701" w:num="1"/>
          <w:docGrid w:linePitch="360" w:charSpace="0"/>
        </w:sectPr>
      </w:pPr>
    </w:p>
    <w:p w14:paraId="44F0505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cs="宋体"/>
          <w:color w:val="auto"/>
          <w:spacing w:val="20"/>
          <w:sz w:val="36"/>
          <w:highlight w:val="none"/>
        </w:rPr>
      </w:pPr>
      <w:r>
        <w:rPr>
          <w:rFonts w:hint="eastAsia" w:ascii="宋体" w:hAnsi="宋体" w:cs="宋体"/>
          <w:color w:val="auto"/>
          <w:spacing w:val="20"/>
          <w:sz w:val="36"/>
          <w:highlight w:val="none"/>
        </w:rPr>
        <w:t>前附表</w:t>
      </w:r>
    </w:p>
    <w:p w14:paraId="088B4E39">
      <w:pPr>
        <w:spacing w:line="300" w:lineRule="auto"/>
        <w:ind w:right="88" w:firstLine="480"/>
        <w:rPr>
          <w:rFonts w:hint="eastAsia" w:ascii="宋体" w:hAnsi="宋体" w:cs="宋体"/>
          <w:color w:val="auto"/>
          <w:sz w:val="24"/>
          <w:szCs w:val="24"/>
          <w:highlight w:val="none"/>
        </w:rPr>
      </w:pPr>
      <w:r>
        <w:rPr>
          <w:rFonts w:hint="eastAsia" w:ascii="宋体" w:hAnsi="宋体" w:cs="宋体"/>
          <w:color w:val="auto"/>
          <w:sz w:val="24"/>
          <w:szCs w:val="24"/>
          <w:highlight w:val="none"/>
        </w:rPr>
        <w:t>下述关于要采购的项目具体资料是对招标文件第一部分投标人须知的具体补充和修改，如果有矛盾的话，应以本附表为准。</w:t>
      </w:r>
    </w:p>
    <w:tbl>
      <w:tblPr>
        <w:tblStyle w:val="33"/>
        <w:tblW w:w="9060" w:type="dxa"/>
        <w:tblInd w:w="2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37"/>
        <w:gridCol w:w="2088"/>
        <w:gridCol w:w="6035"/>
      </w:tblGrid>
      <w:tr w14:paraId="03D566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33" w:hRule="atLeast"/>
        </w:trPr>
        <w:tc>
          <w:tcPr>
            <w:tcW w:w="937" w:type="dxa"/>
            <w:noWrap w:val="0"/>
            <w:vAlign w:val="center"/>
          </w:tcPr>
          <w:p w14:paraId="7C7293A0">
            <w:pPr>
              <w:pStyle w:val="194"/>
              <w:spacing w:line="360" w:lineRule="exact"/>
              <w:ind w:left="0"/>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条款号</w:t>
            </w:r>
          </w:p>
        </w:tc>
        <w:tc>
          <w:tcPr>
            <w:tcW w:w="2088" w:type="dxa"/>
            <w:noWrap w:val="0"/>
            <w:vAlign w:val="center"/>
          </w:tcPr>
          <w:p w14:paraId="4CF8652C">
            <w:pPr>
              <w:pStyle w:val="194"/>
              <w:spacing w:line="360" w:lineRule="exact"/>
              <w:ind w:left="0"/>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项   目</w:t>
            </w:r>
          </w:p>
        </w:tc>
        <w:tc>
          <w:tcPr>
            <w:tcW w:w="6035" w:type="dxa"/>
            <w:noWrap w:val="0"/>
            <w:vAlign w:val="center"/>
          </w:tcPr>
          <w:p w14:paraId="48C3DD43">
            <w:pPr>
              <w:pStyle w:val="194"/>
              <w:spacing w:line="360" w:lineRule="exact"/>
              <w:ind w:left="0"/>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内               容</w:t>
            </w:r>
          </w:p>
        </w:tc>
      </w:tr>
      <w:tr w14:paraId="4EDED2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33" w:hRule="atLeast"/>
        </w:trPr>
        <w:tc>
          <w:tcPr>
            <w:tcW w:w="937" w:type="dxa"/>
            <w:noWrap w:val="0"/>
            <w:vAlign w:val="center"/>
          </w:tcPr>
          <w:p w14:paraId="7116FEEE">
            <w:pPr>
              <w:pStyle w:val="194"/>
              <w:spacing w:line="360" w:lineRule="exact"/>
              <w:ind w:left="0"/>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1</w:t>
            </w:r>
          </w:p>
        </w:tc>
        <w:tc>
          <w:tcPr>
            <w:tcW w:w="2088" w:type="dxa"/>
            <w:noWrap w:val="0"/>
            <w:vAlign w:val="center"/>
          </w:tcPr>
          <w:p w14:paraId="08688DF1">
            <w:pPr>
              <w:pStyle w:val="194"/>
              <w:spacing w:line="360" w:lineRule="exact"/>
              <w:ind w:left="0"/>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项目编号</w:t>
            </w:r>
          </w:p>
        </w:tc>
        <w:tc>
          <w:tcPr>
            <w:tcW w:w="6035" w:type="dxa"/>
            <w:noWrap w:val="0"/>
            <w:vAlign w:val="center"/>
          </w:tcPr>
          <w:p w14:paraId="55541747">
            <w:pPr>
              <w:pStyle w:val="194"/>
              <w:spacing w:line="360" w:lineRule="exact"/>
              <w:ind w:left="0"/>
              <w:jc w:val="left"/>
              <w:rPr>
                <w:rFonts w:hint="eastAsia" w:ascii="宋体" w:hAnsi="宋体" w:cs="宋体"/>
                <w:color w:val="auto"/>
                <w:sz w:val="24"/>
                <w:szCs w:val="24"/>
                <w:highlight w:val="none"/>
              </w:rPr>
            </w:pPr>
            <w:r>
              <w:rPr>
                <w:rFonts w:hint="eastAsia" w:ascii="宋体" w:hAnsi="宋体" w:cs="宋体"/>
                <w:color w:val="auto"/>
                <w:sz w:val="24"/>
                <w:szCs w:val="24"/>
                <w:highlight w:val="none"/>
                <w:lang w:eastAsia="zh-CN"/>
              </w:rPr>
              <w:t>JSZC-320500-SZSD-G2026-0023</w:t>
            </w:r>
            <w:r>
              <w:rPr>
                <w:rFonts w:hint="default" w:ascii="宋体" w:hAnsi="宋体" w:cs="宋体"/>
                <w:color w:val="auto"/>
                <w:sz w:val="24"/>
                <w:szCs w:val="24"/>
                <w:highlight w:val="none"/>
                <w:lang w:eastAsia="zh-CN"/>
              </w:rPr>
              <w:t xml:space="preserve"> </w:t>
            </w:r>
            <w:r>
              <w:rPr>
                <w:rFonts w:hint="eastAsia" w:ascii="宋体" w:hAnsi="宋体" w:cs="宋体"/>
                <w:color w:val="auto"/>
                <w:sz w:val="24"/>
                <w:szCs w:val="24"/>
                <w:highlight w:val="none"/>
                <w:lang w:eastAsia="zh-CN"/>
              </w:rPr>
              <w:t xml:space="preserve"> </w:t>
            </w:r>
            <w:r>
              <w:rPr>
                <w:rFonts w:hint="eastAsia" w:ascii="宋体" w:hAnsi="宋体" w:cs="宋体"/>
                <w:color w:val="auto"/>
                <w:sz w:val="24"/>
                <w:szCs w:val="24"/>
                <w:highlight w:val="none"/>
              </w:rPr>
              <w:t xml:space="preserve">  </w:t>
            </w:r>
          </w:p>
        </w:tc>
      </w:tr>
      <w:tr w14:paraId="66EB31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33" w:hRule="atLeast"/>
        </w:trPr>
        <w:tc>
          <w:tcPr>
            <w:tcW w:w="937" w:type="dxa"/>
            <w:noWrap w:val="0"/>
            <w:vAlign w:val="center"/>
          </w:tcPr>
          <w:p w14:paraId="7823977F">
            <w:pPr>
              <w:pStyle w:val="194"/>
              <w:spacing w:line="360" w:lineRule="exact"/>
              <w:ind w:left="0"/>
              <w:jc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2</w:t>
            </w:r>
          </w:p>
        </w:tc>
        <w:tc>
          <w:tcPr>
            <w:tcW w:w="2088" w:type="dxa"/>
            <w:noWrap w:val="0"/>
            <w:vAlign w:val="center"/>
          </w:tcPr>
          <w:p w14:paraId="725BCE69">
            <w:pPr>
              <w:pStyle w:val="194"/>
              <w:spacing w:line="360" w:lineRule="exact"/>
              <w:ind w:left="0"/>
              <w:jc w:val="center"/>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lang w:eastAsia="zh-CN"/>
              </w:rPr>
              <w:t>项目名称</w:t>
            </w:r>
          </w:p>
        </w:tc>
        <w:tc>
          <w:tcPr>
            <w:tcW w:w="6035" w:type="dxa"/>
            <w:noWrap w:val="0"/>
            <w:vAlign w:val="center"/>
          </w:tcPr>
          <w:p w14:paraId="618F11D5">
            <w:pPr>
              <w:pStyle w:val="194"/>
              <w:spacing w:line="360" w:lineRule="exact"/>
              <w:ind w:left="0"/>
              <w:jc w:val="left"/>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检验科对外委托外送检测服务</w:t>
            </w:r>
          </w:p>
        </w:tc>
      </w:tr>
      <w:tr w14:paraId="24E757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33" w:hRule="atLeast"/>
        </w:trPr>
        <w:tc>
          <w:tcPr>
            <w:tcW w:w="937" w:type="dxa"/>
            <w:noWrap w:val="0"/>
            <w:vAlign w:val="center"/>
          </w:tcPr>
          <w:p w14:paraId="5D55B8EF">
            <w:pPr>
              <w:pStyle w:val="194"/>
              <w:spacing w:line="360" w:lineRule="exact"/>
              <w:ind w:left="0"/>
              <w:jc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3</w:t>
            </w:r>
          </w:p>
        </w:tc>
        <w:tc>
          <w:tcPr>
            <w:tcW w:w="2088" w:type="dxa"/>
            <w:noWrap w:val="0"/>
            <w:vAlign w:val="center"/>
          </w:tcPr>
          <w:p w14:paraId="1723C2A0">
            <w:pPr>
              <w:pStyle w:val="194"/>
              <w:spacing w:line="360" w:lineRule="exact"/>
              <w:ind w:left="0"/>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招标代理机构名称及地址</w:t>
            </w:r>
          </w:p>
        </w:tc>
        <w:tc>
          <w:tcPr>
            <w:tcW w:w="6035" w:type="dxa"/>
            <w:noWrap w:val="0"/>
            <w:vAlign w:val="center"/>
          </w:tcPr>
          <w:p w14:paraId="1E61E91F">
            <w:pPr>
              <w:pStyle w:val="194"/>
              <w:spacing w:line="360" w:lineRule="exact"/>
              <w:ind w:left="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名称：苏州时代招投标有限公司</w:t>
            </w:r>
          </w:p>
          <w:p w14:paraId="37EBD7E4">
            <w:pPr>
              <w:pStyle w:val="194"/>
              <w:spacing w:line="360" w:lineRule="exact"/>
              <w:ind w:left="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地址：苏州市虎丘区滨河路1388号3B 501室</w:t>
            </w:r>
          </w:p>
          <w:p w14:paraId="61C48D01">
            <w:pPr>
              <w:pStyle w:val="194"/>
              <w:spacing w:line="360" w:lineRule="exact"/>
              <w:ind w:left="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邮编：215011</w:t>
            </w:r>
          </w:p>
          <w:p w14:paraId="05DBD08D">
            <w:pPr>
              <w:pStyle w:val="194"/>
              <w:spacing w:line="360" w:lineRule="exact"/>
              <w:ind w:left="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电话/传真：0512-65201419</w:t>
            </w:r>
          </w:p>
          <w:p w14:paraId="1567F2E5">
            <w:pPr>
              <w:pStyle w:val="194"/>
              <w:spacing w:line="360" w:lineRule="exact"/>
              <w:ind w:left="0"/>
              <w:jc w:val="left"/>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rPr>
              <w:t>联系人：</w:t>
            </w:r>
            <w:r>
              <w:rPr>
                <w:rFonts w:hint="eastAsia" w:ascii="宋体" w:hAnsi="宋体" w:cs="宋体"/>
                <w:color w:val="auto"/>
                <w:sz w:val="24"/>
                <w:szCs w:val="24"/>
                <w:highlight w:val="none"/>
                <w:lang w:eastAsia="zh-CN"/>
              </w:rPr>
              <w:t>褚磊、叶素萍、徐蕾、陈婷、吴靓</w:t>
            </w:r>
          </w:p>
        </w:tc>
      </w:tr>
      <w:tr w14:paraId="4333B6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33" w:hRule="atLeast"/>
        </w:trPr>
        <w:tc>
          <w:tcPr>
            <w:tcW w:w="937" w:type="dxa"/>
            <w:noWrap w:val="0"/>
            <w:vAlign w:val="center"/>
          </w:tcPr>
          <w:p w14:paraId="7E3D20C6">
            <w:pPr>
              <w:pStyle w:val="194"/>
              <w:spacing w:line="360" w:lineRule="exact"/>
              <w:ind w:left="0"/>
              <w:jc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4</w:t>
            </w:r>
          </w:p>
        </w:tc>
        <w:tc>
          <w:tcPr>
            <w:tcW w:w="2088" w:type="dxa"/>
            <w:noWrap w:val="0"/>
            <w:vAlign w:val="center"/>
          </w:tcPr>
          <w:p w14:paraId="3445AD51">
            <w:pPr>
              <w:pStyle w:val="194"/>
              <w:spacing w:line="360" w:lineRule="exact"/>
              <w:ind w:left="0"/>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采购单位</w:t>
            </w:r>
          </w:p>
        </w:tc>
        <w:tc>
          <w:tcPr>
            <w:tcW w:w="6035" w:type="dxa"/>
            <w:noWrap w:val="0"/>
            <w:vAlign w:val="center"/>
          </w:tcPr>
          <w:p w14:paraId="02087ACC">
            <w:pPr>
              <w:pStyle w:val="194"/>
              <w:spacing w:line="360" w:lineRule="exact"/>
              <w:ind w:left="0"/>
              <w:jc w:val="left"/>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苏州市立医院</w:t>
            </w:r>
          </w:p>
          <w:p w14:paraId="46E856FC">
            <w:pPr>
              <w:pStyle w:val="194"/>
              <w:spacing w:line="360" w:lineRule="exact"/>
              <w:ind w:left="0"/>
              <w:jc w:val="left"/>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联系人：王俊文         联系电话：0512-62362541</w:t>
            </w:r>
          </w:p>
        </w:tc>
      </w:tr>
      <w:tr w14:paraId="022CA9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33" w:hRule="atLeast"/>
        </w:trPr>
        <w:tc>
          <w:tcPr>
            <w:tcW w:w="937" w:type="dxa"/>
            <w:noWrap w:val="0"/>
            <w:vAlign w:val="center"/>
          </w:tcPr>
          <w:p w14:paraId="753DBD24">
            <w:pPr>
              <w:pStyle w:val="194"/>
              <w:spacing w:line="360" w:lineRule="exact"/>
              <w:ind w:left="0"/>
              <w:jc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5</w:t>
            </w:r>
          </w:p>
        </w:tc>
        <w:tc>
          <w:tcPr>
            <w:tcW w:w="2088" w:type="dxa"/>
            <w:noWrap w:val="0"/>
            <w:vAlign w:val="center"/>
          </w:tcPr>
          <w:p w14:paraId="0FDD419E">
            <w:pPr>
              <w:pStyle w:val="194"/>
              <w:spacing w:line="360" w:lineRule="exact"/>
              <w:ind w:left="0"/>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标书组成</w:t>
            </w:r>
          </w:p>
        </w:tc>
        <w:tc>
          <w:tcPr>
            <w:tcW w:w="6035" w:type="dxa"/>
            <w:noWrap w:val="0"/>
            <w:vAlign w:val="center"/>
          </w:tcPr>
          <w:p w14:paraId="749294C9">
            <w:pPr>
              <w:pStyle w:val="194"/>
              <w:spacing w:line="360" w:lineRule="exact"/>
              <w:ind w:left="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详见招标文件第二章。</w:t>
            </w:r>
          </w:p>
        </w:tc>
      </w:tr>
      <w:tr w14:paraId="5E9C62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33" w:hRule="atLeast"/>
        </w:trPr>
        <w:tc>
          <w:tcPr>
            <w:tcW w:w="937" w:type="dxa"/>
            <w:noWrap w:val="0"/>
            <w:vAlign w:val="center"/>
          </w:tcPr>
          <w:p w14:paraId="574207CE">
            <w:pPr>
              <w:pStyle w:val="194"/>
              <w:spacing w:line="360" w:lineRule="exact"/>
              <w:ind w:left="0"/>
              <w:jc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6</w:t>
            </w:r>
          </w:p>
        </w:tc>
        <w:tc>
          <w:tcPr>
            <w:tcW w:w="2088" w:type="dxa"/>
            <w:noWrap w:val="0"/>
            <w:vAlign w:val="center"/>
          </w:tcPr>
          <w:p w14:paraId="2548550A">
            <w:pPr>
              <w:pStyle w:val="194"/>
              <w:spacing w:line="360" w:lineRule="exact"/>
              <w:ind w:left="0"/>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投标保证金</w:t>
            </w:r>
          </w:p>
        </w:tc>
        <w:tc>
          <w:tcPr>
            <w:tcW w:w="6035" w:type="dxa"/>
            <w:noWrap w:val="0"/>
            <w:vAlign w:val="center"/>
          </w:tcPr>
          <w:p w14:paraId="6D533DE5">
            <w:pPr>
              <w:pStyle w:val="194"/>
              <w:spacing w:line="360" w:lineRule="exact"/>
              <w:ind w:left="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本项目免收投标保证金。</w:t>
            </w:r>
          </w:p>
        </w:tc>
      </w:tr>
      <w:tr w14:paraId="788B0A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33" w:hRule="atLeast"/>
        </w:trPr>
        <w:tc>
          <w:tcPr>
            <w:tcW w:w="937" w:type="dxa"/>
            <w:noWrap w:val="0"/>
            <w:vAlign w:val="center"/>
          </w:tcPr>
          <w:p w14:paraId="2EDE60F6">
            <w:pPr>
              <w:pStyle w:val="194"/>
              <w:spacing w:line="360" w:lineRule="exact"/>
              <w:ind w:left="0"/>
              <w:jc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7</w:t>
            </w:r>
          </w:p>
        </w:tc>
        <w:tc>
          <w:tcPr>
            <w:tcW w:w="2088" w:type="dxa"/>
            <w:noWrap w:val="0"/>
            <w:vAlign w:val="center"/>
          </w:tcPr>
          <w:p w14:paraId="68B37DC4">
            <w:pPr>
              <w:pStyle w:val="194"/>
              <w:spacing w:line="360" w:lineRule="exact"/>
              <w:ind w:left="0"/>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投标有效期</w:t>
            </w:r>
          </w:p>
        </w:tc>
        <w:tc>
          <w:tcPr>
            <w:tcW w:w="6035" w:type="dxa"/>
            <w:noWrap w:val="0"/>
            <w:vAlign w:val="center"/>
          </w:tcPr>
          <w:p w14:paraId="4AA2E7B4">
            <w:pPr>
              <w:pStyle w:val="194"/>
              <w:spacing w:line="360" w:lineRule="exact"/>
              <w:ind w:left="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开标后</w:t>
            </w:r>
            <w:r>
              <w:rPr>
                <w:rFonts w:hint="eastAsia" w:ascii="宋体" w:hAnsi="宋体" w:cs="宋体"/>
                <w:color w:val="auto"/>
                <w:sz w:val="24"/>
                <w:szCs w:val="24"/>
                <w:highlight w:val="none"/>
                <w:lang w:val="en-US" w:eastAsia="zh-CN"/>
              </w:rPr>
              <w:t>九</w:t>
            </w:r>
            <w:r>
              <w:rPr>
                <w:rFonts w:hint="eastAsia" w:ascii="宋体" w:hAnsi="宋体" w:cs="宋体"/>
                <w:color w:val="auto"/>
                <w:sz w:val="24"/>
                <w:szCs w:val="24"/>
                <w:highlight w:val="none"/>
              </w:rPr>
              <w:t>十日</w:t>
            </w:r>
          </w:p>
        </w:tc>
      </w:tr>
      <w:tr w14:paraId="099F02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33" w:hRule="atLeast"/>
        </w:trPr>
        <w:tc>
          <w:tcPr>
            <w:tcW w:w="937" w:type="dxa"/>
            <w:noWrap w:val="0"/>
            <w:vAlign w:val="center"/>
          </w:tcPr>
          <w:p w14:paraId="170A8964">
            <w:pPr>
              <w:pStyle w:val="194"/>
              <w:spacing w:line="360" w:lineRule="exact"/>
              <w:ind w:left="0"/>
              <w:jc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8</w:t>
            </w:r>
          </w:p>
        </w:tc>
        <w:tc>
          <w:tcPr>
            <w:tcW w:w="2088" w:type="dxa"/>
            <w:noWrap w:val="0"/>
            <w:vAlign w:val="center"/>
          </w:tcPr>
          <w:p w14:paraId="358300E4">
            <w:pPr>
              <w:pStyle w:val="194"/>
              <w:spacing w:line="360" w:lineRule="exact"/>
              <w:ind w:left="0"/>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投标文件份数</w:t>
            </w:r>
          </w:p>
        </w:tc>
        <w:tc>
          <w:tcPr>
            <w:tcW w:w="6035" w:type="dxa"/>
            <w:noWrap w:val="0"/>
            <w:vAlign w:val="center"/>
          </w:tcPr>
          <w:p w14:paraId="0181DB1C">
            <w:pPr>
              <w:pStyle w:val="194"/>
              <w:spacing w:line="360" w:lineRule="exact"/>
              <w:ind w:left="0"/>
              <w:jc w:val="left"/>
              <w:rPr>
                <w:rFonts w:hint="eastAsia" w:ascii="宋体" w:hAnsi="宋体" w:cs="宋体"/>
                <w:color w:val="auto"/>
                <w:sz w:val="24"/>
                <w:szCs w:val="24"/>
                <w:highlight w:val="none"/>
              </w:rPr>
            </w:pPr>
            <w:r>
              <w:rPr>
                <w:rFonts w:hint="eastAsia" w:ascii="宋体" w:hAnsi="宋体" w:cs="Arial"/>
                <w:color w:val="auto"/>
                <w:sz w:val="24"/>
                <w:szCs w:val="24"/>
                <w:highlight w:val="none"/>
              </w:rPr>
              <w:t>本项目采用电子投标文件，投标人按照招标文件要求制作上传电子投标文件，投标人无需提供纸质投标文件</w:t>
            </w:r>
            <w:r>
              <w:rPr>
                <w:rFonts w:hint="eastAsia" w:ascii="宋体" w:hAnsi="宋体" w:cs="宋体"/>
                <w:color w:val="auto"/>
                <w:sz w:val="24"/>
                <w:szCs w:val="24"/>
                <w:highlight w:val="none"/>
              </w:rPr>
              <w:t>。</w:t>
            </w:r>
          </w:p>
        </w:tc>
      </w:tr>
      <w:tr w14:paraId="60A1EC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33" w:hRule="atLeast"/>
        </w:trPr>
        <w:tc>
          <w:tcPr>
            <w:tcW w:w="937" w:type="dxa"/>
            <w:noWrap w:val="0"/>
            <w:vAlign w:val="center"/>
          </w:tcPr>
          <w:p w14:paraId="6B68CD8C">
            <w:pPr>
              <w:pStyle w:val="194"/>
              <w:spacing w:line="360" w:lineRule="exact"/>
              <w:ind w:left="0"/>
              <w:jc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9</w:t>
            </w:r>
          </w:p>
        </w:tc>
        <w:tc>
          <w:tcPr>
            <w:tcW w:w="2088" w:type="dxa"/>
            <w:noWrap w:val="0"/>
            <w:vAlign w:val="center"/>
          </w:tcPr>
          <w:p w14:paraId="3109D43E">
            <w:pPr>
              <w:pStyle w:val="194"/>
              <w:spacing w:line="360" w:lineRule="exact"/>
              <w:ind w:left="0"/>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获取招标文件</w:t>
            </w:r>
          </w:p>
          <w:p w14:paraId="7E53646E">
            <w:pPr>
              <w:pStyle w:val="194"/>
              <w:spacing w:line="360" w:lineRule="exact"/>
              <w:ind w:left="0"/>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时间</w:t>
            </w:r>
          </w:p>
        </w:tc>
        <w:tc>
          <w:tcPr>
            <w:tcW w:w="6035" w:type="dxa"/>
            <w:noWrap w:val="0"/>
            <w:vAlign w:val="center"/>
          </w:tcPr>
          <w:p w14:paraId="596E48F9">
            <w:pPr>
              <w:pStyle w:val="194"/>
              <w:spacing w:line="360" w:lineRule="exact"/>
              <w:ind w:left="0"/>
              <w:rPr>
                <w:rFonts w:hint="eastAsia" w:ascii="宋体" w:hAnsi="宋体" w:cs="宋体"/>
                <w:color w:val="auto"/>
                <w:sz w:val="24"/>
                <w:szCs w:val="24"/>
                <w:highlight w:val="none"/>
              </w:rPr>
            </w:pPr>
            <w:r>
              <w:rPr>
                <w:rFonts w:hint="eastAsia" w:ascii="宋体" w:hAnsi="宋体" w:cs="宋体"/>
                <w:color w:val="auto"/>
                <w:sz w:val="24"/>
                <w:szCs w:val="24"/>
                <w:highlight w:val="none"/>
              </w:rPr>
              <w:t>自公告发布之日起5个工作日</w:t>
            </w:r>
          </w:p>
        </w:tc>
      </w:tr>
      <w:tr w14:paraId="1B8AF4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33" w:hRule="atLeast"/>
        </w:trPr>
        <w:tc>
          <w:tcPr>
            <w:tcW w:w="937" w:type="dxa"/>
            <w:noWrap w:val="0"/>
            <w:vAlign w:val="center"/>
          </w:tcPr>
          <w:p w14:paraId="4229CB16">
            <w:pPr>
              <w:pStyle w:val="194"/>
              <w:spacing w:line="360" w:lineRule="exact"/>
              <w:ind w:left="0"/>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10</w:t>
            </w:r>
          </w:p>
        </w:tc>
        <w:tc>
          <w:tcPr>
            <w:tcW w:w="2088" w:type="dxa"/>
            <w:noWrap w:val="0"/>
            <w:vAlign w:val="center"/>
          </w:tcPr>
          <w:p w14:paraId="0415B453">
            <w:pPr>
              <w:spacing w:line="440" w:lineRule="exact"/>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投标文件网上</w:t>
            </w:r>
          </w:p>
          <w:p w14:paraId="7E5CB3D5">
            <w:pPr>
              <w:pStyle w:val="194"/>
              <w:spacing w:line="360" w:lineRule="exact"/>
              <w:ind w:left="0"/>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提交截止时间</w:t>
            </w:r>
          </w:p>
        </w:tc>
        <w:tc>
          <w:tcPr>
            <w:tcW w:w="6035" w:type="dxa"/>
            <w:noWrap w:val="0"/>
            <w:vAlign w:val="center"/>
          </w:tcPr>
          <w:p w14:paraId="0F1D3E4F">
            <w:pPr>
              <w:pStyle w:val="194"/>
              <w:spacing w:line="360" w:lineRule="exact"/>
              <w:ind w:left="0"/>
              <w:jc w:val="left"/>
              <w:rPr>
                <w:rFonts w:hint="eastAsia" w:ascii="宋体" w:hAnsi="宋体" w:cs="宋体"/>
                <w:color w:val="auto"/>
                <w:sz w:val="24"/>
                <w:szCs w:val="24"/>
                <w:highlight w:val="none"/>
              </w:rPr>
            </w:pPr>
            <w:r>
              <w:rPr>
                <w:rFonts w:hint="eastAsia" w:ascii="宋体" w:hAnsi="宋体" w:cs="宋体"/>
                <w:color w:val="auto"/>
                <w:sz w:val="24"/>
                <w:szCs w:val="24"/>
                <w:highlight w:val="none"/>
                <w:lang w:eastAsia="zh-CN"/>
              </w:rPr>
              <w:t>2026年</w:t>
            </w:r>
            <w:bookmarkStart w:id="19" w:name="_GoBack"/>
            <w:bookmarkEnd w:id="19"/>
            <w:r>
              <w:rPr>
                <w:rFonts w:hint="eastAsia" w:ascii="宋体" w:hAnsi="宋体" w:cs="宋体"/>
                <w:color w:val="auto"/>
                <w:sz w:val="24"/>
                <w:szCs w:val="24"/>
                <w:highlight w:val="none"/>
                <w:lang w:eastAsia="zh-CN"/>
              </w:rPr>
              <w:t>7月9日13</w:t>
            </w:r>
            <w:r>
              <w:rPr>
                <w:rFonts w:hint="eastAsia" w:ascii="宋体" w:hAnsi="宋体" w:cs="宋体"/>
                <w:color w:val="auto"/>
                <w:sz w:val="24"/>
                <w:szCs w:val="24"/>
                <w:highlight w:val="none"/>
                <w:lang w:val="en-US" w:eastAsia="zh-CN"/>
              </w:rPr>
              <w:t>:</w:t>
            </w:r>
            <w:r>
              <w:rPr>
                <w:rFonts w:hint="eastAsia" w:ascii="宋体" w:hAnsi="宋体" w:cs="宋体"/>
                <w:color w:val="auto"/>
                <w:sz w:val="24"/>
                <w:szCs w:val="24"/>
                <w:highlight w:val="none"/>
              </w:rPr>
              <w:t>30</w:t>
            </w:r>
            <w:r>
              <w:rPr>
                <w:rFonts w:hint="eastAsia" w:ascii="宋体" w:hAnsi="宋体"/>
                <w:color w:val="auto"/>
                <w:sz w:val="24"/>
                <w:szCs w:val="24"/>
                <w:highlight w:val="none"/>
              </w:rPr>
              <w:t>（北京时间）</w:t>
            </w:r>
          </w:p>
          <w:p w14:paraId="73D6E899">
            <w:pPr>
              <w:pStyle w:val="194"/>
              <w:spacing w:line="360" w:lineRule="exact"/>
              <w:ind w:left="0"/>
              <w:jc w:val="left"/>
              <w:rPr>
                <w:rFonts w:hint="eastAsia" w:ascii="宋体" w:hAnsi="宋体" w:cs="宋体"/>
                <w:color w:val="auto"/>
                <w:sz w:val="24"/>
                <w:szCs w:val="24"/>
                <w:highlight w:val="none"/>
              </w:rPr>
            </w:pPr>
            <w:r>
              <w:rPr>
                <w:rFonts w:hint="eastAsia" w:ascii="宋体" w:hAnsi="宋体"/>
                <w:b/>
                <w:bCs/>
                <w:color w:val="auto"/>
                <w:sz w:val="24"/>
                <w:szCs w:val="24"/>
                <w:highlight w:val="none"/>
              </w:rPr>
              <w:t>投标文件必须在截止时间前完成提交（上传），逾期提交（上传）的投标文件恕不接受。</w:t>
            </w:r>
          </w:p>
        </w:tc>
      </w:tr>
      <w:tr w14:paraId="583658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33" w:hRule="atLeast"/>
        </w:trPr>
        <w:tc>
          <w:tcPr>
            <w:tcW w:w="937" w:type="dxa"/>
            <w:noWrap w:val="0"/>
            <w:vAlign w:val="center"/>
          </w:tcPr>
          <w:p w14:paraId="2A111E65">
            <w:pPr>
              <w:pStyle w:val="194"/>
              <w:spacing w:line="360" w:lineRule="exact"/>
              <w:ind w:left="0"/>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11</w:t>
            </w:r>
          </w:p>
        </w:tc>
        <w:tc>
          <w:tcPr>
            <w:tcW w:w="2088" w:type="dxa"/>
            <w:noWrap w:val="0"/>
            <w:vAlign w:val="center"/>
          </w:tcPr>
          <w:p w14:paraId="00911B9A">
            <w:pPr>
              <w:pStyle w:val="194"/>
              <w:spacing w:line="360" w:lineRule="exact"/>
              <w:ind w:left="0"/>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开标时间及</w:t>
            </w:r>
          </w:p>
          <w:p w14:paraId="2F8DBCA4">
            <w:pPr>
              <w:pStyle w:val="194"/>
              <w:spacing w:line="360" w:lineRule="exact"/>
              <w:ind w:left="0"/>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开标地点</w:t>
            </w:r>
          </w:p>
        </w:tc>
        <w:tc>
          <w:tcPr>
            <w:tcW w:w="6035" w:type="dxa"/>
            <w:noWrap w:val="0"/>
            <w:vAlign w:val="center"/>
          </w:tcPr>
          <w:p w14:paraId="4D1CF515">
            <w:pPr>
              <w:spacing w:line="440" w:lineRule="exact"/>
              <w:jc w:val="left"/>
              <w:rPr>
                <w:rFonts w:hint="eastAsia" w:ascii="宋体" w:hAnsi="宋体"/>
                <w:color w:val="auto"/>
                <w:sz w:val="24"/>
                <w:szCs w:val="24"/>
                <w:highlight w:val="none"/>
              </w:rPr>
            </w:pPr>
            <w:r>
              <w:rPr>
                <w:rFonts w:hint="eastAsia" w:ascii="宋体" w:hAnsi="宋体" w:cs="宋体"/>
                <w:color w:val="auto"/>
                <w:sz w:val="24"/>
                <w:szCs w:val="24"/>
                <w:highlight w:val="none"/>
                <w:lang w:eastAsia="zh-CN"/>
              </w:rPr>
              <w:t>2026年7月9日13</w:t>
            </w:r>
            <w:r>
              <w:rPr>
                <w:rFonts w:hint="eastAsia" w:ascii="宋体" w:hAnsi="宋体" w:cs="宋体"/>
                <w:color w:val="auto"/>
                <w:sz w:val="24"/>
                <w:szCs w:val="24"/>
                <w:highlight w:val="none"/>
                <w:lang w:val="en-US" w:eastAsia="zh-CN"/>
              </w:rPr>
              <w:t>:</w:t>
            </w:r>
            <w:r>
              <w:rPr>
                <w:rFonts w:hint="eastAsia" w:ascii="宋体" w:hAnsi="宋体" w:cs="宋体"/>
                <w:color w:val="auto"/>
                <w:sz w:val="24"/>
                <w:szCs w:val="24"/>
                <w:highlight w:val="none"/>
              </w:rPr>
              <w:t>30</w:t>
            </w:r>
            <w:r>
              <w:rPr>
                <w:rFonts w:hint="eastAsia" w:ascii="宋体" w:hAnsi="宋体"/>
                <w:color w:val="auto"/>
                <w:sz w:val="24"/>
                <w:szCs w:val="24"/>
                <w:highlight w:val="none"/>
              </w:rPr>
              <w:t>（北京时间）</w:t>
            </w:r>
          </w:p>
          <w:p w14:paraId="19006A1F">
            <w:pPr>
              <w:spacing w:line="440" w:lineRule="exact"/>
              <w:jc w:val="left"/>
              <w:rPr>
                <w:rFonts w:hint="eastAsia" w:ascii="宋体" w:hAnsi="宋体"/>
                <w:color w:val="auto"/>
                <w:sz w:val="24"/>
                <w:szCs w:val="24"/>
                <w:highlight w:val="none"/>
              </w:rPr>
            </w:pPr>
            <w:r>
              <w:rPr>
                <w:rFonts w:hint="eastAsia" w:ascii="宋体" w:hAnsi="宋体"/>
                <w:color w:val="auto"/>
                <w:sz w:val="24"/>
                <w:szCs w:val="24"/>
                <w:highlight w:val="none"/>
              </w:rPr>
              <w:t>“苏采云”系统（网址：</w:t>
            </w:r>
            <w:r>
              <w:rPr>
                <w:rFonts w:ascii="宋体" w:hAnsi="宋体"/>
                <w:color w:val="auto"/>
                <w:sz w:val="24"/>
                <w:szCs w:val="24"/>
                <w:highlight w:val="none"/>
              </w:rPr>
              <w:t>http://jszfcg.jsczt.cn/</w:t>
            </w:r>
            <w:r>
              <w:rPr>
                <w:rFonts w:hint="eastAsia" w:ascii="宋体" w:hAnsi="宋体"/>
                <w:color w:val="auto"/>
                <w:sz w:val="24"/>
                <w:szCs w:val="24"/>
                <w:highlight w:val="none"/>
              </w:rPr>
              <w:t>）</w:t>
            </w:r>
          </w:p>
          <w:p w14:paraId="5F82BA36">
            <w:pPr>
              <w:pStyle w:val="194"/>
              <w:spacing w:line="360" w:lineRule="exact"/>
              <w:ind w:left="0"/>
              <w:jc w:val="left"/>
              <w:rPr>
                <w:rFonts w:hint="eastAsia" w:ascii="宋体" w:hAnsi="宋体" w:cs="宋体"/>
                <w:color w:val="auto"/>
                <w:sz w:val="24"/>
                <w:szCs w:val="24"/>
                <w:highlight w:val="none"/>
              </w:rPr>
            </w:pPr>
            <w:r>
              <w:rPr>
                <w:rFonts w:hint="eastAsia" w:ascii="宋体" w:hAnsi="宋体"/>
                <w:b/>
                <w:color w:val="auto"/>
                <w:sz w:val="24"/>
                <w:szCs w:val="24"/>
                <w:highlight w:val="none"/>
              </w:rPr>
              <w:t>本项目为线上不见面开标项目，开标阶段供应商在【供应商解密】环节必须使用 CA证书解密电子投标文件，如在系统规定的解密时间（投标文件提交截止时间后30分钟）内未能完成解密的视为放弃投标。</w:t>
            </w:r>
          </w:p>
        </w:tc>
      </w:tr>
      <w:tr w14:paraId="257C47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33" w:hRule="atLeast"/>
        </w:trPr>
        <w:tc>
          <w:tcPr>
            <w:tcW w:w="937" w:type="dxa"/>
            <w:noWrap w:val="0"/>
            <w:vAlign w:val="center"/>
          </w:tcPr>
          <w:p w14:paraId="3DD75A9A">
            <w:pPr>
              <w:pStyle w:val="194"/>
              <w:spacing w:line="360" w:lineRule="exact"/>
              <w:ind w:left="0"/>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12</w:t>
            </w:r>
          </w:p>
        </w:tc>
        <w:tc>
          <w:tcPr>
            <w:tcW w:w="2088" w:type="dxa"/>
            <w:noWrap w:val="0"/>
            <w:vAlign w:val="center"/>
          </w:tcPr>
          <w:p w14:paraId="61375EA3">
            <w:pPr>
              <w:spacing w:line="312" w:lineRule="auto"/>
              <w:jc w:val="center"/>
              <w:rPr>
                <w:rFonts w:hint="eastAsia" w:ascii="宋体" w:hAnsi="宋体"/>
                <w:color w:val="auto"/>
                <w:sz w:val="24"/>
                <w:szCs w:val="24"/>
                <w:highlight w:val="none"/>
              </w:rPr>
            </w:pPr>
            <w:r>
              <w:rPr>
                <w:rFonts w:hint="eastAsia" w:ascii="宋体" w:hAnsi="宋体"/>
                <w:color w:val="auto"/>
                <w:sz w:val="24"/>
                <w:szCs w:val="24"/>
                <w:highlight w:val="none"/>
              </w:rPr>
              <w:t>评标时间及</w:t>
            </w:r>
          </w:p>
          <w:p w14:paraId="32606734">
            <w:pPr>
              <w:spacing w:line="312" w:lineRule="auto"/>
              <w:jc w:val="center"/>
              <w:rPr>
                <w:rFonts w:hint="eastAsia" w:ascii="宋体" w:hAnsi="宋体" w:cs="宋体"/>
                <w:color w:val="auto"/>
                <w:sz w:val="24"/>
                <w:szCs w:val="24"/>
                <w:highlight w:val="none"/>
              </w:rPr>
            </w:pPr>
            <w:r>
              <w:rPr>
                <w:rFonts w:hint="eastAsia" w:ascii="宋体" w:hAnsi="宋体"/>
                <w:color w:val="auto"/>
                <w:sz w:val="24"/>
                <w:szCs w:val="24"/>
                <w:highlight w:val="none"/>
              </w:rPr>
              <w:t>评标地点</w:t>
            </w:r>
          </w:p>
        </w:tc>
        <w:tc>
          <w:tcPr>
            <w:tcW w:w="6035" w:type="dxa"/>
            <w:noWrap w:val="0"/>
            <w:vAlign w:val="center"/>
          </w:tcPr>
          <w:p w14:paraId="34B39835">
            <w:pPr>
              <w:keepNext w:val="0"/>
              <w:keepLines w:val="0"/>
              <w:pageBreakBefore w:val="0"/>
              <w:widowControl w:val="0"/>
              <w:spacing w:line="400" w:lineRule="exact"/>
              <w:jc w:val="left"/>
              <w:rPr>
                <w:rFonts w:hint="eastAsia" w:ascii="宋体" w:hAnsi="宋体"/>
                <w:color w:val="auto"/>
                <w:sz w:val="24"/>
                <w:szCs w:val="24"/>
                <w:highlight w:val="none"/>
              </w:rPr>
            </w:pPr>
            <w:r>
              <w:rPr>
                <w:rFonts w:hint="eastAsia" w:ascii="宋体" w:hAnsi="宋体" w:cs="宋体"/>
                <w:color w:val="auto"/>
                <w:sz w:val="24"/>
                <w:szCs w:val="24"/>
                <w:highlight w:val="none"/>
                <w:lang w:eastAsia="zh-CN"/>
              </w:rPr>
              <w:t>2026年7月9日13</w:t>
            </w:r>
            <w:r>
              <w:rPr>
                <w:rFonts w:hint="eastAsia" w:ascii="宋体" w:hAnsi="宋体" w:cs="宋体"/>
                <w:color w:val="auto"/>
                <w:sz w:val="24"/>
                <w:szCs w:val="24"/>
                <w:highlight w:val="none"/>
                <w:lang w:val="en-US" w:eastAsia="zh-CN"/>
              </w:rPr>
              <w:t>:</w:t>
            </w:r>
            <w:r>
              <w:rPr>
                <w:rFonts w:hint="eastAsia" w:ascii="宋体" w:hAnsi="宋体" w:cs="宋体"/>
                <w:color w:val="auto"/>
                <w:sz w:val="24"/>
                <w:szCs w:val="24"/>
                <w:highlight w:val="none"/>
              </w:rPr>
              <w:t>30</w:t>
            </w:r>
            <w:r>
              <w:rPr>
                <w:rFonts w:hint="eastAsia" w:ascii="宋体" w:hAnsi="宋体"/>
                <w:color w:val="auto"/>
                <w:sz w:val="24"/>
                <w:szCs w:val="24"/>
                <w:highlight w:val="none"/>
              </w:rPr>
              <w:t>（北京时间）</w:t>
            </w:r>
          </w:p>
          <w:p w14:paraId="5C7E6063">
            <w:pPr>
              <w:keepNext w:val="0"/>
              <w:keepLines w:val="0"/>
              <w:pageBreakBefore w:val="0"/>
              <w:widowControl w:val="0"/>
              <w:spacing w:line="400" w:lineRule="exact"/>
              <w:jc w:val="left"/>
              <w:rPr>
                <w:rFonts w:hint="eastAsia" w:ascii="宋体" w:hAnsi="宋体"/>
                <w:b/>
                <w:color w:val="auto"/>
                <w:sz w:val="24"/>
                <w:szCs w:val="24"/>
                <w:highlight w:val="none"/>
              </w:rPr>
            </w:pPr>
            <w:r>
              <w:rPr>
                <w:rFonts w:hint="eastAsia" w:ascii="宋体" w:hAnsi="宋体" w:eastAsia="宋体" w:cs="宋体"/>
                <w:color w:val="auto"/>
                <w:sz w:val="24"/>
                <w:szCs w:val="24"/>
                <w:highlight w:val="none"/>
              </w:rPr>
              <w:t>苏州市高新区邓尉路105号狮山科技馆8楼（投标人无需到场）</w:t>
            </w:r>
          </w:p>
        </w:tc>
      </w:tr>
      <w:tr w14:paraId="27E95F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33" w:hRule="atLeast"/>
        </w:trPr>
        <w:tc>
          <w:tcPr>
            <w:tcW w:w="937" w:type="dxa"/>
            <w:noWrap w:val="0"/>
            <w:vAlign w:val="center"/>
          </w:tcPr>
          <w:p w14:paraId="464CDFF9">
            <w:pPr>
              <w:pStyle w:val="194"/>
              <w:spacing w:line="360" w:lineRule="exact"/>
              <w:ind w:left="0"/>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13</w:t>
            </w:r>
          </w:p>
        </w:tc>
        <w:tc>
          <w:tcPr>
            <w:tcW w:w="2088" w:type="dxa"/>
            <w:noWrap w:val="0"/>
            <w:vAlign w:val="center"/>
          </w:tcPr>
          <w:p w14:paraId="4CFBA4EA">
            <w:pPr>
              <w:pStyle w:val="194"/>
              <w:spacing w:line="360" w:lineRule="exact"/>
              <w:ind w:left="0"/>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投标报价本位币</w:t>
            </w:r>
          </w:p>
        </w:tc>
        <w:tc>
          <w:tcPr>
            <w:tcW w:w="6035" w:type="dxa"/>
            <w:noWrap w:val="0"/>
            <w:vAlign w:val="center"/>
          </w:tcPr>
          <w:p w14:paraId="04A61B47">
            <w:pPr>
              <w:pStyle w:val="194"/>
              <w:spacing w:line="360" w:lineRule="exact"/>
              <w:ind w:left="0"/>
              <w:jc w:val="left"/>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rPr>
              <w:t>人民币</w:t>
            </w:r>
          </w:p>
        </w:tc>
      </w:tr>
      <w:tr w14:paraId="7F5390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33" w:hRule="atLeast"/>
        </w:trPr>
        <w:tc>
          <w:tcPr>
            <w:tcW w:w="937" w:type="dxa"/>
            <w:noWrap w:val="0"/>
            <w:vAlign w:val="center"/>
          </w:tcPr>
          <w:p w14:paraId="2BC9E77E">
            <w:pPr>
              <w:pStyle w:val="194"/>
              <w:spacing w:line="360" w:lineRule="exact"/>
              <w:ind w:left="0"/>
              <w:jc w:val="center"/>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rPr>
              <w:t>1</w:t>
            </w:r>
            <w:r>
              <w:rPr>
                <w:rFonts w:hint="eastAsia" w:ascii="宋体" w:hAnsi="宋体" w:cs="宋体"/>
                <w:color w:val="auto"/>
                <w:sz w:val="24"/>
                <w:szCs w:val="24"/>
                <w:highlight w:val="none"/>
                <w:lang w:val="en-US" w:eastAsia="zh-CN"/>
              </w:rPr>
              <w:t>4</w:t>
            </w:r>
          </w:p>
        </w:tc>
        <w:tc>
          <w:tcPr>
            <w:tcW w:w="2088" w:type="dxa"/>
            <w:noWrap w:val="0"/>
            <w:vAlign w:val="center"/>
          </w:tcPr>
          <w:p w14:paraId="596DAE73">
            <w:pPr>
              <w:spacing w:line="440" w:lineRule="exact"/>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履约保证金</w:t>
            </w:r>
          </w:p>
        </w:tc>
        <w:tc>
          <w:tcPr>
            <w:tcW w:w="6035" w:type="dxa"/>
            <w:noWrap w:val="0"/>
            <w:vAlign w:val="center"/>
          </w:tcPr>
          <w:p w14:paraId="17BCB794">
            <w:pPr>
              <w:spacing w:line="440" w:lineRule="exact"/>
              <w:jc w:val="left"/>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无</w:t>
            </w:r>
          </w:p>
        </w:tc>
      </w:tr>
      <w:tr w14:paraId="604B2F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33" w:hRule="atLeast"/>
        </w:trPr>
        <w:tc>
          <w:tcPr>
            <w:tcW w:w="937" w:type="dxa"/>
            <w:noWrap w:val="0"/>
            <w:vAlign w:val="center"/>
          </w:tcPr>
          <w:p w14:paraId="653FCD71">
            <w:pPr>
              <w:pStyle w:val="194"/>
              <w:spacing w:line="360" w:lineRule="exact"/>
              <w:ind w:left="0"/>
              <w:jc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rPr>
              <w:t>1</w:t>
            </w:r>
            <w:r>
              <w:rPr>
                <w:rFonts w:hint="eastAsia" w:ascii="宋体" w:hAnsi="宋体" w:cs="宋体"/>
                <w:color w:val="auto"/>
                <w:sz w:val="24"/>
                <w:szCs w:val="24"/>
                <w:highlight w:val="none"/>
                <w:lang w:val="en-US" w:eastAsia="zh-CN"/>
              </w:rPr>
              <w:t>5</w:t>
            </w:r>
          </w:p>
        </w:tc>
        <w:tc>
          <w:tcPr>
            <w:tcW w:w="2088" w:type="dxa"/>
            <w:noWrap w:val="0"/>
            <w:vAlign w:val="center"/>
          </w:tcPr>
          <w:p w14:paraId="31ECCFF1">
            <w:pPr>
              <w:pStyle w:val="194"/>
              <w:spacing w:line="360" w:lineRule="exact"/>
              <w:ind w:left="0"/>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中标服务费</w:t>
            </w:r>
          </w:p>
        </w:tc>
        <w:tc>
          <w:tcPr>
            <w:tcW w:w="6035" w:type="dxa"/>
            <w:noWrap w:val="0"/>
            <w:vAlign w:val="center"/>
          </w:tcPr>
          <w:p w14:paraId="7B041C15">
            <w:pPr>
              <w:spacing w:line="360" w:lineRule="exact"/>
              <w:rPr>
                <w:rFonts w:hint="eastAsia" w:ascii="宋体" w:hAnsi="宋体" w:cs="宋体"/>
                <w:color w:val="auto"/>
                <w:sz w:val="24"/>
                <w:szCs w:val="24"/>
                <w:highlight w:val="none"/>
              </w:rPr>
            </w:pPr>
            <w:r>
              <w:rPr>
                <w:rFonts w:hint="eastAsia" w:ascii="宋体" w:hAnsi="宋体" w:cs="宋体"/>
                <w:color w:val="auto"/>
                <w:sz w:val="24"/>
                <w:szCs w:val="24"/>
                <w:highlight w:val="none"/>
              </w:rPr>
              <w:t>代理服务费收费标准：</w:t>
            </w:r>
          </w:p>
          <w:p w14:paraId="055FBA02">
            <w:pPr>
              <w:spacing w:line="360" w:lineRule="exact"/>
              <w:ind w:firstLine="480"/>
              <w:rPr>
                <w:rFonts w:hint="eastAsia" w:ascii="宋体" w:hAnsi="宋体" w:cs="宋体"/>
                <w:color w:val="auto"/>
                <w:sz w:val="24"/>
                <w:szCs w:val="24"/>
                <w:highlight w:val="none"/>
              </w:rPr>
            </w:pPr>
            <w:r>
              <w:rPr>
                <w:rFonts w:hint="eastAsia" w:ascii="宋体" w:hAnsi="宋体" w:cs="宋体"/>
                <w:color w:val="auto"/>
                <w:sz w:val="24"/>
                <w:szCs w:val="24"/>
                <w:highlight w:val="none"/>
              </w:rPr>
              <w:t>预算金额100万元以下部分，费率为该部分预算金额的1.5%；预算金额100万元（含）－500万元部分，费率为该部分预算金额的1.1%；预算金额500万元（含）-1000万元部分，费率为该部分预算金额的0.8%；预算金额1000万元（含）-5000万元部分，费率为该部分预算金额的0.5%；预算金额5000万元以上部分，费率为该部分预算金额的0.25%。</w:t>
            </w:r>
          </w:p>
          <w:p w14:paraId="569D2539">
            <w:pPr>
              <w:spacing w:line="360" w:lineRule="exact"/>
              <w:rPr>
                <w:rFonts w:hint="eastAsia" w:ascii="宋体" w:hAnsi="宋体" w:cs="宋体"/>
                <w:color w:val="auto"/>
                <w:sz w:val="24"/>
                <w:szCs w:val="24"/>
                <w:highlight w:val="none"/>
              </w:rPr>
            </w:pPr>
            <w:r>
              <w:rPr>
                <w:rFonts w:hint="eastAsia" w:ascii="宋体" w:hAnsi="宋体" w:cs="宋体"/>
                <w:color w:val="auto"/>
                <w:sz w:val="24"/>
                <w:szCs w:val="24"/>
                <w:highlight w:val="none"/>
              </w:rPr>
              <w:t>说明：代理服务费以采购预算金额为基数依据，按以上规定的标准和差额定率累进法进行计算收取。例：如预算金额为150万元，则代理服务费＝100万元以下部分×1.5%＋（150万元－100万元以下部分）×1.1%。</w:t>
            </w:r>
          </w:p>
          <w:p w14:paraId="5D98BBD2">
            <w:pPr>
              <w:spacing w:line="360" w:lineRule="exact"/>
              <w:ind w:firstLine="480"/>
              <w:rPr>
                <w:rFonts w:hint="eastAsia" w:ascii="宋体" w:hAnsi="宋体" w:cs="宋体"/>
                <w:color w:val="auto"/>
                <w:sz w:val="24"/>
                <w:szCs w:val="24"/>
                <w:highlight w:val="none"/>
              </w:rPr>
            </w:pPr>
            <w:r>
              <w:rPr>
                <w:rFonts w:hint="eastAsia" w:ascii="宋体" w:hAnsi="宋体"/>
                <w:color w:val="auto"/>
                <w:sz w:val="24"/>
                <w:highlight w:val="none"/>
              </w:rPr>
              <w:t>本项目</w:t>
            </w:r>
            <w:r>
              <w:rPr>
                <w:rFonts w:hint="eastAsia" w:ascii="宋体" w:hAnsi="宋体"/>
                <w:color w:val="auto"/>
                <w:sz w:val="24"/>
                <w:highlight w:val="none"/>
                <w:lang w:val="en-US" w:eastAsia="zh-CN"/>
              </w:rPr>
              <w:t>采购预算已包含</w:t>
            </w:r>
            <w:r>
              <w:rPr>
                <w:rFonts w:hint="eastAsia" w:ascii="宋体" w:hAnsi="宋体"/>
                <w:color w:val="auto"/>
                <w:sz w:val="24"/>
                <w:highlight w:val="none"/>
              </w:rPr>
              <w:t>代理服务费</w:t>
            </w:r>
            <w:r>
              <w:rPr>
                <w:rFonts w:hint="eastAsia" w:ascii="宋体" w:hAnsi="宋体" w:cs="宋体"/>
                <w:color w:val="auto"/>
                <w:sz w:val="24"/>
                <w:szCs w:val="24"/>
                <w:highlight w:val="none"/>
              </w:rPr>
              <w:t>：</w:t>
            </w:r>
            <w:r>
              <w:rPr>
                <w:rFonts w:hint="eastAsia" w:ascii="宋体" w:hAnsi="宋体" w:cs="宋体"/>
                <w:color w:val="auto"/>
                <w:sz w:val="24"/>
                <w:szCs w:val="24"/>
                <w:highlight w:val="none"/>
                <w:lang w:val="en-US" w:eastAsia="zh-CN"/>
              </w:rPr>
              <w:t>¥45250.00</w:t>
            </w:r>
            <w:r>
              <w:rPr>
                <w:rFonts w:hint="eastAsia" w:ascii="宋体" w:hAnsi="宋体" w:cs="宋体"/>
                <w:color w:val="auto"/>
                <w:sz w:val="24"/>
                <w:szCs w:val="24"/>
                <w:highlight w:val="none"/>
              </w:rPr>
              <w:t>。由中标人在领取中标通知书时向招标代理机构一次性付清。</w:t>
            </w:r>
          </w:p>
          <w:p w14:paraId="27B5D62B">
            <w:pPr>
              <w:spacing w:line="360" w:lineRule="exact"/>
              <w:rPr>
                <w:rFonts w:hint="eastAsia" w:ascii="宋体" w:hAnsi="宋体" w:cs="宋体"/>
                <w:color w:val="auto"/>
                <w:sz w:val="24"/>
                <w:szCs w:val="24"/>
                <w:highlight w:val="none"/>
              </w:rPr>
            </w:pPr>
            <w:r>
              <w:rPr>
                <w:rFonts w:hint="eastAsia" w:ascii="宋体" w:hAnsi="宋体" w:cs="宋体"/>
                <w:color w:val="auto"/>
                <w:sz w:val="24"/>
                <w:szCs w:val="24"/>
                <w:highlight w:val="none"/>
              </w:rPr>
              <w:t>服务费交纳账户：苏州时代招投标有限公司</w:t>
            </w:r>
          </w:p>
          <w:p w14:paraId="49A27A69">
            <w:pPr>
              <w:spacing w:line="360" w:lineRule="exact"/>
              <w:ind w:firstLine="960"/>
              <w:rPr>
                <w:rFonts w:hint="eastAsia" w:ascii="宋体" w:hAnsi="宋体" w:cs="宋体"/>
                <w:color w:val="auto"/>
                <w:sz w:val="24"/>
                <w:szCs w:val="24"/>
                <w:highlight w:val="none"/>
              </w:rPr>
            </w:pPr>
            <w:r>
              <w:rPr>
                <w:rFonts w:hint="eastAsia" w:ascii="宋体" w:hAnsi="宋体" w:cs="宋体"/>
                <w:color w:val="auto"/>
                <w:sz w:val="24"/>
                <w:szCs w:val="24"/>
                <w:highlight w:val="none"/>
              </w:rPr>
              <w:t>开户行：中信银行苏州南门支行</w:t>
            </w:r>
          </w:p>
          <w:p w14:paraId="1C72C2F9">
            <w:pPr>
              <w:tabs>
                <w:tab w:val="left" w:pos="8930"/>
                <w:tab w:val="left" w:pos="9306"/>
              </w:tabs>
              <w:spacing w:line="360" w:lineRule="exact"/>
              <w:ind w:firstLine="960"/>
              <w:rPr>
                <w:rFonts w:hint="eastAsia" w:ascii="宋体" w:hAnsi="宋体" w:cs="宋体"/>
                <w:color w:val="auto"/>
                <w:sz w:val="24"/>
                <w:szCs w:val="24"/>
                <w:highlight w:val="none"/>
              </w:rPr>
            </w:pPr>
            <w:r>
              <w:rPr>
                <w:rFonts w:hint="eastAsia" w:ascii="宋体" w:hAnsi="宋体" w:cs="宋体"/>
                <w:color w:val="auto"/>
                <w:sz w:val="24"/>
                <w:szCs w:val="24"/>
                <w:highlight w:val="none"/>
              </w:rPr>
              <w:t>账  号：7323010182600103353</w:t>
            </w:r>
          </w:p>
        </w:tc>
      </w:tr>
      <w:tr w14:paraId="619B6B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33" w:hRule="atLeast"/>
        </w:trPr>
        <w:tc>
          <w:tcPr>
            <w:tcW w:w="937" w:type="dxa"/>
            <w:noWrap w:val="0"/>
            <w:vAlign w:val="center"/>
          </w:tcPr>
          <w:p w14:paraId="42ADE137">
            <w:pPr>
              <w:pStyle w:val="194"/>
              <w:spacing w:line="360" w:lineRule="exact"/>
              <w:ind w:left="0"/>
              <w:jc w:val="center"/>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rPr>
              <w:t>1</w:t>
            </w:r>
            <w:r>
              <w:rPr>
                <w:rFonts w:hint="eastAsia" w:ascii="宋体" w:hAnsi="宋体" w:cs="宋体"/>
                <w:color w:val="auto"/>
                <w:sz w:val="24"/>
                <w:szCs w:val="24"/>
                <w:highlight w:val="none"/>
                <w:lang w:val="en-US" w:eastAsia="zh-CN"/>
              </w:rPr>
              <w:t>6</w:t>
            </w:r>
          </w:p>
        </w:tc>
        <w:tc>
          <w:tcPr>
            <w:tcW w:w="2088" w:type="dxa"/>
            <w:noWrap w:val="0"/>
            <w:vAlign w:val="center"/>
          </w:tcPr>
          <w:p w14:paraId="1E43CE91">
            <w:pPr>
              <w:pStyle w:val="194"/>
              <w:spacing w:line="360" w:lineRule="exact"/>
              <w:ind w:left="0"/>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导致废标因素</w:t>
            </w:r>
          </w:p>
        </w:tc>
        <w:tc>
          <w:tcPr>
            <w:tcW w:w="6035" w:type="dxa"/>
            <w:noWrap w:val="0"/>
            <w:vAlign w:val="center"/>
          </w:tcPr>
          <w:p w14:paraId="7DF2772C">
            <w:pPr>
              <w:pStyle w:val="194"/>
              <w:spacing w:line="360" w:lineRule="exact"/>
              <w:ind w:left="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出现下列情形之一的，为废标：</w:t>
            </w:r>
          </w:p>
          <w:p w14:paraId="2F071B34">
            <w:pPr>
              <w:pStyle w:val="194"/>
              <w:spacing w:line="360" w:lineRule="exact"/>
              <w:ind w:left="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（一）符合专业条件的投标人或者对招标文件作实质响应的投标人不足三家的；</w:t>
            </w:r>
          </w:p>
          <w:p w14:paraId="74C33CB7">
            <w:pPr>
              <w:pStyle w:val="194"/>
              <w:spacing w:line="360" w:lineRule="exact"/>
              <w:ind w:left="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（二）出现影响采购公正的违法、违规行为的；</w:t>
            </w:r>
          </w:p>
          <w:p w14:paraId="596456BF">
            <w:pPr>
              <w:pStyle w:val="194"/>
              <w:spacing w:line="360" w:lineRule="exact"/>
              <w:ind w:left="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（三）投标人的报价均超过了采购预算，采购人不能支付的；</w:t>
            </w:r>
          </w:p>
          <w:p w14:paraId="11EDBC10">
            <w:pPr>
              <w:pStyle w:val="194"/>
              <w:spacing w:line="360" w:lineRule="exact"/>
              <w:ind w:left="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（四）因重大变故，采购任务取消的。</w:t>
            </w:r>
          </w:p>
        </w:tc>
      </w:tr>
      <w:tr w14:paraId="7C2759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33" w:hRule="atLeast"/>
        </w:trPr>
        <w:tc>
          <w:tcPr>
            <w:tcW w:w="937" w:type="dxa"/>
            <w:noWrap w:val="0"/>
            <w:vAlign w:val="center"/>
          </w:tcPr>
          <w:p w14:paraId="457B42E9">
            <w:pPr>
              <w:pStyle w:val="194"/>
              <w:spacing w:line="360" w:lineRule="exact"/>
              <w:ind w:left="0"/>
              <w:jc w:val="center"/>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rPr>
              <w:t>1</w:t>
            </w:r>
            <w:r>
              <w:rPr>
                <w:rFonts w:hint="eastAsia" w:ascii="宋体" w:hAnsi="宋体" w:cs="宋体"/>
                <w:color w:val="auto"/>
                <w:sz w:val="24"/>
                <w:szCs w:val="24"/>
                <w:highlight w:val="none"/>
                <w:lang w:val="en-US" w:eastAsia="zh-CN"/>
              </w:rPr>
              <w:t>7</w:t>
            </w:r>
          </w:p>
        </w:tc>
        <w:tc>
          <w:tcPr>
            <w:tcW w:w="2088" w:type="dxa"/>
            <w:noWrap w:val="0"/>
            <w:vAlign w:val="center"/>
          </w:tcPr>
          <w:p w14:paraId="62679668">
            <w:pPr>
              <w:pStyle w:val="194"/>
              <w:spacing w:line="360" w:lineRule="exact"/>
              <w:ind w:left="0"/>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导致无效标</w:t>
            </w:r>
          </w:p>
          <w:p w14:paraId="6B26A421">
            <w:pPr>
              <w:pStyle w:val="194"/>
              <w:spacing w:line="360" w:lineRule="exact"/>
              <w:ind w:left="0"/>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因素</w:t>
            </w:r>
          </w:p>
        </w:tc>
        <w:tc>
          <w:tcPr>
            <w:tcW w:w="6035" w:type="dxa"/>
            <w:noWrap w:val="0"/>
            <w:vAlign w:val="center"/>
          </w:tcPr>
          <w:p w14:paraId="0D99B704">
            <w:pPr>
              <w:pStyle w:val="194"/>
              <w:spacing w:line="360" w:lineRule="exact"/>
              <w:ind w:left="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投标文件属下列情况之一的，在资格性、符合性检查时按照无效投标处理：</w:t>
            </w:r>
          </w:p>
          <w:p w14:paraId="01BDE4EF">
            <w:pPr>
              <w:pStyle w:val="194"/>
              <w:spacing w:line="380" w:lineRule="exact"/>
              <w:ind w:left="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（一）未按照采购文件规定要求签署、盖章的；</w:t>
            </w:r>
          </w:p>
          <w:p w14:paraId="2D8D3483">
            <w:pPr>
              <w:pStyle w:val="194"/>
              <w:spacing w:line="380" w:lineRule="exact"/>
              <w:ind w:left="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（二）不具备采购文件中规定资格要求的；</w:t>
            </w:r>
          </w:p>
          <w:p w14:paraId="1A1D4E3F">
            <w:pPr>
              <w:pStyle w:val="194"/>
              <w:spacing w:line="380" w:lineRule="exact"/>
              <w:ind w:left="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（三）投标书技术部分和资格证明文件中出现总报价的；</w:t>
            </w:r>
          </w:p>
          <w:p w14:paraId="322492CE">
            <w:pPr>
              <w:pStyle w:val="194"/>
              <w:spacing w:line="380" w:lineRule="exact"/>
              <w:ind w:left="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（四）投标文件含有采购人不能接受的附加条件的；</w:t>
            </w:r>
          </w:p>
          <w:p w14:paraId="7C3B39FB">
            <w:pPr>
              <w:pStyle w:val="194"/>
              <w:spacing w:line="380" w:lineRule="exact"/>
              <w:ind w:left="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（五）机器码检查中，出现不同投标人投标文件机器码一致情形的；</w:t>
            </w:r>
          </w:p>
          <w:p w14:paraId="4929E110">
            <w:pPr>
              <w:pStyle w:val="194"/>
              <w:spacing w:line="360" w:lineRule="exact"/>
              <w:ind w:left="0"/>
              <w:jc w:val="left"/>
              <w:rPr>
                <w:rFonts w:hint="eastAsia" w:ascii="宋体" w:hAnsi="宋体" w:cs="宋体"/>
                <w:color w:val="auto"/>
                <w:sz w:val="24"/>
                <w:szCs w:val="24"/>
                <w:highlight w:val="none"/>
              </w:rPr>
            </w:pPr>
            <w:r>
              <w:rPr>
                <w:rFonts w:hint="eastAsia" w:ascii="宋体" w:hAnsi="宋体"/>
                <w:color w:val="auto"/>
                <w:sz w:val="24"/>
                <w:szCs w:val="24"/>
                <w:highlight w:val="none"/>
              </w:rPr>
              <w:t>（六）法律、法规和采购文件规定的其他无效情形</w:t>
            </w:r>
            <w:r>
              <w:rPr>
                <w:rFonts w:hint="eastAsia" w:ascii="宋体" w:hAnsi="宋体" w:cs="宋体"/>
                <w:color w:val="auto"/>
                <w:sz w:val="24"/>
                <w:szCs w:val="24"/>
                <w:highlight w:val="none"/>
              </w:rPr>
              <w:t>。</w:t>
            </w:r>
          </w:p>
        </w:tc>
      </w:tr>
    </w:tbl>
    <w:p w14:paraId="3C284DCF">
      <w:pPr>
        <w:spacing w:before="240" w:after="60"/>
        <w:jc w:val="center"/>
        <w:outlineLvl w:val="0"/>
        <w:rPr>
          <w:rFonts w:hint="eastAsia" w:ascii="宋体" w:hAnsi="宋体" w:cs="宋体"/>
          <w:b/>
          <w:bCs/>
          <w:color w:val="auto"/>
          <w:sz w:val="44"/>
          <w:szCs w:val="44"/>
          <w:highlight w:val="none"/>
        </w:rPr>
      </w:pPr>
      <w:r>
        <w:rPr>
          <w:rFonts w:hint="eastAsia" w:ascii="宋体" w:hAnsi="宋体" w:cs="宋体"/>
          <w:bCs/>
          <w:color w:val="auto"/>
          <w:sz w:val="44"/>
          <w:szCs w:val="32"/>
          <w:highlight w:val="none"/>
        </w:rPr>
        <w:t>第一章 投标邀请函</w:t>
      </w:r>
    </w:p>
    <w:tbl>
      <w:tblPr>
        <w:tblStyle w:val="33"/>
        <w:tblW w:w="8580" w:type="dxa"/>
        <w:tblInd w:w="12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580"/>
      </w:tblGrid>
      <w:tr w14:paraId="3FE427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580" w:type="dxa"/>
            <w:noWrap w:val="0"/>
          </w:tcPr>
          <w:p w14:paraId="388A3688">
            <w:pPr>
              <w:spacing w:line="360" w:lineRule="auto"/>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项目概况</w:t>
            </w:r>
          </w:p>
          <w:p w14:paraId="52071F6A">
            <w:pPr>
              <w:pStyle w:val="195"/>
              <w:spacing w:line="360" w:lineRule="auto"/>
              <w:ind w:firstLine="480"/>
              <w:jc w:val="both"/>
              <w:rPr>
                <w:rFonts w:hint="eastAsia" w:ascii="宋体" w:hAnsi="宋体" w:cs="宋体"/>
                <w:color w:val="auto"/>
                <w:sz w:val="24"/>
                <w:szCs w:val="24"/>
                <w:highlight w:val="none"/>
              </w:rPr>
            </w:pPr>
            <w:r>
              <w:rPr>
                <w:rFonts w:hint="eastAsia" w:ascii="宋体" w:hAnsi="宋体" w:cs="宋体"/>
                <w:color w:val="auto"/>
                <w:sz w:val="24"/>
                <w:szCs w:val="24"/>
                <w:highlight w:val="none"/>
                <w:lang w:eastAsia="zh-CN"/>
              </w:rPr>
              <w:t>检验科对外委托外送检测服务</w:t>
            </w:r>
            <w:r>
              <w:rPr>
                <w:rFonts w:hint="eastAsia" w:ascii="宋体" w:hAnsi="宋体" w:cs="宋体"/>
                <w:color w:val="auto"/>
                <w:sz w:val="24"/>
                <w:szCs w:val="24"/>
                <w:highlight w:val="none"/>
              </w:rPr>
              <w:t>招标项目</w:t>
            </w:r>
            <w:r>
              <w:rPr>
                <w:rFonts w:hint="eastAsia" w:ascii="宋体" w:hAnsi="宋体" w:cs="宋体"/>
                <w:color w:val="auto"/>
                <w:sz w:val="24"/>
                <w:szCs w:val="24"/>
                <w:highlight w:val="none"/>
                <w:lang w:eastAsia="zh-CN"/>
              </w:rPr>
              <w:t>JSZC-320500-SZSD-G2026-0023</w:t>
            </w:r>
            <w:r>
              <w:rPr>
                <w:rFonts w:hint="eastAsia" w:ascii="宋体" w:hAnsi="宋体" w:cs="宋体"/>
                <w:color w:val="auto"/>
                <w:sz w:val="24"/>
                <w:szCs w:val="24"/>
                <w:highlight w:val="none"/>
              </w:rPr>
              <w:t>的潜在投标人应在“苏采云”系统获取招标文件，并于</w:t>
            </w:r>
            <w:r>
              <w:rPr>
                <w:rFonts w:hint="eastAsia" w:ascii="宋体" w:hAnsi="宋体" w:cs="宋体"/>
                <w:color w:val="auto"/>
                <w:sz w:val="24"/>
                <w:szCs w:val="24"/>
                <w:highlight w:val="none"/>
                <w:lang w:eastAsia="zh-CN"/>
              </w:rPr>
              <w:t>2026年7月9日13</w:t>
            </w:r>
            <w:r>
              <w:rPr>
                <w:rFonts w:hint="eastAsia" w:ascii="宋体" w:hAnsi="宋体" w:cs="宋体"/>
                <w:color w:val="auto"/>
                <w:sz w:val="24"/>
                <w:szCs w:val="24"/>
                <w:highlight w:val="none"/>
              </w:rPr>
              <w:t>点30分（北京时间）前递交投标文件。</w:t>
            </w:r>
          </w:p>
        </w:tc>
      </w:tr>
    </w:tbl>
    <w:p w14:paraId="2C1491A5">
      <w:pPr>
        <w:spacing w:line="360" w:lineRule="auto"/>
        <w:ind w:firstLine="48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一、项目基本情况</w:t>
      </w:r>
    </w:p>
    <w:p w14:paraId="1B5E345A">
      <w:pPr>
        <w:spacing w:line="360" w:lineRule="auto"/>
        <w:ind w:firstLine="48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1、项目编号：</w:t>
      </w:r>
      <w:r>
        <w:rPr>
          <w:rFonts w:hint="eastAsia" w:ascii="宋体" w:hAnsi="宋体" w:cs="宋体"/>
          <w:color w:val="auto"/>
          <w:sz w:val="24"/>
          <w:szCs w:val="24"/>
          <w:highlight w:val="none"/>
          <w:lang w:eastAsia="zh-CN"/>
        </w:rPr>
        <w:t>JSZC-320500-SZSD-G2026-0023</w:t>
      </w:r>
      <w:r>
        <w:rPr>
          <w:rFonts w:hint="default" w:ascii="宋体" w:hAnsi="宋体" w:cs="宋体"/>
          <w:color w:val="auto"/>
          <w:sz w:val="24"/>
          <w:szCs w:val="24"/>
          <w:highlight w:val="none"/>
          <w:lang w:eastAsia="zh-CN"/>
        </w:rPr>
        <w:t xml:space="preserve"> </w:t>
      </w:r>
      <w:r>
        <w:rPr>
          <w:rFonts w:hint="eastAsia" w:ascii="宋体" w:hAnsi="宋体" w:cs="宋体"/>
          <w:color w:val="auto"/>
          <w:sz w:val="24"/>
          <w:szCs w:val="24"/>
          <w:highlight w:val="none"/>
          <w:lang w:eastAsia="zh-CN"/>
        </w:rPr>
        <w:t xml:space="preserve"> </w:t>
      </w:r>
      <w:r>
        <w:rPr>
          <w:rFonts w:hint="eastAsia" w:ascii="宋体" w:hAnsi="宋体" w:cs="宋体"/>
          <w:color w:val="auto"/>
          <w:sz w:val="24"/>
          <w:szCs w:val="24"/>
          <w:highlight w:val="none"/>
        </w:rPr>
        <w:t xml:space="preserve">  </w:t>
      </w:r>
    </w:p>
    <w:p w14:paraId="3C731A80">
      <w:pPr>
        <w:spacing w:line="360" w:lineRule="auto"/>
        <w:ind w:firstLine="48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2、项目名称：</w:t>
      </w:r>
      <w:r>
        <w:rPr>
          <w:rFonts w:hint="eastAsia" w:ascii="宋体" w:hAnsi="宋体" w:cs="宋体"/>
          <w:color w:val="auto"/>
          <w:sz w:val="24"/>
          <w:szCs w:val="24"/>
          <w:highlight w:val="none"/>
          <w:lang w:eastAsia="zh-CN"/>
        </w:rPr>
        <w:t>检验科对外委托外送检测服务</w:t>
      </w:r>
    </w:p>
    <w:p w14:paraId="2FBBE0C3">
      <w:pPr>
        <w:spacing w:line="360" w:lineRule="auto"/>
        <w:ind w:firstLine="480"/>
        <w:jc w:val="left"/>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rPr>
        <w:t>3、预算金额：</w:t>
      </w:r>
      <w:r>
        <w:rPr>
          <w:rFonts w:hint="eastAsia" w:ascii="宋体" w:hAnsi="宋体" w:cs="宋体"/>
          <w:color w:val="auto"/>
          <w:sz w:val="24"/>
          <w:szCs w:val="24"/>
          <w:highlight w:val="none"/>
          <w:lang w:val="en-US" w:eastAsia="zh-CN"/>
        </w:rPr>
        <w:t>叁佰柒拾伍万元整（¥3750000.00）</w:t>
      </w:r>
    </w:p>
    <w:p w14:paraId="66FA9144">
      <w:pPr>
        <w:keepNext w:val="0"/>
        <w:keepLines w:val="0"/>
        <w:pageBreakBefore w:val="0"/>
        <w:widowControl w:val="0"/>
        <w:kinsoku/>
        <w:wordWrap/>
        <w:overflowPunct/>
        <w:topLinePunct w:val="0"/>
        <w:autoSpaceDE/>
        <w:autoSpaceDN/>
        <w:bidi w:val="0"/>
        <w:adjustRightInd/>
        <w:snapToGrid/>
        <w:spacing w:line="360" w:lineRule="auto"/>
        <w:ind w:firstLine="840" w:firstLineChars="350"/>
        <w:jc w:val="left"/>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最高限价：</w:t>
      </w:r>
      <w:r>
        <w:rPr>
          <w:rFonts w:hint="eastAsia" w:ascii="宋体" w:hAnsi="宋体" w:cs="宋体"/>
          <w:color w:val="auto"/>
          <w:sz w:val="24"/>
          <w:szCs w:val="24"/>
          <w:highlight w:val="none"/>
          <w:lang w:val="en-US" w:eastAsia="zh-CN"/>
        </w:rPr>
        <w:t>叁佰柒拾伍万元整（¥3750000.00）</w:t>
      </w:r>
    </w:p>
    <w:p w14:paraId="2180676B">
      <w:pPr>
        <w:spacing w:line="360" w:lineRule="auto"/>
        <w:ind w:firstLine="480"/>
        <w:rPr>
          <w:rFonts w:hint="eastAsia" w:ascii="宋体" w:hAnsi="宋体" w:cs="宋体"/>
          <w:color w:val="auto"/>
          <w:sz w:val="24"/>
          <w:szCs w:val="24"/>
          <w:highlight w:val="none"/>
        </w:rPr>
      </w:pPr>
      <w:r>
        <w:rPr>
          <w:rFonts w:hint="eastAsia" w:ascii="宋体" w:hAnsi="宋体" w:cs="宋体"/>
          <w:color w:val="auto"/>
          <w:sz w:val="24"/>
          <w:szCs w:val="24"/>
          <w:highlight w:val="none"/>
        </w:rPr>
        <w:t>4、采购需求：</w:t>
      </w:r>
      <w:r>
        <w:rPr>
          <w:rFonts w:hint="eastAsia" w:ascii="宋体" w:hAnsi="宋体" w:cs="宋体"/>
          <w:color w:val="auto"/>
          <w:sz w:val="24"/>
          <w:highlight w:val="none"/>
          <w:lang w:eastAsia="zh-CN"/>
        </w:rPr>
        <w:t>根据</w:t>
      </w:r>
      <w:r>
        <w:rPr>
          <w:rFonts w:hint="eastAsia" w:ascii="宋体" w:hAnsi="宋体" w:cs="宋体"/>
          <w:color w:val="auto"/>
          <w:sz w:val="24"/>
          <w:highlight w:val="none"/>
        </w:rPr>
        <w:t>医疗质量管理</w:t>
      </w:r>
      <w:r>
        <w:rPr>
          <w:rFonts w:hint="eastAsia" w:ascii="宋体" w:hAnsi="宋体" w:cs="宋体"/>
          <w:color w:val="auto"/>
          <w:sz w:val="24"/>
          <w:highlight w:val="none"/>
          <w:lang w:eastAsia="zh-CN"/>
        </w:rPr>
        <w:t>相关</w:t>
      </w:r>
      <w:r>
        <w:rPr>
          <w:rFonts w:hint="eastAsia" w:ascii="宋体" w:hAnsi="宋体" w:cs="宋体"/>
          <w:color w:val="auto"/>
          <w:sz w:val="24"/>
          <w:highlight w:val="none"/>
          <w:lang w:val="en-US" w:eastAsia="zh-CN"/>
        </w:rPr>
        <w:t>规范及本院</w:t>
      </w:r>
      <w:r>
        <w:rPr>
          <w:rFonts w:hint="eastAsia" w:ascii="宋体" w:hAnsi="宋体" w:cs="宋体"/>
          <w:color w:val="auto"/>
          <w:sz w:val="24"/>
          <w:highlight w:val="none"/>
        </w:rPr>
        <w:t>实际</w:t>
      </w:r>
      <w:r>
        <w:rPr>
          <w:rFonts w:hint="eastAsia" w:ascii="宋体" w:hAnsi="宋体" w:cs="宋体"/>
          <w:color w:val="auto"/>
          <w:sz w:val="24"/>
          <w:highlight w:val="none"/>
          <w:lang w:val="en-US" w:eastAsia="zh-CN"/>
        </w:rPr>
        <w:t>业务</w:t>
      </w:r>
      <w:r>
        <w:rPr>
          <w:rFonts w:hint="eastAsia" w:ascii="宋体" w:hAnsi="宋体" w:cs="宋体"/>
          <w:color w:val="auto"/>
          <w:sz w:val="24"/>
          <w:highlight w:val="none"/>
        </w:rPr>
        <w:t>需</w:t>
      </w:r>
      <w:r>
        <w:rPr>
          <w:rFonts w:hint="eastAsia" w:ascii="宋体" w:hAnsi="宋体" w:cs="宋体"/>
          <w:color w:val="auto"/>
          <w:sz w:val="24"/>
          <w:highlight w:val="none"/>
          <w:lang w:val="en-US" w:eastAsia="zh-CN"/>
        </w:rPr>
        <w:t>要</w:t>
      </w:r>
      <w:r>
        <w:rPr>
          <w:rFonts w:hint="eastAsia" w:ascii="宋体" w:hAnsi="宋体" w:cs="宋体"/>
          <w:color w:val="auto"/>
          <w:sz w:val="24"/>
          <w:highlight w:val="none"/>
        </w:rPr>
        <w:t>，</w:t>
      </w:r>
      <w:r>
        <w:rPr>
          <w:rFonts w:hint="eastAsia" w:ascii="宋体" w:hAnsi="宋体" w:cs="宋体"/>
          <w:color w:val="auto"/>
          <w:sz w:val="24"/>
          <w:highlight w:val="none"/>
          <w:lang w:eastAsia="zh-CN"/>
        </w:rPr>
        <w:t>拟将</w:t>
      </w:r>
      <w:r>
        <w:rPr>
          <w:rFonts w:hint="eastAsia" w:ascii="宋体" w:hAnsi="宋体" w:cs="宋体"/>
          <w:color w:val="auto"/>
          <w:sz w:val="24"/>
          <w:highlight w:val="none"/>
          <w:lang w:val="en-US" w:eastAsia="zh-CN"/>
        </w:rPr>
        <w:t>院内不具备</w:t>
      </w:r>
      <w:r>
        <w:rPr>
          <w:rFonts w:hint="eastAsia" w:ascii="宋体" w:hAnsi="宋体" w:cs="宋体"/>
          <w:color w:val="auto"/>
          <w:sz w:val="24"/>
          <w:highlight w:val="none"/>
        </w:rPr>
        <w:t>检测能力的检验</w:t>
      </w:r>
      <w:r>
        <w:rPr>
          <w:rFonts w:hint="eastAsia" w:ascii="宋体" w:hAnsi="宋体" w:cs="宋体"/>
          <w:color w:val="auto"/>
          <w:sz w:val="24"/>
          <w:highlight w:val="none"/>
          <w:lang w:val="en-US" w:eastAsia="zh-CN"/>
        </w:rPr>
        <w:t>检测</w:t>
      </w:r>
      <w:r>
        <w:rPr>
          <w:rFonts w:hint="eastAsia" w:ascii="宋体" w:hAnsi="宋体" w:cs="宋体"/>
          <w:color w:val="auto"/>
          <w:sz w:val="24"/>
          <w:highlight w:val="none"/>
        </w:rPr>
        <w:t>项目</w:t>
      </w:r>
      <w:r>
        <w:rPr>
          <w:rFonts w:hint="eastAsia" w:ascii="宋体" w:hAnsi="宋体" w:cs="宋体"/>
          <w:color w:val="auto"/>
          <w:sz w:val="24"/>
          <w:highlight w:val="none"/>
          <w:lang w:eastAsia="zh-CN"/>
        </w:rPr>
        <w:t>，</w:t>
      </w:r>
      <w:r>
        <w:rPr>
          <w:rFonts w:hint="eastAsia" w:ascii="宋体" w:hAnsi="宋体" w:cs="宋体"/>
          <w:color w:val="auto"/>
          <w:sz w:val="24"/>
          <w:highlight w:val="none"/>
          <w:lang w:val="en-US" w:eastAsia="zh-CN"/>
        </w:rPr>
        <w:t>委托具备资质的</w:t>
      </w:r>
      <w:r>
        <w:rPr>
          <w:rFonts w:hint="eastAsia" w:ascii="宋体" w:hAnsi="宋体" w:cs="宋体"/>
          <w:color w:val="auto"/>
          <w:sz w:val="24"/>
          <w:highlight w:val="none"/>
        </w:rPr>
        <w:t>第三方检测机构</w:t>
      </w:r>
      <w:r>
        <w:rPr>
          <w:rFonts w:hint="eastAsia" w:ascii="宋体" w:hAnsi="宋体" w:cs="宋体"/>
          <w:color w:val="auto"/>
          <w:sz w:val="24"/>
          <w:highlight w:val="none"/>
          <w:lang w:val="en-US" w:eastAsia="zh-CN"/>
        </w:rPr>
        <w:t>承接</w:t>
      </w:r>
      <w:r>
        <w:rPr>
          <w:rFonts w:hint="eastAsia" w:ascii="宋体" w:hAnsi="宋体" w:cs="宋体"/>
          <w:color w:val="auto"/>
          <w:sz w:val="24"/>
          <w:highlight w:val="none"/>
        </w:rPr>
        <w:t>检测</w:t>
      </w:r>
      <w:r>
        <w:rPr>
          <w:rFonts w:hint="eastAsia" w:ascii="宋体" w:hAnsi="宋体" w:cs="宋体"/>
          <w:color w:val="auto"/>
          <w:sz w:val="24"/>
          <w:highlight w:val="none"/>
          <w:lang w:val="en-US" w:eastAsia="zh-CN"/>
        </w:rPr>
        <w:t>服务；并配备</w:t>
      </w:r>
      <w:r>
        <w:rPr>
          <w:rFonts w:hint="eastAsia" w:ascii="宋体" w:hAnsi="宋体" w:cs="宋体"/>
          <w:color w:val="auto"/>
          <w:sz w:val="24"/>
          <w:szCs w:val="24"/>
          <w:highlight w:val="none"/>
        </w:rPr>
        <w:t>专人、专</w:t>
      </w:r>
      <w:r>
        <w:rPr>
          <w:rFonts w:hint="eastAsia" w:ascii="宋体" w:hAnsi="宋体" w:cs="宋体"/>
          <w:color w:val="auto"/>
          <w:sz w:val="24"/>
          <w:szCs w:val="24"/>
          <w:highlight w:val="none"/>
          <w:lang w:val="en-US" w:eastAsia="zh-CN"/>
        </w:rPr>
        <w:t>用</w:t>
      </w:r>
      <w:r>
        <w:rPr>
          <w:rFonts w:hint="eastAsia" w:ascii="宋体" w:hAnsi="宋体" w:cs="宋体"/>
          <w:color w:val="auto"/>
          <w:sz w:val="24"/>
          <w:szCs w:val="24"/>
          <w:highlight w:val="none"/>
        </w:rPr>
        <w:t>车</w:t>
      </w:r>
      <w:r>
        <w:rPr>
          <w:rFonts w:hint="eastAsia" w:ascii="宋体" w:hAnsi="宋体" w:cs="宋体"/>
          <w:color w:val="auto"/>
          <w:sz w:val="24"/>
          <w:szCs w:val="24"/>
          <w:highlight w:val="none"/>
          <w:lang w:val="en-US" w:eastAsia="zh-CN"/>
        </w:rPr>
        <w:t>辆，承担</w:t>
      </w:r>
      <w:r>
        <w:rPr>
          <w:rFonts w:hint="eastAsia" w:ascii="宋体" w:hAnsi="宋体" w:cs="宋体"/>
          <w:color w:val="auto"/>
          <w:sz w:val="24"/>
          <w:szCs w:val="24"/>
          <w:highlight w:val="none"/>
        </w:rPr>
        <w:t>医联体单位</w:t>
      </w:r>
      <w:r>
        <w:rPr>
          <w:rFonts w:hint="eastAsia" w:ascii="宋体" w:hAnsi="宋体" w:cs="宋体"/>
          <w:color w:val="auto"/>
          <w:sz w:val="24"/>
          <w:szCs w:val="24"/>
          <w:highlight w:val="none"/>
          <w:lang w:val="en-US" w:eastAsia="zh-CN"/>
        </w:rPr>
        <w:t>及检测机构</w:t>
      </w:r>
      <w:r>
        <w:rPr>
          <w:rFonts w:hint="eastAsia" w:ascii="宋体" w:hAnsi="宋体" w:cs="宋体"/>
          <w:color w:val="auto"/>
          <w:sz w:val="24"/>
          <w:szCs w:val="24"/>
          <w:highlight w:val="none"/>
        </w:rPr>
        <w:t>间</w:t>
      </w:r>
      <w:r>
        <w:rPr>
          <w:rFonts w:hint="eastAsia" w:ascii="宋体" w:hAnsi="宋体" w:cs="宋体"/>
          <w:color w:val="auto"/>
          <w:sz w:val="24"/>
          <w:szCs w:val="24"/>
          <w:highlight w:val="none"/>
          <w:lang w:val="en-US" w:eastAsia="zh-CN"/>
        </w:rPr>
        <w:t>的</w:t>
      </w:r>
      <w:r>
        <w:rPr>
          <w:rFonts w:hint="eastAsia" w:ascii="宋体" w:hAnsi="宋体" w:cs="宋体"/>
          <w:color w:val="auto"/>
          <w:sz w:val="24"/>
          <w:szCs w:val="24"/>
          <w:highlight w:val="none"/>
        </w:rPr>
        <w:t>样本</w:t>
      </w:r>
      <w:r>
        <w:rPr>
          <w:rFonts w:hint="eastAsia" w:ascii="宋体" w:hAnsi="宋体" w:cs="宋体"/>
          <w:color w:val="auto"/>
          <w:sz w:val="24"/>
          <w:szCs w:val="24"/>
          <w:highlight w:val="none"/>
          <w:lang w:val="en-US" w:eastAsia="zh-CN"/>
        </w:rPr>
        <w:t>归</w:t>
      </w:r>
      <w:r>
        <w:rPr>
          <w:rFonts w:hint="eastAsia" w:ascii="宋体" w:hAnsi="宋体" w:cs="宋体"/>
          <w:color w:val="auto"/>
          <w:sz w:val="24"/>
          <w:szCs w:val="24"/>
          <w:highlight w:val="none"/>
        </w:rPr>
        <w:t>集</w:t>
      </w:r>
      <w:r>
        <w:rPr>
          <w:rFonts w:hint="eastAsia" w:ascii="宋体" w:hAnsi="宋体" w:cs="宋体"/>
          <w:color w:val="auto"/>
          <w:sz w:val="24"/>
          <w:szCs w:val="24"/>
          <w:highlight w:val="none"/>
          <w:lang w:val="en-US" w:eastAsia="zh-CN"/>
        </w:rPr>
        <w:t>与</w:t>
      </w:r>
      <w:r>
        <w:rPr>
          <w:rFonts w:hint="eastAsia" w:ascii="宋体" w:hAnsi="宋体" w:cs="宋体"/>
          <w:color w:val="auto"/>
          <w:sz w:val="24"/>
          <w:szCs w:val="24"/>
          <w:highlight w:val="none"/>
        </w:rPr>
        <w:t>转运</w:t>
      </w:r>
      <w:r>
        <w:rPr>
          <w:rFonts w:hint="eastAsia" w:ascii="宋体" w:hAnsi="宋体" w:cs="宋体"/>
          <w:color w:val="auto"/>
          <w:sz w:val="24"/>
          <w:szCs w:val="24"/>
          <w:highlight w:val="none"/>
          <w:lang w:val="en-US" w:eastAsia="zh-CN"/>
        </w:rPr>
        <w:t>服务</w:t>
      </w:r>
      <w:r>
        <w:rPr>
          <w:rFonts w:hint="eastAsia" w:ascii="宋体" w:hAnsi="宋体" w:cs="宋体"/>
          <w:color w:val="auto"/>
          <w:sz w:val="24"/>
          <w:szCs w:val="24"/>
          <w:highlight w:val="none"/>
        </w:rPr>
        <w:t>（具体内容详见第四章招标书）。</w:t>
      </w:r>
    </w:p>
    <w:p w14:paraId="6DAA2BC8">
      <w:pPr>
        <w:spacing w:line="360" w:lineRule="auto"/>
        <w:ind w:firstLine="480"/>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rPr>
        <w:t>5、合同履行期限：</w:t>
      </w:r>
      <w:r>
        <w:rPr>
          <w:rFonts w:hint="eastAsia" w:ascii="宋体" w:hAnsi="宋体" w:cs="宋体"/>
          <w:color w:val="auto"/>
          <w:sz w:val="24"/>
          <w:szCs w:val="24"/>
          <w:highlight w:val="none"/>
          <w:lang w:eastAsia="zh-CN"/>
        </w:rPr>
        <w:t>合同签订后一年（具体项目开始时间以采购单位通知为准）</w:t>
      </w:r>
      <w:r>
        <w:rPr>
          <w:rFonts w:hint="eastAsia" w:ascii="宋体" w:hAnsi="宋体" w:cs="宋体"/>
          <w:color w:val="auto"/>
          <w:sz w:val="24"/>
          <w:szCs w:val="24"/>
          <w:highlight w:val="none"/>
        </w:rPr>
        <w:t>。</w:t>
      </w:r>
    </w:p>
    <w:p w14:paraId="77B5F881">
      <w:pPr>
        <w:spacing w:line="360" w:lineRule="auto"/>
        <w:ind w:firstLine="48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二、供应商的资格要求：</w:t>
      </w:r>
    </w:p>
    <w:p w14:paraId="18D13274">
      <w:pPr>
        <w:spacing w:line="360" w:lineRule="auto"/>
        <w:ind w:firstLine="48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1、满足《中华人民共和国政府采购法》第二十二条规定，投标人应当具备下列条件：</w:t>
      </w:r>
    </w:p>
    <w:p w14:paraId="4D29F109">
      <w:pPr>
        <w:spacing w:line="360" w:lineRule="auto"/>
        <w:ind w:firstLine="48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1.1具有独立承担民事责任的能力；</w:t>
      </w:r>
    </w:p>
    <w:p w14:paraId="1F71FB8E">
      <w:pPr>
        <w:spacing w:line="360" w:lineRule="auto"/>
        <w:ind w:firstLine="48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1.2具有良好的商业信誉和健全的财务会计制度；</w:t>
      </w:r>
    </w:p>
    <w:p w14:paraId="0FE89580">
      <w:pPr>
        <w:spacing w:line="360" w:lineRule="auto"/>
        <w:ind w:firstLine="48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1.3具有履行合同</w:t>
      </w:r>
      <w:r>
        <w:rPr>
          <w:rFonts w:hint="eastAsia" w:ascii="宋体" w:hAnsi="宋体" w:cs="宋体"/>
          <w:color w:val="auto"/>
          <w:sz w:val="24"/>
          <w:szCs w:val="24"/>
          <w:highlight w:val="none"/>
          <w:lang w:eastAsia="zh-CN"/>
        </w:rPr>
        <w:t>所必需的</w:t>
      </w:r>
      <w:r>
        <w:rPr>
          <w:rFonts w:hint="eastAsia" w:ascii="宋体" w:hAnsi="宋体" w:cs="宋体"/>
          <w:color w:val="auto"/>
          <w:sz w:val="24"/>
          <w:szCs w:val="24"/>
          <w:highlight w:val="none"/>
        </w:rPr>
        <w:t>设备和专业技术能力；</w:t>
      </w:r>
    </w:p>
    <w:p w14:paraId="55AED236">
      <w:pPr>
        <w:spacing w:line="360" w:lineRule="auto"/>
        <w:ind w:firstLine="48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1.4有依法缴纳税收和社会保障基金的良好记录；</w:t>
      </w:r>
    </w:p>
    <w:p w14:paraId="755F0A69">
      <w:pPr>
        <w:spacing w:line="360" w:lineRule="auto"/>
        <w:ind w:firstLine="48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1.5参加政府采购活动前三年内，在经营活动中没有重大违法记录；</w:t>
      </w:r>
    </w:p>
    <w:p w14:paraId="5FCE916B">
      <w:pPr>
        <w:spacing w:line="360" w:lineRule="auto"/>
        <w:ind w:firstLine="48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1.6法律、行政法规规定的其他条件。</w:t>
      </w:r>
    </w:p>
    <w:p w14:paraId="494F8BDE">
      <w:pPr>
        <w:spacing w:line="360" w:lineRule="auto"/>
        <w:ind w:firstLine="48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2、落实政府采购政策需满足的资格要求：</w:t>
      </w:r>
      <w:r>
        <w:rPr>
          <w:rFonts w:hint="eastAsia" w:ascii="宋体" w:hAnsi="宋体" w:cs="宋体"/>
          <w:b w:val="0"/>
          <w:bCs w:val="0"/>
          <w:color w:val="auto"/>
          <w:sz w:val="24"/>
          <w:highlight w:val="none"/>
          <w:lang w:val="en-US" w:eastAsia="zh-CN"/>
        </w:rPr>
        <w:t>无</w:t>
      </w:r>
      <w:r>
        <w:rPr>
          <w:rFonts w:hint="eastAsia" w:ascii="宋体" w:hAnsi="宋体" w:cs="宋体"/>
          <w:color w:val="auto"/>
          <w:sz w:val="24"/>
          <w:szCs w:val="24"/>
          <w:highlight w:val="none"/>
        </w:rPr>
        <w:t>。</w:t>
      </w:r>
    </w:p>
    <w:p w14:paraId="63FAE6D2">
      <w:pPr>
        <w:spacing w:line="360" w:lineRule="auto"/>
        <w:ind w:firstLine="48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3、本项目的特定资格要求：</w:t>
      </w:r>
    </w:p>
    <w:p w14:paraId="00F795F4">
      <w:pPr>
        <w:spacing w:line="360" w:lineRule="auto"/>
        <w:ind w:firstLine="480"/>
        <w:jc w:val="left"/>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3.1具有有效期内的《医疗机构执业许可证》。</w:t>
      </w:r>
    </w:p>
    <w:p w14:paraId="12CC7C07">
      <w:pPr>
        <w:spacing w:line="360" w:lineRule="auto"/>
        <w:ind w:firstLine="480"/>
        <w:jc w:val="left"/>
        <w:rPr>
          <w:rFonts w:ascii="宋体" w:hAnsi="宋体" w:cs="宋体"/>
          <w:color w:val="auto"/>
          <w:sz w:val="24"/>
          <w:szCs w:val="24"/>
          <w:highlight w:val="none"/>
        </w:rPr>
      </w:pPr>
      <w:r>
        <w:rPr>
          <w:rFonts w:hint="eastAsia" w:ascii="宋体" w:hAnsi="宋体" w:cs="宋体"/>
          <w:color w:val="auto"/>
          <w:sz w:val="24"/>
          <w:szCs w:val="24"/>
          <w:highlight w:val="none"/>
          <w:lang w:val="en-US" w:eastAsia="zh-CN"/>
        </w:rPr>
        <w:t>3.2</w:t>
      </w:r>
      <w:r>
        <w:rPr>
          <w:rFonts w:ascii="宋体" w:hAnsi="宋体" w:cs="宋体"/>
          <w:color w:val="auto"/>
          <w:sz w:val="24"/>
          <w:szCs w:val="24"/>
          <w:highlight w:val="none"/>
        </w:rPr>
        <w:t>未被“信用中国”网站（www.creditchina.gov.cn）列入失信被执行人、重大税收违法案件当事人名单、政府采购严重失信行为记录名单。</w:t>
      </w:r>
    </w:p>
    <w:p w14:paraId="6C1CD02C">
      <w:pPr>
        <w:spacing w:line="360" w:lineRule="auto"/>
        <w:ind w:firstLine="480"/>
        <w:jc w:val="left"/>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3.3</w:t>
      </w:r>
      <w:r>
        <w:rPr>
          <w:rFonts w:hint="eastAsia" w:ascii="宋体" w:hAnsi="宋体" w:cs="宋体"/>
          <w:color w:val="auto"/>
          <w:sz w:val="24"/>
          <w:highlight w:val="none"/>
        </w:rPr>
        <w:t>单位负责人为同一人或者存在直接控股、管理关系的不同供应商（包含法定代表人为同一个人的两个及两个以上法人，母公司、全资子公司及其控股公司），不得参加同一合同项下的政府采购活动。</w:t>
      </w:r>
    </w:p>
    <w:p w14:paraId="0352A3EB">
      <w:pPr>
        <w:spacing w:line="360" w:lineRule="auto"/>
        <w:ind w:firstLine="48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4、联合体及转包、分包：本项目不接受联合体，不得转包、分包本项目。</w:t>
      </w:r>
    </w:p>
    <w:p w14:paraId="3EA4AB45">
      <w:pPr>
        <w:spacing w:line="360" w:lineRule="auto"/>
        <w:ind w:firstLine="48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三、获取招标文件：</w:t>
      </w:r>
    </w:p>
    <w:p w14:paraId="215FAC46">
      <w:pPr>
        <w:spacing w:line="360" w:lineRule="auto"/>
        <w:ind w:firstLine="48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1、时间：自公告发布之日起5个工作日，每天上午00:00-12:00，下午12:00-23:59（北京时间，法定节假日除外）</w:t>
      </w:r>
    </w:p>
    <w:p w14:paraId="70B082B7">
      <w:pPr>
        <w:spacing w:line="360" w:lineRule="auto"/>
        <w:ind w:firstLine="48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2、地点：苏采云系统 </w:t>
      </w:r>
    </w:p>
    <w:p w14:paraId="69DF5B62">
      <w:pPr>
        <w:spacing w:line="360" w:lineRule="auto"/>
        <w:ind w:firstLine="48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3、方式：苏采云系统报名后自行下载 </w:t>
      </w:r>
    </w:p>
    <w:p w14:paraId="757B9042">
      <w:pPr>
        <w:spacing w:line="360" w:lineRule="auto"/>
        <w:ind w:firstLine="48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4、售价：0.00元</w:t>
      </w:r>
    </w:p>
    <w:p w14:paraId="5BD1E02D">
      <w:pPr>
        <w:spacing w:line="360" w:lineRule="auto"/>
        <w:ind w:firstLine="48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四、提交投标文件截止时间、开标时间和地点</w:t>
      </w:r>
    </w:p>
    <w:p w14:paraId="73B65352">
      <w:pPr>
        <w:spacing w:line="360" w:lineRule="auto"/>
        <w:ind w:firstLine="48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1、提交投标文件截止时间：</w:t>
      </w:r>
      <w:r>
        <w:rPr>
          <w:rFonts w:hint="eastAsia" w:ascii="宋体" w:hAnsi="宋体" w:cs="宋体"/>
          <w:color w:val="auto"/>
          <w:sz w:val="24"/>
          <w:szCs w:val="24"/>
          <w:highlight w:val="none"/>
          <w:lang w:eastAsia="zh-CN"/>
        </w:rPr>
        <w:t>2026年7月9日</w:t>
      </w:r>
      <w:r>
        <w:rPr>
          <w:rFonts w:hint="eastAsia" w:ascii="宋体" w:hAnsi="宋体" w:cs="宋体"/>
          <w:color w:val="auto"/>
          <w:sz w:val="24"/>
          <w:szCs w:val="24"/>
          <w:highlight w:val="none"/>
        </w:rPr>
        <w:t>13点30分（北京时间）</w:t>
      </w:r>
    </w:p>
    <w:p w14:paraId="24814EAC">
      <w:pPr>
        <w:spacing w:line="360" w:lineRule="auto"/>
        <w:ind w:firstLine="48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2、开标时间：</w:t>
      </w:r>
      <w:r>
        <w:rPr>
          <w:rFonts w:hint="eastAsia" w:ascii="宋体" w:hAnsi="宋体" w:cs="宋体"/>
          <w:color w:val="auto"/>
          <w:sz w:val="24"/>
          <w:szCs w:val="24"/>
          <w:highlight w:val="none"/>
          <w:lang w:eastAsia="zh-CN"/>
        </w:rPr>
        <w:t>2026年7月9日13</w:t>
      </w:r>
      <w:r>
        <w:rPr>
          <w:rFonts w:hint="eastAsia" w:ascii="宋体" w:hAnsi="宋体" w:cs="宋体"/>
          <w:color w:val="auto"/>
          <w:sz w:val="24"/>
          <w:szCs w:val="24"/>
          <w:highlight w:val="none"/>
        </w:rPr>
        <w:t>点30分（北京时间）</w:t>
      </w:r>
    </w:p>
    <w:p w14:paraId="5C106944">
      <w:pPr>
        <w:spacing w:line="360" w:lineRule="auto"/>
        <w:ind w:firstLine="48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3、开标地点：“苏采云”系统（网址：http://jszfcg.jsczt.cn/）</w:t>
      </w:r>
    </w:p>
    <w:p w14:paraId="565DC882">
      <w:pPr>
        <w:spacing w:line="360" w:lineRule="auto"/>
        <w:ind w:firstLine="48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五、公告期限：自本公告发布之日起5个工作日。</w:t>
      </w:r>
    </w:p>
    <w:p w14:paraId="71ABFA40">
      <w:pPr>
        <w:spacing w:line="360" w:lineRule="auto"/>
        <w:ind w:firstLine="48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六、其他补充事宜</w:t>
      </w:r>
    </w:p>
    <w:p w14:paraId="28A91703">
      <w:pPr>
        <w:spacing w:line="360" w:lineRule="auto"/>
        <w:ind w:firstLine="48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1、本次采购的有关信息将在苏州市政府采购网、江苏政府采购网</w:t>
      </w:r>
      <w:r>
        <w:rPr>
          <w:rFonts w:hint="eastAsia" w:ascii="宋体" w:hAnsi="宋体" w:cs="宋体"/>
          <w:color w:val="auto"/>
          <w:sz w:val="24"/>
          <w:szCs w:val="24"/>
          <w:highlight w:val="none"/>
          <w:lang w:eastAsia="zh-CN"/>
        </w:rPr>
        <w:t>、中国政府采购网</w:t>
      </w:r>
      <w:r>
        <w:rPr>
          <w:rFonts w:hint="eastAsia" w:ascii="宋体" w:hAnsi="宋体" w:cs="宋体"/>
          <w:color w:val="auto"/>
          <w:sz w:val="24"/>
          <w:szCs w:val="24"/>
          <w:highlight w:val="none"/>
        </w:rPr>
        <w:t>上发布；有关该采购项目的澄清、修正及中标等信息亦在以上网站发布，敬请留意。</w:t>
      </w:r>
    </w:p>
    <w:p w14:paraId="643CD60B">
      <w:pPr>
        <w:spacing w:line="360" w:lineRule="auto"/>
        <w:ind w:firstLine="48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2、政府采购监督电话：0512</w:t>
      </w:r>
      <w:r>
        <w:rPr>
          <w:rFonts w:hint="eastAsia" w:ascii="宋体" w:hAnsi="宋体" w:cs="宋体"/>
          <w:color w:val="auto"/>
          <w:sz w:val="24"/>
          <w:szCs w:val="24"/>
          <w:highlight w:val="none"/>
          <w:lang w:eastAsia="zh-CN"/>
        </w:rPr>
        <w:t>-</w:t>
      </w:r>
      <w:r>
        <w:rPr>
          <w:rFonts w:hint="eastAsia" w:ascii="宋体" w:hAnsi="宋体" w:cs="宋体"/>
          <w:color w:val="auto"/>
          <w:sz w:val="24"/>
          <w:highlight w:val="none"/>
          <w:lang w:eastAsia="zh-CN"/>
        </w:rPr>
        <w:t>68616651</w:t>
      </w:r>
      <w:r>
        <w:rPr>
          <w:rFonts w:hint="eastAsia" w:ascii="宋体" w:hAnsi="宋体" w:cs="宋体"/>
          <w:color w:val="auto"/>
          <w:sz w:val="24"/>
          <w:szCs w:val="24"/>
          <w:highlight w:val="none"/>
        </w:rPr>
        <w:t>。</w:t>
      </w:r>
    </w:p>
    <w:p w14:paraId="2E7B1024">
      <w:pPr>
        <w:spacing w:line="360" w:lineRule="auto"/>
        <w:ind w:firstLine="480"/>
        <w:jc w:val="left"/>
        <w:rPr>
          <w:rFonts w:hint="eastAsia" w:ascii="宋体" w:hAnsi="宋体" w:cs="宋体"/>
          <w:color w:val="auto"/>
          <w:sz w:val="24"/>
          <w:szCs w:val="24"/>
          <w:highlight w:val="none"/>
          <w:lang w:val="zh-TW"/>
        </w:rPr>
      </w:pPr>
      <w:r>
        <w:rPr>
          <w:rFonts w:hint="eastAsia" w:ascii="宋体" w:hAnsi="宋体" w:cs="宋体"/>
          <w:color w:val="auto"/>
          <w:sz w:val="24"/>
          <w:szCs w:val="24"/>
          <w:highlight w:val="none"/>
        </w:rPr>
        <w:t>3、</w:t>
      </w:r>
      <w:r>
        <w:rPr>
          <w:rFonts w:hint="eastAsia" w:ascii="宋体" w:hAnsi="宋体" w:cs="宋体"/>
          <w:color w:val="auto"/>
          <w:sz w:val="24"/>
          <w:szCs w:val="24"/>
          <w:highlight w:val="none"/>
          <w:lang w:val="zh-TW" w:eastAsia="zh-TW"/>
        </w:rPr>
        <w:t>供应商在</w:t>
      </w:r>
      <w:r>
        <w:rPr>
          <w:rFonts w:hint="eastAsia" w:ascii="宋体" w:hAnsi="宋体" w:cs="宋体"/>
          <w:color w:val="auto"/>
          <w:sz w:val="24"/>
          <w:szCs w:val="24"/>
          <w:highlight w:val="none"/>
          <w:lang w:val="zh-TW"/>
        </w:rPr>
        <w:t>报名、下载、制作采购文件</w:t>
      </w:r>
      <w:r>
        <w:rPr>
          <w:rFonts w:hint="eastAsia" w:ascii="宋体" w:hAnsi="宋体" w:cs="宋体"/>
          <w:color w:val="auto"/>
          <w:sz w:val="24"/>
          <w:szCs w:val="24"/>
          <w:highlight w:val="none"/>
          <w:lang w:val="zh-TW" w:eastAsia="zh-TW"/>
        </w:rPr>
        <w:t>过程中如有</w:t>
      </w:r>
      <w:r>
        <w:rPr>
          <w:rFonts w:hint="eastAsia" w:ascii="宋体" w:hAnsi="宋体" w:cs="宋体"/>
          <w:color w:val="auto"/>
          <w:sz w:val="24"/>
          <w:szCs w:val="24"/>
          <w:highlight w:val="none"/>
          <w:lang w:val="zh-TW"/>
        </w:rPr>
        <w:t>软件操作方面</w:t>
      </w:r>
      <w:r>
        <w:rPr>
          <w:rFonts w:hint="eastAsia" w:ascii="宋体" w:hAnsi="宋体" w:cs="宋体"/>
          <w:color w:val="auto"/>
          <w:sz w:val="24"/>
          <w:szCs w:val="24"/>
          <w:highlight w:val="none"/>
          <w:lang w:val="zh-TW" w:eastAsia="zh-TW"/>
        </w:rPr>
        <w:t>疑问，请拨打</w:t>
      </w:r>
      <w:r>
        <w:rPr>
          <w:rFonts w:hint="eastAsia" w:ascii="宋体" w:hAnsi="宋体" w:cs="宋体"/>
          <w:color w:val="auto"/>
          <w:sz w:val="24"/>
          <w:szCs w:val="24"/>
          <w:highlight w:val="none"/>
          <w:lang w:val="zh-TW"/>
        </w:rPr>
        <w:t xml:space="preserve">（1）注册咨询：18261002950；（2）CA技术咨询电话：400-608-6099；（3）签章使用问题：025-83633811、025-83633812、15380932027、15371015030；（4）系统使用指导与咨询：联系电话：18261002950；QQ：3048755361、1315179389、895706745。 </w:t>
      </w:r>
    </w:p>
    <w:p w14:paraId="586692DA">
      <w:pPr>
        <w:spacing w:line="360" w:lineRule="auto"/>
        <w:ind w:firstLine="48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4、报名方式（网上报名）</w:t>
      </w:r>
    </w:p>
    <w:p w14:paraId="02459E1A">
      <w:pPr>
        <w:spacing w:line="360" w:lineRule="auto"/>
        <w:ind w:firstLine="480"/>
        <w:jc w:val="both"/>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rPr>
        <w:t>4.1申领CA证书：供应商参与政府采购活动需办理江苏省电子政务证书认证中心CA证书和方正国际软件（北京）有限公司电子签章。CA证书及电子签章的办理方法详见苏州市政府采购网―法规政策--《转发省财政厅关于更换全省政府采购交易系统CA数字证书和电子签章的通知》或者“苏采云”系统登录界面中的“新CA办理指南”。“苏采云”系统目前仅支持“苏采云”系统下的政务CA证书，江苏省内各地区办理的“苏采云”系统下的政务CA证书全省通用。苏州现场办理地址：苏州高新区邓尉路105号狮山科技馆1楼服务大厅，咨询电话：0512-</w:t>
      </w:r>
      <w:r>
        <w:rPr>
          <w:rFonts w:hint="eastAsia" w:ascii="宋体" w:hAnsi="宋体" w:cs="宋体"/>
          <w:color w:val="auto"/>
          <w:sz w:val="24"/>
          <w:szCs w:val="24"/>
          <w:highlight w:val="none"/>
          <w:lang w:eastAsia="zh-CN"/>
        </w:rPr>
        <w:t>65737699。</w:t>
      </w:r>
    </w:p>
    <w:p w14:paraId="29EAB4C5">
      <w:pPr>
        <w:spacing w:line="360" w:lineRule="auto"/>
        <w:ind w:firstLine="48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4.2登录报名：供应商插入CA证书登录“苏采云”系统后选择具体项目，点击“我要参与”并签章提交《投标供应商确认函》，提交《投标供应商确认函》日期视同为依法获取招标文件日期。供应商须打印、保留《投标供应商确认函》，质疑时《投标供应商确认函》与质疑函一并提交；未依照招标公告要求提交《投标供应商确认函》的供应商，视为未参与该项政府采购活动，不具备对该政府采购项目提出质疑的法定权利，但因供应商资格条件或获取招标文件时间设定不符合有关法律法规规定等原因使供应商权益受损的除外。</w:t>
      </w:r>
    </w:p>
    <w:p w14:paraId="118AA99F">
      <w:pPr>
        <w:spacing w:line="360" w:lineRule="auto"/>
        <w:ind w:firstLine="48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5.制作、提交电子投标文件：</w:t>
      </w:r>
    </w:p>
    <w:p w14:paraId="0FC3BD0C">
      <w:pPr>
        <w:spacing w:line="360" w:lineRule="auto"/>
        <w:ind w:firstLine="48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5.1本项目采用电子招投标方式，供应商在“苏采云”系统中操作成功参与项目后，必须在“已参与项目”界面中下载电子招标文件（后缀名为“.kedt”）并导入政府采购客户端工具后方可进行投标文件制作和提交（具体详见《苏采云系统供应商操作手册》，网址链接</w:t>
      </w:r>
      <w:r>
        <w:rPr>
          <w:color w:val="auto"/>
          <w:highlight w:val="none"/>
        </w:rPr>
        <w:fldChar w:fldCharType="begin"/>
      </w:r>
      <w:r>
        <w:rPr>
          <w:color w:val="auto"/>
          <w:highlight w:val="none"/>
        </w:rPr>
        <w:instrText xml:space="preserve"> HYPERLINK "https://czju.suzhou.gov.cn/zfcg/html/content/20231220161910031.shtml" </w:instrText>
      </w:r>
      <w:r>
        <w:rPr>
          <w:color w:val="auto"/>
          <w:highlight w:val="none"/>
        </w:rPr>
        <w:fldChar w:fldCharType="separate"/>
      </w:r>
      <w:r>
        <w:rPr>
          <w:rFonts w:hint="eastAsia" w:ascii="宋体" w:hAnsi="宋体" w:cs="宋体"/>
          <w:color w:val="auto"/>
          <w:sz w:val="24"/>
          <w:szCs w:val="24"/>
          <w:highlight w:val="none"/>
        </w:rPr>
        <w:t>https://czju.suzhou.gov.cn/zfcg/html/content/20231220161910031.shtml</w:t>
      </w:r>
      <w:r>
        <w:rPr>
          <w:rFonts w:hint="eastAsia" w:ascii="宋体" w:hAnsi="宋体" w:cs="宋体"/>
          <w:color w:val="auto"/>
          <w:sz w:val="24"/>
          <w:szCs w:val="24"/>
          <w:highlight w:val="none"/>
        </w:rPr>
        <w:fldChar w:fldCharType="end"/>
      </w:r>
      <w:r>
        <w:rPr>
          <w:rFonts w:hint="eastAsia" w:ascii="宋体" w:hAnsi="宋体" w:cs="宋体"/>
          <w:color w:val="auto"/>
          <w:sz w:val="24"/>
          <w:szCs w:val="24"/>
          <w:highlight w:val="none"/>
        </w:rPr>
        <w:t>）。</w:t>
      </w:r>
    </w:p>
    <w:p w14:paraId="4B58E566">
      <w:pPr>
        <w:spacing w:line="360" w:lineRule="auto"/>
        <w:ind w:firstLine="48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5.2补充通知（如有）：成功获取招标文件的供应商应及时关注政府采购信息发布媒体上发布的更正（补充）公告，同时在“苏采云”系统中下载更正（补充）资料，如有遗漏（包括但不限于文件未下载或下载不完整），可能无法解密投标（响应）文件，由此所造成的响应失败或损失由供应商自行负责。</w:t>
      </w:r>
    </w:p>
    <w:p w14:paraId="523E9BA0">
      <w:pPr>
        <w:spacing w:line="360" w:lineRule="auto"/>
        <w:ind w:firstLine="48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5.3本项目采用电子投标形式，请供应商按照《苏采云系统供应商操作手册》、招标文件要求进行制作、上传电子投标文件；电子投标文件制作完成后请于投标文件提交截止时间前成功上传至“苏采云”系统，否则视为放弃参加该采购项目；供应商应</w:t>
      </w:r>
      <w:r>
        <w:rPr>
          <w:rFonts w:hint="eastAsia" w:ascii="宋体" w:hAnsi="宋体" w:cs="宋体"/>
          <w:color w:val="auto"/>
          <w:sz w:val="24"/>
          <w:szCs w:val="24"/>
          <w:highlight w:val="none"/>
          <w:lang w:eastAsia="zh-CN"/>
        </w:rPr>
        <w:t>充分考虑</w:t>
      </w:r>
      <w:r>
        <w:rPr>
          <w:rFonts w:hint="eastAsia" w:ascii="宋体" w:hAnsi="宋体" w:cs="宋体"/>
          <w:color w:val="auto"/>
          <w:sz w:val="24"/>
          <w:szCs w:val="24"/>
          <w:highlight w:val="none"/>
        </w:rPr>
        <w:t>网络环境、网络带宽等风险因素，如因供应商自身原因造成的电子投标文件上传不成功由供应商自行承担全部责任。</w:t>
      </w:r>
    </w:p>
    <w:p w14:paraId="7145795E">
      <w:pPr>
        <w:spacing w:line="360" w:lineRule="auto"/>
        <w:ind w:firstLine="48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6.开标方式：线上不见面开标，供应商登录“苏采云”系统在平台首页点击“开标大厅”，进入江苏省政府采购一体化不见面开标（采购）大厅，在今日项目列表，点击项目，进入不见面开标系统。开标阶段供应商在【供应商解密】环节必须使用CA证书解密电子投标文件，如在系统规定的解密时间内</w:t>
      </w:r>
      <w:r>
        <w:rPr>
          <w:rFonts w:hint="eastAsia" w:ascii="宋体" w:hAnsi="宋体" w:cs="宋体"/>
          <w:b/>
          <w:bCs/>
          <w:color w:val="auto"/>
          <w:sz w:val="24"/>
          <w:szCs w:val="24"/>
          <w:highlight w:val="none"/>
        </w:rPr>
        <w:t>（投标文件提交截止时间后30分钟）</w:t>
      </w:r>
      <w:r>
        <w:rPr>
          <w:rFonts w:hint="eastAsia" w:ascii="宋体" w:hAnsi="宋体" w:cs="宋体"/>
          <w:color w:val="auto"/>
          <w:sz w:val="24"/>
          <w:szCs w:val="24"/>
          <w:highlight w:val="none"/>
        </w:rPr>
        <w:t>未能完成解密的视为放弃投标。请供应商确保电脑、系统及其他设备（视频输入输出设备等）无误，且开标直至项目结束始终保持系统在线状态。</w:t>
      </w:r>
    </w:p>
    <w:p w14:paraId="1F6A1B7D">
      <w:pPr>
        <w:spacing w:line="360" w:lineRule="auto"/>
        <w:ind w:firstLine="48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七、对本次招标提出询问，请按以下方式联系：</w:t>
      </w:r>
    </w:p>
    <w:p w14:paraId="7CD691F7">
      <w:pPr>
        <w:spacing w:line="360" w:lineRule="auto"/>
        <w:ind w:firstLine="48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1、采购人信息</w:t>
      </w:r>
    </w:p>
    <w:p w14:paraId="2157370C">
      <w:pPr>
        <w:spacing w:line="360" w:lineRule="auto"/>
        <w:ind w:firstLine="480"/>
        <w:jc w:val="left"/>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rPr>
        <w:t>名 称：</w:t>
      </w:r>
      <w:r>
        <w:rPr>
          <w:rFonts w:hint="eastAsia" w:ascii="宋体" w:hAnsi="宋体" w:cs="宋体"/>
          <w:color w:val="auto"/>
          <w:sz w:val="24"/>
          <w:szCs w:val="24"/>
          <w:highlight w:val="none"/>
          <w:lang w:eastAsia="zh-CN"/>
        </w:rPr>
        <w:t>苏州市立医院</w:t>
      </w:r>
    </w:p>
    <w:p w14:paraId="42702812">
      <w:pPr>
        <w:spacing w:line="360" w:lineRule="auto"/>
        <w:ind w:firstLine="480"/>
        <w:jc w:val="left"/>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rPr>
        <w:t>地 址：</w:t>
      </w:r>
      <w:r>
        <w:rPr>
          <w:rFonts w:hint="eastAsia" w:ascii="宋体" w:hAnsi="宋体" w:cs="宋体"/>
          <w:color w:val="auto"/>
          <w:sz w:val="24"/>
          <w:szCs w:val="24"/>
          <w:highlight w:val="none"/>
          <w:lang w:val="en-US" w:eastAsia="zh-CN"/>
        </w:rPr>
        <w:t>苏州市道前街26号</w:t>
      </w:r>
    </w:p>
    <w:p w14:paraId="30FF71DD">
      <w:pPr>
        <w:spacing w:line="360" w:lineRule="auto"/>
        <w:ind w:firstLine="480"/>
        <w:jc w:val="left"/>
        <w:rPr>
          <w:rFonts w:hint="default" w:ascii="宋体" w:hAnsi="宋体" w:cs="宋体"/>
          <w:color w:val="auto"/>
          <w:sz w:val="24"/>
          <w:szCs w:val="24"/>
          <w:highlight w:val="none"/>
          <w:lang w:val="en-US"/>
        </w:rPr>
      </w:pPr>
      <w:r>
        <w:rPr>
          <w:rFonts w:hint="eastAsia" w:ascii="宋体" w:hAnsi="宋体" w:cs="宋体"/>
          <w:color w:val="auto"/>
          <w:sz w:val="24"/>
          <w:szCs w:val="24"/>
          <w:highlight w:val="none"/>
        </w:rPr>
        <w:t>联系方式：</w:t>
      </w:r>
      <w:r>
        <w:rPr>
          <w:rFonts w:hint="eastAsia" w:ascii="宋体" w:hAnsi="宋体" w:cs="宋体"/>
          <w:color w:val="auto"/>
          <w:sz w:val="24"/>
          <w:szCs w:val="24"/>
          <w:highlight w:val="none"/>
          <w:lang w:val="en-US" w:eastAsia="zh-CN"/>
        </w:rPr>
        <w:t>王俊文/0512-62362541</w:t>
      </w:r>
    </w:p>
    <w:p w14:paraId="70F3C314">
      <w:pPr>
        <w:spacing w:line="360" w:lineRule="auto"/>
        <w:ind w:firstLine="48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2、采购代理机构信息</w:t>
      </w:r>
    </w:p>
    <w:p w14:paraId="30A77CEA">
      <w:pPr>
        <w:spacing w:line="360" w:lineRule="auto"/>
        <w:ind w:firstLine="48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名 称：苏州时代招投标有限公司</w:t>
      </w:r>
    </w:p>
    <w:p w14:paraId="131F410B">
      <w:pPr>
        <w:spacing w:line="360" w:lineRule="auto"/>
        <w:ind w:firstLine="48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地 址：苏州市虎丘区滨河路1388号3B 501室</w:t>
      </w:r>
    </w:p>
    <w:p w14:paraId="00E98175">
      <w:pPr>
        <w:spacing w:line="360" w:lineRule="auto"/>
        <w:ind w:firstLine="48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联系方式：</w:t>
      </w:r>
      <w:r>
        <w:rPr>
          <w:rFonts w:hint="eastAsia" w:ascii="宋体" w:hAnsi="宋体" w:cs="宋体"/>
          <w:color w:val="auto"/>
          <w:sz w:val="24"/>
          <w:szCs w:val="24"/>
          <w:highlight w:val="none"/>
          <w:lang w:eastAsia="zh-CN"/>
        </w:rPr>
        <w:t>褚磊</w:t>
      </w:r>
      <w:r>
        <w:rPr>
          <w:rFonts w:hint="eastAsia" w:ascii="宋体" w:hAnsi="宋体" w:cs="宋体"/>
          <w:color w:val="auto"/>
          <w:sz w:val="24"/>
          <w:szCs w:val="24"/>
          <w:highlight w:val="none"/>
        </w:rPr>
        <w:t>/0512-65201419</w:t>
      </w:r>
    </w:p>
    <w:p w14:paraId="34A41F38">
      <w:pPr>
        <w:spacing w:line="360" w:lineRule="auto"/>
        <w:ind w:firstLine="48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3、项目联系方式</w:t>
      </w:r>
    </w:p>
    <w:p w14:paraId="12FEF685">
      <w:pPr>
        <w:spacing w:line="360" w:lineRule="auto"/>
        <w:ind w:firstLine="480"/>
        <w:jc w:val="left"/>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rPr>
        <w:t>项目联系人：</w:t>
      </w:r>
      <w:r>
        <w:rPr>
          <w:rFonts w:hint="eastAsia" w:ascii="宋体" w:hAnsi="宋体" w:cs="宋体"/>
          <w:color w:val="auto"/>
          <w:sz w:val="24"/>
          <w:szCs w:val="24"/>
          <w:highlight w:val="none"/>
          <w:lang w:eastAsia="zh-CN"/>
        </w:rPr>
        <w:t>褚磊、叶素萍、徐蕾、陈婷、吴靓</w:t>
      </w:r>
    </w:p>
    <w:p w14:paraId="7684E440">
      <w:pPr>
        <w:spacing w:line="360" w:lineRule="auto"/>
        <w:ind w:firstLine="48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电 话：0512-65201419</w:t>
      </w:r>
    </w:p>
    <w:p w14:paraId="40224FFE">
      <w:pPr>
        <w:spacing w:line="360" w:lineRule="auto"/>
        <w:ind w:firstLine="480"/>
        <w:rPr>
          <w:rFonts w:hint="eastAsia" w:ascii="宋体" w:hAnsi="宋体" w:cs="宋体"/>
          <w:color w:val="auto"/>
          <w:sz w:val="24"/>
          <w:szCs w:val="24"/>
          <w:highlight w:val="none"/>
        </w:rPr>
      </w:pPr>
    </w:p>
    <w:p w14:paraId="5FD76851">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0"/>
        <w:rPr>
          <w:rFonts w:hint="eastAsia" w:ascii="宋体" w:hAnsi="宋体" w:cs="宋体"/>
          <w:bCs/>
          <w:color w:val="auto"/>
          <w:sz w:val="44"/>
          <w:szCs w:val="32"/>
          <w:highlight w:val="none"/>
        </w:rPr>
      </w:pPr>
      <w:r>
        <w:rPr>
          <w:rFonts w:hint="eastAsia" w:ascii="宋体" w:hAnsi="宋体" w:cs="宋体"/>
          <w:bCs/>
          <w:color w:val="auto"/>
          <w:sz w:val="44"/>
          <w:szCs w:val="32"/>
          <w:highlight w:val="none"/>
        </w:rPr>
        <w:br w:type="page" w:clear="all"/>
      </w:r>
      <w:r>
        <w:rPr>
          <w:rFonts w:hint="eastAsia" w:ascii="宋体" w:hAnsi="宋体" w:cs="宋体"/>
          <w:bCs/>
          <w:color w:val="auto"/>
          <w:sz w:val="44"/>
          <w:szCs w:val="32"/>
          <w:highlight w:val="none"/>
        </w:rPr>
        <w:t>第二章 投标人须知</w:t>
      </w:r>
    </w:p>
    <w:p w14:paraId="3451D007">
      <w:pPr>
        <w:spacing w:line="360" w:lineRule="auto"/>
        <w:rPr>
          <w:rFonts w:hint="eastAsia" w:ascii="宋体" w:hAnsi="宋体" w:cs="宋体"/>
          <w:color w:val="auto"/>
          <w:sz w:val="24"/>
          <w:szCs w:val="24"/>
          <w:highlight w:val="none"/>
        </w:rPr>
      </w:pPr>
      <w:r>
        <w:rPr>
          <w:rFonts w:hint="eastAsia" w:ascii="宋体" w:hAnsi="宋体" w:cs="宋体"/>
          <w:bCs/>
          <w:color w:val="auto"/>
          <w:sz w:val="24"/>
          <w:szCs w:val="24"/>
          <w:highlight w:val="none"/>
        </w:rPr>
        <w:t>一、</w:t>
      </w:r>
      <w:r>
        <w:rPr>
          <w:rFonts w:hint="eastAsia" w:ascii="宋体" w:hAnsi="宋体" w:cs="宋体"/>
          <w:color w:val="auto"/>
          <w:sz w:val="24"/>
          <w:szCs w:val="24"/>
          <w:highlight w:val="none"/>
        </w:rPr>
        <w:t>说明和释义</w:t>
      </w:r>
    </w:p>
    <w:p w14:paraId="26A12662">
      <w:pPr>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1．说明</w:t>
      </w:r>
    </w:p>
    <w:p w14:paraId="627A0046">
      <w:pPr>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1.1本招标文件仅适用于</w:t>
      </w:r>
      <w:r>
        <w:rPr>
          <w:rFonts w:hint="eastAsia" w:ascii="宋体" w:hAnsi="宋体" w:cs="宋体"/>
          <w:color w:val="auto"/>
          <w:sz w:val="24"/>
          <w:szCs w:val="24"/>
          <w:highlight w:val="none"/>
          <w:u w:val="single"/>
        </w:rPr>
        <w:t>苏州时代招投标有限公司</w:t>
      </w:r>
      <w:r>
        <w:rPr>
          <w:rFonts w:hint="eastAsia" w:ascii="宋体" w:hAnsi="宋体" w:cs="宋体"/>
          <w:color w:val="auto"/>
          <w:sz w:val="24"/>
          <w:szCs w:val="24"/>
          <w:highlight w:val="none"/>
        </w:rPr>
        <w:t>组织的采购活动。</w:t>
      </w:r>
    </w:p>
    <w:p w14:paraId="02A723B4">
      <w:pPr>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1.2本次采购活动及因本次采购产生的合同受中国法律制约和保护。</w:t>
      </w:r>
    </w:p>
    <w:p w14:paraId="66316905">
      <w:pPr>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1.3本招标文件的解释权属于</w:t>
      </w:r>
      <w:r>
        <w:rPr>
          <w:rFonts w:hint="eastAsia" w:ascii="宋体" w:hAnsi="宋体" w:cs="宋体"/>
          <w:color w:val="auto"/>
          <w:sz w:val="24"/>
          <w:szCs w:val="24"/>
          <w:highlight w:val="none"/>
          <w:u w:val="single"/>
        </w:rPr>
        <w:t>苏州时代招投标有限公司</w:t>
      </w:r>
      <w:r>
        <w:rPr>
          <w:rFonts w:hint="eastAsia" w:ascii="宋体" w:hAnsi="宋体" w:cs="宋体"/>
          <w:color w:val="auto"/>
          <w:sz w:val="24"/>
          <w:szCs w:val="24"/>
          <w:highlight w:val="none"/>
        </w:rPr>
        <w:t>。</w:t>
      </w:r>
    </w:p>
    <w:p w14:paraId="457128A8">
      <w:pPr>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2．词语释义</w:t>
      </w:r>
    </w:p>
    <w:p w14:paraId="56C19456">
      <w:pPr>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2.1采购人：指依法进行政府采购的国家机关、事业单位、团体组织。</w:t>
      </w:r>
    </w:p>
    <w:p w14:paraId="4FA1822E">
      <w:pPr>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2.2采购代理机构：指依法接受采购人委托，从事政府采购代理业务的社会中介机构。</w:t>
      </w:r>
    </w:p>
    <w:p w14:paraId="1C5FCCB4">
      <w:pPr>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2.3投标人（供应商）：经认定有资格响应采购，参加投标竞争的法人、其他组织或者自然人。</w:t>
      </w:r>
    </w:p>
    <w:p w14:paraId="7D1325CA">
      <w:pPr>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2.4响应：投标人根据采购人或采购代理机构发布的招标文件，编制投标文件并按规定投标行为。</w:t>
      </w:r>
    </w:p>
    <w:p w14:paraId="7FB7487B">
      <w:pPr>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2.5合同：采供双方根据招标文件和中标的投标文件及中标通知书规定的内容签署的以书面形式所达成的协议，包括所有的附件、附录和构成协议的所有文件。</w:t>
      </w:r>
    </w:p>
    <w:p w14:paraId="6DFA7D37">
      <w:pPr>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2.6甲方（采购人）：指招标文件中载明的，依法进行政府采购的国家机关、事业单位、团体组织。</w:t>
      </w:r>
    </w:p>
    <w:p w14:paraId="0DD178AA">
      <w:pPr>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2.7乙方（</w:t>
      </w:r>
      <w:r>
        <w:rPr>
          <w:rFonts w:hint="eastAsia" w:ascii="宋体" w:hAnsi="宋体" w:cs="宋体"/>
          <w:color w:val="auto"/>
          <w:sz w:val="24"/>
          <w:szCs w:val="24"/>
          <w:highlight w:val="none"/>
          <w:lang w:eastAsia="zh-CN"/>
        </w:rPr>
        <w:t>中标</w:t>
      </w:r>
      <w:r>
        <w:rPr>
          <w:rFonts w:hint="eastAsia" w:ascii="宋体" w:hAnsi="宋体" w:cs="宋体"/>
          <w:color w:val="auto"/>
          <w:sz w:val="24"/>
          <w:szCs w:val="24"/>
          <w:highlight w:val="none"/>
        </w:rPr>
        <w:t>供应商）：合同中规定的向采购人提供货物和服务的法人或其他组织和自然人。</w:t>
      </w:r>
    </w:p>
    <w:p w14:paraId="5A89659F">
      <w:pPr>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2.8货物：系指乙方按招标文件规定，应向甲方提供的一切设备、备品、备件、工具、手册及其他有关技术资料和材料。</w:t>
      </w:r>
    </w:p>
    <w:p w14:paraId="47C6FF64">
      <w:pPr>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2.9服务：系指本次招标文件规定乙方应承担的与提供货物和服务有关的辅助服务，比如运输、保险、安装、调试、提供技术援助、培训、配合措施、维修响应及合同中规定乙方应承担的其他义务。</w:t>
      </w:r>
    </w:p>
    <w:p w14:paraId="23040D20">
      <w:pPr>
        <w:spacing w:line="360" w:lineRule="auto"/>
        <w:ind w:left="307" w:hanging="307"/>
        <w:rPr>
          <w:rFonts w:hint="eastAsia" w:ascii="宋体" w:hAnsi="宋体" w:cs="宋体"/>
          <w:color w:val="auto"/>
          <w:sz w:val="24"/>
          <w:szCs w:val="24"/>
          <w:highlight w:val="none"/>
        </w:rPr>
      </w:pPr>
      <w:r>
        <w:rPr>
          <w:rFonts w:hint="eastAsia" w:ascii="宋体" w:hAnsi="宋体" w:cs="宋体"/>
          <w:color w:val="auto"/>
          <w:sz w:val="24"/>
          <w:szCs w:val="24"/>
          <w:highlight w:val="none"/>
        </w:rPr>
        <w:t>2.10知识产权：指专利权、商标权、著作权等无形财产专有权的统称。</w:t>
      </w:r>
    </w:p>
    <w:p w14:paraId="41F74EEB">
      <w:pPr>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2.11天：日历日；时间：除特别说明，均指北京时间。</w:t>
      </w:r>
    </w:p>
    <w:p w14:paraId="7ADAA51D">
      <w:pPr>
        <w:spacing w:line="360" w:lineRule="auto"/>
        <w:ind w:left="307" w:hanging="307"/>
        <w:rPr>
          <w:rFonts w:hint="eastAsia" w:ascii="宋体" w:hAnsi="宋体" w:cs="宋体"/>
          <w:color w:val="auto"/>
          <w:sz w:val="24"/>
          <w:szCs w:val="24"/>
          <w:highlight w:val="none"/>
        </w:rPr>
      </w:pPr>
      <w:r>
        <w:rPr>
          <w:rFonts w:hint="eastAsia" w:ascii="宋体" w:hAnsi="宋体" w:cs="宋体"/>
          <w:color w:val="auto"/>
          <w:sz w:val="24"/>
          <w:szCs w:val="24"/>
          <w:highlight w:val="none"/>
        </w:rPr>
        <w:t>2.12地点：合同中明确约定的乙方提交的货物和履行服务最终地点。</w:t>
      </w:r>
    </w:p>
    <w:p w14:paraId="56CC67A7">
      <w:pPr>
        <w:spacing w:line="360" w:lineRule="auto"/>
        <w:ind w:left="307" w:hanging="307"/>
        <w:rPr>
          <w:rFonts w:hint="eastAsia" w:ascii="宋体" w:hAnsi="宋体" w:cs="宋体"/>
          <w:color w:val="auto"/>
          <w:sz w:val="24"/>
          <w:szCs w:val="24"/>
          <w:highlight w:val="none"/>
        </w:rPr>
      </w:pPr>
      <w:r>
        <w:rPr>
          <w:rFonts w:hint="eastAsia" w:ascii="宋体" w:hAnsi="宋体" w:cs="宋体"/>
          <w:color w:val="auto"/>
          <w:sz w:val="24"/>
          <w:szCs w:val="24"/>
          <w:highlight w:val="none"/>
        </w:rPr>
        <w:t>2.13合同价款：根据合同规定，乙方在正确地履行合同义务后甲方应支付乙方的价款。</w:t>
      </w:r>
    </w:p>
    <w:p w14:paraId="63BB2E0C">
      <w:pPr>
        <w:spacing w:line="360" w:lineRule="auto"/>
        <w:ind w:left="307" w:hanging="307"/>
        <w:rPr>
          <w:rFonts w:hint="eastAsia" w:ascii="宋体" w:hAnsi="宋体" w:cs="宋体"/>
          <w:color w:val="auto"/>
          <w:sz w:val="24"/>
          <w:szCs w:val="24"/>
          <w:highlight w:val="none"/>
        </w:rPr>
      </w:pPr>
      <w:r>
        <w:rPr>
          <w:rFonts w:hint="eastAsia" w:ascii="宋体" w:hAnsi="宋体" w:cs="宋体"/>
          <w:color w:val="auto"/>
          <w:sz w:val="24"/>
          <w:szCs w:val="24"/>
          <w:highlight w:val="none"/>
        </w:rPr>
        <w:t>2.14不可抗力：不能预见、不能避免并且不能克服的客观情况。</w:t>
      </w:r>
    </w:p>
    <w:p w14:paraId="0581DABD">
      <w:pPr>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2.15实质性响应：满足有关本次采购标的、数量、质量、价款或者报酬、履行期限、履行地点和方式、违约责任和解决争议方法等要求。</w:t>
      </w:r>
    </w:p>
    <w:p w14:paraId="15258EC7">
      <w:pPr>
        <w:spacing w:line="360" w:lineRule="auto"/>
        <w:ind w:left="307" w:hanging="307"/>
        <w:rPr>
          <w:rFonts w:hint="eastAsia" w:ascii="宋体" w:hAnsi="宋体" w:cs="宋体"/>
          <w:color w:val="auto"/>
          <w:sz w:val="24"/>
          <w:szCs w:val="24"/>
          <w:highlight w:val="none"/>
        </w:rPr>
      </w:pPr>
      <w:r>
        <w:rPr>
          <w:rFonts w:hint="eastAsia" w:ascii="宋体" w:hAnsi="宋体" w:cs="宋体"/>
          <w:color w:val="auto"/>
          <w:sz w:val="24"/>
          <w:szCs w:val="24"/>
          <w:highlight w:val="none"/>
        </w:rPr>
        <w:t>2.16书面形式：指书面文字、合同书、信件等可有形地表现所载内容的形式。</w:t>
      </w:r>
    </w:p>
    <w:p w14:paraId="0EB325D8">
      <w:pPr>
        <w:spacing w:line="360" w:lineRule="auto"/>
        <w:ind w:left="307" w:hanging="307"/>
        <w:rPr>
          <w:rFonts w:hint="eastAsia" w:ascii="宋体" w:hAnsi="宋体" w:cs="宋体"/>
          <w:color w:val="auto"/>
          <w:sz w:val="24"/>
          <w:szCs w:val="24"/>
          <w:highlight w:val="none"/>
        </w:rPr>
      </w:pPr>
      <w:r>
        <w:rPr>
          <w:rFonts w:hint="eastAsia" w:ascii="宋体" w:hAnsi="宋体" w:cs="宋体"/>
          <w:color w:val="auto"/>
          <w:sz w:val="24"/>
          <w:szCs w:val="24"/>
          <w:highlight w:val="none"/>
        </w:rPr>
        <w:t>2.17进口产品：</w:t>
      </w:r>
      <w:r>
        <w:rPr>
          <w:rFonts w:hint="eastAsia" w:ascii="宋体" w:hAnsi="宋体" w:cs="宋体"/>
          <w:color w:val="auto"/>
          <w:sz w:val="24"/>
          <w:szCs w:val="24"/>
          <w:highlight w:val="none"/>
          <w:lang w:eastAsia="zh-CN"/>
        </w:rPr>
        <w:t>指</w:t>
      </w:r>
      <w:r>
        <w:rPr>
          <w:rFonts w:hint="eastAsia" w:ascii="宋体" w:hAnsi="宋体" w:cs="宋体"/>
          <w:color w:val="auto"/>
          <w:sz w:val="24"/>
          <w:szCs w:val="24"/>
          <w:highlight w:val="none"/>
        </w:rPr>
        <w:t>通过中国海关报关验放进入中国境内且产自关境外的产品。</w:t>
      </w:r>
    </w:p>
    <w:p w14:paraId="46C128A8">
      <w:pPr>
        <w:spacing w:line="360" w:lineRule="auto"/>
        <w:ind w:left="307" w:hanging="307"/>
        <w:rPr>
          <w:rFonts w:hint="eastAsia" w:ascii="宋体" w:hAnsi="宋体" w:cs="宋体"/>
          <w:color w:val="auto"/>
          <w:sz w:val="24"/>
          <w:szCs w:val="24"/>
          <w:highlight w:val="none"/>
        </w:rPr>
      </w:pPr>
      <w:r>
        <w:rPr>
          <w:rFonts w:hint="eastAsia" w:ascii="宋体" w:hAnsi="宋体" w:cs="宋体"/>
          <w:color w:val="auto"/>
          <w:sz w:val="24"/>
          <w:szCs w:val="24"/>
          <w:highlight w:val="none"/>
        </w:rPr>
        <w:t>二、投标人</w:t>
      </w:r>
    </w:p>
    <w:p w14:paraId="180BC5F0">
      <w:pPr>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3.合格投标人的资格条件</w:t>
      </w:r>
    </w:p>
    <w:p w14:paraId="45E66208">
      <w:pPr>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3.1满足《中华人民共和国政府采购法》第二十二条规定，投标人应当具备下列条件：</w:t>
      </w:r>
    </w:p>
    <w:p w14:paraId="56BCC252">
      <w:pPr>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3.1.1具有独立承担民事责任的能力。</w:t>
      </w:r>
    </w:p>
    <w:p w14:paraId="52C8293C">
      <w:pPr>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3.1.2具有良好的商业信誉和健全的财务会计制度。</w:t>
      </w:r>
    </w:p>
    <w:p w14:paraId="5006F850">
      <w:pPr>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3.1.3具有履行合同所必需的设备和专业技术能力。</w:t>
      </w:r>
    </w:p>
    <w:p w14:paraId="7214E52A">
      <w:pPr>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3.1.4有依法缴纳税收和社会保障资金的良好记录。</w:t>
      </w:r>
    </w:p>
    <w:p w14:paraId="0160BF72">
      <w:pPr>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3.1.5参加政府采购活动前三年内，在经营活动中没有重大违法记录。</w:t>
      </w:r>
    </w:p>
    <w:p w14:paraId="6B4BC1D4">
      <w:pPr>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3.1.6法律、行政法规规定的其他条件。</w:t>
      </w:r>
    </w:p>
    <w:p w14:paraId="4F8FD8AD">
      <w:pPr>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3.2落实政府采购政策需满足的资格要求：</w:t>
      </w:r>
      <w:r>
        <w:rPr>
          <w:rFonts w:hint="eastAsia" w:ascii="宋体" w:hAnsi="宋体" w:cs="宋体"/>
          <w:b w:val="0"/>
          <w:bCs w:val="0"/>
          <w:color w:val="auto"/>
          <w:sz w:val="24"/>
          <w:highlight w:val="none"/>
          <w:lang w:val="en-US" w:eastAsia="zh-CN"/>
        </w:rPr>
        <w:t>无</w:t>
      </w:r>
      <w:r>
        <w:rPr>
          <w:rFonts w:hint="eastAsia" w:ascii="宋体" w:hAnsi="宋体" w:cs="宋体"/>
          <w:color w:val="auto"/>
          <w:sz w:val="24"/>
          <w:szCs w:val="24"/>
          <w:highlight w:val="none"/>
        </w:rPr>
        <w:t>。</w:t>
      </w:r>
    </w:p>
    <w:p w14:paraId="312C1C13">
      <w:pPr>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3.3本项目的特定资格要求：</w:t>
      </w:r>
    </w:p>
    <w:p w14:paraId="7216CB7E">
      <w:pPr>
        <w:spacing w:line="360" w:lineRule="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3.3.1具有有效期内的《医疗机构执业许可证》。</w:t>
      </w:r>
    </w:p>
    <w:p w14:paraId="0A407344">
      <w:pPr>
        <w:spacing w:line="360" w:lineRule="auto"/>
        <w:jc w:val="left"/>
        <w:rPr>
          <w:rFonts w:ascii="宋体" w:hAnsi="宋体" w:cs="宋体"/>
          <w:color w:val="auto"/>
          <w:sz w:val="24"/>
          <w:szCs w:val="24"/>
          <w:highlight w:val="none"/>
        </w:rPr>
      </w:pPr>
      <w:r>
        <w:rPr>
          <w:rFonts w:hint="eastAsia" w:ascii="宋体" w:hAnsi="宋体" w:eastAsia="宋体" w:cs="宋体"/>
          <w:color w:val="auto"/>
          <w:sz w:val="24"/>
          <w:szCs w:val="24"/>
          <w:highlight w:val="none"/>
          <w:lang w:val="en-US" w:eastAsia="zh-CN"/>
        </w:rPr>
        <w:t>3.3.2</w:t>
      </w:r>
      <w:r>
        <w:rPr>
          <w:rFonts w:ascii="宋体" w:hAnsi="宋体" w:cs="宋体"/>
          <w:color w:val="auto"/>
          <w:sz w:val="24"/>
          <w:szCs w:val="24"/>
          <w:highlight w:val="none"/>
        </w:rPr>
        <w:t>未被“信用中国”网站（www.creditchina.gov.cn）列入失信被执行人、重大税收违法案件当事人名单、政府采购严重失信行为记录名单。</w:t>
      </w:r>
    </w:p>
    <w:p w14:paraId="3C5768BE">
      <w:pPr>
        <w:spacing w:line="360" w:lineRule="auto"/>
        <w:jc w:val="left"/>
        <w:rPr>
          <w:rFonts w:hint="eastAsia"/>
          <w:color w:val="auto"/>
          <w:highlight w:val="none"/>
          <w:lang w:eastAsia="zh-CN"/>
        </w:rPr>
      </w:pPr>
      <w:r>
        <w:rPr>
          <w:rFonts w:hint="eastAsia" w:ascii="宋体" w:hAnsi="宋体" w:cs="宋体"/>
          <w:color w:val="auto"/>
          <w:sz w:val="24"/>
          <w:szCs w:val="24"/>
          <w:highlight w:val="none"/>
          <w:lang w:val="en-US" w:eastAsia="zh-CN"/>
        </w:rPr>
        <w:t>3.3.3</w:t>
      </w:r>
      <w:r>
        <w:rPr>
          <w:rFonts w:hint="eastAsia" w:ascii="宋体" w:hAnsi="宋体" w:cs="宋体"/>
          <w:color w:val="auto"/>
          <w:sz w:val="24"/>
          <w:highlight w:val="none"/>
        </w:rPr>
        <w:t>单位负责人为同一人或者存在直接控股、管理关系的不同供应商（包含法定代表人为同一个人的两个及两个以上法人，母公司、全资子公司及其控股公司），不得参加同一合同项下的政府采购活动。</w:t>
      </w:r>
    </w:p>
    <w:p w14:paraId="0885CC81">
      <w:pPr>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4.投标人代表</w:t>
      </w:r>
    </w:p>
    <w:p w14:paraId="5AD166F6">
      <w:pPr>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4.1指全权代表投标人参加投标活动并签署投标文件的人，如果投标人代表不是法定代表人，须持有《法人授权委托书》（详见统一格式）。</w:t>
      </w:r>
    </w:p>
    <w:p w14:paraId="33615243">
      <w:pPr>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5.投标费用</w:t>
      </w:r>
    </w:p>
    <w:p w14:paraId="1EFA2E2A">
      <w:pPr>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5.1无论投标过程的做法和结果如何，投标人自行承担所有与参加投标有关的全部费用。</w:t>
      </w:r>
    </w:p>
    <w:p w14:paraId="5C883FEA">
      <w:pPr>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6.联合、进口投标及转包、分包</w:t>
      </w:r>
    </w:p>
    <w:p w14:paraId="35D7F078">
      <w:pPr>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6.1本项目不接受联合体投标。</w:t>
      </w:r>
    </w:p>
    <w:p w14:paraId="0D89F0E7">
      <w:pPr>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6.2本项目不接受转包、分包。</w:t>
      </w:r>
    </w:p>
    <w:p w14:paraId="020DC8BB">
      <w:pPr>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6.3本项目不接受进口产品。</w:t>
      </w:r>
    </w:p>
    <w:p w14:paraId="6131254A">
      <w:pPr>
        <w:spacing w:line="360" w:lineRule="auto"/>
        <w:ind w:left="307" w:hanging="307"/>
        <w:rPr>
          <w:rFonts w:hint="eastAsia" w:ascii="宋体" w:hAnsi="宋体" w:cs="宋体"/>
          <w:color w:val="auto"/>
          <w:sz w:val="24"/>
          <w:szCs w:val="24"/>
          <w:highlight w:val="none"/>
        </w:rPr>
      </w:pPr>
      <w:r>
        <w:rPr>
          <w:rFonts w:hint="eastAsia" w:ascii="宋体" w:hAnsi="宋体" w:cs="宋体"/>
          <w:color w:val="auto"/>
          <w:sz w:val="24"/>
          <w:szCs w:val="24"/>
          <w:highlight w:val="none"/>
        </w:rPr>
        <w:t>三、招标文件的说明</w:t>
      </w:r>
    </w:p>
    <w:p w14:paraId="52F06B13">
      <w:pPr>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7.招标文件</w:t>
      </w:r>
    </w:p>
    <w:p w14:paraId="7A8832CD">
      <w:pPr>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7.1招标文件由招标文件目录所列内容组成，投标人获取招标文件后，应仔细检查招标文件的所有内容。投标人同时应认真审阅招标文件中所有的事项、格式、条款和规范要求等，若投标人的投标文件没有按招标文件要求提交全部资料，或投标文件没有对招标文件作出实质性响应，其风险由投标人自行承担，并根据有关条款规定，该投标有可能被拒绝。</w:t>
      </w:r>
    </w:p>
    <w:p w14:paraId="08E0D86C">
      <w:pPr>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7.2招标文件及其补充通知（包括更正公告）不是直接从指定的政府采购信息发布媒体上下载获得的，采购人或采购代理机构对招标文件及其补遗的真实性、完整性不承担任何责任。</w:t>
      </w:r>
    </w:p>
    <w:p w14:paraId="2DC2ADB9">
      <w:pPr>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8.采购文件的澄清、修改</w:t>
      </w:r>
    </w:p>
    <w:p w14:paraId="72F34CDC">
      <w:pPr>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8.1采购人或采购代理机构无论出于自己的考虑，还是出于对投标人提问的澄清，均可对已发出的招标文件用补充通知（包括更正公告）的方式进行澄清或者修改，但不得改变采购标的和资格条件，并通过苏州市政府采购网对外进行发布。澄清或者修改的内容为招标文件的组成部分。</w:t>
      </w:r>
    </w:p>
    <w:p w14:paraId="03155FEB">
      <w:pPr>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8.2澄清或者修改的内容可能影响投标文件编制的，采购人或者采购代理机构应当在投标截止时间至少15日前，并通过苏州市政府采购网对外进行发布；不足15日的，采购人或者采购代理机构应当顺延提交投标文件的截止时间。</w:t>
      </w:r>
    </w:p>
    <w:p w14:paraId="695E7BF0">
      <w:pPr>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8.3采购代理机构对采购文件的澄清或者修改，将以补充通知的形式在网上发布公告；供应商应及时关注政府采购信息发布媒体上发布的更正（补充）公告，同时在“苏采云”系统中下载更正（补充）资料，如有遗漏（包括但不限于文件未下载或下载不完整），可能无法解密投标文件，由此所造成的投标失败或损失由供应商自行负责。补充通知（包括更正公告）将作为招标文件的组成部分，对所有投标人有约束力。</w:t>
      </w:r>
    </w:p>
    <w:p w14:paraId="12E0A7A5">
      <w:pPr>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9.勘察现场</w:t>
      </w:r>
      <w:r>
        <w:rPr>
          <w:rFonts w:hint="eastAsia" w:ascii="宋体" w:hAnsi="宋体" w:cs="宋体"/>
          <w:bCs/>
          <w:color w:val="auto"/>
          <w:sz w:val="24"/>
          <w:highlight w:val="none"/>
        </w:rPr>
        <w:t>（不涉及此条的忽略）</w:t>
      </w:r>
      <w:r>
        <w:rPr>
          <w:rFonts w:hint="eastAsia" w:ascii="宋体" w:hAnsi="宋体" w:cs="宋体"/>
          <w:color w:val="auto"/>
          <w:sz w:val="24"/>
          <w:szCs w:val="24"/>
          <w:highlight w:val="none"/>
        </w:rPr>
        <w:t>：</w:t>
      </w:r>
    </w:p>
    <w:p w14:paraId="5C82E632">
      <w:pPr>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9.1根据自身投标需要，投标人可对有关现场和周围环境进行勘察，以获取编制投标文件和签署合同所需的信息。勘察现场所发生的费用由投标人自己承担。</w:t>
      </w:r>
    </w:p>
    <w:p w14:paraId="65BBED4D">
      <w:pPr>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9.2采购人或采购代理机构向投标人提供的有关现场的资料和数据，是采购人或采购代理机构现有的并认为能使投标人可利用的资料。采购人或采购代理机构对投标人由此而做出的推论、理解和结论概不负责。</w:t>
      </w:r>
    </w:p>
    <w:p w14:paraId="05FCD075">
      <w:pPr>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9.3经采购人允许，投标人可为勘察目的进入采购人的项目现场，但投标人不得因此使采购人承担有关的责任和蒙受损失。投标人应承担勘察现场的责任和风险。</w:t>
      </w:r>
    </w:p>
    <w:p w14:paraId="32D93B59">
      <w:pPr>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9.4投标人应在现场勘察时，熟悉现场及周围交通道路等情况，以获得一切可能影响其投标的直接资料。投标人中标后，不得以不完全了解现场情况为理由而向采购人或采购代理机构提出任何索赔的要求，对此采购人或采购代理机构不承担任何责任并将不作任何答复与考虑。</w:t>
      </w:r>
    </w:p>
    <w:p w14:paraId="5B552C49">
      <w:pPr>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10.投标质疑</w:t>
      </w:r>
    </w:p>
    <w:p w14:paraId="47E1946D">
      <w:pPr>
        <w:spacing w:line="360" w:lineRule="auto"/>
        <w:rPr>
          <w:rFonts w:hint="eastAsia" w:ascii="宋体" w:hAnsi="宋体" w:cs="宋体"/>
          <w:bCs/>
          <w:color w:val="auto"/>
          <w:sz w:val="24"/>
          <w:szCs w:val="24"/>
          <w:highlight w:val="none"/>
        </w:rPr>
      </w:pPr>
      <w:r>
        <w:rPr>
          <w:rFonts w:hint="eastAsia" w:ascii="宋体" w:hAnsi="宋体" w:cs="宋体"/>
          <w:color w:val="auto"/>
          <w:sz w:val="24"/>
          <w:szCs w:val="24"/>
          <w:highlight w:val="none"/>
        </w:rPr>
        <w:t>10.1供应商认为招标文件、采购过程、中标结果使自己的权益受到损害的，可以在知道或者应知其权益受到损害之日起7个工作日内，以书面形式向采购人、采购代理机构提出质</w:t>
      </w:r>
      <w:r>
        <w:rPr>
          <w:rFonts w:hint="eastAsia" w:ascii="宋体" w:hAnsi="宋体" w:cs="宋体"/>
          <w:bCs/>
          <w:color w:val="auto"/>
          <w:sz w:val="24"/>
          <w:szCs w:val="24"/>
          <w:highlight w:val="none"/>
        </w:rPr>
        <w:t>疑。招标代理机构应当在收到投标人书面质疑后七个工作日内作出答复。</w:t>
      </w:r>
    </w:p>
    <w:p w14:paraId="5B705D6A">
      <w:pPr>
        <w:spacing w:line="360" w:lineRule="auto"/>
        <w:rPr>
          <w:rFonts w:hint="eastAsia" w:ascii="宋体" w:hAnsi="宋体" w:cs="宋体"/>
          <w:bCs/>
          <w:color w:val="auto"/>
          <w:sz w:val="24"/>
          <w:szCs w:val="24"/>
          <w:highlight w:val="none"/>
        </w:rPr>
      </w:pPr>
      <w:r>
        <w:rPr>
          <w:rFonts w:hint="eastAsia" w:ascii="宋体" w:hAnsi="宋体" w:cs="宋体"/>
          <w:bCs/>
          <w:color w:val="auto"/>
          <w:sz w:val="24"/>
          <w:szCs w:val="24"/>
          <w:highlight w:val="none"/>
        </w:rPr>
        <w:t>10.2根据《政府采购质疑和投诉办法》财政部第94号令第十一条规定，提出质疑的供应商应当是参与所质疑项目采购活动的供应商。因此凡是对采购文件提出质疑的供应商，</w:t>
      </w:r>
      <w:r>
        <w:rPr>
          <w:rFonts w:hint="eastAsia" w:ascii="宋体" w:hAnsi="宋体" w:cs="宋体"/>
          <w:bCs/>
          <w:color w:val="auto"/>
          <w:sz w:val="24"/>
          <w:szCs w:val="24"/>
          <w:highlight w:val="none"/>
          <w:lang w:eastAsia="zh-CN"/>
        </w:rPr>
        <w:t>必须</w:t>
      </w:r>
      <w:r>
        <w:rPr>
          <w:rFonts w:hint="eastAsia" w:ascii="宋体" w:hAnsi="宋体" w:cs="宋体"/>
          <w:bCs/>
          <w:color w:val="auto"/>
          <w:sz w:val="24"/>
          <w:szCs w:val="24"/>
          <w:highlight w:val="none"/>
        </w:rPr>
        <w:t>依法获取采购文件，并请将符合资格条件的证明材料及网上报名的报名页面材料与质疑函一起递交，否则不予受理。</w:t>
      </w:r>
    </w:p>
    <w:p w14:paraId="124BB5A9">
      <w:pPr>
        <w:spacing w:line="360" w:lineRule="auto"/>
        <w:rPr>
          <w:rFonts w:hint="eastAsia" w:ascii="宋体" w:hAnsi="宋体" w:cs="宋体"/>
          <w:bCs/>
          <w:color w:val="auto"/>
          <w:sz w:val="24"/>
          <w:szCs w:val="24"/>
          <w:highlight w:val="none"/>
        </w:rPr>
      </w:pPr>
      <w:r>
        <w:rPr>
          <w:rFonts w:hint="eastAsia" w:ascii="宋体" w:hAnsi="宋体" w:cs="宋体"/>
          <w:bCs/>
          <w:color w:val="auto"/>
          <w:sz w:val="24"/>
          <w:szCs w:val="24"/>
          <w:highlight w:val="none"/>
        </w:rPr>
        <w:t>10.3本次招标文件要求供应商在法定质疑期内一次性提出针对同一采购程序环节的质疑。</w:t>
      </w:r>
    </w:p>
    <w:p w14:paraId="59460B6C">
      <w:pPr>
        <w:spacing w:line="360" w:lineRule="auto"/>
        <w:rPr>
          <w:rFonts w:hint="eastAsia" w:ascii="宋体" w:hAnsi="宋体" w:cs="宋体"/>
          <w:color w:val="auto"/>
          <w:sz w:val="24"/>
          <w:szCs w:val="24"/>
          <w:highlight w:val="none"/>
        </w:rPr>
      </w:pPr>
      <w:r>
        <w:rPr>
          <w:rFonts w:hint="eastAsia" w:ascii="宋体" w:hAnsi="宋体" w:cs="宋体"/>
          <w:bCs/>
          <w:color w:val="auto"/>
          <w:sz w:val="24"/>
          <w:szCs w:val="24"/>
          <w:highlight w:val="none"/>
        </w:rPr>
        <w:t>10.4</w:t>
      </w:r>
      <w:r>
        <w:rPr>
          <w:rFonts w:hint="eastAsia" w:ascii="宋体" w:hAnsi="宋体" w:cs="宋体"/>
          <w:color w:val="auto"/>
          <w:sz w:val="24"/>
          <w:szCs w:val="24"/>
          <w:highlight w:val="none"/>
        </w:rPr>
        <w:t>供应商提出质疑应当提交质疑函和必要的证明材料。质疑函应当包括下列内容：</w:t>
      </w:r>
    </w:p>
    <w:p w14:paraId="52EF48E5">
      <w:pPr>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10.4.1供应商的姓名或者名称（提供营业执照副本复印件，以营业执照副本复印件为准）、地址、邮编、联系人及联系电话；</w:t>
      </w:r>
    </w:p>
    <w:p w14:paraId="68BEAE7A">
      <w:pPr>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10.4.2质疑项目的名称、编号；</w:t>
      </w:r>
    </w:p>
    <w:p w14:paraId="52EE8819">
      <w:pPr>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10.4.3具体、明确的质疑事项和与质疑事项相关的请求；</w:t>
      </w:r>
    </w:p>
    <w:p w14:paraId="4AA4C62B">
      <w:pPr>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10.4.4事实依据；</w:t>
      </w:r>
    </w:p>
    <w:p w14:paraId="2A71B917">
      <w:pPr>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10.4.5必要的法律依据；</w:t>
      </w:r>
    </w:p>
    <w:p w14:paraId="0CBBFA6B">
      <w:pPr>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10.4.6提出质疑的日期。</w:t>
      </w:r>
    </w:p>
    <w:p w14:paraId="4E98EA71">
      <w:pPr>
        <w:spacing w:line="360" w:lineRule="auto"/>
        <w:ind w:firstLine="480"/>
        <w:rPr>
          <w:rFonts w:hint="eastAsia" w:ascii="宋体" w:hAnsi="宋体" w:cs="宋体"/>
          <w:color w:val="auto"/>
          <w:sz w:val="24"/>
          <w:szCs w:val="24"/>
          <w:highlight w:val="none"/>
        </w:rPr>
      </w:pPr>
      <w:r>
        <w:rPr>
          <w:rFonts w:hint="eastAsia" w:ascii="宋体" w:hAnsi="宋体" w:cs="宋体"/>
          <w:color w:val="auto"/>
          <w:sz w:val="24"/>
          <w:szCs w:val="24"/>
          <w:highlight w:val="none"/>
        </w:rPr>
        <w:t>供应商为自然人的，应当由本人签字；供应商为法人或者其他组织的，应当由法定代表人、主要负责人，或者其授权代表签字或者盖章，并加盖公章。供应商委托代理人进行质疑的，其授权委托书上应当载明代理人的姓名或者名称、代理事项、具体权限、期限和相关事项。</w:t>
      </w:r>
    </w:p>
    <w:p w14:paraId="6B66889C">
      <w:pPr>
        <w:pStyle w:val="193"/>
        <w:spacing w:line="360" w:lineRule="auto"/>
        <w:ind w:firstLine="480"/>
        <w:rPr>
          <w:rFonts w:hint="eastAsia" w:ascii="宋体" w:hAnsi="宋体" w:eastAsia="宋体" w:cs="宋体"/>
          <w:color w:val="auto"/>
          <w:szCs w:val="24"/>
          <w:highlight w:val="none"/>
        </w:rPr>
      </w:pPr>
      <w:r>
        <w:rPr>
          <w:rFonts w:hint="eastAsia" w:ascii="宋体" w:hAnsi="宋体" w:eastAsia="宋体" w:cs="宋体"/>
          <w:color w:val="auto"/>
          <w:szCs w:val="24"/>
          <w:highlight w:val="none"/>
        </w:rPr>
        <w:t>供应商提交的质疑函必须按照《政府采购供应商质疑函范本》要求的格式和内容进行填写，质疑函范本下载网址详见链接：https://czju.suzhou.gov.cn/zfcg/html/content/20180305093615738.shtml。</w:t>
      </w:r>
    </w:p>
    <w:p w14:paraId="377875F2">
      <w:pPr>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10.5接收质疑函的方式：书面形式（当场送达或邮寄方式）</w:t>
      </w:r>
    </w:p>
    <w:p w14:paraId="057FA214">
      <w:pPr>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10.5.1质疑联系人：</w:t>
      </w:r>
      <w:r>
        <w:rPr>
          <w:rFonts w:hint="eastAsia" w:ascii="宋体" w:hAnsi="宋体" w:cs="宋体"/>
          <w:color w:val="auto"/>
          <w:sz w:val="24"/>
          <w:szCs w:val="24"/>
          <w:highlight w:val="none"/>
          <w:lang w:eastAsia="zh-CN"/>
        </w:rPr>
        <w:t>褚磊</w:t>
      </w:r>
      <w:r>
        <w:rPr>
          <w:rFonts w:hint="eastAsia" w:ascii="宋体" w:hAnsi="宋体" w:cs="宋体"/>
          <w:color w:val="auto"/>
          <w:sz w:val="24"/>
          <w:szCs w:val="24"/>
          <w:highlight w:val="none"/>
        </w:rPr>
        <w:t>；</w:t>
      </w:r>
    </w:p>
    <w:p w14:paraId="5BE05A09">
      <w:pPr>
        <w:pStyle w:val="196"/>
        <w:spacing w:after="0" w:line="360" w:lineRule="auto"/>
        <w:ind w:left="0"/>
        <w:rPr>
          <w:color w:val="auto"/>
          <w:highlight w:val="none"/>
        </w:rPr>
      </w:pPr>
      <w:r>
        <w:rPr>
          <w:rFonts w:hint="eastAsia" w:ascii="宋体" w:hAnsi="宋体" w:cs="宋体"/>
          <w:color w:val="auto"/>
          <w:sz w:val="24"/>
          <w:szCs w:val="24"/>
          <w:highlight w:val="none"/>
        </w:rPr>
        <w:t>10.5.2质疑联系电话：0512-65201419</w:t>
      </w:r>
    </w:p>
    <w:p w14:paraId="710E087C">
      <w:pPr>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10.5.3现场递交/邮寄收取地址：苏州市虎丘区滨河路1388号 3B 501室。</w:t>
      </w:r>
    </w:p>
    <w:p w14:paraId="238EB30B">
      <w:pPr>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四、投标文件说明</w:t>
      </w:r>
    </w:p>
    <w:p w14:paraId="544CF4FD">
      <w:pPr>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11.提示与要求</w:t>
      </w:r>
    </w:p>
    <w:p w14:paraId="73083498">
      <w:pPr>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11.1投标人应仔细阅读招标文件的所有内容，</w:t>
      </w:r>
      <w:r>
        <w:rPr>
          <w:rFonts w:hint="eastAsia" w:ascii="宋体" w:hAnsi="宋体" w:cs="宋体"/>
          <w:color w:val="auto"/>
          <w:sz w:val="24"/>
          <w:szCs w:val="24"/>
          <w:highlight w:val="none"/>
          <w:lang w:eastAsia="zh-CN"/>
        </w:rPr>
        <w:t>应当</w:t>
      </w:r>
      <w:r>
        <w:rPr>
          <w:rFonts w:hint="eastAsia" w:ascii="宋体" w:hAnsi="宋体" w:cs="宋体"/>
          <w:color w:val="auto"/>
          <w:sz w:val="24"/>
          <w:szCs w:val="24"/>
          <w:highlight w:val="none"/>
        </w:rPr>
        <w:t>按</w:t>
      </w:r>
      <w:r>
        <w:rPr>
          <w:rFonts w:hint="eastAsia" w:ascii="宋体" w:hAnsi="宋体" w:cs="宋体"/>
          <w:color w:val="auto"/>
          <w:sz w:val="24"/>
          <w:szCs w:val="24"/>
          <w:highlight w:val="none"/>
          <w:lang w:eastAsia="zh-CN"/>
        </w:rPr>
        <w:t>照</w:t>
      </w:r>
      <w:r>
        <w:rPr>
          <w:rFonts w:hint="eastAsia" w:ascii="宋体" w:hAnsi="宋体" w:cs="宋体"/>
          <w:color w:val="auto"/>
          <w:sz w:val="24"/>
          <w:szCs w:val="24"/>
          <w:highlight w:val="none"/>
        </w:rPr>
        <w:t>招标文件的要求</w:t>
      </w:r>
      <w:r>
        <w:rPr>
          <w:rFonts w:hint="eastAsia" w:ascii="宋体" w:hAnsi="宋体" w:cs="宋体"/>
          <w:color w:val="auto"/>
          <w:sz w:val="24"/>
          <w:szCs w:val="24"/>
          <w:highlight w:val="none"/>
          <w:lang w:eastAsia="zh-CN"/>
        </w:rPr>
        <w:t>编制</w:t>
      </w:r>
      <w:r>
        <w:rPr>
          <w:rFonts w:hint="eastAsia" w:ascii="宋体" w:hAnsi="宋体" w:cs="宋体"/>
          <w:color w:val="auto"/>
          <w:sz w:val="24"/>
          <w:szCs w:val="24"/>
          <w:highlight w:val="none"/>
        </w:rPr>
        <w:t>投标文件，并保证所提供的全部资料的真实性，以使其投标对招标文件作出实质性响应，否则，其投标可能被拒绝。</w:t>
      </w:r>
    </w:p>
    <w:p w14:paraId="769072A9">
      <w:pPr>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11.2无论是否提交并递交投标文件，投标人都应将招标文件及以后的所有通知、文件等视为保密文件。</w:t>
      </w:r>
    </w:p>
    <w:p w14:paraId="6095E27D">
      <w:pPr>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12.投标文件计量单位和使用文字</w:t>
      </w:r>
    </w:p>
    <w:p w14:paraId="431792DE">
      <w:pPr>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12.1投标文件中所使用的计量单位，除招标文件中有特殊要求外，应采用</w:t>
      </w:r>
      <w:r>
        <w:rPr>
          <w:rFonts w:hint="eastAsia" w:ascii="宋体" w:hAnsi="宋体" w:cs="宋体"/>
          <w:color w:val="auto"/>
          <w:sz w:val="24"/>
          <w:szCs w:val="24"/>
          <w:highlight w:val="none"/>
          <w:lang w:eastAsia="zh-CN"/>
        </w:rPr>
        <w:t>中华人民共和国</w:t>
      </w:r>
      <w:r>
        <w:rPr>
          <w:rFonts w:hint="eastAsia" w:ascii="宋体" w:hAnsi="宋体" w:cs="宋体"/>
          <w:color w:val="auto"/>
          <w:sz w:val="24"/>
          <w:szCs w:val="24"/>
          <w:highlight w:val="none"/>
        </w:rPr>
        <w:t>法定计量单位。</w:t>
      </w:r>
    </w:p>
    <w:p w14:paraId="65D2D87E">
      <w:pPr>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12.2投标文件应使用中文编制，投标文件中必须使用其他文字的，必须附有中文译本。对于未附有中文译本和中文译本不准确的投标文件，由此引起的对投标人不利后果的，招标人概不负责。</w:t>
      </w:r>
    </w:p>
    <w:p w14:paraId="5DA87A51">
      <w:pPr>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13.投标文件的组成（部分格式见第三章）</w:t>
      </w:r>
    </w:p>
    <w:p w14:paraId="135B647F">
      <w:pPr>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13.1封面；</w:t>
      </w:r>
    </w:p>
    <w:p w14:paraId="674E597C">
      <w:pPr>
        <w:spacing w:line="360" w:lineRule="auto"/>
        <w:rPr>
          <w:rFonts w:hint="eastAsia" w:ascii="宋体" w:hAnsi="宋体" w:eastAsia="宋体" w:cs="宋体"/>
          <w:color w:val="auto"/>
          <w:sz w:val="24"/>
          <w:szCs w:val="24"/>
          <w:highlight w:val="none"/>
        </w:rPr>
      </w:pPr>
      <w:r>
        <w:rPr>
          <w:rFonts w:hint="eastAsia" w:ascii="宋体" w:hAnsi="宋体" w:cs="宋体"/>
          <w:color w:val="auto"/>
          <w:sz w:val="24"/>
          <w:szCs w:val="24"/>
          <w:highlight w:val="none"/>
        </w:rPr>
        <w:t>1</w:t>
      </w:r>
      <w:r>
        <w:rPr>
          <w:rFonts w:hint="eastAsia" w:ascii="宋体" w:hAnsi="宋体" w:eastAsia="宋体" w:cs="宋体"/>
          <w:color w:val="auto"/>
          <w:sz w:val="24"/>
          <w:szCs w:val="24"/>
          <w:highlight w:val="none"/>
        </w:rPr>
        <w:t>3.2开标一览表；</w:t>
      </w:r>
    </w:p>
    <w:p w14:paraId="3ACDCD74">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13.3投标报价明细表。</w:t>
      </w:r>
    </w:p>
    <w:p w14:paraId="09A25C29">
      <w:pPr>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13.4</w:t>
      </w:r>
      <w:r>
        <w:rPr>
          <w:rFonts w:hint="eastAsia" w:ascii="宋体" w:hAnsi="宋体" w:cs="宋体"/>
          <w:b/>
          <w:bCs/>
          <w:color w:val="auto"/>
          <w:sz w:val="24"/>
          <w:szCs w:val="24"/>
          <w:highlight w:val="none"/>
        </w:rPr>
        <w:t>资格审查文件</w:t>
      </w:r>
    </w:p>
    <w:p w14:paraId="4820CE5F">
      <w:pPr>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13.4.1关于资格文件的声明函（格式见第三章）；</w:t>
      </w:r>
    </w:p>
    <w:p w14:paraId="7AC1774C">
      <w:pPr>
        <w:tabs>
          <w:tab w:val="left" w:pos="9000"/>
        </w:tabs>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13.4.2投标人法定代表人身份证复印件；</w:t>
      </w:r>
    </w:p>
    <w:p w14:paraId="5D9DF4D5">
      <w:pPr>
        <w:tabs>
          <w:tab w:val="left" w:pos="851"/>
          <w:tab w:val="left" w:pos="9000"/>
        </w:tabs>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13.4.3法定代表人授权委托书（如有授权，格式见第三章）；</w:t>
      </w:r>
    </w:p>
    <w:p w14:paraId="11CFBF99">
      <w:pPr>
        <w:tabs>
          <w:tab w:val="left" w:pos="851"/>
          <w:tab w:val="left" w:pos="9000"/>
        </w:tabs>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13.4.4投标人授权代理人身份证复印件（如有授权）；</w:t>
      </w:r>
    </w:p>
    <w:p w14:paraId="57F6F26D">
      <w:pPr>
        <w:tabs>
          <w:tab w:val="left" w:pos="851"/>
          <w:tab w:val="left" w:pos="9000"/>
        </w:tabs>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13.4.5合格投标人资格证明材料：</w:t>
      </w:r>
    </w:p>
    <w:p w14:paraId="71554A33">
      <w:pPr>
        <w:tabs>
          <w:tab w:val="left" w:pos="851"/>
          <w:tab w:val="left" w:pos="9000"/>
        </w:tabs>
        <w:spacing w:line="360" w:lineRule="auto"/>
        <w:rPr>
          <w:rFonts w:hint="default" w:ascii="宋体" w:hAnsi="宋体" w:cs="宋体"/>
          <w:color w:val="auto"/>
          <w:sz w:val="24"/>
          <w:szCs w:val="24"/>
          <w:highlight w:val="none"/>
          <w:lang w:val="en-US"/>
        </w:rPr>
      </w:pPr>
      <w:r>
        <w:rPr>
          <w:rFonts w:hint="eastAsia" w:ascii="宋体" w:hAnsi="宋体" w:cs="宋体"/>
          <w:color w:val="auto"/>
          <w:sz w:val="24"/>
          <w:szCs w:val="24"/>
          <w:highlight w:val="none"/>
        </w:rPr>
        <w:t>13.4.5.1具有独立承担民事责任的能力证明（包括法人或者其他组织的营业执照等证明文件，自然人的身份证明）；</w:t>
      </w:r>
    </w:p>
    <w:p w14:paraId="3100953B">
      <w:pPr>
        <w:tabs>
          <w:tab w:val="left" w:pos="851"/>
          <w:tab w:val="left" w:pos="9000"/>
        </w:tabs>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13.4.5.2具有良好的商业信誉和健全的财务会计制度证明（法人应提供最近一期经会计师事务所审计的财务报告</w:t>
      </w:r>
      <w:r>
        <w:rPr>
          <w:rFonts w:hint="eastAsia" w:ascii="宋体" w:hAnsi="宋体" w:cs="宋体"/>
          <w:color w:val="auto"/>
          <w:sz w:val="24"/>
          <w:szCs w:val="24"/>
          <w:highlight w:val="none"/>
          <w:lang w:val="en-US" w:eastAsia="zh-CN"/>
        </w:rPr>
        <w:t>或财务报表</w:t>
      </w:r>
      <w:r>
        <w:rPr>
          <w:rFonts w:hint="eastAsia" w:ascii="宋体" w:hAnsi="宋体" w:cs="宋体"/>
          <w:color w:val="auto"/>
          <w:sz w:val="24"/>
          <w:szCs w:val="24"/>
          <w:highlight w:val="none"/>
        </w:rPr>
        <w:t>，其他组织、自然人及成立未满一年的法人应提供银行出具的资信证明）；</w:t>
      </w:r>
    </w:p>
    <w:p w14:paraId="6B162FD3">
      <w:pPr>
        <w:tabs>
          <w:tab w:val="left" w:pos="851"/>
          <w:tab w:val="left" w:pos="9000"/>
        </w:tabs>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13.4.5.3依法缴纳税收和社会保障资金的良好记录证明（提供投标文件截止时间前一年内至少一个月依法缴纳税收及缴纳社会保障资金的证明材料，如相关主管部门证明或银行代扣证明；投标人如依法享受缓缴、免缴税收、社会保障资金的应提供相关主管部门出具的证明材料）；</w:t>
      </w:r>
    </w:p>
    <w:p w14:paraId="0CBCA46B">
      <w:pPr>
        <w:keepNext w:val="0"/>
        <w:keepLines w:val="0"/>
        <w:pageBreakBefore w:val="0"/>
        <w:widowControl w:val="0"/>
        <w:tabs>
          <w:tab w:val="left" w:pos="851"/>
          <w:tab w:val="left" w:pos="9000"/>
        </w:tabs>
        <w:spacing w:line="360" w:lineRule="auto"/>
        <w:rPr>
          <w:rFonts w:hint="eastAsia" w:ascii="宋体" w:hAnsi="宋体" w:cs="宋体"/>
          <w:color w:val="auto"/>
          <w:sz w:val="24"/>
          <w:highlight w:val="none"/>
        </w:rPr>
      </w:pPr>
      <w:r>
        <w:rPr>
          <w:rFonts w:hint="eastAsia" w:ascii="宋体" w:hAnsi="宋体" w:cs="宋体"/>
          <w:color w:val="auto"/>
          <w:sz w:val="24"/>
          <w:highlight w:val="none"/>
        </w:rPr>
        <w:t>13.4.5.4具备履行合同所必需的设备和专业技术能力的证明材料或承诺；</w:t>
      </w:r>
    </w:p>
    <w:p w14:paraId="34BD0B76">
      <w:pPr>
        <w:keepNext w:val="0"/>
        <w:keepLines w:val="0"/>
        <w:pageBreakBefore w:val="0"/>
        <w:widowControl w:val="0"/>
        <w:tabs>
          <w:tab w:val="left" w:pos="851"/>
          <w:tab w:val="left" w:pos="9000"/>
        </w:tabs>
        <w:spacing w:line="360" w:lineRule="auto"/>
        <w:rPr>
          <w:rFonts w:hint="eastAsia" w:ascii="宋体" w:hAnsi="宋体" w:cs="宋体"/>
          <w:color w:val="auto"/>
          <w:sz w:val="24"/>
          <w:highlight w:val="none"/>
        </w:rPr>
      </w:pPr>
      <w:r>
        <w:rPr>
          <w:rFonts w:hint="eastAsia" w:ascii="宋体" w:hAnsi="宋体" w:cs="宋体"/>
          <w:color w:val="auto"/>
          <w:sz w:val="24"/>
          <w:highlight w:val="none"/>
        </w:rPr>
        <w:t>13.4.5.5参加政府采购活动前三年内，在经营活动中没有重大违法记录的书面声明函；</w:t>
      </w:r>
    </w:p>
    <w:p w14:paraId="42812BE0">
      <w:pPr>
        <w:keepNext w:val="0"/>
        <w:keepLines w:val="0"/>
        <w:pageBreakBefore w:val="0"/>
        <w:widowControl w:val="0"/>
        <w:tabs>
          <w:tab w:val="left" w:pos="851"/>
          <w:tab w:val="left" w:pos="9000"/>
        </w:tabs>
        <w:spacing w:line="360" w:lineRule="auto"/>
        <w:rPr>
          <w:rFonts w:hint="eastAsia" w:ascii="宋体" w:hAnsi="宋体" w:cs="宋体"/>
          <w:color w:val="auto"/>
          <w:sz w:val="24"/>
          <w:highlight w:val="none"/>
        </w:rPr>
      </w:pPr>
      <w:r>
        <w:rPr>
          <w:rFonts w:hint="eastAsia" w:ascii="宋体" w:hAnsi="宋体" w:cs="宋体"/>
          <w:color w:val="auto"/>
          <w:sz w:val="24"/>
          <w:highlight w:val="none"/>
        </w:rPr>
        <w:t>13.4.5.</w:t>
      </w:r>
      <w:r>
        <w:rPr>
          <w:rFonts w:hint="eastAsia" w:ascii="宋体" w:hAnsi="宋体" w:cs="宋体"/>
          <w:color w:val="auto"/>
          <w:sz w:val="24"/>
          <w:highlight w:val="none"/>
          <w:lang w:val="en-US" w:eastAsia="zh-CN"/>
        </w:rPr>
        <w:t>6</w:t>
      </w:r>
      <w:r>
        <w:rPr>
          <w:rFonts w:hint="eastAsia" w:ascii="宋体" w:hAnsi="宋体" w:cs="宋体"/>
          <w:color w:val="auto"/>
          <w:sz w:val="24"/>
          <w:szCs w:val="24"/>
          <w:highlight w:val="none"/>
          <w:lang w:val="en-US" w:eastAsia="zh-CN"/>
        </w:rPr>
        <w:t>具有有效期内的《医疗机构执业许可证》；</w:t>
      </w:r>
    </w:p>
    <w:p w14:paraId="06E971EC">
      <w:pPr>
        <w:pStyle w:val="196"/>
        <w:keepNext w:val="0"/>
        <w:keepLines w:val="0"/>
        <w:pageBreakBefore w:val="0"/>
        <w:widowControl w:val="0"/>
        <w:spacing w:after="0" w:line="360" w:lineRule="auto"/>
        <w:ind w:left="0"/>
        <w:rPr>
          <w:rFonts w:hint="eastAsia" w:ascii="宋体" w:hAnsi="宋体" w:cs="宋体"/>
          <w:color w:val="auto"/>
          <w:sz w:val="24"/>
          <w:highlight w:val="none"/>
        </w:rPr>
      </w:pPr>
      <w:r>
        <w:rPr>
          <w:rFonts w:hint="eastAsia" w:ascii="宋体" w:hAnsi="宋体" w:cs="宋体"/>
          <w:color w:val="auto"/>
          <w:sz w:val="24"/>
          <w:highlight w:val="none"/>
        </w:rPr>
        <w:t>13.4.5.</w:t>
      </w:r>
      <w:r>
        <w:rPr>
          <w:rFonts w:hint="eastAsia" w:ascii="宋体" w:hAnsi="宋体" w:cs="宋体"/>
          <w:color w:val="auto"/>
          <w:sz w:val="24"/>
          <w:highlight w:val="none"/>
          <w:lang w:val="en-US" w:eastAsia="zh-CN"/>
        </w:rPr>
        <w:t>7</w:t>
      </w:r>
      <w:r>
        <w:rPr>
          <w:rFonts w:hint="eastAsia" w:ascii="宋体" w:hAnsi="宋体" w:cs="宋体"/>
          <w:color w:val="auto"/>
          <w:sz w:val="24"/>
          <w:highlight w:val="none"/>
        </w:rPr>
        <w:t>《中小企业声明函》或《残疾人福利性单位声明函》或由省级以上监狱管理局、戒毒管理局（含新疆生产建设兵团）出具的属于监狱企业的证明文件</w:t>
      </w:r>
      <w:r>
        <w:rPr>
          <w:rFonts w:hint="eastAsia" w:ascii="宋体" w:hAnsi="宋体" w:cs="宋体"/>
          <w:color w:val="auto"/>
          <w:sz w:val="24"/>
          <w:highlight w:val="none"/>
          <w:lang w:eastAsia="zh-CN"/>
        </w:rPr>
        <w:t>（</w:t>
      </w:r>
      <w:r>
        <w:rPr>
          <w:rFonts w:hint="eastAsia" w:ascii="宋体" w:hAnsi="宋体" w:cs="宋体"/>
          <w:color w:val="auto"/>
          <w:sz w:val="24"/>
          <w:highlight w:val="none"/>
          <w:lang w:val="en-US" w:eastAsia="zh-CN"/>
        </w:rPr>
        <w:t>如有）</w:t>
      </w:r>
      <w:r>
        <w:rPr>
          <w:rFonts w:hint="eastAsia" w:ascii="宋体" w:hAnsi="宋体" w:cs="宋体"/>
          <w:color w:val="auto"/>
          <w:sz w:val="24"/>
          <w:highlight w:val="none"/>
        </w:rPr>
        <w:t>；</w:t>
      </w:r>
    </w:p>
    <w:p w14:paraId="2A91248B">
      <w:pPr>
        <w:keepNext w:val="0"/>
        <w:keepLines w:val="0"/>
        <w:pageBreakBefore w:val="0"/>
        <w:widowControl w:val="0"/>
        <w:spacing w:line="360" w:lineRule="auto"/>
        <w:rPr>
          <w:rFonts w:hint="default" w:eastAsia="宋体"/>
          <w:color w:val="auto"/>
          <w:highlight w:val="none"/>
          <w:lang w:val="en-US" w:eastAsia="zh-CN"/>
        </w:rPr>
      </w:pPr>
      <w:r>
        <w:rPr>
          <w:rFonts w:hint="eastAsia" w:ascii="宋体" w:hAnsi="宋体" w:cs="宋体"/>
          <w:color w:val="auto"/>
          <w:sz w:val="24"/>
          <w:highlight w:val="none"/>
          <w:lang w:val="en-US" w:eastAsia="zh-CN"/>
        </w:rPr>
        <w:t>13.4.5.8</w:t>
      </w:r>
      <w:r>
        <w:rPr>
          <w:rFonts w:hint="eastAsia" w:ascii="宋体" w:hAnsi="宋体" w:eastAsia="宋体" w:cs="宋体"/>
          <w:color w:val="auto"/>
          <w:sz w:val="24"/>
          <w:szCs w:val="24"/>
          <w:highlight w:val="none"/>
          <w:lang w:val="en-US" w:eastAsia="zh-CN"/>
        </w:rPr>
        <w:t>未被“</w:t>
      </w:r>
      <w:r>
        <w:rPr>
          <w:rFonts w:hint="eastAsia" w:ascii="宋体" w:hAnsi="宋体" w:cs="黑体"/>
          <w:bCs/>
          <w:color w:val="auto"/>
          <w:sz w:val="24"/>
          <w:highlight w:val="none"/>
          <w:shd w:val="clear" w:color="auto" w:fill="FFFFFF"/>
        </w:rPr>
        <w:t>信用中国</w:t>
      </w:r>
      <w:r>
        <w:rPr>
          <w:rFonts w:hint="eastAsia" w:ascii="宋体" w:hAnsi="宋体" w:cs="黑体"/>
          <w:bCs/>
          <w:color w:val="auto"/>
          <w:sz w:val="24"/>
          <w:highlight w:val="none"/>
          <w:shd w:val="clear" w:color="auto" w:fill="FFFFFF"/>
          <w:lang w:eastAsia="zh-CN"/>
        </w:rPr>
        <w:t>”</w:t>
      </w:r>
      <w:r>
        <w:rPr>
          <w:rFonts w:hint="eastAsia" w:ascii="宋体" w:hAnsi="宋体" w:cs="黑体"/>
          <w:bCs/>
          <w:color w:val="auto"/>
          <w:sz w:val="24"/>
          <w:highlight w:val="none"/>
          <w:shd w:val="clear" w:color="auto" w:fill="FFFFFF"/>
        </w:rPr>
        <w:t>网站（www.creditchina.gov.cn/）</w:t>
      </w:r>
      <w:r>
        <w:rPr>
          <w:rFonts w:hint="eastAsia" w:ascii="宋体" w:hAnsi="宋体" w:cs="黑体"/>
          <w:bCs/>
          <w:color w:val="auto"/>
          <w:sz w:val="24"/>
          <w:highlight w:val="none"/>
          <w:shd w:val="clear" w:color="auto" w:fill="FFFFFF"/>
          <w:lang w:eastAsia="zh-CN"/>
        </w:rPr>
        <w:t>列入失信被执行人、重大税收违法</w:t>
      </w:r>
      <w:r>
        <w:rPr>
          <w:rFonts w:ascii="宋体" w:hAnsi="宋体" w:cs="宋体"/>
          <w:color w:val="auto"/>
          <w:sz w:val="24"/>
          <w:szCs w:val="24"/>
          <w:highlight w:val="none"/>
        </w:rPr>
        <w:t>案件当事人名单、政府采购严重失信行为记录名单</w:t>
      </w:r>
      <w:r>
        <w:rPr>
          <w:rFonts w:hint="eastAsia" w:ascii="宋体" w:hAnsi="宋体" w:cs="黑体"/>
          <w:bCs/>
          <w:color w:val="auto"/>
          <w:sz w:val="24"/>
          <w:highlight w:val="none"/>
          <w:shd w:val="clear" w:color="auto" w:fill="FFFFFF"/>
          <w:lang w:eastAsia="zh-CN"/>
        </w:rPr>
        <w:t>；</w:t>
      </w:r>
    </w:p>
    <w:p w14:paraId="5DFFBAF0">
      <w:pPr>
        <w:pStyle w:val="196"/>
        <w:keepNext w:val="0"/>
        <w:keepLines w:val="0"/>
        <w:pageBreakBefore w:val="0"/>
        <w:widowControl w:val="0"/>
        <w:spacing w:after="0" w:line="360" w:lineRule="auto"/>
        <w:ind w:left="0"/>
        <w:rPr>
          <w:color w:val="auto"/>
          <w:highlight w:val="none"/>
        </w:rPr>
      </w:pPr>
      <w:r>
        <w:rPr>
          <w:rFonts w:hint="eastAsia" w:ascii="宋体" w:hAnsi="宋体" w:cs="宋体"/>
          <w:color w:val="auto"/>
          <w:sz w:val="24"/>
          <w:highlight w:val="none"/>
        </w:rPr>
        <w:t>13.4.5.</w:t>
      </w:r>
      <w:r>
        <w:rPr>
          <w:rFonts w:hint="eastAsia" w:ascii="宋体" w:hAnsi="宋体" w:cs="宋体"/>
          <w:color w:val="auto"/>
          <w:sz w:val="24"/>
          <w:highlight w:val="none"/>
          <w:lang w:val="en-US" w:eastAsia="zh-CN"/>
        </w:rPr>
        <w:t>9</w:t>
      </w:r>
      <w:r>
        <w:rPr>
          <w:rFonts w:hint="eastAsia" w:ascii="宋体" w:hAnsi="宋体" w:cs="宋体"/>
          <w:color w:val="auto"/>
          <w:sz w:val="24"/>
          <w:highlight w:val="none"/>
        </w:rPr>
        <w:t>其他有关资格证明文件。</w:t>
      </w:r>
    </w:p>
    <w:p w14:paraId="55099648">
      <w:pPr>
        <w:pStyle w:val="196"/>
        <w:spacing w:after="0" w:line="360" w:lineRule="auto"/>
        <w:ind w:left="0"/>
        <w:rPr>
          <w:rFonts w:hint="eastAsia" w:ascii="宋体" w:hAnsi="宋体" w:cs="宋体"/>
          <w:b/>
          <w:bCs/>
          <w:color w:val="auto"/>
          <w:sz w:val="24"/>
          <w:highlight w:val="none"/>
        </w:rPr>
      </w:pPr>
      <w:r>
        <w:rPr>
          <w:rFonts w:hint="eastAsia" w:ascii="宋体" w:hAnsi="宋体" w:cs="宋体"/>
          <w:b/>
          <w:bCs/>
          <w:color w:val="auto"/>
          <w:sz w:val="24"/>
          <w:highlight w:val="none"/>
        </w:rPr>
        <w:t>13.5符合性审查文件</w:t>
      </w:r>
    </w:p>
    <w:p w14:paraId="4C916B15">
      <w:pPr>
        <w:pStyle w:val="196"/>
        <w:spacing w:after="0" w:line="360" w:lineRule="auto"/>
        <w:ind w:left="0"/>
        <w:rPr>
          <w:rFonts w:hint="eastAsia" w:ascii="宋体" w:hAnsi="宋体" w:cs="宋体"/>
          <w:color w:val="auto"/>
          <w:sz w:val="24"/>
          <w:highlight w:val="none"/>
        </w:rPr>
      </w:pPr>
      <w:r>
        <w:rPr>
          <w:rFonts w:hint="eastAsia" w:ascii="宋体" w:hAnsi="宋体" w:cs="宋体"/>
          <w:color w:val="auto"/>
          <w:sz w:val="24"/>
          <w:highlight w:val="none"/>
        </w:rPr>
        <w:t>13.5.1投标函（格式见第三章）；</w:t>
      </w:r>
    </w:p>
    <w:p w14:paraId="44CF9E34">
      <w:pPr>
        <w:spacing w:line="360" w:lineRule="auto"/>
        <w:rPr>
          <w:rFonts w:hint="eastAsia" w:ascii="宋体" w:hAnsi="宋体" w:eastAsia="宋体" w:cs="宋体"/>
          <w:color w:val="auto"/>
          <w:sz w:val="24"/>
          <w:highlight w:val="none"/>
          <w:lang w:val="en-US" w:eastAsia="zh-CN"/>
        </w:rPr>
      </w:pPr>
      <w:r>
        <w:rPr>
          <w:rFonts w:hint="eastAsia" w:ascii="宋体" w:hAnsi="宋体" w:cs="宋体"/>
          <w:color w:val="auto"/>
          <w:sz w:val="24"/>
          <w:highlight w:val="none"/>
        </w:rPr>
        <w:t>13.5.</w:t>
      </w:r>
      <w:r>
        <w:rPr>
          <w:rFonts w:hint="eastAsia" w:ascii="宋体" w:hAnsi="宋体" w:cs="宋体"/>
          <w:color w:val="auto"/>
          <w:sz w:val="24"/>
          <w:highlight w:val="none"/>
          <w:lang w:val="en-US" w:eastAsia="zh-CN"/>
        </w:rPr>
        <w:t>2通过二级或以上生物安全实验室备案证明</w:t>
      </w:r>
      <w:r>
        <w:rPr>
          <w:rFonts w:hint="eastAsia" w:ascii="宋体" w:hAnsi="宋体"/>
          <w:bCs/>
          <w:color w:val="auto"/>
          <w:sz w:val="24"/>
          <w:highlight w:val="none"/>
          <w:lang w:eastAsia="zh-CN"/>
        </w:rPr>
        <w:t>；</w:t>
      </w:r>
    </w:p>
    <w:p w14:paraId="70A51758">
      <w:pPr>
        <w:spacing w:line="360" w:lineRule="auto"/>
        <w:rPr>
          <w:rFonts w:hint="eastAsia" w:ascii="宋体" w:hAnsi="宋体" w:cs="宋体"/>
          <w:color w:val="auto"/>
          <w:sz w:val="24"/>
          <w:highlight w:val="none"/>
          <w:lang w:val="en-US" w:eastAsia="zh-CN"/>
        </w:rPr>
      </w:pPr>
      <w:r>
        <w:rPr>
          <w:rFonts w:hint="eastAsia" w:ascii="宋体" w:hAnsi="宋体" w:cs="宋体"/>
          <w:color w:val="auto"/>
          <w:sz w:val="24"/>
          <w:highlight w:val="none"/>
        </w:rPr>
        <w:t>13.5.</w:t>
      </w:r>
      <w:r>
        <w:rPr>
          <w:rFonts w:hint="eastAsia" w:ascii="宋体" w:hAnsi="宋体" w:cs="宋体"/>
          <w:color w:val="auto"/>
          <w:sz w:val="24"/>
          <w:highlight w:val="none"/>
          <w:lang w:val="en-US" w:eastAsia="zh-CN"/>
        </w:rPr>
        <w:t>3具有有效期内的临床基因扩增检验实验室技术验收合格证书；</w:t>
      </w:r>
    </w:p>
    <w:p w14:paraId="43BB7A0C">
      <w:pPr>
        <w:pStyle w:val="196"/>
        <w:spacing w:after="0" w:line="360" w:lineRule="auto"/>
        <w:ind w:left="0"/>
        <w:rPr>
          <w:rFonts w:hint="eastAsia" w:ascii="宋体" w:hAnsi="宋体" w:cs="宋体"/>
          <w:color w:val="auto"/>
          <w:sz w:val="24"/>
          <w:highlight w:val="none"/>
        </w:rPr>
      </w:pPr>
      <w:r>
        <w:rPr>
          <w:rFonts w:hint="eastAsia" w:ascii="宋体" w:hAnsi="宋体" w:cs="宋体"/>
          <w:color w:val="auto"/>
          <w:sz w:val="24"/>
          <w:highlight w:val="none"/>
        </w:rPr>
        <w:t>13.5.</w:t>
      </w:r>
      <w:r>
        <w:rPr>
          <w:rFonts w:hint="eastAsia" w:ascii="宋体" w:hAnsi="宋体" w:cs="宋体"/>
          <w:color w:val="auto"/>
          <w:sz w:val="24"/>
          <w:highlight w:val="none"/>
          <w:lang w:val="en-US" w:eastAsia="zh-CN"/>
        </w:rPr>
        <w:t>4</w:t>
      </w:r>
      <w:r>
        <w:rPr>
          <w:rFonts w:hint="eastAsia" w:ascii="宋体" w:hAnsi="宋体" w:cs="宋体"/>
          <w:color w:val="auto"/>
          <w:sz w:val="24"/>
          <w:highlight w:val="none"/>
        </w:rPr>
        <w:t>偏离表（格式见第三章）；</w:t>
      </w:r>
    </w:p>
    <w:p w14:paraId="41E261F0">
      <w:pPr>
        <w:pStyle w:val="196"/>
        <w:keepNext w:val="0"/>
        <w:keepLines w:val="0"/>
        <w:pageBreakBefore w:val="0"/>
        <w:widowControl w:val="0"/>
        <w:spacing w:after="0" w:line="360" w:lineRule="auto"/>
        <w:ind w:left="0"/>
        <w:rPr>
          <w:rFonts w:hint="eastAsia" w:ascii="宋体" w:hAnsi="宋体" w:cs="宋体"/>
          <w:color w:val="auto"/>
          <w:sz w:val="24"/>
          <w:highlight w:val="none"/>
        </w:rPr>
      </w:pPr>
      <w:r>
        <w:rPr>
          <w:rFonts w:hint="eastAsia" w:ascii="宋体" w:hAnsi="宋体" w:cs="宋体"/>
          <w:color w:val="auto"/>
          <w:sz w:val="24"/>
          <w:highlight w:val="none"/>
        </w:rPr>
        <w:t>13.5.</w:t>
      </w:r>
      <w:r>
        <w:rPr>
          <w:rFonts w:hint="eastAsia" w:ascii="宋体" w:hAnsi="宋体" w:cs="宋体"/>
          <w:color w:val="auto"/>
          <w:sz w:val="24"/>
          <w:highlight w:val="none"/>
          <w:lang w:val="en-US" w:eastAsia="zh-CN"/>
        </w:rPr>
        <w:t>5</w:t>
      </w:r>
      <w:r>
        <w:rPr>
          <w:rFonts w:hint="eastAsia" w:ascii="宋体" w:hAnsi="宋体" w:cs="宋体"/>
          <w:color w:val="auto"/>
          <w:sz w:val="24"/>
          <w:highlight w:val="none"/>
        </w:rPr>
        <w:t>其他有关符合性证明的文件。</w:t>
      </w:r>
    </w:p>
    <w:p w14:paraId="0A21C746">
      <w:pPr>
        <w:pStyle w:val="196"/>
        <w:keepNext w:val="0"/>
        <w:keepLines w:val="0"/>
        <w:pageBreakBefore w:val="0"/>
        <w:widowControl w:val="0"/>
        <w:spacing w:after="0" w:line="360" w:lineRule="auto"/>
        <w:ind w:left="0"/>
        <w:rPr>
          <w:rFonts w:hint="eastAsia" w:ascii="宋体" w:hAnsi="宋体" w:cs="宋体"/>
          <w:b/>
          <w:bCs/>
          <w:color w:val="auto"/>
          <w:sz w:val="24"/>
          <w:szCs w:val="24"/>
          <w:highlight w:val="none"/>
        </w:rPr>
      </w:pPr>
      <w:r>
        <w:rPr>
          <w:rFonts w:hint="eastAsia" w:ascii="宋体" w:hAnsi="宋体" w:cs="宋体"/>
          <w:b/>
          <w:bCs/>
          <w:color w:val="auto"/>
          <w:sz w:val="24"/>
          <w:szCs w:val="24"/>
          <w:highlight w:val="none"/>
        </w:rPr>
        <w:t>13.6综合评审文件</w:t>
      </w:r>
    </w:p>
    <w:p w14:paraId="57E846D3">
      <w:pPr>
        <w:keepNext w:val="0"/>
        <w:keepLines w:val="0"/>
        <w:pageBreakBefore w:val="0"/>
        <w:widowControl w:val="0"/>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13.6.1</w:t>
      </w:r>
      <w:r>
        <w:rPr>
          <w:rFonts w:hint="eastAsia" w:ascii="宋体" w:hAnsi="宋体" w:cs="宋体"/>
          <w:color w:val="auto"/>
          <w:sz w:val="24"/>
          <w:szCs w:val="24"/>
          <w:highlight w:val="none"/>
          <w:lang w:eastAsia="zh-CN"/>
        </w:rPr>
        <w:t>服务方案</w:t>
      </w:r>
      <w:r>
        <w:rPr>
          <w:rFonts w:hint="eastAsia" w:ascii="宋体" w:hAnsi="宋体" w:cs="宋体"/>
          <w:color w:val="auto"/>
          <w:sz w:val="24"/>
          <w:szCs w:val="24"/>
          <w:highlight w:val="none"/>
        </w:rPr>
        <w:t>；</w:t>
      </w:r>
    </w:p>
    <w:p w14:paraId="28CFC995">
      <w:pPr>
        <w:keepNext w:val="0"/>
        <w:keepLines w:val="0"/>
        <w:pageBreakBefore w:val="0"/>
        <w:widowControl w:val="0"/>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13.6.2</w:t>
      </w:r>
      <w:r>
        <w:rPr>
          <w:rFonts w:hint="eastAsia" w:ascii="宋体" w:hAnsi="宋体"/>
          <w:bCs/>
          <w:color w:val="auto"/>
          <w:sz w:val="24"/>
          <w:highlight w:val="none"/>
          <w:lang w:eastAsia="zh-CN"/>
        </w:rPr>
        <w:t>投标单位综合履约能力</w:t>
      </w:r>
      <w:r>
        <w:rPr>
          <w:rFonts w:hint="eastAsia" w:ascii="宋体" w:hAnsi="宋体" w:cs="宋体"/>
          <w:color w:val="auto"/>
          <w:sz w:val="24"/>
          <w:szCs w:val="24"/>
          <w:highlight w:val="none"/>
        </w:rPr>
        <w:t>；</w:t>
      </w:r>
    </w:p>
    <w:p w14:paraId="0DEBC24B">
      <w:pPr>
        <w:pStyle w:val="32"/>
        <w:keepNext w:val="0"/>
        <w:keepLines w:val="0"/>
        <w:pageBreakBefore w:val="0"/>
        <w:widowControl w:val="0"/>
        <w:spacing w:line="360" w:lineRule="auto"/>
        <w:ind w:left="0" w:firstLine="0"/>
        <w:rPr>
          <w:rFonts w:hint="eastAsia" w:eastAsia="宋体"/>
          <w:color w:val="auto"/>
          <w:highlight w:val="none"/>
        </w:rPr>
      </w:pPr>
      <w:r>
        <w:rPr>
          <w:rFonts w:hint="eastAsia" w:cs="宋体"/>
          <w:color w:val="auto"/>
          <w:sz w:val="24"/>
          <w:szCs w:val="24"/>
          <w:highlight w:val="none"/>
          <w:lang w:val="en-US" w:eastAsia="zh-CN"/>
        </w:rPr>
        <w:t>13.6.3</w:t>
      </w:r>
      <w:r>
        <w:rPr>
          <w:rFonts w:hint="eastAsia" w:ascii="宋体" w:hAnsi="宋体" w:cs="宋体"/>
          <w:color w:val="auto"/>
          <w:sz w:val="24"/>
          <w:highlight w:val="none"/>
        </w:rPr>
        <w:t>所投项目</w:t>
      </w:r>
      <w:r>
        <w:rPr>
          <w:rFonts w:hint="eastAsia" w:ascii="宋体" w:hAnsi="宋体" w:cs="宋体"/>
          <w:color w:val="auto"/>
          <w:sz w:val="24"/>
          <w:highlight w:val="none"/>
          <w:lang w:eastAsia="zh-CN"/>
        </w:rPr>
        <w:t>、</w:t>
      </w:r>
      <w:r>
        <w:rPr>
          <w:rFonts w:hint="eastAsia" w:ascii="宋体" w:hAnsi="宋体" w:cs="宋体"/>
          <w:color w:val="auto"/>
          <w:sz w:val="24"/>
          <w:highlight w:val="none"/>
        </w:rPr>
        <w:t>招标文件</w:t>
      </w:r>
      <w:r>
        <w:rPr>
          <w:rFonts w:hint="eastAsia" w:ascii="宋体" w:hAnsi="宋体" w:cs="宋体"/>
          <w:color w:val="auto"/>
          <w:sz w:val="24"/>
          <w:highlight w:val="none"/>
          <w:lang w:eastAsia="zh-CN"/>
        </w:rPr>
        <w:t>及评审条款</w:t>
      </w:r>
      <w:r>
        <w:rPr>
          <w:rFonts w:hint="eastAsia" w:ascii="宋体" w:hAnsi="宋体" w:cs="宋体"/>
          <w:color w:val="auto"/>
          <w:sz w:val="24"/>
          <w:highlight w:val="none"/>
        </w:rPr>
        <w:t>中要求的相关证书及证明材料等</w:t>
      </w:r>
      <w:r>
        <w:rPr>
          <w:rFonts w:hint="eastAsia" w:ascii="宋体" w:hAnsi="宋体" w:cs="宋体"/>
          <w:color w:val="auto"/>
          <w:sz w:val="24"/>
          <w:highlight w:val="none"/>
          <w:lang w:eastAsia="zh-CN"/>
        </w:rPr>
        <w:t>。</w:t>
      </w:r>
    </w:p>
    <w:p w14:paraId="692FB9B1">
      <w:pPr>
        <w:pStyle w:val="196"/>
        <w:keepNext w:val="0"/>
        <w:keepLines w:val="0"/>
        <w:pageBreakBefore w:val="0"/>
        <w:widowControl w:val="0"/>
        <w:spacing w:after="0" w:line="360" w:lineRule="auto"/>
        <w:ind w:left="0"/>
        <w:rPr>
          <w:rFonts w:hint="eastAsia" w:ascii="宋体" w:hAnsi="宋体" w:cs="宋体"/>
          <w:color w:val="auto"/>
          <w:sz w:val="24"/>
          <w:highlight w:val="none"/>
        </w:rPr>
      </w:pPr>
      <w:r>
        <w:rPr>
          <w:rFonts w:hint="eastAsia" w:ascii="宋体" w:hAnsi="宋体" w:cs="宋体"/>
          <w:color w:val="auto"/>
          <w:sz w:val="24"/>
          <w:highlight w:val="none"/>
        </w:rPr>
        <w:t>13.7其他可以证明投标人资质、服务质量的证书、文件等相关资料。</w:t>
      </w:r>
    </w:p>
    <w:p w14:paraId="6FEACCEE">
      <w:pPr>
        <w:pStyle w:val="196"/>
        <w:keepNext w:val="0"/>
        <w:keepLines w:val="0"/>
        <w:pageBreakBefore w:val="0"/>
        <w:widowControl w:val="0"/>
        <w:spacing w:after="0" w:line="360" w:lineRule="auto"/>
        <w:ind w:left="0"/>
        <w:rPr>
          <w:rFonts w:hint="eastAsia" w:ascii="宋体" w:hAnsi="宋体" w:cs="宋体"/>
          <w:color w:val="auto"/>
          <w:sz w:val="24"/>
          <w:highlight w:val="none"/>
        </w:rPr>
      </w:pPr>
      <w:r>
        <w:rPr>
          <w:rFonts w:hint="eastAsia" w:ascii="宋体" w:hAnsi="宋体" w:cs="宋体"/>
          <w:color w:val="auto"/>
          <w:sz w:val="24"/>
          <w:highlight w:val="none"/>
        </w:rPr>
        <w:t>注：（1）以上资格审查要求提供的材料，是作为对供应商资格审查、质疑身份认定的依据，投标人必须提供并加盖电子公章。否则，投标文件将被认定为不符合资格审查要求。</w:t>
      </w:r>
    </w:p>
    <w:p w14:paraId="50EEB881">
      <w:pPr>
        <w:pStyle w:val="196"/>
        <w:spacing w:after="0" w:line="360" w:lineRule="auto"/>
        <w:ind w:left="0" w:firstLine="480"/>
        <w:rPr>
          <w:rFonts w:hint="eastAsia" w:ascii="宋体" w:hAnsi="宋体" w:cs="宋体"/>
          <w:color w:val="auto"/>
          <w:sz w:val="24"/>
          <w:highlight w:val="none"/>
        </w:rPr>
      </w:pPr>
      <w:r>
        <w:rPr>
          <w:rFonts w:hint="eastAsia" w:ascii="宋体" w:hAnsi="宋体" w:cs="宋体"/>
          <w:color w:val="auto"/>
          <w:sz w:val="24"/>
          <w:highlight w:val="none"/>
        </w:rPr>
        <w:t>（2）以上符合性审查须提供的资料，投标人必须提供并加盖电子公章。否则，投标文件将被认定为未实质性响应。</w:t>
      </w:r>
    </w:p>
    <w:p w14:paraId="1A25562E">
      <w:pPr>
        <w:pStyle w:val="196"/>
        <w:spacing w:after="0" w:line="360" w:lineRule="auto"/>
        <w:ind w:left="0" w:firstLine="480"/>
        <w:rPr>
          <w:rFonts w:hint="eastAsia" w:ascii="宋体" w:hAnsi="宋体" w:cs="宋体"/>
          <w:color w:val="auto"/>
          <w:sz w:val="24"/>
          <w:highlight w:val="none"/>
        </w:rPr>
      </w:pPr>
      <w:r>
        <w:rPr>
          <w:rFonts w:hint="eastAsia" w:ascii="宋体" w:hAnsi="宋体" w:cs="宋体"/>
          <w:color w:val="auto"/>
          <w:sz w:val="24"/>
          <w:highlight w:val="none"/>
        </w:rPr>
        <w:t>（3）以上13.4-13.7中不得出现投标总报价。投标人所提交的资料的完整与否，将直接影响投标人的评分。</w:t>
      </w:r>
    </w:p>
    <w:p w14:paraId="53178BC5">
      <w:pPr>
        <w:pStyle w:val="196"/>
        <w:spacing w:after="0" w:line="360" w:lineRule="auto"/>
        <w:ind w:left="0" w:firstLine="480"/>
        <w:rPr>
          <w:rFonts w:hint="eastAsia" w:ascii="宋体" w:hAnsi="宋体" w:cs="宋体"/>
          <w:color w:val="auto"/>
          <w:sz w:val="24"/>
          <w:highlight w:val="none"/>
        </w:rPr>
      </w:pPr>
      <w:r>
        <w:rPr>
          <w:rFonts w:hint="eastAsia" w:ascii="宋体" w:hAnsi="宋体" w:cs="宋体"/>
          <w:color w:val="auto"/>
          <w:sz w:val="24"/>
          <w:highlight w:val="none"/>
        </w:rPr>
        <w:t>（4）制作电子投标文件时必须与投标文件制作软件目录一一对应，将相关资料上传至相应模块。</w:t>
      </w:r>
    </w:p>
    <w:p w14:paraId="4391FDE0">
      <w:pPr>
        <w:pStyle w:val="196"/>
        <w:spacing w:after="0" w:line="360" w:lineRule="auto"/>
        <w:ind w:left="0" w:firstLine="480"/>
        <w:rPr>
          <w:rFonts w:hint="eastAsia" w:ascii="宋体" w:hAnsi="宋体" w:cs="宋体"/>
          <w:color w:val="auto"/>
          <w:sz w:val="24"/>
          <w:highlight w:val="none"/>
        </w:rPr>
      </w:pPr>
      <w:r>
        <w:rPr>
          <w:rFonts w:hint="eastAsia" w:ascii="宋体" w:hAnsi="宋体" w:cs="宋体"/>
          <w:color w:val="auto"/>
          <w:sz w:val="24"/>
          <w:highlight w:val="none"/>
        </w:rPr>
        <w:t>（5）开评标过程中如有问题采购代理机构工作人员会及时通过《投标供应商确认函》留存的手机号与供应商联系。请供应商确保该手机号</w:t>
      </w:r>
      <w:r>
        <w:rPr>
          <w:rFonts w:hint="eastAsia" w:ascii="宋体" w:hAnsi="宋体" w:cs="宋体"/>
          <w:color w:val="auto"/>
          <w:sz w:val="24"/>
          <w:highlight w:val="none"/>
          <w:lang w:eastAsia="zh-CN"/>
        </w:rPr>
        <w:t>通信畅通</w:t>
      </w:r>
      <w:r>
        <w:rPr>
          <w:rFonts w:hint="eastAsia" w:ascii="宋体" w:hAnsi="宋体" w:cs="宋体"/>
          <w:color w:val="auto"/>
          <w:sz w:val="24"/>
          <w:highlight w:val="none"/>
        </w:rPr>
        <w:t>，否则导致的不利后果由供应商自行承担。</w:t>
      </w:r>
    </w:p>
    <w:p w14:paraId="2A1D1946">
      <w:pPr>
        <w:pStyle w:val="196"/>
        <w:spacing w:after="0" w:line="360" w:lineRule="auto"/>
        <w:ind w:left="0"/>
        <w:rPr>
          <w:rFonts w:hint="eastAsia" w:ascii="宋体" w:hAnsi="宋体" w:cs="宋体"/>
          <w:color w:val="auto"/>
          <w:sz w:val="24"/>
          <w:highlight w:val="none"/>
        </w:rPr>
      </w:pPr>
      <w:r>
        <w:rPr>
          <w:rFonts w:hint="eastAsia" w:ascii="宋体" w:hAnsi="宋体" w:cs="宋体"/>
          <w:color w:val="auto"/>
          <w:sz w:val="24"/>
          <w:highlight w:val="none"/>
        </w:rPr>
        <w:t>14.投标文件编制要求</w:t>
      </w:r>
    </w:p>
    <w:p w14:paraId="7C423B26">
      <w:pPr>
        <w:spacing w:line="360" w:lineRule="auto"/>
        <w:rPr>
          <w:rFonts w:hint="eastAsia" w:ascii="宋体" w:hAnsi="宋体"/>
          <w:color w:val="auto"/>
          <w:sz w:val="24"/>
          <w:highlight w:val="none"/>
        </w:rPr>
      </w:pPr>
      <w:r>
        <w:rPr>
          <w:rFonts w:hint="eastAsia" w:ascii="宋体" w:hAnsi="宋体"/>
          <w:color w:val="auto"/>
          <w:sz w:val="24"/>
          <w:highlight w:val="none"/>
        </w:rPr>
        <w:t>14.1投标文件按统一格式、顺序编写。</w:t>
      </w:r>
    </w:p>
    <w:p w14:paraId="7C8924AA">
      <w:pPr>
        <w:spacing w:line="360" w:lineRule="auto"/>
        <w:rPr>
          <w:rFonts w:hint="eastAsia" w:ascii="宋体" w:hAnsi="宋体" w:cs="宋体"/>
          <w:color w:val="auto"/>
          <w:sz w:val="24"/>
          <w:highlight w:val="none"/>
        </w:rPr>
      </w:pPr>
      <w:r>
        <w:rPr>
          <w:rFonts w:hint="eastAsia" w:ascii="宋体" w:hAnsi="宋体"/>
          <w:color w:val="auto"/>
          <w:sz w:val="24"/>
          <w:highlight w:val="none"/>
        </w:rPr>
        <w:t>14.2《开标一览表》为在开标仪式上唱标的内容，要求按格式填写，统一规范，不</w:t>
      </w:r>
      <w:r>
        <w:rPr>
          <w:rFonts w:hint="eastAsia" w:ascii="宋体" w:hAnsi="宋体" w:cs="宋体"/>
          <w:color w:val="auto"/>
          <w:sz w:val="24"/>
          <w:highlight w:val="none"/>
        </w:rPr>
        <w:t>得自行增减内容。</w:t>
      </w:r>
    </w:p>
    <w:p w14:paraId="1898C53D">
      <w:pPr>
        <w:pStyle w:val="196"/>
        <w:spacing w:after="0" w:line="360" w:lineRule="auto"/>
        <w:ind w:left="0"/>
        <w:rPr>
          <w:rFonts w:hint="eastAsia" w:ascii="宋体" w:hAnsi="宋体" w:cs="宋体"/>
          <w:color w:val="auto"/>
          <w:sz w:val="24"/>
          <w:highlight w:val="none"/>
        </w:rPr>
      </w:pPr>
      <w:r>
        <w:rPr>
          <w:rFonts w:hint="eastAsia" w:ascii="宋体" w:hAnsi="宋体" w:cs="宋体"/>
          <w:color w:val="auto"/>
          <w:sz w:val="24"/>
          <w:highlight w:val="none"/>
        </w:rPr>
        <w:t>15.投标报价（编制）要求的说明</w:t>
      </w:r>
    </w:p>
    <w:p w14:paraId="62135A05">
      <w:pPr>
        <w:pStyle w:val="196"/>
        <w:spacing w:after="0" w:line="360" w:lineRule="auto"/>
        <w:ind w:left="0"/>
        <w:rPr>
          <w:rFonts w:hint="eastAsia" w:ascii="宋体" w:hAnsi="宋体" w:cs="宋体"/>
          <w:color w:val="auto"/>
          <w:sz w:val="24"/>
          <w:highlight w:val="none"/>
        </w:rPr>
      </w:pPr>
      <w:r>
        <w:rPr>
          <w:rFonts w:hint="eastAsia" w:ascii="宋体" w:hAnsi="宋体" w:cs="宋体"/>
          <w:color w:val="auto"/>
          <w:sz w:val="24"/>
          <w:highlight w:val="none"/>
        </w:rPr>
        <w:t>15.1除非合同中另有规定，投标人对《开标一览表》中的报价</w:t>
      </w:r>
      <w:r>
        <w:rPr>
          <w:rFonts w:hint="eastAsia" w:ascii="宋体" w:hAnsi="宋体" w:cs="宋体"/>
          <w:color w:val="auto"/>
          <w:sz w:val="24"/>
          <w:szCs w:val="24"/>
          <w:highlight w:val="none"/>
          <w:lang w:eastAsia="zh-CN"/>
        </w:rPr>
        <w:t>包括完成本检验检测服务而发生的所有费用，包括但不限于人员薪酬、样本采集包含特殊耗材费用、运输服务，配套车辆设备，售后服务，质量监控信息，外送标本检测成本各类保险、交通、通讯、设备购置及维护与损耗、检验、税金、利润、招标代理服务费及合同包含的所有风险、责任等各项应有费用</w:t>
      </w:r>
      <w:r>
        <w:rPr>
          <w:rFonts w:hint="eastAsia" w:ascii="宋体" w:hAnsi="宋体" w:cs="宋体"/>
          <w:color w:val="auto"/>
          <w:sz w:val="24"/>
          <w:highlight w:val="none"/>
        </w:rPr>
        <w:t>。</w:t>
      </w:r>
    </w:p>
    <w:p w14:paraId="507202FA">
      <w:pPr>
        <w:pStyle w:val="196"/>
        <w:spacing w:after="0" w:line="360" w:lineRule="auto"/>
        <w:ind w:left="0"/>
        <w:rPr>
          <w:rFonts w:hint="eastAsia" w:ascii="宋体" w:hAnsi="宋体" w:cs="宋体"/>
          <w:color w:val="auto"/>
          <w:sz w:val="24"/>
          <w:highlight w:val="none"/>
        </w:rPr>
      </w:pPr>
      <w:r>
        <w:rPr>
          <w:rFonts w:hint="eastAsia" w:ascii="宋体" w:hAnsi="宋体" w:cs="宋体"/>
          <w:color w:val="auto"/>
          <w:sz w:val="24"/>
          <w:highlight w:val="none"/>
        </w:rPr>
        <w:t>15.2投标人应按投标报价表中的全部服务内容填写，并由其法定代表人或授权代理人签署。</w:t>
      </w:r>
    </w:p>
    <w:p w14:paraId="0F611745">
      <w:pPr>
        <w:pStyle w:val="196"/>
        <w:spacing w:after="0" w:line="360" w:lineRule="auto"/>
        <w:ind w:left="0"/>
        <w:rPr>
          <w:rFonts w:hint="eastAsia" w:ascii="宋体" w:hAnsi="宋体" w:cs="宋体"/>
          <w:color w:val="auto"/>
          <w:sz w:val="24"/>
          <w:highlight w:val="none"/>
        </w:rPr>
      </w:pPr>
      <w:r>
        <w:rPr>
          <w:rFonts w:hint="eastAsia" w:ascii="宋体" w:hAnsi="宋体" w:cs="宋体"/>
          <w:color w:val="auto"/>
          <w:sz w:val="24"/>
          <w:highlight w:val="none"/>
        </w:rPr>
        <w:t>15.3投标人应对招标文件内所要采购的全部内容进行报价，只投其中部分内容者，其标书将被拒绝</w:t>
      </w:r>
      <w:r>
        <w:rPr>
          <w:rFonts w:hint="eastAsia" w:ascii="宋体" w:hAnsi="宋体" w:cs="宋体"/>
          <w:color w:val="auto"/>
          <w:sz w:val="24"/>
          <w:szCs w:val="24"/>
          <w:highlight w:val="none"/>
        </w:rPr>
        <w:t>。</w:t>
      </w:r>
    </w:p>
    <w:p w14:paraId="3A9E0088">
      <w:pPr>
        <w:pStyle w:val="196"/>
        <w:spacing w:after="0" w:line="360" w:lineRule="auto"/>
        <w:ind w:left="0"/>
        <w:rPr>
          <w:rFonts w:hint="eastAsia" w:ascii="宋体" w:hAnsi="宋体" w:cs="宋体"/>
          <w:color w:val="auto"/>
          <w:sz w:val="24"/>
          <w:highlight w:val="none"/>
        </w:rPr>
      </w:pPr>
      <w:r>
        <w:rPr>
          <w:rFonts w:hint="eastAsia" w:ascii="宋体" w:hAnsi="宋体" w:cs="宋体"/>
          <w:color w:val="auto"/>
          <w:sz w:val="24"/>
          <w:highlight w:val="none"/>
        </w:rPr>
        <w:t>15.4一项投标内容只允许一个报价，招标人不接受任何有选择性的投标报价。</w:t>
      </w:r>
    </w:p>
    <w:p w14:paraId="24C7EA79">
      <w:pPr>
        <w:pStyle w:val="196"/>
        <w:spacing w:after="0" w:line="360" w:lineRule="auto"/>
        <w:ind w:left="0"/>
        <w:rPr>
          <w:rFonts w:hint="eastAsia" w:ascii="宋体" w:hAnsi="宋体" w:cs="宋体"/>
          <w:color w:val="auto"/>
          <w:sz w:val="24"/>
          <w:highlight w:val="none"/>
        </w:rPr>
      </w:pPr>
      <w:r>
        <w:rPr>
          <w:rFonts w:hint="eastAsia" w:ascii="宋体" w:hAnsi="宋体" w:cs="宋体"/>
          <w:color w:val="auto"/>
          <w:sz w:val="24"/>
          <w:highlight w:val="none"/>
        </w:rPr>
        <w:t>15.5投</w:t>
      </w:r>
      <w:r>
        <w:rPr>
          <w:rFonts w:hint="eastAsia" w:ascii="宋体" w:hAnsi="宋体" w:cs="宋体"/>
          <w:color w:val="auto"/>
          <w:sz w:val="24"/>
          <w:szCs w:val="24"/>
          <w:highlight w:val="none"/>
        </w:rPr>
        <w:t>标文件报价中的单价和总价全部采用人民币表示，除非合同的特殊条款另有规定</w:t>
      </w:r>
      <w:r>
        <w:rPr>
          <w:rFonts w:hint="eastAsia" w:ascii="宋体" w:hAnsi="宋体" w:cs="宋体"/>
          <w:color w:val="auto"/>
          <w:sz w:val="24"/>
          <w:highlight w:val="none"/>
        </w:rPr>
        <w:t>。</w:t>
      </w:r>
    </w:p>
    <w:p w14:paraId="4D5BA0C3">
      <w:pPr>
        <w:pStyle w:val="196"/>
        <w:spacing w:after="0" w:line="360" w:lineRule="auto"/>
        <w:ind w:left="0"/>
        <w:rPr>
          <w:rFonts w:hint="eastAsia" w:ascii="宋体" w:hAnsi="宋体" w:cs="宋体"/>
          <w:color w:val="auto"/>
          <w:sz w:val="24"/>
          <w:highlight w:val="none"/>
        </w:rPr>
      </w:pPr>
      <w:r>
        <w:rPr>
          <w:rFonts w:hint="eastAsia" w:ascii="宋体" w:hAnsi="宋体" w:cs="宋体"/>
          <w:color w:val="auto"/>
          <w:sz w:val="24"/>
          <w:highlight w:val="none"/>
        </w:rPr>
        <w:t>15.6</w:t>
      </w:r>
      <w:r>
        <w:rPr>
          <w:rFonts w:hint="eastAsia" w:ascii="宋体" w:hAnsi="宋体" w:cs="宋体"/>
          <w:color w:val="auto"/>
          <w:sz w:val="24"/>
          <w:szCs w:val="24"/>
          <w:highlight w:val="none"/>
        </w:rPr>
        <w:t>最低的投标报价或最高的折扣比例是中标的重要条件，但不是中标的唯一条件</w:t>
      </w:r>
      <w:r>
        <w:rPr>
          <w:rFonts w:hint="eastAsia" w:ascii="宋体" w:hAnsi="宋体" w:cs="宋体"/>
          <w:color w:val="auto"/>
          <w:sz w:val="24"/>
          <w:highlight w:val="none"/>
        </w:rPr>
        <w:t>。</w:t>
      </w:r>
    </w:p>
    <w:p w14:paraId="06FFD7F8">
      <w:pPr>
        <w:pStyle w:val="196"/>
        <w:spacing w:after="0" w:line="360" w:lineRule="auto"/>
        <w:ind w:left="0"/>
        <w:rPr>
          <w:rFonts w:hint="eastAsia" w:ascii="宋体" w:hAnsi="宋体" w:cs="宋体"/>
          <w:color w:val="auto"/>
          <w:sz w:val="24"/>
          <w:highlight w:val="none"/>
        </w:rPr>
      </w:pPr>
      <w:r>
        <w:rPr>
          <w:rFonts w:hint="eastAsia" w:ascii="宋体" w:hAnsi="宋体" w:cs="宋体"/>
          <w:color w:val="auto"/>
          <w:sz w:val="24"/>
          <w:highlight w:val="none"/>
        </w:rPr>
        <w:t>16.投标保证金：本项目不收取投标保证金。</w:t>
      </w:r>
    </w:p>
    <w:p w14:paraId="7C351618">
      <w:pPr>
        <w:pStyle w:val="196"/>
        <w:spacing w:after="0" w:line="360" w:lineRule="auto"/>
        <w:ind w:left="0"/>
        <w:rPr>
          <w:rFonts w:hint="eastAsia" w:ascii="宋体" w:hAnsi="宋体" w:cs="宋体"/>
          <w:color w:val="auto"/>
          <w:sz w:val="24"/>
          <w:highlight w:val="none"/>
        </w:rPr>
      </w:pPr>
      <w:r>
        <w:rPr>
          <w:rFonts w:hint="eastAsia" w:ascii="宋体" w:hAnsi="宋体" w:cs="宋体"/>
          <w:color w:val="auto"/>
          <w:sz w:val="24"/>
          <w:highlight w:val="none"/>
        </w:rPr>
        <w:t>17.投标文件的有效期</w:t>
      </w:r>
    </w:p>
    <w:p w14:paraId="14B61095">
      <w:pPr>
        <w:pStyle w:val="196"/>
        <w:spacing w:after="0" w:line="360" w:lineRule="auto"/>
        <w:ind w:left="0"/>
        <w:rPr>
          <w:rFonts w:hint="eastAsia" w:ascii="宋体" w:hAnsi="宋体" w:cs="宋体"/>
          <w:color w:val="auto"/>
          <w:sz w:val="24"/>
          <w:highlight w:val="none"/>
        </w:rPr>
      </w:pPr>
      <w:r>
        <w:rPr>
          <w:rFonts w:hint="eastAsia" w:ascii="宋体" w:hAnsi="宋体" w:cs="宋体"/>
          <w:color w:val="auto"/>
          <w:sz w:val="24"/>
          <w:highlight w:val="none"/>
        </w:rPr>
        <w:t>17.1自提交投标文件截止之日起</w:t>
      </w:r>
      <w:r>
        <w:rPr>
          <w:rFonts w:hint="eastAsia" w:ascii="宋体" w:hAnsi="宋体" w:cs="宋体"/>
          <w:color w:val="auto"/>
          <w:sz w:val="24"/>
          <w:highlight w:val="none"/>
          <w:lang w:val="en-US" w:eastAsia="zh-CN"/>
        </w:rPr>
        <w:t>90</w:t>
      </w:r>
      <w:r>
        <w:rPr>
          <w:rFonts w:hint="eastAsia" w:ascii="宋体" w:hAnsi="宋体" w:cs="宋体"/>
          <w:color w:val="auto"/>
          <w:sz w:val="24"/>
          <w:highlight w:val="none"/>
        </w:rPr>
        <w:t>天内，投标文件中承诺的投标有效期应当不少于招标文件中载明的投标有效期。</w:t>
      </w:r>
    </w:p>
    <w:p w14:paraId="1F1EB2CA">
      <w:pPr>
        <w:pStyle w:val="196"/>
        <w:spacing w:after="0" w:line="360" w:lineRule="auto"/>
        <w:ind w:left="0"/>
        <w:rPr>
          <w:rFonts w:hint="eastAsia" w:ascii="宋体" w:hAnsi="宋体" w:cs="宋体"/>
          <w:color w:val="auto"/>
          <w:sz w:val="24"/>
          <w:highlight w:val="none"/>
        </w:rPr>
      </w:pPr>
      <w:r>
        <w:rPr>
          <w:rFonts w:hint="eastAsia" w:ascii="宋体" w:hAnsi="宋体" w:cs="宋体"/>
          <w:color w:val="auto"/>
          <w:sz w:val="24"/>
          <w:highlight w:val="none"/>
        </w:rPr>
        <w:t>17.2在特殊情况下，采购人、采购代理机构可与投标人协商延长投标书的有效期。这种要求和答复都应以书面形式进行。同意延长有效期的投标人不能修改投标文件</w:t>
      </w:r>
      <w:r>
        <w:rPr>
          <w:rFonts w:hint="eastAsia" w:ascii="宋体" w:hAnsi="宋体" w:cs="宋体"/>
          <w:color w:val="auto"/>
          <w:sz w:val="24"/>
          <w:szCs w:val="24"/>
          <w:highlight w:val="none"/>
        </w:rPr>
        <w:t>，拒绝接受延期要求的投标人的投标将被拒绝</w:t>
      </w:r>
      <w:r>
        <w:rPr>
          <w:rFonts w:hint="eastAsia" w:ascii="宋体" w:hAnsi="宋体" w:cs="宋体"/>
          <w:color w:val="auto"/>
          <w:sz w:val="24"/>
          <w:highlight w:val="none"/>
        </w:rPr>
        <w:t>。</w:t>
      </w:r>
    </w:p>
    <w:p w14:paraId="76E467F3">
      <w:pPr>
        <w:pStyle w:val="196"/>
        <w:spacing w:after="0" w:line="360" w:lineRule="auto"/>
        <w:ind w:left="0"/>
        <w:rPr>
          <w:rFonts w:hint="eastAsia" w:ascii="宋体" w:hAnsi="宋体" w:cs="宋体"/>
          <w:color w:val="auto"/>
          <w:sz w:val="24"/>
          <w:highlight w:val="none"/>
        </w:rPr>
      </w:pPr>
      <w:r>
        <w:rPr>
          <w:rFonts w:hint="eastAsia" w:ascii="宋体" w:hAnsi="宋体" w:cs="宋体"/>
          <w:color w:val="auto"/>
          <w:sz w:val="24"/>
          <w:highlight w:val="none"/>
        </w:rPr>
        <w:t>18.投标文件的制作、签署、上传</w:t>
      </w:r>
    </w:p>
    <w:p w14:paraId="572FDCEF">
      <w:pPr>
        <w:pStyle w:val="196"/>
        <w:spacing w:after="0" w:line="360" w:lineRule="auto"/>
        <w:ind w:left="0"/>
        <w:rPr>
          <w:rFonts w:hint="eastAsia" w:ascii="宋体" w:hAnsi="宋体" w:cs="宋体"/>
          <w:color w:val="auto"/>
          <w:sz w:val="24"/>
          <w:highlight w:val="none"/>
        </w:rPr>
      </w:pPr>
      <w:r>
        <w:rPr>
          <w:rFonts w:hint="eastAsia" w:ascii="宋体" w:hAnsi="宋体" w:cs="宋体"/>
          <w:color w:val="auto"/>
          <w:sz w:val="24"/>
          <w:highlight w:val="none"/>
        </w:rPr>
        <w:t>18.1本项目采用电子招投标形式，请供应商按照《苏采云系统供应商操作手册》进行制作、上传电子投标文件。</w:t>
      </w:r>
    </w:p>
    <w:p w14:paraId="25B2A9B5">
      <w:pPr>
        <w:pStyle w:val="196"/>
        <w:spacing w:after="0" w:line="360" w:lineRule="auto"/>
        <w:ind w:left="0"/>
        <w:rPr>
          <w:rFonts w:hint="eastAsia" w:ascii="宋体" w:hAnsi="宋体" w:cs="宋体"/>
          <w:color w:val="auto"/>
          <w:sz w:val="24"/>
          <w:highlight w:val="none"/>
        </w:rPr>
      </w:pPr>
      <w:r>
        <w:rPr>
          <w:rFonts w:hint="eastAsia" w:ascii="宋体" w:hAnsi="宋体" w:cs="宋体"/>
          <w:color w:val="auto"/>
          <w:sz w:val="24"/>
          <w:highlight w:val="none"/>
        </w:rPr>
        <w:t>18.2制作电子投标文件时，应按照招标文件要求加盖投标人电子公章。</w:t>
      </w:r>
    </w:p>
    <w:p w14:paraId="13AACB0C">
      <w:pPr>
        <w:pStyle w:val="196"/>
        <w:spacing w:after="0" w:line="360" w:lineRule="auto"/>
        <w:ind w:left="0"/>
        <w:rPr>
          <w:rFonts w:hint="eastAsia" w:ascii="宋体" w:hAnsi="宋体" w:cs="宋体"/>
          <w:color w:val="auto"/>
          <w:sz w:val="24"/>
          <w:szCs w:val="24"/>
          <w:highlight w:val="none"/>
        </w:rPr>
      </w:pPr>
      <w:r>
        <w:rPr>
          <w:rFonts w:hint="eastAsia" w:ascii="宋体" w:hAnsi="宋体" w:cs="宋体"/>
          <w:color w:val="auto"/>
          <w:sz w:val="24"/>
          <w:highlight w:val="none"/>
        </w:rPr>
        <w:t>18.3电子投标文件制作完成后请于投标文件网上提交截止时间前成功上传至“苏采云”系统，否则视为放弃参加该采购项目。</w:t>
      </w:r>
      <w:bookmarkStart w:id="0" w:name="_Toc31150"/>
      <w:bookmarkStart w:id="1" w:name="_Toc25608"/>
      <w:r>
        <w:rPr>
          <w:rFonts w:hint="eastAsia" w:ascii="宋体" w:hAnsi="宋体" w:cs="宋体"/>
          <w:color w:val="auto"/>
          <w:sz w:val="24"/>
          <w:highlight w:val="none"/>
        </w:rPr>
        <w:t>投标人提交投标文件的时间以系统收到上传的电子投标文件时间为准，投标人应充分考虑网络环境、网络带宽等风险因素，如因投标人自身原因造成的电子投标文件上传不成功由投标人自行承担全部责任。</w:t>
      </w:r>
      <w:bookmarkEnd w:id="0"/>
      <w:bookmarkEnd w:id="1"/>
    </w:p>
    <w:p w14:paraId="6140EC42">
      <w:pPr>
        <w:tabs>
          <w:tab w:val="left" w:pos="9000"/>
        </w:tabs>
        <w:spacing w:line="360" w:lineRule="auto"/>
        <w:rPr>
          <w:rFonts w:hint="eastAsia" w:ascii="宋体" w:hAnsi="宋体" w:cs="宋体"/>
          <w:color w:val="auto"/>
          <w:sz w:val="24"/>
          <w:szCs w:val="24"/>
          <w:highlight w:val="none"/>
        </w:rPr>
      </w:pPr>
      <w:r>
        <w:rPr>
          <w:rFonts w:hint="eastAsia" w:ascii="宋体" w:hAnsi="宋体" w:cs="宋体"/>
          <w:b/>
          <w:bCs/>
          <w:color w:val="auto"/>
          <w:sz w:val="24"/>
          <w:szCs w:val="24"/>
          <w:highlight w:val="none"/>
        </w:rPr>
        <w:t>五、</w:t>
      </w:r>
      <w:r>
        <w:rPr>
          <w:rFonts w:hint="eastAsia" w:ascii="宋体" w:hAnsi="宋体" w:cs="宋体"/>
          <w:b/>
          <w:color w:val="auto"/>
          <w:sz w:val="24"/>
          <w:szCs w:val="24"/>
          <w:highlight w:val="none"/>
        </w:rPr>
        <w:t>投标文件的提交、补充、修改和撤回</w:t>
      </w:r>
    </w:p>
    <w:p w14:paraId="36BBEDA2">
      <w:pPr>
        <w:tabs>
          <w:tab w:val="left" w:pos="9000"/>
        </w:tabs>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19.投标文件的提交</w:t>
      </w:r>
    </w:p>
    <w:p w14:paraId="0E76F7D7">
      <w:pPr>
        <w:tabs>
          <w:tab w:val="left" w:pos="9000"/>
        </w:tabs>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19.1投标人应当在投标截止时间前制作并上传电子投标文件。</w:t>
      </w:r>
    </w:p>
    <w:p w14:paraId="0E5906FB">
      <w:pPr>
        <w:tabs>
          <w:tab w:val="left" w:pos="9000"/>
        </w:tabs>
        <w:spacing w:line="360" w:lineRule="auto"/>
        <w:rPr>
          <w:rFonts w:hint="eastAsia" w:ascii="宋体" w:hAnsi="宋体" w:cs="宋体"/>
          <w:b/>
          <w:bCs/>
          <w:color w:val="auto"/>
          <w:sz w:val="24"/>
          <w:szCs w:val="24"/>
          <w:highlight w:val="none"/>
        </w:rPr>
      </w:pPr>
      <w:r>
        <w:rPr>
          <w:rFonts w:hint="eastAsia" w:ascii="宋体" w:hAnsi="宋体" w:cs="宋体"/>
          <w:color w:val="auto"/>
          <w:sz w:val="24"/>
          <w:szCs w:val="24"/>
          <w:highlight w:val="none"/>
        </w:rPr>
        <w:t>19.2</w:t>
      </w:r>
      <w:r>
        <w:rPr>
          <w:rFonts w:hint="eastAsia" w:ascii="宋体" w:hAnsi="宋体" w:cs="宋体"/>
          <w:b/>
          <w:bCs/>
          <w:color w:val="auto"/>
          <w:sz w:val="24"/>
          <w:szCs w:val="24"/>
          <w:highlight w:val="none"/>
        </w:rPr>
        <w:t>投标人通过“苏采云”系统不见面开标大厅在线参与开标活动。（具体操作详见《苏采云系统供应商操作手册》，网址链接https://czju.suzhou.gov.cn/zfcg/html/content/20231220161910031.shtml）</w:t>
      </w:r>
    </w:p>
    <w:p w14:paraId="517FA28E">
      <w:pPr>
        <w:tabs>
          <w:tab w:val="left" w:pos="9000"/>
        </w:tabs>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20.投标截止时间</w:t>
      </w:r>
    </w:p>
    <w:p w14:paraId="3061C7F7">
      <w:pPr>
        <w:tabs>
          <w:tab w:val="left" w:pos="9000"/>
        </w:tabs>
        <w:spacing w:line="360" w:lineRule="auto"/>
        <w:rPr>
          <w:rFonts w:hint="eastAsia" w:ascii="宋体" w:hAnsi="宋体" w:cs="宋体"/>
          <w:color w:val="auto"/>
          <w:szCs w:val="21"/>
          <w:highlight w:val="none"/>
        </w:rPr>
      </w:pPr>
      <w:r>
        <w:rPr>
          <w:rFonts w:hint="eastAsia" w:ascii="宋体" w:hAnsi="宋体" w:cs="宋体"/>
          <w:color w:val="auto"/>
          <w:sz w:val="24"/>
          <w:szCs w:val="24"/>
          <w:highlight w:val="none"/>
        </w:rPr>
        <w:t>20.1投标人电子投标文件制作完成后请于投标文件网上提交截止时间前成功上传至“苏采云”系统，否则视为放弃参加该采购项目。投标人提交投标文件的时间以系统收到上传的电子投标文件时间为准，投标人应充分考虑到网络环境、网络带宽等风险因素，如因投标人自身原因造成的电子投标文件上传不成功由投标人自行承担全部责任。</w:t>
      </w:r>
    </w:p>
    <w:p w14:paraId="2FFF618F">
      <w:pPr>
        <w:tabs>
          <w:tab w:val="left" w:pos="9000"/>
        </w:tabs>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20.2采购人和采购代理机构推迟投标截止时间时，将按本须知规定的更正公告的方式对外发布。在这种情况下，采购人、采购代理机构和投标人的权利和义务将受到新的截止期的约束。</w:t>
      </w:r>
    </w:p>
    <w:p w14:paraId="7E49558F">
      <w:pPr>
        <w:tabs>
          <w:tab w:val="left" w:pos="9000"/>
        </w:tabs>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20.3在投标截止时间止成功解密的投标文件少于三份，采购代理机构有权宣布本次招标失败。</w:t>
      </w:r>
    </w:p>
    <w:p w14:paraId="3FD8FB98">
      <w:pPr>
        <w:tabs>
          <w:tab w:val="left" w:pos="9000"/>
        </w:tabs>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21.投标文件的补充、修改和撤回</w:t>
      </w:r>
    </w:p>
    <w:p w14:paraId="67DF5949">
      <w:pPr>
        <w:tabs>
          <w:tab w:val="left" w:pos="9000"/>
        </w:tabs>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21.1投标人在投标文件网上提交截止时间前，可以对其电子投标文件进行补充、修改，具体操作方法见《苏采云系统供应商操作手册》。在投标文件网上提交截止时间之后，投标人不得对其电子投标文件作任何修改。</w:t>
      </w:r>
    </w:p>
    <w:p w14:paraId="60DCBDC9">
      <w:pPr>
        <w:tabs>
          <w:tab w:val="left" w:pos="9000"/>
        </w:tabs>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21.2投标人在投标文件网上提交截止时间前，可以撤回其电子投标文件，具体操作方法见《苏采云系统供应商操作手册》。投标人撤回电子投标文件，则认为其不再参与本项目投标活动。在投标截止时间至招标文件中规定的投标有效期满之间的这段时间内，投标人不得撤回其投标。</w:t>
      </w:r>
    </w:p>
    <w:p w14:paraId="161C7B11">
      <w:pPr>
        <w:tabs>
          <w:tab w:val="left" w:pos="9000"/>
        </w:tabs>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六、开标和评标</w:t>
      </w:r>
    </w:p>
    <w:p w14:paraId="0A5A4D21">
      <w:pPr>
        <w:tabs>
          <w:tab w:val="left" w:pos="9000"/>
        </w:tabs>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22.开标</w:t>
      </w:r>
    </w:p>
    <w:p w14:paraId="215EFAEE">
      <w:pPr>
        <w:tabs>
          <w:tab w:val="left" w:pos="9000"/>
        </w:tabs>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22.1开标由采购代理机构在线主持，邀请投标人在线参加。投标人应当按照《苏采云系统供应商操作手册</w:t>
      </w:r>
      <w:r>
        <w:rPr>
          <w:rFonts w:hint="eastAsia" w:ascii="宋体" w:hAnsi="宋体" w:cs="宋体"/>
          <w:color w:val="auto"/>
          <w:sz w:val="24"/>
          <w:szCs w:val="24"/>
          <w:highlight w:val="none"/>
          <w:lang w:eastAsia="zh-CN"/>
        </w:rPr>
        <w:t>》的</w:t>
      </w:r>
      <w:r>
        <w:rPr>
          <w:rFonts w:hint="eastAsia" w:ascii="宋体" w:hAnsi="宋体" w:cs="宋体"/>
          <w:color w:val="auto"/>
          <w:sz w:val="24"/>
          <w:szCs w:val="24"/>
          <w:highlight w:val="none"/>
        </w:rPr>
        <w:t>规定，</w:t>
      </w:r>
      <w:r>
        <w:rPr>
          <w:rFonts w:hint="eastAsia" w:ascii="宋体" w:hAnsi="宋体" w:cs="宋体"/>
          <w:b/>
          <w:bCs/>
          <w:color w:val="auto"/>
          <w:sz w:val="24"/>
          <w:szCs w:val="24"/>
          <w:highlight w:val="none"/>
        </w:rPr>
        <w:t>参加开标活动和在“苏采云”系统规定的时间内对投标文件进行解密。</w:t>
      </w:r>
      <w:r>
        <w:rPr>
          <w:rFonts w:hint="eastAsia" w:ascii="宋体" w:hAnsi="宋体" w:cs="宋体"/>
          <w:color w:val="auto"/>
          <w:sz w:val="24"/>
          <w:szCs w:val="24"/>
          <w:highlight w:val="none"/>
        </w:rPr>
        <w:t>评标委员会成员不得参加开标活动。</w:t>
      </w:r>
    </w:p>
    <w:p w14:paraId="2C2F049F">
      <w:pPr>
        <w:tabs>
          <w:tab w:val="left" w:pos="9000"/>
        </w:tabs>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22.2开标时，由采购代理机构通过“苏采云”系统在线宣布投标人名称、投标价格和招标文件规定的需要宣布其他内容。投标人在不见面开标系统中确认投标价格，如投标人未在线参加开标或未在规定时间内确认价格的，视同认可开标结果。</w:t>
      </w:r>
    </w:p>
    <w:p w14:paraId="6910551B">
      <w:pPr>
        <w:tabs>
          <w:tab w:val="left" w:pos="9000"/>
        </w:tabs>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23.资格审查</w:t>
      </w:r>
    </w:p>
    <w:p w14:paraId="3CB8BF48">
      <w:pPr>
        <w:tabs>
          <w:tab w:val="left" w:pos="9000"/>
        </w:tabs>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23.1公开招标采购项目开标结束后，采购人或者采购代理机构应当依法对投标人的资格进行审查，未通过资格审查的视为无效投标。</w:t>
      </w:r>
    </w:p>
    <w:p w14:paraId="11687336">
      <w:pPr>
        <w:tabs>
          <w:tab w:val="left" w:pos="9000"/>
        </w:tabs>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23.2根据政府采购法及相关法规，以及苏州市财政局《关于印发苏州市市级政府采购信用记录查询和使用工作试行办法的通知》（苏财购</w:t>
      </w:r>
      <w:r>
        <w:rPr>
          <w:rFonts w:hint="eastAsia" w:ascii="宋体" w:hAnsi="宋体" w:cs="宋体"/>
          <w:color w:val="auto"/>
          <w:sz w:val="24"/>
          <w:szCs w:val="24"/>
          <w:highlight w:val="none"/>
          <w:lang w:eastAsia="zh-CN"/>
        </w:rPr>
        <w:t>〔2017〕11号</w:t>
      </w:r>
      <w:r>
        <w:rPr>
          <w:rFonts w:hint="eastAsia" w:ascii="宋体" w:hAnsi="宋体" w:cs="宋体"/>
          <w:color w:val="auto"/>
          <w:sz w:val="24"/>
          <w:szCs w:val="24"/>
          <w:highlight w:val="none"/>
        </w:rPr>
        <w:t>）文件的规定，采购代理机构将对供应商进行信用查询：</w:t>
      </w:r>
    </w:p>
    <w:p w14:paraId="65186B46">
      <w:pPr>
        <w:tabs>
          <w:tab w:val="left" w:pos="9000"/>
        </w:tabs>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23.2.1查询时间：投标文件递交截止时间。</w:t>
      </w:r>
    </w:p>
    <w:p w14:paraId="3A620F11">
      <w:pPr>
        <w:tabs>
          <w:tab w:val="left" w:pos="9000"/>
        </w:tabs>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23.2.2查询渠道：采购代理机构会在接收投标文件截止时间后，登录信用中国网站（www.creditchina.gov.cn）和中国政府采购网（www.ccgp.gov.cn/）查询供应商的信用记录，并将查询结果递交评标委员会。</w:t>
      </w:r>
    </w:p>
    <w:p w14:paraId="2AA93FF6">
      <w:pPr>
        <w:tabs>
          <w:tab w:val="left" w:pos="9000"/>
        </w:tabs>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23.2.3查询证据留存方式：采购人、采购代理机构工作人员等应按照相关管理办法查询相关主体的信用记录，并保存好相关证据材料，信用查询记录及相关证据应当归入采购档案妥善保管。采购代理机构工作人员应登录来源网站页面进行复核并打印，作为证据留存。</w:t>
      </w:r>
    </w:p>
    <w:p w14:paraId="608A4210">
      <w:pPr>
        <w:tabs>
          <w:tab w:val="left" w:pos="9000"/>
        </w:tabs>
        <w:spacing w:line="360" w:lineRule="auto"/>
        <w:rPr>
          <w:rFonts w:hint="eastAsia" w:ascii="宋体" w:hAnsi="宋体" w:cs="宋体"/>
          <w:b/>
          <w:bCs/>
          <w:color w:val="auto"/>
          <w:sz w:val="24"/>
          <w:szCs w:val="24"/>
          <w:highlight w:val="none"/>
        </w:rPr>
      </w:pPr>
      <w:r>
        <w:rPr>
          <w:rFonts w:hint="eastAsia" w:ascii="宋体" w:hAnsi="宋体" w:cs="宋体"/>
          <w:b/>
          <w:bCs/>
          <w:color w:val="auto"/>
          <w:sz w:val="24"/>
          <w:szCs w:val="24"/>
          <w:highlight w:val="none"/>
        </w:rPr>
        <w:t>23.3经查询，投标人被“信用中国”网站、“中国政府采购网”列入失信被执行人或重大税收违法案件当事人名单或政府采购严重失信行为记录名单，或查询“信用中国”网站、“中国政府采购网”后发现投标人存在其他不符合《中华人民共和国政府采购法》第二十二条规定条件的信用记录，其投标无效。</w:t>
      </w:r>
    </w:p>
    <w:p w14:paraId="216CABEE">
      <w:pPr>
        <w:tabs>
          <w:tab w:val="left" w:pos="9000"/>
        </w:tabs>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24.评标委员会</w:t>
      </w:r>
    </w:p>
    <w:p w14:paraId="2F0FCCEE">
      <w:pPr>
        <w:tabs>
          <w:tab w:val="left" w:pos="9000"/>
        </w:tabs>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24.1评标委员会负责具体评标事务，并独立履行下列职责；</w:t>
      </w:r>
    </w:p>
    <w:p w14:paraId="36AD16C2">
      <w:pPr>
        <w:tabs>
          <w:tab w:val="left" w:pos="9000"/>
        </w:tabs>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24.1.1审查、评价投标文件是否符合招标文件的商务、技术等实质性要求；</w:t>
      </w:r>
    </w:p>
    <w:p w14:paraId="6DE7BEE6">
      <w:pPr>
        <w:tabs>
          <w:tab w:val="left" w:pos="9000"/>
        </w:tabs>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24.1.2要求投标人对投标文件有关事项作出澄清或者说明；</w:t>
      </w:r>
    </w:p>
    <w:p w14:paraId="7A6258B7">
      <w:pPr>
        <w:tabs>
          <w:tab w:val="left" w:pos="9000"/>
        </w:tabs>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24.1.3对投标文件进行比较和评价；</w:t>
      </w:r>
    </w:p>
    <w:p w14:paraId="01DAB510">
      <w:pPr>
        <w:tabs>
          <w:tab w:val="left" w:pos="9000"/>
        </w:tabs>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24.1.4确定中标候选人名单，以及根据采购人委托直接确定中标人；</w:t>
      </w:r>
    </w:p>
    <w:p w14:paraId="2370C659">
      <w:pPr>
        <w:tabs>
          <w:tab w:val="left" w:pos="9000"/>
        </w:tabs>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24.1.5向采购人、采购代理机构或者有关部门报告评标中发现的违法行为。</w:t>
      </w:r>
    </w:p>
    <w:p w14:paraId="7F5C3A63">
      <w:pPr>
        <w:tabs>
          <w:tab w:val="left" w:pos="9000"/>
        </w:tabs>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24.2评标委员会成员应当履行下列义务：</w:t>
      </w:r>
    </w:p>
    <w:p w14:paraId="4746558A">
      <w:pPr>
        <w:tabs>
          <w:tab w:val="left" w:pos="9000"/>
        </w:tabs>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24.2.1遵纪守法，客观、公正、廉洁地履行职责；</w:t>
      </w:r>
    </w:p>
    <w:p w14:paraId="577A3EC2">
      <w:pPr>
        <w:tabs>
          <w:tab w:val="left" w:pos="9000"/>
        </w:tabs>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24.2.2按照招标文件规定的评标办法和评标标准进行评标，对评标意见承担个人责任；</w:t>
      </w:r>
    </w:p>
    <w:p w14:paraId="5B2769F1">
      <w:pPr>
        <w:tabs>
          <w:tab w:val="left" w:pos="9000"/>
        </w:tabs>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24.2.3对评标过程和结果，以及投标人的商业秘密保密；</w:t>
      </w:r>
    </w:p>
    <w:p w14:paraId="1916CF05">
      <w:pPr>
        <w:pStyle w:val="40"/>
        <w:spacing w:line="360" w:lineRule="auto"/>
        <w:ind w:firstLine="0"/>
        <w:rPr>
          <w:rFonts w:hint="eastAsia" w:ascii="宋体" w:hAnsi="宋体" w:cs="宋体"/>
          <w:color w:val="auto"/>
          <w:sz w:val="24"/>
          <w:szCs w:val="24"/>
          <w:highlight w:val="none"/>
        </w:rPr>
      </w:pPr>
      <w:r>
        <w:rPr>
          <w:rFonts w:hint="eastAsia" w:ascii="宋体" w:hAnsi="宋体" w:cs="宋体"/>
          <w:color w:val="auto"/>
          <w:sz w:val="24"/>
          <w:szCs w:val="24"/>
          <w:highlight w:val="none"/>
        </w:rPr>
        <w:t>24.2.4根据全体评标成员签字的原始评标记录和评标结果编写评标报告；</w:t>
      </w:r>
    </w:p>
    <w:p w14:paraId="4F1EB9ED">
      <w:pPr>
        <w:tabs>
          <w:tab w:val="left" w:pos="9000"/>
        </w:tabs>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24.2.5配合相关部门的投诉处理工作；</w:t>
      </w:r>
    </w:p>
    <w:p w14:paraId="7EAE5127">
      <w:pPr>
        <w:tabs>
          <w:tab w:val="left" w:pos="9000"/>
        </w:tabs>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24.2.6配合采购人、采购代理机构答复投标人提出的质疑。</w:t>
      </w:r>
    </w:p>
    <w:p w14:paraId="4F3C0B4A">
      <w:pPr>
        <w:tabs>
          <w:tab w:val="left" w:pos="9000"/>
        </w:tabs>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25.评标内容的保密</w:t>
      </w:r>
    </w:p>
    <w:p w14:paraId="55AFC418">
      <w:pPr>
        <w:tabs>
          <w:tab w:val="left" w:pos="9000"/>
        </w:tabs>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25.1公开开标后，直到宣布授予中标人合同为止，凡属于审查、澄清、评价和比较投标的所有资料，有关授予合同的信息都不应向投标人或与评标无关的其他人泄露。</w:t>
      </w:r>
    </w:p>
    <w:p w14:paraId="085B4322">
      <w:pPr>
        <w:tabs>
          <w:tab w:val="left" w:pos="9000"/>
        </w:tabs>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25.2在投标文件的审查、澄清、评价和比较以及授予合同的过程中，投标人对采购人、采购代理机构和评标委员会成员施加影响的任何行为，都将取消其中标资格。</w:t>
      </w:r>
    </w:p>
    <w:p w14:paraId="29D2DA54">
      <w:pPr>
        <w:tabs>
          <w:tab w:val="left" w:pos="9000"/>
        </w:tabs>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26.对投标文件初审</w:t>
      </w:r>
    </w:p>
    <w:p w14:paraId="78B61205">
      <w:pPr>
        <w:tabs>
          <w:tab w:val="left" w:pos="9000"/>
        </w:tabs>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26.1评标委员会应当对符合资格的投标人的投标文件进行符合性审查，以确定其是否满足招标文件的实质性要求。投标文件有下列情况之一者评标委员会有权将其拒绝：</w:t>
      </w:r>
    </w:p>
    <w:p w14:paraId="7C8653B9">
      <w:pPr>
        <w:tabs>
          <w:tab w:val="left" w:pos="9000"/>
        </w:tabs>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26.1.1投标人的投标文件未按照本须知规定制作的；</w:t>
      </w:r>
    </w:p>
    <w:p w14:paraId="21BCE2B3">
      <w:pPr>
        <w:tabs>
          <w:tab w:val="left" w:pos="9000"/>
        </w:tabs>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26.1.2未按本须知规定提交资格文件；</w:t>
      </w:r>
    </w:p>
    <w:p w14:paraId="71C745A8">
      <w:pPr>
        <w:tabs>
          <w:tab w:val="left" w:pos="9000"/>
        </w:tabs>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26.1.3与招标文件有重大偏离；</w:t>
      </w:r>
    </w:p>
    <w:p w14:paraId="5F8A3F6B">
      <w:pPr>
        <w:tabs>
          <w:tab w:val="left" w:pos="9000"/>
        </w:tabs>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26.1.4投标人拒绝修正错误；</w:t>
      </w:r>
    </w:p>
    <w:p w14:paraId="45DB0A25">
      <w:pPr>
        <w:tabs>
          <w:tab w:val="left" w:pos="9000"/>
        </w:tabs>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26.1.5投标人的报价是选择性的；</w:t>
      </w:r>
    </w:p>
    <w:p w14:paraId="60AFE128">
      <w:pPr>
        <w:tabs>
          <w:tab w:val="left" w:pos="9000"/>
        </w:tabs>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26.1.6投标人的报价只投了部分内容；</w:t>
      </w:r>
    </w:p>
    <w:p w14:paraId="53E54362">
      <w:pPr>
        <w:tabs>
          <w:tab w:val="left" w:pos="9000"/>
        </w:tabs>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26.1.7投标人的投标文件出现了评标委员会认为不应当雷同的情况；</w:t>
      </w:r>
    </w:p>
    <w:p w14:paraId="2AC58C10">
      <w:pPr>
        <w:tabs>
          <w:tab w:val="left" w:pos="9000"/>
        </w:tabs>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26.1.8其他被评委会认定无效的情况。</w:t>
      </w:r>
    </w:p>
    <w:p w14:paraId="3B50D157">
      <w:pPr>
        <w:tabs>
          <w:tab w:val="left" w:pos="9000"/>
        </w:tabs>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26.2评标委员会将允许修改投标中不构成重大偏离的微小的、非正规、不一致或不规则的地方，但这些修改不能影响任何投标人的名次相应排列。投标人不得对招标文件进行实质性修改，包括但不限于付款方式、付款条件等条款，否则投标文件将被拒绝。</w:t>
      </w:r>
    </w:p>
    <w:p w14:paraId="4BBD42EC">
      <w:pPr>
        <w:pStyle w:val="40"/>
        <w:spacing w:line="360" w:lineRule="auto"/>
        <w:ind w:firstLine="0"/>
        <w:rPr>
          <w:rFonts w:hint="eastAsia" w:ascii="宋体" w:hAnsi="宋体" w:cs="宋体"/>
          <w:color w:val="auto"/>
          <w:sz w:val="24"/>
          <w:szCs w:val="24"/>
          <w:highlight w:val="none"/>
        </w:rPr>
      </w:pPr>
      <w:r>
        <w:rPr>
          <w:rFonts w:hint="eastAsia" w:ascii="宋体" w:hAnsi="宋体" w:cs="宋体"/>
          <w:color w:val="auto"/>
          <w:sz w:val="24"/>
          <w:szCs w:val="24"/>
          <w:highlight w:val="none"/>
          <w:lang w:val="en-US"/>
        </w:rPr>
        <w:t>26.3投标文件报价出现前后不一致的，除招标文件另有规定外，按照下列规定修正：</w:t>
      </w:r>
    </w:p>
    <w:p w14:paraId="76939CF7">
      <w:pPr>
        <w:tabs>
          <w:tab w:val="left" w:pos="9000"/>
        </w:tabs>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26.3.1投标文件中开标一览表（报价表）内容与投标文件中相应内容不一致的，以开标一览表（报价表）为准；</w:t>
      </w:r>
    </w:p>
    <w:p w14:paraId="4633A14C">
      <w:pPr>
        <w:tabs>
          <w:tab w:val="left" w:pos="9000"/>
        </w:tabs>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26.3.2大写金额和小写金额不一致的，以大写金额为准；</w:t>
      </w:r>
    </w:p>
    <w:p w14:paraId="4F3C46EF">
      <w:pPr>
        <w:tabs>
          <w:tab w:val="left" w:pos="9000"/>
        </w:tabs>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26.3.3单价金额小数点或者百分比有明显错位的，以开标一览表的总价为准，并修改单价；</w:t>
      </w:r>
    </w:p>
    <w:p w14:paraId="0D2E0838">
      <w:pPr>
        <w:tabs>
          <w:tab w:val="left" w:pos="9000"/>
        </w:tabs>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26.3.4总价金额与按单价汇总金额不一致的，以单价金额计算结果为准。</w:t>
      </w:r>
    </w:p>
    <w:p w14:paraId="10B3BD13">
      <w:pPr>
        <w:tabs>
          <w:tab w:val="left" w:pos="9000"/>
        </w:tabs>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26.3.5同时出现两种以上不一致的，按照前款规定的顺序修正。修正后的报价按照本须知相关规定经投标人确认后产生约束力，投标人不确认的，其投标无效。</w:t>
      </w:r>
    </w:p>
    <w:p w14:paraId="3AE695B2">
      <w:pPr>
        <w:tabs>
          <w:tab w:val="left" w:pos="9000"/>
        </w:tabs>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26.4</w:t>
      </w:r>
      <w:bookmarkStart w:id="2" w:name="OLE_LINK25"/>
      <w:bookmarkStart w:id="3" w:name="OLE_LINK20"/>
      <w:bookmarkStart w:id="4" w:name="OLE_LINK11"/>
      <w:r>
        <w:rPr>
          <w:rFonts w:hint="eastAsia" w:ascii="宋体" w:hAnsi="宋体" w:cs="宋体"/>
          <w:color w:val="auto"/>
          <w:sz w:val="24"/>
          <w:szCs w:val="24"/>
          <w:highlight w:val="none"/>
        </w:rPr>
        <w:t>异常低价投标审查</w:t>
      </w:r>
      <w:bookmarkEnd w:id="2"/>
      <w:bookmarkEnd w:id="3"/>
      <w:bookmarkEnd w:id="4"/>
    </w:p>
    <w:p w14:paraId="511114E0">
      <w:pPr>
        <w:tabs>
          <w:tab w:val="left" w:pos="9000"/>
        </w:tabs>
        <w:spacing w:line="360" w:lineRule="auto"/>
        <w:rPr>
          <w:rFonts w:hint="eastAsia" w:ascii="宋体" w:hAnsi="宋体" w:cs="宋体"/>
          <w:color w:val="auto"/>
          <w:sz w:val="24"/>
          <w:szCs w:val="24"/>
          <w:highlight w:val="none"/>
          <w:lang w:val="en-US"/>
        </w:rPr>
      </w:pPr>
      <w:r>
        <w:rPr>
          <w:rFonts w:hint="eastAsia" w:ascii="宋体" w:hAnsi="宋体" w:cs="宋体"/>
          <w:color w:val="auto"/>
          <w:sz w:val="24"/>
          <w:szCs w:val="24"/>
          <w:highlight w:val="none"/>
          <w:lang w:val="en-US"/>
        </w:rPr>
        <w:t>26.4.1评标过程中出现下列情形之一的，</w:t>
      </w:r>
      <w:bookmarkStart w:id="5" w:name="OLE_LINK5"/>
      <w:r>
        <w:rPr>
          <w:rFonts w:hint="eastAsia" w:ascii="宋体" w:hAnsi="宋体" w:cs="宋体"/>
          <w:color w:val="auto"/>
          <w:sz w:val="24"/>
          <w:szCs w:val="24"/>
          <w:highlight w:val="none"/>
          <w:lang w:val="en-US"/>
        </w:rPr>
        <w:t>评标</w:t>
      </w:r>
      <w:bookmarkEnd w:id="5"/>
      <w:r>
        <w:rPr>
          <w:rFonts w:hint="eastAsia" w:ascii="宋体" w:hAnsi="宋体" w:cs="宋体"/>
          <w:color w:val="auto"/>
          <w:sz w:val="24"/>
          <w:szCs w:val="24"/>
          <w:highlight w:val="none"/>
          <w:lang w:val="en-US"/>
        </w:rPr>
        <w:t>委员会应当启动异常低价投标审查程序：</w:t>
      </w:r>
    </w:p>
    <w:p w14:paraId="2829971B">
      <w:pPr>
        <w:tabs>
          <w:tab w:val="left" w:pos="9000"/>
        </w:tabs>
        <w:spacing w:line="360" w:lineRule="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（1）投标报价低于全部通过符合性审查供应商投标报价平均值50%的，即投标报价&lt;全部通过符合性审查供应商投标报价平均值×50%；</w:t>
      </w:r>
    </w:p>
    <w:p w14:paraId="2808C0BC">
      <w:pPr>
        <w:tabs>
          <w:tab w:val="left" w:pos="9000"/>
        </w:tabs>
        <w:spacing w:line="360" w:lineRule="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（2）投标报价低于通过符合性审查的次低报价供应商投标报价50%的，即投标报价&lt;通过符合性审查的次低报价供应商投标报价×50%；</w:t>
      </w:r>
    </w:p>
    <w:p w14:paraId="25B467F4">
      <w:pPr>
        <w:tabs>
          <w:tab w:val="left" w:pos="9000"/>
        </w:tabs>
        <w:spacing w:line="360" w:lineRule="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（3）投标报价低于采购项目最高限价45%的，即投标报价&lt;采购项目最高限价×45%；</w:t>
      </w:r>
    </w:p>
    <w:p w14:paraId="6663DEAD">
      <w:pPr>
        <w:tabs>
          <w:tab w:val="left" w:pos="9000"/>
        </w:tabs>
        <w:spacing w:line="360" w:lineRule="auto"/>
        <w:rPr>
          <w:rFonts w:hint="eastAsia" w:ascii="宋体" w:hAnsi="宋体" w:cs="宋体"/>
          <w:color w:val="auto"/>
          <w:sz w:val="24"/>
          <w:szCs w:val="24"/>
          <w:highlight w:val="none"/>
          <w:lang w:val="en-US"/>
        </w:rPr>
      </w:pPr>
      <w:r>
        <w:rPr>
          <w:rFonts w:hint="eastAsia" w:ascii="宋体" w:hAnsi="宋体" w:cs="宋体"/>
          <w:color w:val="auto"/>
          <w:sz w:val="24"/>
          <w:szCs w:val="24"/>
          <w:highlight w:val="none"/>
          <w:lang w:val="en-US" w:eastAsia="zh-CN"/>
        </w:rPr>
        <w:t>（4）</w:t>
      </w:r>
      <w:r>
        <w:rPr>
          <w:rFonts w:hint="eastAsia" w:ascii="宋体" w:hAnsi="宋体" w:cs="宋体"/>
          <w:color w:val="auto"/>
          <w:sz w:val="24"/>
          <w:szCs w:val="24"/>
          <w:highlight w:val="none"/>
          <w:lang w:val="en-US"/>
        </w:rPr>
        <w:t>评标委员会认定的供应商报价过低、有可能影响产品质量或者不能诚信履约的其他情形。</w:t>
      </w:r>
    </w:p>
    <w:p w14:paraId="5C593E95">
      <w:pPr>
        <w:tabs>
          <w:tab w:val="left" w:pos="9000"/>
        </w:tabs>
        <w:spacing w:line="360" w:lineRule="auto"/>
        <w:rPr>
          <w:rFonts w:hint="eastAsia" w:ascii="宋体" w:hAnsi="宋体" w:cs="宋体"/>
          <w:color w:val="auto"/>
          <w:sz w:val="24"/>
          <w:szCs w:val="24"/>
          <w:highlight w:val="none"/>
          <w:lang w:val="en-US"/>
        </w:rPr>
      </w:pPr>
      <w:bookmarkStart w:id="6" w:name="OLE_LINK4"/>
      <w:bookmarkStart w:id="7" w:name="OLE_LINK3"/>
      <w:r>
        <w:rPr>
          <w:rFonts w:hint="eastAsia" w:ascii="宋体" w:hAnsi="宋体" w:cs="宋体"/>
          <w:color w:val="auto"/>
          <w:sz w:val="24"/>
          <w:szCs w:val="24"/>
          <w:highlight w:val="none"/>
          <w:lang w:val="en-US"/>
        </w:rPr>
        <w:t>26.4.2</w:t>
      </w:r>
      <w:r>
        <w:rPr>
          <w:rFonts w:hint="eastAsia" w:ascii="宋体" w:hAnsi="宋体" w:cs="宋体"/>
          <w:color w:val="auto"/>
          <w:sz w:val="24"/>
          <w:szCs w:val="24"/>
          <w:highlight w:val="none"/>
        </w:rPr>
        <w:t>启动异常低价投标审查后，</w:t>
      </w:r>
      <w:r>
        <w:rPr>
          <w:rFonts w:hint="eastAsia" w:ascii="宋体" w:hAnsi="宋体" w:cs="宋体"/>
          <w:color w:val="auto"/>
          <w:sz w:val="24"/>
          <w:szCs w:val="24"/>
          <w:highlight w:val="none"/>
          <w:lang w:val="en-US"/>
        </w:rPr>
        <w:t>评标委员会</w:t>
      </w:r>
      <w:r>
        <w:rPr>
          <w:rFonts w:hint="eastAsia" w:ascii="宋体" w:hAnsi="宋体" w:cs="宋体"/>
          <w:color w:val="auto"/>
          <w:sz w:val="24"/>
          <w:szCs w:val="24"/>
          <w:highlight w:val="none"/>
        </w:rPr>
        <w:t>应当要求相关供应商在评标现场合理的时间内，提供项目具体成本测算等与报价合理性相关的书面说明及相关证明材料</w:t>
      </w:r>
      <w:bookmarkStart w:id="8" w:name="OLE_LINK10"/>
      <w:bookmarkStart w:id="9" w:name="OLE_LINK9"/>
      <w:r>
        <w:rPr>
          <w:rFonts w:hint="eastAsia" w:ascii="宋体" w:hAnsi="宋体" w:cs="宋体"/>
          <w:color w:val="auto"/>
          <w:sz w:val="24"/>
          <w:szCs w:val="24"/>
          <w:highlight w:val="none"/>
        </w:rPr>
        <w:t>，</w:t>
      </w:r>
      <w:bookmarkEnd w:id="8"/>
      <w:bookmarkEnd w:id="9"/>
      <w:r>
        <w:rPr>
          <w:rFonts w:hint="eastAsia" w:ascii="宋体" w:hAnsi="宋体" w:cs="宋体"/>
          <w:color w:val="auto"/>
          <w:sz w:val="24"/>
          <w:szCs w:val="24"/>
          <w:highlight w:val="none"/>
        </w:rPr>
        <w:t>对投标价格作出解释，由</w:t>
      </w:r>
      <w:r>
        <w:rPr>
          <w:rFonts w:hint="eastAsia" w:ascii="宋体" w:hAnsi="宋体" w:cs="宋体"/>
          <w:color w:val="auto"/>
          <w:sz w:val="24"/>
          <w:szCs w:val="24"/>
          <w:highlight w:val="none"/>
          <w:lang w:val="en-US"/>
        </w:rPr>
        <w:t>评标委员会结合同类项目中标价格、类似产品市场价格水平、行业人工费用标准、国家有关部门指导行业协会发布的行业平均成本等情况、同类产品在主要电商平台的价格、该行业当地</w:t>
      </w:r>
      <w:bookmarkStart w:id="10" w:name="OLE_LINK7"/>
      <w:bookmarkStart w:id="11" w:name="OLE_LINK8"/>
      <w:r>
        <w:rPr>
          <w:rFonts w:hint="eastAsia" w:ascii="宋体" w:hAnsi="宋体" w:cs="宋体"/>
          <w:color w:val="auto"/>
          <w:sz w:val="24"/>
          <w:szCs w:val="24"/>
          <w:highlight w:val="none"/>
          <w:lang w:val="en-US"/>
        </w:rPr>
        <w:t>薪资</w:t>
      </w:r>
      <w:bookmarkEnd w:id="10"/>
      <w:bookmarkEnd w:id="11"/>
      <w:r>
        <w:rPr>
          <w:rFonts w:hint="eastAsia" w:ascii="宋体" w:hAnsi="宋体" w:cs="宋体"/>
          <w:color w:val="auto"/>
          <w:sz w:val="24"/>
          <w:szCs w:val="24"/>
          <w:highlight w:val="none"/>
          <w:lang w:val="en-US"/>
        </w:rPr>
        <w:t>水平等情况，依据专业经验对供应商报价合理性进行判断</w:t>
      </w:r>
      <w:r>
        <w:rPr>
          <w:rFonts w:hint="eastAsia" w:ascii="宋体" w:hAnsi="宋体" w:cs="宋体"/>
          <w:color w:val="auto"/>
          <w:sz w:val="24"/>
          <w:szCs w:val="24"/>
          <w:highlight w:val="none"/>
        </w:rPr>
        <w:t>。</w:t>
      </w:r>
      <w:r>
        <w:rPr>
          <w:rFonts w:hint="eastAsia" w:ascii="宋体" w:hAnsi="宋体" w:cs="宋体"/>
          <w:color w:val="auto"/>
          <w:sz w:val="24"/>
          <w:szCs w:val="24"/>
          <w:highlight w:val="none"/>
          <w:lang w:val="en-US"/>
        </w:rPr>
        <w:t>属于第</w:t>
      </w:r>
      <w:r>
        <w:rPr>
          <w:rFonts w:hint="eastAsia" w:ascii="宋体" w:hAnsi="宋体" w:cs="宋体"/>
          <w:color w:val="auto"/>
          <w:sz w:val="24"/>
          <w:szCs w:val="24"/>
          <w:highlight w:val="none"/>
          <w:lang w:val="en-US" w:eastAsia="zh-CN"/>
        </w:rPr>
        <w:t>（3）</w:t>
      </w:r>
      <w:r>
        <w:rPr>
          <w:rFonts w:hint="eastAsia" w:ascii="宋体" w:hAnsi="宋体" w:cs="宋体"/>
          <w:color w:val="auto"/>
          <w:sz w:val="24"/>
          <w:szCs w:val="24"/>
          <w:highlight w:val="none"/>
          <w:lang w:val="en-US"/>
        </w:rPr>
        <w:t>项情形的，供应商已随</w:t>
      </w:r>
      <w:r>
        <w:rPr>
          <w:rFonts w:hint="eastAsia" w:ascii="宋体" w:hAnsi="宋体" w:cs="宋体"/>
          <w:color w:val="auto"/>
          <w:sz w:val="24"/>
          <w:szCs w:val="24"/>
          <w:highlight w:val="none"/>
          <w:lang w:val="en-US" w:eastAsia="zh-CN"/>
        </w:rPr>
        <w:t>投标</w:t>
      </w:r>
      <w:r>
        <w:rPr>
          <w:rFonts w:hint="eastAsia" w:ascii="宋体" w:hAnsi="宋体" w:cs="宋体"/>
          <w:color w:val="auto"/>
          <w:sz w:val="24"/>
          <w:szCs w:val="24"/>
          <w:highlight w:val="none"/>
          <w:lang w:val="en-US"/>
        </w:rPr>
        <w:t>文件一并提交相关书面说明及必要的证明材料的，在评审现场可不再重复提交。</w:t>
      </w:r>
      <w:r>
        <w:rPr>
          <w:rFonts w:hint="eastAsia" w:ascii="宋体" w:hAnsi="宋体" w:cs="宋体"/>
          <w:color w:val="auto"/>
          <w:sz w:val="24"/>
          <w:szCs w:val="24"/>
          <w:highlight w:val="none"/>
        </w:rPr>
        <w:t>投标供应商不提供书面说明、证明材料，或者提供的书面说明、证明材料不能证明其报价合理性的，评标委员会应当将其作为无效投标处理。</w:t>
      </w:r>
      <w:bookmarkEnd w:id="6"/>
      <w:bookmarkEnd w:id="7"/>
      <w:r>
        <w:rPr>
          <w:rFonts w:hint="eastAsia" w:ascii="宋体" w:hAnsi="宋体" w:cs="宋体"/>
          <w:color w:val="auto"/>
          <w:sz w:val="24"/>
          <w:szCs w:val="24"/>
          <w:highlight w:val="none"/>
          <w:lang w:val="en-US"/>
        </w:rPr>
        <w:t>异常低价响应审查的启动原因、审查意见和审查结果应当在评审报告中记录，并随供应商提供的相关书面说明及证明材料，以及评审委员会有关互联网浏览、查询历史一并归档。</w:t>
      </w:r>
    </w:p>
    <w:p w14:paraId="6648D964">
      <w:pPr>
        <w:tabs>
          <w:tab w:val="left" w:pos="9000"/>
        </w:tabs>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26.5评标委员会成员对需要共同认定的事项存在争议的，应当按照少数服从多数的原则作出结论。持不同意见的评标委员会成员应当在评标报告上签署不同意见及理由，否则视为同意评标报告。</w:t>
      </w:r>
    </w:p>
    <w:p w14:paraId="5368EB51">
      <w:pPr>
        <w:tabs>
          <w:tab w:val="left" w:pos="9000"/>
        </w:tabs>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26.6除上述情形外，对投标文件的判定，只依据投标文件本身，不依靠开标后的任何外来证明。</w:t>
      </w:r>
    </w:p>
    <w:p w14:paraId="1EBC3095">
      <w:pPr>
        <w:tabs>
          <w:tab w:val="left" w:pos="9000"/>
        </w:tabs>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26.7对不同文字文本投标文件的解释发生异议的，以中文文本为准。</w:t>
      </w:r>
    </w:p>
    <w:p w14:paraId="07D30900">
      <w:pPr>
        <w:tabs>
          <w:tab w:val="left" w:pos="9000"/>
        </w:tabs>
        <w:spacing w:line="360" w:lineRule="auto"/>
        <w:rPr>
          <w:rFonts w:hint="eastAsia" w:ascii="宋体" w:hAnsi="宋体" w:cs="宋体"/>
          <w:b/>
          <w:bCs/>
          <w:color w:val="auto"/>
          <w:sz w:val="24"/>
          <w:szCs w:val="24"/>
          <w:highlight w:val="none"/>
        </w:rPr>
      </w:pPr>
      <w:r>
        <w:rPr>
          <w:rFonts w:hint="eastAsia" w:ascii="宋体" w:hAnsi="宋体" w:cs="宋体"/>
          <w:b/>
          <w:bCs/>
          <w:color w:val="auto"/>
          <w:sz w:val="24"/>
          <w:szCs w:val="24"/>
          <w:highlight w:val="none"/>
        </w:rPr>
        <w:t>27.投标的澄清</w:t>
      </w:r>
    </w:p>
    <w:p w14:paraId="0C575CC2">
      <w:pPr>
        <w:tabs>
          <w:tab w:val="left" w:pos="9000"/>
        </w:tabs>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27.1对于投标文件中含义不明确、同类问题表述不一致或者有明显文字和计算错误内容，评标委员会应当以书面形式要求投标人作出必要的澄清、说明或者补正。</w:t>
      </w:r>
    </w:p>
    <w:p w14:paraId="3DA6156D">
      <w:pPr>
        <w:tabs>
          <w:tab w:val="left" w:pos="9000"/>
        </w:tabs>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27.2投标人的澄清、说明或者补正应当采用书面形式，并加盖其单位电子公章。投标人的澄清、说明或者补正不得超出投标文件的范围或者改变投标文件的实质性内容。</w:t>
      </w:r>
    </w:p>
    <w:p w14:paraId="4F7F5DBB">
      <w:pPr>
        <w:tabs>
          <w:tab w:val="left" w:pos="9000"/>
        </w:tabs>
        <w:spacing w:line="360" w:lineRule="auto"/>
        <w:rPr>
          <w:rFonts w:hint="eastAsia" w:ascii="宋体" w:hAnsi="宋体" w:cs="宋体"/>
          <w:color w:val="auto"/>
          <w:sz w:val="24"/>
          <w:szCs w:val="24"/>
          <w:highlight w:val="none"/>
        </w:rPr>
      </w:pPr>
      <w:r>
        <w:rPr>
          <w:rFonts w:hint="eastAsia" w:ascii="宋体" w:hAnsi="宋体" w:cs="宋体"/>
          <w:b/>
          <w:bCs/>
          <w:color w:val="auto"/>
          <w:sz w:val="24"/>
          <w:szCs w:val="24"/>
          <w:highlight w:val="none"/>
        </w:rPr>
        <w:t>27.3本项目投标人的澄清、说明或者补正采用线上澄清： 评标委员会将通过“苏采云”系统向投标人发布“澄清要求函”，接到“澄清要求函”的投标人应当按要求在规定时间内通过“苏采云”系统提交“澄清响应函”并加盖CA电子公章，澄清、说明和补充的内容作为投标文件的补充部分。此处规定时间的计算以系统中的倒计时间为准，</w:t>
      </w:r>
      <w:r>
        <w:rPr>
          <w:rFonts w:hint="eastAsia" w:ascii="宋体" w:hAnsi="宋体" w:cs="宋体"/>
          <w:color w:val="auto"/>
          <w:sz w:val="24"/>
          <w:szCs w:val="24"/>
          <w:highlight w:val="none"/>
        </w:rPr>
        <w:t>供应商应随时保持系统在线，如因供应商自身原因未在规定时间内提交澄清确认资料的，导致的不利后果由供应商自行承担。</w:t>
      </w:r>
    </w:p>
    <w:p w14:paraId="55999C0A">
      <w:pPr>
        <w:tabs>
          <w:tab w:val="left" w:pos="9000"/>
        </w:tabs>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28.投标无效</w:t>
      </w:r>
    </w:p>
    <w:p w14:paraId="05EDC794">
      <w:pPr>
        <w:tabs>
          <w:tab w:val="left" w:pos="9000"/>
        </w:tabs>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28.1投标人存在下列情况之一的，投标无效：</w:t>
      </w:r>
    </w:p>
    <w:p w14:paraId="35DD045B">
      <w:pPr>
        <w:tabs>
          <w:tab w:val="left" w:pos="9000"/>
        </w:tabs>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28.1.1投标文件未按招标文件要求签署、盖章的；</w:t>
      </w:r>
    </w:p>
    <w:p w14:paraId="20C4946C">
      <w:pPr>
        <w:tabs>
          <w:tab w:val="left" w:pos="9000"/>
        </w:tabs>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28.1.2不具备招标文件中规定的资格要求的；</w:t>
      </w:r>
    </w:p>
    <w:p w14:paraId="57B69E4B">
      <w:pPr>
        <w:tabs>
          <w:tab w:val="left" w:pos="9000"/>
        </w:tabs>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28.1.3报价超过招标文件中规定的预算金额或者最高限价的；</w:t>
      </w:r>
    </w:p>
    <w:p w14:paraId="3D31BAA0">
      <w:pPr>
        <w:tabs>
          <w:tab w:val="left" w:pos="9000"/>
        </w:tabs>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28.1.4投标文件含有采购人不能接受的附加条件的；</w:t>
      </w:r>
    </w:p>
    <w:p w14:paraId="6DC1B610">
      <w:pPr>
        <w:tabs>
          <w:tab w:val="left" w:pos="9000"/>
        </w:tabs>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28.1.5机器码检查中，出现不同投标人投标文件机器码一致情形的；</w:t>
      </w:r>
    </w:p>
    <w:p w14:paraId="51F3C98D">
      <w:pPr>
        <w:tabs>
          <w:tab w:val="left" w:pos="9000"/>
        </w:tabs>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28.1.6法律、法规和招标文件规定的其他无效情形。</w:t>
      </w:r>
    </w:p>
    <w:p w14:paraId="19976B78">
      <w:pPr>
        <w:tabs>
          <w:tab w:val="left" w:pos="9000"/>
        </w:tabs>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28.2投标人应当遵循公平竞争的原则，不得恶意串通，不得妨碍其他投标人的竞争行为，不得损害采购人或者其他投标人的合法权益。在评标过程中发现投标人有上述情形的，评标委员会应当认定其投标无效，并书面报告本级财政部门。</w:t>
      </w:r>
    </w:p>
    <w:p w14:paraId="22942507">
      <w:pPr>
        <w:tabs>
          <w:tab w:val="left" w:pos="9000"/>
        </w:tabs>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28.3有下列情形之一的，视为投标人串通投标，其投标无效：</w:t>
      </w:r>
    </w:p>
    <w:p w14:paraId="4310B6DD">
      <w:pPr>
        <w:tabs>
          <w:tab w:val="left" w:pos="9000"/>
        </w:tabs>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28.3.1不同投标人的投标文件由同一单位或者个人编制；</w:t>
      </w:r>
    </w:p>
    <w:p w14:paraId="6FF7710D">
      <w:pPr>
        <w:tabs>
          <w:tab w:val="left" w:pos="9000"/>
        </w:tabs>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28.3.2不同投标人委托同一单位或者个人办理投标事宜；</w:t>
      </w:r>
    </w:p>
    <w:p w14:paraId="1E7BC977">
      <w:pPr>
        <w:tabs>
          <w:tab w:val="left" w:pos="9000"/>
        </w:tabs>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28.3.3不同投标人的投标文件载明的项目管理成员或者联系人员为同一人；</w:t>
      </w:r>
    </w:p>
    <w:p w14:paraId="4303F7A2">
      <w:pPr>
        <w:tabs>
          <w:tab w:val="left" w:pos="9000"/>
        </w:tabs>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28.3.4不同投标人的投标文件异常一致或者投标报价呈规律性差异；</w:t>
      </w:r>
    </w:p>
    <w:p w14:paraId="11E3DF55">
      <w:pPr>
        <w:tabs>
          <w:tab w:val="left" w:pos="9000"/>
        </w:tabs>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28.3.5不同投标人的投标文件相互混装。</w:t>
      </w:r>
    </w:p>
    <w:p w14:paraId="39BC286D">
      <w:pPr>
        <w:tabs>
          <w:tab w:val="left" w:pos="9000"/>
        </w:tabs>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29.废标</w:t>
      </w:r>
    </w:p>
    <w:p w14:paraId="74F5EE04">
      <w:pPr>
        <w:tabs>
          <w:tab w:val="left" w:pos="9000"/>
        </w:tabs>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29.1在招标过程中，出现下列情况之一的，应予废标：</w:t>
      </w:r>
    </w:p>
    <w:p w14:paraId="7489BA80">
      <w:pPr>
        <w:tabs>
          <w:tab w:val="left" w:pos="9000"/>
        </w:tabs>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29.1.1符合专业条件的供应商或者对招标文件作实质投标的供应商不足三家的；</w:t>
      </w:r>
    </w:p>
    <w:p w14:paraId="521C8FE6">
      <w:pPr>
        <w:tabs>
          <w:tab w:val="left" w:pos="9000"/>
        </w:tabs>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29.1.2出现影响采购公正的违法、违规行为的；</w:t>
      </w:r>
    </w:p>
    <w:p w14:paraId="04904420">
      <w:pPr>
        <w:tabs>
          <w:tab w:val="left" w:pos="9000"/>
        </w:tabs>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29.1.3投标人的报价均超过了采购预算，采购人不能支付的；</w:t>
      </w:r>
    </w:p>
    <w:p w14:paraId="45940955">
      <w:pPr>
        <w:tabs>
          <w:tab w:val="left" w:pos="9000"/>
        </w:tabs>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2</w:t>
      </w:r>
      <w:r>
        <w:rPr>
          <w:rFonts w:hint="eastAsia" w:ascii="宋体" w:hAnsi="宋体" w:cs="宋体"/>
          <w:color w:val="auto"/>
          <w:sz w:val="24"/>
          <w:szCs w:val="24"/>
          <w:highlight w:val="none"/>
          <w:lang w:val="en-US" w:eastAsia="zh-CN"/>
        </w:rPr>
        <w:t>9</w:t>
      </w:r>
      <w:r>
        <w:rPr>
          <w:rFonts w:hint="eastAsia" w:ascii="宋体" w:hAnsi="宋体" w:cs="宋体"/>
          <w:color w:val="auto"/>
          <w:sz w:val="24"/>
          <w:szCs w:val="24"/>
          <w:highlight w:val="none"/>
        </w:rPr>
        <w:t>.1.4因重大变故，采购任务取消的；</w:t>
      </w:r>
    </w:p>
    <w:p w14:paraId="3EB9B842">
      <w:pPr>
        <w:tabs>
          <w:tab w:val="left" w:pos="9000"/>
        </w:tabs>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29.2废标后，采购人和采购代理机构将把废标的理由通知所有投标人。</w:t>
      </w:r>
    </w:p>
    <w:p w14:paraId="0215EDF0">
      <w:pPr>
        <w:tabs>
          <w:tab w:val="left" w:pos="9000"/>
        </w:tabs>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30.投标文件的评价和比较</w:t>
      </w:r>
    </w:p>
    <w:p w14:paraId="370EFE9A">
      <w:pPr>
        <w:tabs>
          <w:tab w:val="left" w:pos="9000"/>
        </w:tabs>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30.1采用综合评分法，评标结果按评审后得分由高到低顺序排列。得分相同的，按投标报价由低到高顺序排列。得分且投标报价相同的并列，则由评标委员会组织抽签确定中标人。投标文件满足招标文件全部实质性要求，且按照评审因素的量化指标评审得分最高的投标人为排名第一的中标候选人。</w:t>
      </w:r>
    </w:p>
    <w:p w14:paraId="19E0E36E">
      <w:pPr>
        <w:tabs>
          <w:tab w:val="left" w:pos="9000"/>
        </w:tabs>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30.2最低的投标报价或最高的折扣比例是中标的重要条件，但不是唯一条件。</w:t>
      </w:r>
    </w:p>
    <w:p w14:paraId="328AA622">
      <w:pPr>
        <w:tabs>
          <w:tab w:val="left" w:pos="9000"/>
        </w:tabs>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七、授予合同</w:t>
      </w:r>
    </w:p>
    <w:p w14:paraId="08CD6001">
      <w:pPr>
        <w:tabs>
          <w:tab w:val="left" w:pos="9000"/>
        </w:tabs>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31.中标单位的确认</w:t>
      </w:r>
    </w:p>
    <w:p w14:paraId="6B1F9134">
      <w:pPr>
        <w:tabs>
          <w:tab w:val="left" w:pos="9000"/>
        </w:tabs>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31.1评标委员会根据投标人资格审查情况，对投标文件进行评价和比较，按照评标办法和标准进行评标，并确定中标人。</w:t>
      </w:r>
    </w:p>
    <w:p w14:paraId="7A0A30A3">
      <w:pPr>
        <w:tabs>
          <w:tab w:val="left" w:pos="9000"/>
        </w:tabs>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31.2经评标委员会评审并确定中标人后，采购代理机构将在规定的时间内将中标结果在政府采购管理部门指定媒体上予以公告，公告期为一个工作日。各投标人如对中标公告有异议，应在中标公告期届满起七个工作日内，以书面形式向采购代理机构提出质疑，该质疑须按《政府采购质疑和投诉办法》《江苏省政府采购供应商监督管理暂行办法》的规定提交。采购代理机构将在收到质疑后七个工作日内，对质疑内容作出答复。在此期限后向采购代理机构提出质疑或质疑未经投标人法定代表人或参加投标的代理人签署</w:t>
      </w:r>
      <w:r>
        <w:rPr>
          <w:rFonts w:hint="eastAsia" w:ascii="宋体" w:hAnsi="宋体" w:cs="宋体"/>
          <w:color w:val="auto"/>
          <w:sz w:val="24"/>
          <w:szCs w:val="24"/>
          <w:highlight w:val="none"/>
          <w:lang w:eastAsia="zh-CN"/>
        </w:rPr>
        <w:t>和加</w:t>
      </w:r>
      <w:r>
        <w:rPr>
          <w:rFonts w:hint="eastAsia" w:ascii="宋体" w:hAnsi="宋体" w:cs="宋体"/>
          <w:color w:val="auto"/>
          <w:sz w:val="24"/>
          <w:szCs w:val="24"/>
          <w:highlight w:val="none"/>
        </w:rPr>
        <w:t>盖公章（原件），采购代理机构有权对该质疑不予答复。</w:t>
      </w:r>
    </w:p>
    <w:p w14:paraId="4DCB1375">
      <w:pPr>
        <w:tabs>
          <w:tab w:val="left" w:pos="9000"/>
        </w:tabs>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32.合同授予：采购人、采购代理机构将把合同授予其投标文件在实质性响应招标文件要求和按本须知规定评选出的投标人。确定为中标的投标人必须具有实施本合同的能力和资源。</w:t>
      </w:r>
    </w:p>
    <w:p w14:paraId="62032B16">
      <w:pPr>
        <w:tabs>
          <w:tab w:val="left" w:pos="9000"/>
        </w:tabs>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33.中标通知书/未中标通知书</w:t>
      </w:r>
    </w:p>
    <w:p w14:paraId="688C0DEA">
      <w:pPr>
        <w:tabs>
          <w:tab w:val="left" w:pos="9000"/>
        </w:tabs>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33.1</w:t>
      </w:r>
      <w:r>
        <w:rPr>
          <w:rFonts w:hint="eastAsia" w:ascii="宋体" w:hAnsi="宋体" w:cs="宋体"/>
          <w:color w:val="auto"/>
          <w:sz w:val="24"/>
          <w:szCs w:val="24"/>
          <w:highlight w:val="none"/>
          <w:lang w:eastAsia="zh-CN"/>
        </w:rPr>
        <w:t>确定</w:t>
      </w:r>
      <w:r>
        <w:rPr>
          <w:rFonts w:hint="eastAsia" w:ascii="宋体" w:hAnsi="宋体" w:cs="宋体"/>
          <w:color w:val="auto"/>
          <w:sz w:val="24"/>
          <w:szCs w:val="24"/>
          <w:highlight w:val="none"/>
        </w:rPr>
        <w:t>中标人后，</w:t>
      </w:r>
      <w:r>
        <w:rPr>
          <w:rFonts w:hint="eastAsia" w:ascii="宋体" w:hAnsi="宋体" w:cs="宋体"/>
          <w:color w:val="auto"/>
          <w:sz w:val="24"/>
          <w:szCs w:val="24"/>
          <w:highlight w:val="none"/>
          <w:lang w:val="en-US" w:eastAsia="zh-CN"/>
        </w:rPr>
        <w:t>招标代理机构</w:t>
      </w:r>
      <w:r>
        <w:rPr>
          <w:rFonts w:hint="eastAsia" w:ascii="宋体" w:hAnsi="宋体" w:cs="宋体"/>
          <w:color w:val="auto"/>
          <w:sz w:val="24"/>
          <w:szCs w:val="24"/>
          <w:highlight w:val="none"/>
        </w:rPr>
        <w:t>在法定时间内向中标人发出中标通知书。</w:t>
      </w:r>
      <w:r>
        <w:rPr>
          <w:rFonts w:hint="eastAsia" w:ascii="宋体" w:hAnsi="宋体" w:cs="宋体"/>
          <w:b/>
          <w:bCs/>
          <w:color w:val="auto"/>
          <w:sz w:val="24"/>
          <w:szCs w:val="24"/>
          <w:highlight w:val="none"/>
        </w:rPr>
        <w:t>请中标人在中标结果公告届满之日起30日内，使用CA证书登录“苏采云”系统及时下载中标通知书。</w:t>
      </w:r>
      <w:r>
        <w:rPr>
          <w:rFonts w:hint="eastAsia" w:ascii="宋体" w:hAnsi="宋体" w:cs="宋体"/>
          <w:color w:val="auto"/>
          <w:sz w:val="24"/>
          <w:szCs w:val="24"/>
          <w:highlight w:val="none"/>
        </w:rPr>
        <w:t>因系统存储空间有限，自中标结果公告届满之日起30日后，“苏采云”系统不再保证提供下载中标通知书服务，因未及时下载而造成的不利后果由中标人自行承担。</w:t>
      </w:r>
    </w:p>
    <w:p w14:paraId="24F7369A">
      <w:pPr>
        <w:tabs>
          <w:tab w:val="left" w:pos="9000"/>
        </w:tabs>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33.2</w:t>
      </w:r>
      <w:r>
        <w:rPr>
          <w:rFonts w:hint="default" w:ascii="Segoe UI" w:hAnsi="Segoe UI" w:eastAsia="Segoe UI" w:cs="Segoe UI"/>
          <w:i w:val="0"/>
          <w:iCs w:val="0"/>
          <w:caps w:val="0"/>
          <w:color w:val="auto"/>
          <w:spacing w:val="0"/>
          <w:sz w:val="24"/>
          <w:szCs w:val="24"/>
          <w:highlight w:val="none"/>
          <w:shd w:val="clear" w:fill="FFFFFF"/>
        </w:rPr>
        <w:t>中标通知书构成合同的组成部分，对采购人和中标人具有同等法律效力</w:t>
      </w:r>
      <w:r>
        <w:rPr>
          <w:rFonts w:hint="eastAsia" w:ascii="宋体" w:hAnsi="宋体" w:cs="宋体"/>
          <w:color w:val="auto"/>
          <w:sz w:val="24"/>
          <w:szCs w:val="24"/>
          <w:highlight w:val="none"/>
        </w:rPr>
        <w:t>。</w:t>
      </w:r>
    </w:p>
    <w:p w14:paraId="49AFA432">
      <w:pPr>
        <w:tabs>
          <w:tab w:val="left" w:pos="9000"/>
        </w:tabs>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33.3中标通知书发出后，采购人不得违法改变中标结果，中标人无正当理由不得放弃中标。</w:t>
      </w:r>
    </w:p>
    <w:p w14:paraId="6099DEBB">
      <w:pPr>
        <w:pStyle w:val="196"/>
        <w:ind w:left="0"/>
        <w:rPr>
          <w:color w:val="auto"/>
          <w:highlight w:val="none"/>
        </w:rPr>
      </w:pPr>
      <w:r>
        <w:rPr>
          <w:rFonts w:hint="eastAsia" w:ascii="宋体" w:hAnsi="宋体" w:cs="宋体"/>
          <w:color w:val="auto"/>
          <w:sz w:val="24"/>
          <w:szCs w:val="24"/>
          <w:highlight w:val="none"/>
        </w:rPr>
        <w:t>33.4未中标通知书将以邮件方式发送。</w:t>
      </w:r>
    </w:p>
    <w:p w14:paraId="71B8CDBC">
      <w:pPr>
        <w:tabs>
          <w:tab w:val="left" w:pos="9000"/>
        </w:tabs>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33.5采购代理机构对未中标人不承担解释未中标原因的义务。</w:t>
      </w:r>
    </w:p>
    <w:p w14:paraId="60F9BC17">
      <w:pPr>
        <w:spacing w:line="360" w:lineRule="auto"/>
        <w:rPr>
          <w:rFonts w:ascii="宋体" w:hAnsi="宋体" w:eastAsia="宋体" w:cs="宋体"/>
          <w:color w:val="auto"/>
          <w:sz w:val="24"/>
          <w:szCs w:val="24"/>
          <w:highlight w:val="none"/>
          <w:shd w:val="clear" w:color="auto" w:fill="FFFFFF"/>
        </w:rPr>
      </w:pPr>
      <w:bookmarkStart w:id="12" w:name="_Hlk193374841"/>
      <w:r>
        <w:rPr>
          <w:rFonts w:hint="eastAsia" w:ascii="宋体" w:hAnsi="宋体" w:cs="宋体"/>
          <w:b/>
          <w:color w:val="auto"/>
          <w:sz w:val="24"/>
          <w:szCs w:val="24"/>
          <w:highlight w:val="none"/>
          <w:shd w:val="clear" w:color="auto" w:fill="FFFFFF"/>
          <w:lang w:val="en-US" w:eastAsia="zh-CN"/>
        </w:rPr>
        <w:t>34.</w:t>
      </w:r>
      <w:r>
        <w:rPr>
          <w:rFonts w:hint="eastAsia" w:ascii="宋体" w:hAnsi="宋体" w:eastAsia="宋体" w:cs="宋体"/>
          <w:b/>
          <w:color w:val="auto"/>
          <w:sz w:val="24"/>
          <w:szCs w:val="24"/>
          <w:highlight w:val="none"/>
          <w:shd w:val="clear" w:color="auto" w:fill="FFFFFF"/>
        </w:rPr>
        <w:t>履约保证金</w:t>
      </w:r>
      <w:r>
        <w:rPr>
          <w:rFonts w:hint="eastAsia" w:ascii="宋体" w:hAnsi="宋体" w:eastAsia="宋体" w:cs="宋体"/>
          <w:b/>
          <w:color w:val="auto"/>
          <w:sz w:val="24"/>
          <w:szCs w:val="24"/>
          <w:highlight w:val="none"/>
          <w:shd w:val="clear" w:color="auto" w:fill="FFFFFF"/>
          <w:lang w:val="en-US" w:eastAsia="zh-CN"/>
        </w:rPr>
        <w:t>(如涉及）</w:t>
      </w:r>
      <w:r>
        <w:rPr>
          <w:rFonts w:hint="eastAsia" w:ascii="宋体" w:hAnsi="宋体" w:cs="宋体"/>
          <w:b/>
          <w:color w:val="auto"/>
          <w:sz w:val="24"/>
          <w:szCs w:val="24"/>
          <w:highlight w:val="none"/>
          <w:shd w:val="clear" w:color="auto" w:fill="FFFFFF"/>
          <w:lang w:eastAsia="zh-CN"/>
        </w:rPr>
        <w:t>：</w:t>
      </w:r>
      <w:r>
        <w:rPr>
          <w:rFonts w:hint="eastAsia" w:ascii="宋体" w:hAnsi="宋体" w:eastAsia="宋体" w:cs="宋体"/>
          <w:color w:val="auto"/>
          <w:sz w:val="24"/>
          <w:szCs w:val="24"/>
          <w:highlight w:val="none"/>
          <w:shd w:val="clear" w:color="auto" w:fill="FFFFFF"/>
        </w:rPr>
        <w:t>根据《关于在全省政府采购领域推行电子履约保函（保险）的通知（苏财购</w:t>
      </w:r>
      <w:r>
        <w:rPr>
          <w:rFonts w:hint="eastAsia" w:ascii="宋体" w:hAnsi="宋体" w:cs="宋体"/>
          <w:color w:val="auto"/>
          <w:sz w:val="24"/>
          <w:szCs w:val="24"/>
          <w:highlight w:val="none"/>
          <w:shd w:val="clear" w:color="auto" w:fill="FFFFFF"/>
          <w:lang w:eastAsia="zh-CN"/>
        </w:rPr>
        <w:t>〔2023〕150号</w:t>
      </w:r>
      <w:r>
        <w:rPr>
          <w:rFonts w:hint="eastAsia" w:ascii="宋体" w:hAnsi="宋体" w:eastAsia="宋体" w:cs="宋体"/>
          <w:color w:val="auto"/>
          <w:sz w:val="24"/>
          <w:szCs w:val="24"/>
          <w:highlight w:val="none"/>
          <w:shd w:val="clear" w:color="auto" w:fill="FFFFFF"/>
        </w:rPr>
        <w:t>）》规定，中标供应商可以自愿选择，使用以电子履约保函（保险）形式代替提供履约保证金。供应商可通过江苏省政府采购网、“苏采云”系统链接访问登录“政府采购电子履约保函（保险）平台”，选择第三方机构并提交保函（保险）申请。详见：江苏政府采购网“资料下载”栏目（网址：www.ccgp-jiangsu.gov.cn/jiangsu/zlxz）下载“政府采购电子履约保函（保险）操作手册”。</w:t>
      </w:r>
    </w:p>
    <w:p w14:paraId="73EED597">
      <w:pPr>
        <w:spacing w:line="360" w:lineRule="auto"/>
        <w:rPr>
          <w:rFonts w:ascii="宋体" w:hAnsi="宋体" w:eastAsia="宋体" w:cs="宋体"/>
          <w:color w:val="auto"/>
          <w:sz w:val="24"/>
          <w:szCs w:val="24"/>
          <w:highlight w:val="none"/>
          <w:shd w:val="clear" w:color="auto" w:fill="FFFFFF"/>
        </w:rPr>
      </w:pPr>
      <w:r>
        <w:rPr>
          <w:rFonts w:hint="eastAsia" w:ascii="宋体" w:hAnsi="宋体" w:cs="宋体"/>
          <w:color w:val="auto"/>
          <w:sz w:val="24"/>
          <w:szCs w:val="24"/>
          <w:highlight w:val="none"/>
          <w:shd w:val="clear" w:color="auto" w:fill="FFFFFF"/>
          <w:lang w:val="en-US" w:eastAsia="zh-CN"/>
        </w:rPr>
        <w:t>34.</w:t>
      </w:r>
      <w:r>
        <w:rPr>
          <w:rFonts w:hint="eastAsia" w:ascii="宋体" w:hAnsi="宋体" w:eastAsia="宋体" w:cs="宋体"/>
          <w:color w:val="auto"/>
          <w:sz w:val="24"/>
          <w:szCs w:val="24"/>
          <w:highlight w:val="none"/>
          <w:shd w:val="clear" w:color="auto" w:fill="FFFFFF"/>
        </w:rPr>
        <w:t>1中标的供应商应按前附表的规定提交履约保证金。</w:t>
      </w:r>
    </w:p>
    <w:p w14:paraId="6385CF75">
      <w:pPr>
        <w:spacing w:line="360" w:lineRule="auto"/>
        <w:rPr>
          <w:rFonts w:ascii="宋体" w:hAnsi="宋体" w:eastAsia="宋体" w:cs="宋体"/>
          <w:color w:val="auto"/>
          <w:sz w:val="24"/>
          <w:szCs w:val="24"/>
          <w:highlight w:val="none"/>
          <w:shd w:val="clear" w:color="auto" w:fill="FFFFFF"/>
        </w:rPr>
      </w:pPr>
      <w:r>
        <w:rPr>
          <w:rFonts w:hint="eastAsia" w:ascii="宋体" w:hAnsi="宋体" w:cs="宋体"/>
          <w:color w:val="auto"/>
          <w:sz w:val="24"/>
          <w:szCs w:val="24"/>
          <w:highlight w:val="none"/>
          <w:shd w:val="clear" w:color="auto" w:fill="FFFFFF"/>
          <w:lang w:val="en-US" w:eastAsia="zh-CN"/>
        </w:rPr>
        <w:t>34.2</w:t>
      </w:r>
      <w:r>
        <w:rPr>
          <w:rFonts w:hint="eastAsia" w:ascii="宋体" w:hAnsi="宋体" w:eastAsia="宋体" w:cs="宋体"/>
          <w:color w:val="auto"/>
          <w:sz w:val="24"/>
          <w:szCs w:val="24"/>
          <w:highlight w:val="none"/>
          <w:shd w:val="clear" w:color="auto" w:fill="FFFFFF"/>
        </w:rPr>
        <w:t>在中标通知书发出的七天内，中标</w:t>
      </w:r>
      <w:r>
        <w:rPr>
          <w:rFonts w:hint="eastAsia" w:ascii="宋体" w:hAnsi="宋体" w:cs="宋体"/>
          <w:color w:val="auto"/>
          <w:sz w:val="24"/>
          <w:szCs w:val="24"/>
          <w:highlight w:val="none"/>
          <w:shd w:val="clear" w:color="auto" w:fill="FFFFFF"/>
          <w:lang w:val="en-US" w:eastAsia="zh-CN"/>
        </w:rPr>
        <w:t>单位</w:t>
      </w:r>
      <w:r>
        <w:rPr>
          <w:rFonts w:hint="eastAsia" w:ascii="宋体" w:hAnsi="宋体" w:eastAsia="宋体" w:cs="宋体"/>
          <w:color w:val="auto"/>
          <w:sz w:val="24"/>
          <w:szCs w:val="24"/>
          <w:highlight w:val="none"/>
          <w:shd w:val="clear" w:color="auto" w:fill="FFFFFF"/>
        </w:rPr>
        <w:t>应当以支票、汇票、本票或者金融机构、担保机构出具的保函等非现金形式提交履约保证金。如选择转账方式提交履约保证金的，款项转入以下账户：</w:t>
      </w:r>
    </w:p>
    <w:p w14:paraId="4317140A">
      <w:pPr>
        <w:spacing w:line="360" w:lineRule="auto"/>
        <w:ind w:firstLine="480"/>
        <w:rPr>
          <w:rFonts w:ascii="宋体" w:hAnsi="宋体" w:eastAsia="宋体" w:cs="宋体"/>
          <w:color w:val="auto"/>
          <w:sz w:val="24"/>
          <w:szCs w:val="24"/>
          <w:highlight w:val="none"/>
          <w:shd w:val="clear" w:color="auto" w:fill="FFFFFF"/>
        </w:rPr>
      </w:pPr>
      <w:r>
        <w:rPr>
          <w:rFonts w:hint="eastAsia" w:ascii="宋体" w:hAnsi="宋体" w:eastAsia="宋体" w:cs="宋体"/>
          <w:color w:val="auto"/>
          <w:sz w:val="24"/>
          <w:szCs w:val="24"/>
          <w:highlight w:val="none"/>
          <w:shd w:val="clear" w:color="auto" w:fill="FFFFFF"/>
        </w:rPr>
        <w:t>账  户：</w:t>
      </w:r>
    </w:p>
    <w:p w14:paraId="79579573">
      <w:pPr>
        <w:spacing w:line="360" w:lineRule="auto"/>
        <w:ind w:firstLine="480"/>
        <w:rPr>
          <w:rFonts w:ascii="宋体" w:hAnsi="宋体" w:eastAsia="宋体" w:cs="宋体"/>
          <w:color w:val="auto"/>
          <w:sz w:val="24"/>
          <w:szCs w:val="24"/>
          <w:highlight w:val="none"/>
          <w:shd w:val="clear" w:color="auto" w:fill="FFFFFF"/>
        </w:rPr>
      </w:pPr>
      <w:r>
        <w:rPr>
          <w:rFonts w:hint="eastAsia" w:ascii="宋体" w:hAnsi="宋体" w:eastAsia="宋体" w:cs="宋体"/>
          <w:color w:val="auto"/>
          <w:sz w:val="24"/>
          <w:szCs w:val="24"/>
          <w:highlight w:val="none"/>
          <w:shd w:val="clear" w:color="auto" w:fill="FFFFFF"/>
        </w:rPr>
        <w:t>开户行：</w:t>
      </w:r>
    </w:p>
    <w:p w14:paraId="48118BDD">
      <w:pPr>
        <w:spacing w:line="360" w:lineRule="auto"/>
        <w:ind w:firstLine="480"/>
        <w:rPr>
          <w:rFonts w:ascii="宋体" w:hAnsi="宋体" w:eastAsia="宋体" w:cs="宋体"/>
          <w:color w:val="auto"/>
          <w:sz w:val="24"/>
          <w:szCs w:val="24"/>
          <w:highlight w:val="none"/>
          <w:shd w:val="clear" w:color="auto" w:fill="FFFFFF"/>
        </w:rPr>
      </w:pPr>
      <w:r>
        <w:rPr>
          <w:rFonts w:hint="eastAsia" w:ascii="宋体" w:hAnsi="宋体" w:eastAsia="宋体" w:cs="宋体"/>
          <w:color w:val="auto"/>
          <w:sz w:val="24"/>
          <w:szCs w:val="24"/>
          <w:highlight w:val="none"/>
          <w:shd w:val="clear" w:color="auto" w:fill="FFFFFF"/>
        </w:rPr>
        <w:t>账  号：</w:t>
      </w:r>
    </w:p>
    <w:p w14:paraId="28FF8105">
      <w:pPr>
        <w:spacing w:line="360" w:lineRule="auto"/>
        <w:rPr>
          <w:rFonts w:ascii="宋体" w:hAnsi="宋体" w:eastAsia="宋体" w:cs="宋体"/>
          <w:color w:val="auto"/>
          <w:sz w:val="24"/>
          <w:szCs w:val="24"/>
          <w:highlight w:val="none"/>
          <w:shd w:val="clear" w:color="auto" w:fill="FFFFFF"/>
        </w:rPr>
      </w:pPr>
      <w:r>
        <w:rPr>
          <w:rFonts w:hint="eastAsia" w:ascii="宋体" w:hAnsi="宋体" w:cs="宋体"/>
          <w:color w:val="auto"/>
          <w:sz w:val="24"/>
          <w:szCs w:val="24"/>
          <w:highlight w:val="none"/>
          <w:shd w:val="clear" w:color="auto" w:fill="FFFFFF"/>
          <w:lang w:val="en-US" w:eastAsia="zh-CN"/>
        </w:rPr>
        <w:t>34.3</w:t>
      </w:r>
      <w:r>
        <w:rPr>
          <w:rFonts w:hint="eastAsia" w:ascii="宋体" w:hAnsi="宋体" w:eastAsia="宋体" w:cs="宋体"/>
          <w:color w:val="auto"/>
          <w:sz w:val="24"/>
          <w:szCs w:val="24"/>
          <w:highlight w:val="none"/>
          <w:shd w:val="clear" w:color="auto" w:fill="FFFFFF"/>
        </w:rPr>
        <w:t>中标</w:t>
      </w:r>
      <w:r>
        <w:rPr>
          <w:rFonts w:hint="eastAsia" w:ascii="宋体" w:hAnsi="宋体" w:cs="宋体"/>
          <w:color w:val="auto"/>
          <w:sz w:val="24"/>
          <w:szCs w:val="24"/>
          <w:highlight w:val="none"/>
          <w:shd w:val="clear" w:color="auto" w:fill="FFFFFF"/>
          <w:lang w:val="en-US" w:eastAsia="zh-CN"/>
        </w:rPr>
        <w:t>单位</w:t>
      </w:r>
      <w:r>
        <w:rPr>
          <w:rFonts w:hint="eastAsia" w:ascii="宋体" w:hAnsi="宋体" w:eastAsia="宋体" w:cs="宋体"/>
          <w:color w:val="auto"/>
          <w:sz w:val="24"/>
          <w:szCs w:val="24"/>
          <w:highlight w:val="none"/>
          <w:shd w:val="clear" w:color="auto" w:fill="FFFFFF"/>
        </w:rPr>
        <w:t>无故拖延或拒不提交履约保证金的，视为拒绝与采购人签订合同，采购人可以按照评审报告推荐的中标候选人名单排序，确定下一候选人为中标单位或者重新开展政府采购活动。</w:t>
      </w:r>
    </w:p>
    <w:p w14:paraId="2359A88E">
      <w:pPr>
        <w:spacing w:line="360" w:lineRule="auto"/>
        <w:rPr>
          <w:rFonts w:ascii="宋体" w:hAnsi="宋体" w:eastAsia="宋体" w:cs="宋体"/>
          <w:color w:val="auto"/>
          <w:sz w:val="24"/>
          <w:szCs w:val="24"/>
          <w:highlight w:val="none"/>
          <w:shd w:val="clear" w:color="auto" w:fill="FFFFFF"/>
        </w:rPr>
      </w:pPr>
      <w:r>
        <w:rPr>
          <w:rFonts w:hint="eastAsia" w:ascii="宋体" w:hAnsi="宋体" w:cs="宋体"/>
          <w:color w:val="auto"/>
          <w:sz w:val="24"/>
          <w:szCs w:val="24"/>
          <w:highlight w:val="none"/>
          <w:shd w:val="clear" w:color="auto" w:fill="FFFFFF"/>
          <w:lang w:val="en-US" w:eastAsia="zh-CN"/>
        </w:rPr>
        <w:t>34.</w:t>
      </w:r>
      <w:r>
        <w:rPr>
          <w:rFonts w:hint="eastAsia" w:ascii="宋体" w:hAnsi="宋体" w:eastAsia="宋体" w:cs="宋体"/>
          <w:color w:val="auto"/>
          <w:sz w:val="24"/>
          <w:szCs w:val="24"/>
          <w:highlight w:val="none"/>
          <w:shd w:val="clear" w:color="auto" w:fill="FFFFFF"/>
        </w:rPr>
        <w:t>4履约保证金（无息）在服务期满且服务缺陷更正后，中标</w:t>
      </w:r>
      <w:r>
        <w:rPr>
          <w:rFonts w:hint="eastAsia" w:ascii="宋体" w:hAnsi="宋体" w:cs="宋体"/>
          <w:color w:val="auto"/>
          <w:sz w:val="24"/>
          <w:szCs w:val="24"/>
          <w:highlight w:val="none"/>
          <w:shd w:val="clear" w:color="auto" w:fill="FFFFFF"/>
          <w:lang w:val="en-US" w:eastAsia="zh-CN"/>
        </w:rPr>
        <w:t>单位</w:t>
      </w:r>
      <w:r>
        <w:rPr>
          <w:rFonts w:hint="eastAsia" w:ascii="宋体" w:hAnsi="宋体" w:eastAsia="宋体" w:cs="宋体"/>
          <w:color w:val="auto"/>
          <w:sz w:val="24"/>
          <w:szCs w:val="24"/>
          <w:highlight w:val="none"/>
          <w:shd w:val="clear" w:color="auto" w:fill="FFFFFF"/>
        </w:rPr>
        <w:t>配合采购人和新中标单位办理移交手续，由采购人确认后退还。如中标</w:t>
      </w:r>
      <w:r>
        <w:rPr>
          <w:rFonts w:hint="eastAsia" w:ascii="宋体" w:hAnsi="宋体" w:cs="宋体"/>
          <w:color w:val="auto"/>
          <w:sz w:val="24"/>
          <w:szCs w:val="24"/>
          <w:highlight w:val="none"/>
          <w:shd w:val="clear" w:color="auto" w:fill="FFFFFF"/>
          <w:lang w:val="en-US" w:eastAsia="zh-CN"/>
        </w:rPr>
        <w:t>单位</w:t>
      </w:r>
      <w:r>
        <w:rPr>
          <w:rFonts w:hint="eastAsia" w:ascii="宋体" w:hAnsi="宋体" w:eastAsia="宋体" w:cs="宋体"/>
          <w:color w:val="auto"/>
          <w:sz w:val="24"/>
          <w:szCs w:val="24"/>
          <w:highlight w:val="none"/>
          <w:shd w:val="clear" w:color="auto" w:fill="FFFFFF"/>
        </w:rPr>
        <w:t>对服务缺陷不予更正，采购人有权另请其他单位更正，所发生的费用在履约保证金中扣除。</w:t>
      </w:r>
      <w:bookmarkEnd w:id="12"/>
    </w:p>
    <w:p w14:paraId="363B65F0">
      <w:pPr>
        <w:tabs>
          <w:tab w:val="left" w:pos="9000"/>
        </w:tabs>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3</w:t>
      </w:r>
      <w:r>
        <w:rPr>
          <w:rFonts w:hint="eastAsia" w:ascii="宋体" w:hAnsi="宋体" w:cs="宋体"/>
          <w:color w:val="auto"/>
          <w:sz w:val="24"/>
          <w:szCs w:val="24"/>
          <w:highlight w:val="none"/>
          <w:lang w:val="en-US" w:eastAsia="zh-CN"/>
        </w:rPr>
        <w:t>5</w:t>
      </w:r>
      <w:r>
        <w:rPr>
          <w:rFonts w:hint="eastAsia" w:ascii="宋体" w:hAnsi="宋体" w:cs="宋体"/>
          <w:color w:val="auto"/>
          <w:sz w:val="24"/>
          <w:szCs w:val="24"/>
          <w:highlight w:val="none"/>
        </w:rPr>
        <w:t>.合同的签订</w:t>
      </w:r>
    </w:p>
    <w:p w14:paraId="627BFCDD">
      <w:pPr>
        <w:tabs>
          <w:tab w:val="left" w:pos="9000"/>
        </w:tabs>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.1</w:t>
      </w:r>
      <w:r>
        <w:rPr>
          <w:rFonts w:hint="eastAsia" w:ascii="宋体" w:hAnsi="宋体" w:eastAsia="宋体" w:cs="宋体"/>
          <w:i w:val="0"/>
          <w:iCs w:val="0"/>
          <w:caps w:val="0"/>
          <w:color w:val="auto"/>
          <w:spacing w:val="0"/>
          <w:sz w:val="24"/>
          <w:szCs w:val="24"/>
          <w:highlight w:val="none"/>
          <w:shd w:val="clear" w:fill="FFFFFF"/>
        </w:rPr>
        <w:t>按照《关于印发〈苏州市政府采购促进中小企业发展实施意见〉的通知》（苏财购〔2022〕16号）文件精神，采购人与中标人原则上应当在中标通知书发出之日起15日内，按照招标文件及投标文件确定的事项签订政府采购合同</w:t>
      </w:r>
      <w:r>
        <w:rPr>
          <w:rFonts w:hint="eastAsia" w:ascii="宋体" w:hAnsi="宋体" w:eastAsia="宋体" w:cs="宋体"/>
          <w:color w:val="auto"/>
          <w:sz w:val="24"/>
          <w:szCs w:val="24"/>
          <w:highlight w:val="none"/>
        </w:rPr>
        <w:t>。</w:t>
      </w:r>
    </w:p>
    <w:p w14:paraId="0DCD0CE1">
      <w:pPr>
        <w:tabs>
          <w:tab w:val="left" w:pos="9000"/>
        </w:tabs>
        <w:spacing w:line="360" w:lineRule="auto"/>
        <w:rPr>
          <w:rFonts w:hint="eastAsia" w:ascii="宋体" w:hAnsi="宋体" w:cs="宋体"/>
          <w:color w:val="auto"/>
          <w:sz w:val="24"/>
          <w:szCs w:val="24"/>
          <w:highlight w:val="none"/>
        </w:rPr>
      </w:pPr>
      <w:r>
        <w:rPr>
          <w:rFonts w:hint="eastAsia" w:ascii="宋体" w:hAnsi="宋体" w:eastAsia="宋体" w:cs="宋体"/>
          <w:color w:val="auto"/>
          <w:sz w:val="24"/>
          <w:szCs w:val="24"/>
          <w:highlight w:val="none"/>
        </w:rPr>
        <w:t>3</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.2</w:t>
      </w:r>
      <w:r>
        <w:rPr>
          <w:rFonts w:hint="eastAsia" w:ascii="宋体" w:hAnsi="宋体" w:eastAsia="宋体" w:cs="宋体"/>
          <w:i w:val="0"/>
          <w:iCs w:val="0"/>
          <w:caps w:val="0"/>
          <w:color w:val="auto"/>
          <w:spacing w:val="0"/>
          <w:sz w:val="24"/>
          <w:szCs w:val="24"/>
          <w:highlight w:val="none"/>
          <w:shd w:val="clear" w:fill="FFFFFF"/>
        </w:rPr>
        <w:t>采购人和中标人所签订的合同不得对招标文件确定的事项和中标人投标文件</w:t>
      </w:r>
      <w:r>
        <w:rPr>
          <w:rFonts w:hint="default" w:ascii="Segoe UI" w:hAnsi="Segoe UI" w:eastAsia="Segoe UI" w:cs="Segoe UI"/>
          <w:i w:val="0"/>
          <w:iCs w:val="0"/>
          <w:caps w:val="0"/>
          <w:color w:val="auto"/>
          <w:spacing w:val="0"/>
          <w:sz w:val="24"/>
          <w:szCs w:val="24"/>
          <w:highlight w:val="none"/>
          <w:shd w:val="clear" w:fill="FFFFFF"/>
        </w:rPr>
        <w:t>作实质性修改</w:t>
      </w:r>
      <w:r>
        <w:rPr>
          <w:rFonts w:hint="eastAsia" w:ascii="宋体" w:hAnsi="宋体" w:cs="宋体"/>
          <w:color w:val="auto"/>
          <w:sz w:val="24"/>
          <w:szCs w:val="24"/>
          <w:highlight w:val="none"/>
        </w:rPr>
        <w:t>。</w:t>
      </w:r>
    </w:p>
    <w:p w14:paraId="068044E5">
      <w:pPr>
        <w:tabs>
          <w:tab w:val="left" w:pos="9000"/>
        </w:tabs>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3</w:t>
      </w:r>
      <w:r>
        <w:rPr>
          <w:rFonts w:hint="eastAsia" w:ascii="宋体" w:hAnsi="宋体" w:cs="宋体"/>
          <w:color w:val="auto"/>
          <w:sz w:val="24"/>
          <w:szCs w:val="24"/>
          <w:highlight w:val="none"/>
          <w:lang w:val="en-US" w:eastAsia="zh-CN"/>
        </w:rPr>
        <w:t>5</w:t>
      </w:r>
      <w:r>
        <w:rPr>
          <w:rFonts w:hint="eastAsia" w:ascii="宋体" w:hAnsi="宋体" w:cs="宋体"/>
          <w:color w:val="auto"/>
          <w:sz w:val="24"/>
          <w:szCs w:val="24"/>
          <w:highlight w:val="none"/>
        </w:rPr>
        <w:t>.3采购人不得向中标人提出任何不合理的要求作为签订合同的条件。</w:t>
      </w:r>
    </w:p>
    <w:p w14:paraId="4517425C">
      <w:pPr>
        <w:tabs>
          <w:tab w:val="left" w:pos="9000"/>
        </w:tabs>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3</w:t>
      </w:r>
      <w:r>
        <w:rPr>
          <w:rFonts w:hint="eastAsia" w:ascii="宋体" w:hAnsi="宋体" w:cs="宋体"/>
          <w:color w:val="auto"/>
          <w:sz w:val="24"/>
          <w:szCs w:val="24"/>
          <w:highlight w:val="none"/>
          <w:lang w:val="en-US" w:eastAsia="zh-CN"/>
        </w:rPr>
        <w:t>5</w:t>
      </w:r>
      <w:r>
        <w:rPr>
          <w:rFonts w:hint="eastAsia" w:ascii="宋体" w:hAnsi="宋体" w:cs="宋体"/>
          <w:color w:val="auto"/>
          <w:sz w:val="24"/>
          <w:szCs w:val="24"/>
          <w:highlight w:val="none"/>
        </w:rPr>
        <w:t>.4招标文件、中标人的投标文件及招标过程中有关澄清、承诺文件均应作为合同附件。</w:t>
      </w:r>
    </w:p>
    <w:p w14:paraId="13F1010D">
      <w:pPr>
        <w:tabs>
          <w:tab w:val="left" w:pos="9000"/>
        </w:tabs>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3</w:t>
      </w:r>
      <w:r>
        <w:rPr>
          <w:rFonts w:hint="eastAsia" w:ascii="宋体" w:hAnsi="宋体" w:cs="宋体"/>
          <w:color w:val="auto"/>
          <w:sz w:val="24"/>
          <w:szCs w:val="24"/>
          <w:highlight w:val="none"/>
          <w:lang w:val="en-US" w:eastAsia="zh-CN"/>
        </w:rPr>
        <w:t>5</w:t>
      </w:r>
      <w:r>
        <w:rPr>
          <w:rFonts w:hint="eastAsia" w:ascii="宋体" w:hAnsi="宋体" w:cs="宋体"/>
          <w:color w:val="auto"/>
          <w:sz w:val="24"/>
          <w:szCs w:val="24"/>
          <w:highlight w:val="none"/>
        </w:rPr>
        <w:t>.5政府采购合同履行中，采购人需追加与合同标的相同货物、工程或者服务的，在不改变合同其他条款的前提下，可以与中标人协商签订补充合同，但所有补充合同的采购金额不得超过原合同采购金额的10%。</w:t>
      </w:r>
    </w:p>
    <w:p w14:paraId="4949FCBE">
      <w:pPr>
        <w:tabs>
          <w:tab w:val="left" w:pos="9000"/>
        </w:tabs>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3</w:t>
      </w:r>
      <w:r>
        <w:rPr>
          <w:rFonts w:hint="eastAsia" w:ascii="宋体" w:hAnsi="宋体" w:cs="宋体"/>
          <w:color w:val="auto"/>
          <w:sz w:val="24"/>
          <w:szCs w:val="24"/>
          <w:highlight w:val="none"/>
          <w:lang w:val="en-US" w:eastAsia="zh-CN"/>
        </w:rPr>
        <w:t>5</w:t>
      </w:r>
      <w:r>
        <w:rPr>
          <w:rFonts w:hint="eastAsia" w:ascii="宋体" w:hAnsi="宋体" w:cs="宋体"/>
          <w:color w:val="auto"/>
          <w:sz w:val="24"/>
          <w:szCs w:val="24"/>
          <w:highlight w:val="none"/>
        </w:rPr>
        <w:t>.6采购人和中标人应当根据合同的约定依法履行合同义务。</w:t>
      </w:r>
    </w:p>
    <w:p w14:paraId="7C0072CA">
      <w:pPr>
        <w:tabs>
          <w:tab w:val="left" w:pos="9000"/>
        </w:tabs>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八、其他事项</w:t>
      </w:r>
    </w:p>
    <w:p w14:paraId="6515585E">
      <w:pPr>
        <w:spacing w:line="360" w:lineRule="auto"/>
        <w:jc w:val="left"/>
        <w:rPr>
          <w:rFonts w:ascii="宋体" w:hAnsi="宋体"/>
          <w:color w:val="auto"/>
          <w:sz w:val="24"/>
          <w:highlight w:val="none"/>
        </w:rPr>
      </w:pPr>
      <w:r>
        <w:rPr>
          <w:rFonts w:hint="eastAsia" w:ascii="宋体" w:hAnsi="宋体"/>
          <w:color w:val="auto"/>
          <w:sz w:val="24"/>
          <w:highlight w:val="none"/>
        </w:rPr>
        <w:t>3</w:t>
      </w:r>
      <w:r>
        <w:rPr>
          <w:rFonts w:hint="eastAsia" w:ascii="宋体" w:hAnsi="宋体"/>
          <w:color w:val="auto"/>
          <w:sz w:val="24"/>
          <w:highlight w:val="none"/>
          <w:lang w:val="en-US" w:eastAsia="zh-CN"/>
        </w:rPr>
        <w:t>6</w:t>
      </w:r>
      <w:r>
        <w:rPr>
          <w:rFonts w:hint="eastAsia" w:ascii="宋体" w:hAnsi="宋体"/>
          <w:color w:val="auto"/>
          <w:sz w:val="24"/>
          <w:highlight w:val="none"/>
        </w:rPr>
        <w:t>.中标人须按前附表的规定计算并支付中标服务费，该费用应在领取中标通知书时一次性付清，</w:t>
      </w:r>
      <w:r>
        <w:rPr>
          <w:rFonts w:hint="eastAsia" w:ascii="宋体" w:hAnsi="宋体"/>
          <w:color w:val="auto"/>
          <w:sz w:val="24"/>
          <w:highlight w:val="none"/>
          <w:lang w:val="en-US" w:eastAsia="zh-CN"/>
        </w:rPr>
        <w:t>若</w:t>
      </w:r>
      <w:r>
        <w:rPr>
          <w:rFonts w:hint="eastAsia" w:ascii="宋体" w:hAnsi="宋体"/>
          <w:color w:val="auto"/>
          <w:sz w:val="24"/>
          <w:highlight w:val="none"/>
        </w:rPr>
        <w:t>未按规定缴纳中标服务费，</w:t>
      </w:r>
      <w:r>
        <w:rPr>
          <w:rFonts w:hint="eastAsia" w:ascii="宋体" w:hAnsi="宋体"/>
          <w:color w:val="auto"/>
          <w:sz w:val="24"/>
          <w:highlight w:val="none"/>
          <w:lang w:val="en-US" w:eastAsia="zh-CN"/>
        </w:rPr>
        <w:t>招标</w:t>
      </w:r>
      <w:r>
        <w:rPr>
          <w:rFonts w:hint="eastAsia" w:ascii="宋体" w:hAnsi="宋体"/>
          <w:color w:val="auto"/>
          <w:sz w:val="24"/>
          <w:highlight w:val="none"/>
        </w:rPr>
        <w:t>代理机构保留诉讼的权利。</w:t>
      </w:r>
    </w:p>
    <w:p w14:paraId="6D2C62FB">
      <w:pPr>
        <w:spacing w:line="360" w:lineRule="auto"/>
        <w:rPr>
          <w:rFonts w:hint="eastAsia" w:ascii="宋体" w:hAnsi="宋体" w:cs="宋体"/>
          <w:color w:val="auto"/>
          <w:sz w:val="24"/>
          <w:highlight w:val="none"/>
        </w:rPr>
      </w:pPr>
      <w:r>
        <w:rPr>
          <w:rFonts w:hint="eastAsia" w:ascii="宋体" w:hAnsi="宋体" w:cs="宋体"/>
          <w:color w:val="auto"/>
          <w:sz w:val="24"/>
          <w:highlight w:val="none"/>
          <w:lang w:val="en-US" w:eastAsia="zh-CN"/>
        </w:rPr>
        <w:t>37.</w:t>
      </w:r>
      <w:r>
        <w:rPr>
          <w:rFonts w:hint="eastAsia" w:ascii="宋体" w:hAnsi="宋体" w:cs="宋体"/>
          <w:color w:val="auto"/>
          <w:sz w:val="24"/>
          <w:highlight w:val="none"/>
        </w:rPr>
        <w:t>缴纳代理服务费时，</w:t>
      </w:r>
      <w:r>
        <w:rPr>
          <w:rFonts w:hint="eastAsia" w:ascii="宋体" w:hAnsi="宋体" w:cs="宋体"/>
          <w:color w:val="auto"/>
          <w:sz w:val="24"/>
          <w:highlight w:val="none"/>
          <w:lang w:eastAsia="zh-CN"/>
        </w:rPr>
        <w:t>供应商</w:t>
      </w:r>
      <w:r>
        <w:rPr>
          <w:rFonts w:hint="eastAsia" w:ascii="宋体" w:hAnsi="宋体" w:cs="宋体"/>
          <w:color w:val="auto"/>
          <w:sz w:val="24"/>
          <w:highlight w:val="none"/>
          <w:lang w:val="en-US" w:eastAsia="zh-CN"/>
        </w:rPr>
        <w:t>须</w:t>
      </w:r>
      <w:r>
        <w:rPr>
          <w:rFonts w:hint="eastAsia" w:ascii="宋体" w:hAnsi="宋体" w:cs="宋体"/>
          <w:color w:val="auto"/>
          <w:sz w:val="24"/>
          <w:highlight w:val="none"/>
        </w:rPr>
        <w:t>将公司开票信息以word文档格式发送至邮箱：szsdzb@126.com【注：发票开出后一律不予退换。供应商须对所提供材料信息的真实性、准确性和完整性负责，因材料信息内容的差错缺漏等而导致的后果，由供应商自行承担。】</w:t>
      </w:r>
    </w:p>
    <w:p w14:paraId="577F7253">
      <w:pPr>
        <w:spacing w:line="360" w:lineRule="auto"/>
        <w:jc w:val="center"/>
        <w:rPr>
          <w:rFonts w:hint="eastAsia" w:ascii="宋体" w:hAnsi="宋体" w:cs="宋体"/>
          <w:color w:val="auto"/>
          <w:sz w:val="24"/>
          <w:highlight w:val="none"/>
        </w:rPr>
      </w:pPr>
      <w:r>
        <w:rPr>
          <w:rFonts w:hint="eastAsia" w:ascii="宋体" w:hAnsi="宋体" w:cs="宋体"/>
          <w:color w:val="auto"/>
          <w:sz w:val="24"/>
          <w:highlight w:val="none"/>
        </w:rPr>
        <w:t>开票信息</w:t>
      </w:r>
    </w:p>
    <w:tbl>
      <w:tblPr>
        <w:tblStyle w:val="33"/>
        <w:tblW w:w="6278" w:type="dxa"/>
        <w:jc w:val="center"/>
        <w:tblLayout w:type="fixed"/>
        <w:tblCellMar>
          <w:top w:w="0" w:type="dxa"/>
          <w:left w:w="108" w:type="dxa"/>
          <w:bottom w:w="0" w:type="dxa"/>
          <w:right w:w="108" w:type="dxa"/>
        </w:tblCellMar>
      </w:tblPr>
      <w:tblGrid>
        <w:gridCol w:w="2288"/>
        <w:gridCol w:w="3990"/>
      </w:tblGrid>
      <w:tr w14:paraId="57F74FA7">
        <w:tblPrEx>
          <w:tblCellMar>
            <w:top w:w="0" w:type="dxa"/>
            <w:left w:w="108" w:type="dxa"/>
            <w:bottom w:w="0" w:type="dxa"/>
            <w:right w:w="108" w:type="dxa"/>
          </w:tblCellMar>
        </w:tblPrEx>
        <w:trPr>
          <w:jc w:val="center"/>
        </w:trPr>
        <w:tc>
          <w:tcPr>
            <w:tcW w:w="2288" w:type="dxa"/>
            <w:tcBorders>
              <w:top w:val="single" w:color="000000" w:sz="4" w:space="0"/>
              <w:left w:val="single" w:color="000000" w:sz="4" w:space="0"/>
              <w:bottom w:val="single" w:color="000000" w:sz="4" w:space="0"/>
              <w:right w:val="single" w:color="000000" w:sz="4" w:space="0"/>
            </w:tcBorders>
            <w:noWrap w:val="0"/>
          </w:tcPr>
          <w:p w14:paraId="34CF84CB">
            <w:pPr>
              <w:spacing w:line="360" w:lineRule="auto"/>
              <w:rPr>
                <w:rFonts w:hint="eastAsia" w:ascii="宋体" w:hAnsi="宋体" w:cs="宋体"/>
                <w:color w:val="auto"/>
                <w:sz w:val="24"/>
                <w:highlight w:val="none"/>
              </w:rPr>
            </w:pPr>
            <w:r>
              <w:rPr>
                <w:rFonts w:hint="eastAsia" w:ascii="宋体" w:hAnsi="宋体" w:cs="宋体"/>
                <w:color w:val="auto"/>
                <w:sz w:val="24"/>
                <w:highlight w:val="none"/>
              </w:rPr>
              <w:t>报名单位公司名称</w:t>
            </w:r>
          </w:p>
        </w:tc>
        <w:tc>
          <w:tcPr>
            <w:tcW w:w="3990" w:type="dxa"/>
            <w:tcBorders>
              <w:top w:val="single" w:color="000000" w:sz="4" w:space="0"/>
              <w:left w:val="single" w:color="000000" w:sz="4" w:space="0"/>
              <w:bottom w:val="single" w:color="000000" w:sz="4" w:space="0"/>
              <w:right w:val="single" w:color="000000" w:sz="4" w:space="0"/>
            </w:tcBorders>
            <w:noWrap w:val="0"/>
          </w:tcPr>
          <w:p w14:paraId="43E4BBE8">
            <w:pPr>
              <w:spacing w:line="360" w:lineRule="auto"/>
              <w:rPr>
                <w:rFonts w:hint="eastAsia" w:ascii="宋体" w:hAnsi="宋体" w:cs="宋体"/>
                <w:color w:val="auto"/>
                <w:sz w:val="24"/>
                <w:highlight w:val="none"/>
              </w:rPr>
            </w:pPr>
          </w:p>
        </w:tc>
      </w:tr>
      <w:tr w14:paraId="56A5FE8E">
        <w:tblPrEx>
          <w:tblCellMar>
            <w:top w:w="0" w:type="dxa"/>
            <w:left w:w="108" w:type="dxa"/>
            <w:bottom w:w="0" w:type="dxa"/>
            <w:right w:w="108" w:type="dxa"/>
          </w:tblCellMar>
        </w:tblPrEx>
        <w:trPr>
          <w:jc w:val="center"/>
        </w:trPr>
        <w:tc>
          <w:tcPr>
            <w:tcW w:w="2288" w:type="dxa"/>
            <w:tcBorders>
              <w:top w:val="single" w:color="000000" w:sz="4" w:space="0"/>
              <w:left w:val="single" w:color="000000" w:sz="4" w:space="0"/>
              <w:bottom w:val="single" w:color="000000" w:sz="4" w:space="0"/>
              <w:right w:val="single" w:color="000000" w:sz="4" w:space="0"/>
            </w:tcBorders>
            <w:noWrap w:val="0"/>
          </w:tcPr>
          <w:p w14:paraId="60763878">
            <w:pPr>
              <w:spacing w:line="360" w:lineRule="auto"/>
              <w:rPr>
                <w:rFonts w:hint="eastAsia" w:ascii="宋体" w:hAnsi="宋体" w:cs="宋体"/>
                <w:color w:val="auto"/>
                <w:sz w:val="24"/>
                <w:highlight w:val="none"/>
              </w:rPr>
            </w:pPr>
            <w:r>
              <w:rPr>
                <w:rFonts w:hint="eastAsia" w:ascii="宋体" w:hAnsi="宋体" w:cs="宋体"/>
                <w:color w:val="auto"/>
                <w:sz w:val="24"/>
                <w:highlight w:val="none"/>
              </w:rPr>
              <w:t>地址</w:t>
            </w:r>
          </w:p>
        </w:tc>
        <w:tc>
          <w:tcPr>
            <w:tcW w:w="3990" w:type="dxa"/>
            <w:tcBorders>
              <w:top w:val="single" w:color="000000" w:sz="4" w:space="0"/>
              <w:left w:val="single" w:color="000000" w:sz="4" w:space="0"/>
              <w:bottom w:val="single" w:color="000000" w:sz="4" w:space="0"/>
              <w:right w:val="single" w:color="000000" w:sz="4" w:space="0"/>
            </w:tcBorders>
            <w:noWrap w:val="0"/>
          </w:tcPr>
          <w:p w14:paraId="65E7ACAC">
            <w:pPr>
              <w:spacing w:line="360" w:lineRule="auto"/>
              <w:rPr>
                <w:rFonts w:hint="eastAsia" w:ascii="宋体" w:hAnsi="宋体" w:cs="宋体"/>
                <w:color w:val="auto"/>
                <w:sz w:val="24"/>
                <w:highlight w:val="none"/>
              </w:rPr>
            </w:pPr>
          </w:p>
        </w:tc>
      </w:tr>
      <w:tr w14:paraId="430F08A8">
        <w:tblPrEx>
          <w:tblCellMar>
            <w:top w:w="0" w:type="dxa"/>
            <w:left w:w="108" w:type="dxa"/>
            <w:bottom w:w="0" w:type="dxa"/>
            <w:right w:w="108" w:type="dxa"/>
          </w:tblCellMar>
        </w:tblPrEx>
        <w:trPr>
          <w:jc w:val="center"/>
        </w:trPr>
        <w:tc>
          <w:tcPr>
            <w:tcW w:w="2288" w:type="dxa"/>
            <w:tcBorders>
              <w:top w:val="single" w:color="000000" w:sz="4" w:space="0"/>
              <w:left w:val="single" w:color="000000" w:sz="4" w:space="0"/>
              <w:bottom w:val="single" w:color="000000" w:sz="4" w:space="0"/>
              <w:right w:val="single" w:color="000000" w:sz="4" w:space="0"/>
            </w:tcBorders>
            <w:noWrap w:val="0"/>
          </w:tcPr>
          <w:p w14:paraId="7689C7F7">
            <w:pPr>
              <w:spacing w:line="360" w:lineRule="auto"/>
              <w:rPr>
                <w:rFonts w:hint="eastAsia" w:ascii="宋体" w:hAnsi="宋体" w:cs="宋体"/>
                <w:color w:val="auto"/>
                <w:sz w:val="24"/>
                <w:highlight w:val="none"/>
              </w:rPr>
            </w:pPr>
            <w:r>
              <w:rPr>
                <w:rFonts w:hint="eastAsia" w:ascii="宋体" w:hAnsi="宋体" w:cs="宋体"/>
                <w:color w:val="auto"/>
                <w:sz w:val="24"/>
                <w:highlight w:val="none"/>
              </w:rPr>
              <w:t>电话</w:t>
            </w:r>
          </w:p>
        </w:tc>
        <w:tc>
          <w:tcPr>
            <w:tcW w:w="3990" w:type="dxa"/>
            <w:tcBorders>
              <w:top w:val="single" w:color="000000" w:sz="4" w:space="0"/>
              <w:left w:val="single" w:color="000000" w:sz="4" w:space="0"/>
              <w:bottom w:val="single" w:color="000000" w:sz="4" w:space="0"/>
              <w:right w:val="single" w:color="000000" w:sz="4" w:space="0"/>
            </w:tcBorders>
            <w:noWrap w:val="0"/>
          </w:tcPr>
          <w:p w14:paraId="1329EA41">
            <w:pPr>
              <w:spacing w:line="360" w:lineRule="auto"/>
              <w:rPr>
                <w:rFonts w:hint="eastAsia" w:ascii="宋体" w:hAnsi="宋体" w:cs="宋体"/>
                <w:color w:val="auto"/>
                <w:sz w:val="24"/>
                <w:highlight w:val="none"/>
              </w:rPr>
            </w:pPr>
          </w:p>
        </w:tc>
      </w:tr>
      <w:tr w14:paraId="58BF29C3">
        <w:tblPrEx>
          <w:tblCellMar>
            <w:top w:w="0" w:type="dxa"/>
            <w:left w:w="108" w:type="dxa"/>
            <w:bottom w:w="0" w:type="dxa"/>
            <w:right w:w="108" w:type="dxa"/>
          </w:tblCellMar>
        </w:tblPrEx>
        <w:trPr>
          <w:jc w:val="center"/>
        </w:trPr>
        <w:tc>
          <w:tcPr>
            <w:tcW w:w="2288" w:type="dxa"/>
            <w:tcBorders>
              <w:top w:val="single" w:color="000000" w:sz="4" w:space="0"/>
              <w:left w:val="single" w:color="000000" w:sz="4" w:space="0"/>
              <w:bottom w:val="single" w:color="000000" w:sz="4" w:space="0"/>
              <w:right w:val="single" w:color="000000" w:sz="4" w:space="0"/>
            </w:tcBorders>
            <w:noWrap w:val="0"/>
          </w:tcPr>
          <w:p w14:paraId="5FB729D6">
            <w:pPr>
              <w:spacing w:line="360" w:lineRule="auto"/>
              <w:rPr>
                <w:rFonts w:hint="eastAsia" w:ascii="宋体" w:hAnsi="宋体" w:cs="宋体"/>
                <w:color w:val="auto"/>
                <w:sz w:val="24"/>
                <w:highlight w:val="none"/>
              </w:rPr>
            </w:pPr>
            <w:r>
              <w:rPr>
                <w:rFonts w:hint="eastAsia" w:ascii="宋体" w:hAnsi="宋体" w:cs="宋体"/>
                <w:color w:val="auto"/>
                <w:sz w:val="24"/>
                <w:highlight w:val="none"/>
              </w:rPr>
              <w:t>税号</w:t>
            </w:r>
          </w:p>
        </w:tc>
        <w:tc>
          <w:tcPr>
            <w:tcW w:w="3990" w:type="dxa"/>
            <w:tcBorders>
              <w:top w:val="single" w:color="000000" w:sz="4" w:space="0"/>
              <w:left w:val="single" w:color="000000" w:sz="4" w:space="0"/>
              <w:bottom w:val="single" w:color="000000" w:sz="4" w:space="0"/>
              <w:right w:val="single" w:color="000000" w:sz="4" w:space="0"/>
            </w:tcBorders>
            <w:noWrap w:val="0"/>
          </w:tcPr>
          <w:p w14:paraId="53B346BC">
            <w:pPr>
              <w:spacing w:line="360" w:lineRule="auto"/>
              <w:rPr>
                <w:rFonts w:hint="eastAsia" w:ascii="宋体" w:hAnsi="宋体" w:cs="宋体"/>
                <w:color w:val="auto"/>
                <w:sz w:val="24"/>
                <w:highlight w:val="none"/>
              </w:rPr>
            </w:pPr>
          </w:p>
        </w:tc>
      </w:tr>
      <w:tr w14:paraId="1286B813">
        <w:tblPrEx>
          <w:tblCellMar>
            <w:top w:w="0" w:type="dxa"/>
            <w:left w:w="108" w:type="dxa"/>
            <w:bottom w:w="0" w:type="dxa"/>
            <w:right w:w="108" w:type="dxa"/>
          </w:tblCellMar>
        </w:tblPrEx>
        <w:trPr>
          <w:jc w:val="center"/>
        </w:trPr>
        <w:tc>
          <w:tcPr>
            <w:tcW w:w="2288" w:type="dxa"/>
            <w:tcBorders>
              <w:top w:val="single" w:color="000000" w:sz="4" w:space="0"/>
              <w:left w:val="single" w:color="000000" w:sz="4" w:space="0"/>
              <w:bottom w:val="single" w:color="000000" w:sz="4" w:space="0"/>
              <w:right w:val="single" w:color="000000" w:sz="4" w:space="0"/>
            </w:tcBorders>
            <w:noWrap w:val="0"/>
          </w:tcPr>
          <w:p w14:paraId="44CBA964">
            <w:pPr>
              <w:spacing w:line="360" w:lineRule="auto"/>
              <w:rPr>
                <w:rFonts w:hint="eastAsia" w:ascii="宋体" w:hAnsi="宋体" w:cs="宋体"/>
                <w:color w:val="auto"/>
                <w:sz w:val="24"/>
                <w:highlight w:val="none"/>
              </w:rPr>
            </w:pPr>
            <w:r>
              <w:rPr>
                <w:rFonts w:hint="eastAsia" w:ascii="宋体" w:hAnsi="宋体" w:cs="宋体"/>
                <w:color w:val="auto"/>
                <w:sz w:val="24"/>
                <w:highlight w:val="none"/>
              </w:rPr>
              <w:t>开户行</w:t>
            </w:r>
          </w:p>
        </w:tc>
        <w:tc>
          <w:tcPr>
            <w:tcW w:w="3990" w:type="dxa"/>
            <w:tcBorders>
              <w:top w:val="single" w:color="000000" w:sz="4" w:space="0"/>
              <w:left w:val="single" w:color="000000" w:sz="4" w:space="0"/>
              <w:bottom w:val="single" w:color="000000" w:sz="4" w:space="0"/>
              <w:right w:val="single" w:color="000000" w:sz="4" w:space="0"/>
            </w:tcBorders>
            <w:noWrap w:val="0"/>
          </w:tcPr>
          <w:p w14:paraId="396377F6">
            <w:pPr>
              <w:spacing w:line="360" w:lineRule="auto"/>
              <w:rPr>
                <w:rFonts w:hint="eastAsia" w:ascii="宋体" w:hAnsi="宋体" w:cs="宋体"/>
                <w:color w:val="auto"/>
                <w:sz w:val="24"/>
                <w:highlight w:val="none"/>
              </w:rPr>
            </w:pPr>
          </w:p>
        </w:tc>
      </w:tr>
      <w:tr w14:paraId="56989EFE">
        <w:tblPrEx>
          <w:tblCellMar>
            <w:top w:w="0" w:type="dxa"/>
            <w:left w:w="108" w:type="dxa"/>
            <w:bottom w:w="0" w:type="dxa"/>
            <w:right w:w="108" w:type="dxa"/>
          </w:tblCellMar>
        </w:tblPrEx>
        <w:trPr>
          <w:jc w:val="center"/>
        </w:trPr>
        <w:tc>
          <w:tcPr>
            <w:tcW w:w="2288" w:type="dxa"/>
            <w:tcBorders>
              <w:top w:val="single" w:color="000000" w:sz="4" w:space="0"/>
              <w:left w:val="single" w:color="000000" w:sz="4" w:space="0"/>
              <w:bottom w:val="single" w:color="000000" w:sz="4" w:space="0"/>
              <w:right w:val="single" w:color="000000" w:sz="4" w:space="0"/>
            </w:tcBorders>
            <w:noWrap w:val="0"/>
          </w:tcPr>
          <w:p w14:paraId="393394C6">
            <w:pPr>
              <w:spacing w:line="360" w:lineRule="auto"/>
              <w:rPr>
                <w:rFonts w:hint="eastAsia" w:ascii="宋体" w:hAnsi="宋体" w:cs="宋体"/>
                <w:color w:val="auto"/>
                <w:sz w:val="24"/>
                <w:highlight w:val="none"/>
              </w:rPr>
            </w:pPr>
            <w:r>
              <w:rPr>
                <w:rFonts w:hint="eastAsia" w:ascii="宋体" w:hAnsi="宋体" w:cs="宋体"/>
                <w:color w:val="auto"/>
                <w:sz w:val="24"/>
                <w:highlight w:val="none"/>
              </w:rPr>
              <w:t>银行账号</w:t>
            </w:r>
          </w:p>
        </w:tc>
        <w:tc>
          <w:tcPr>
            <w:tcW w:w="3990" w:type="dxa"/>
            <w:tcBorders>
              <w:top w:val="single" w:color="000000" w:sz="4" w:space="0"/>
              <w:left w:val="single" w:color="000000" w:sz="4" w:space="0"/>
              <w:bottom w:val="single" w:color="000000" w:sz="4" w:space="0"/>
              <w:right w:val="single" w:color="000000" w:sz="4" w:space="0"/>
            </w:tcBorders>
            <w:noWrap w:val="0"/>
          </w:tcPr>
          <w:p w14:paraId="52FA59E3">
            <w:pPr>
              <w:spacing w:line="360" w:lineRule="auto"/>
              <w:rPr>
                <w:rFonts w:hint="eastAsia" w:ascii="宋体" w:hAnsi="宋体" w:cs="宋体"/>
                <w:color w:val="auto"/>
                <w:sz w:val="24"/>
                <w:highlight w:val="none"/>
              </w:rPr>
            </w:pPr>
          </w:p>
        </w:tc>
      </w:tr>
    </w:tbl>
    <w:p w14:paraId="37CFB029">
      <w:pPr>
        <w:spacing w:line="360" w:lineRule="auto"/>
        <w:rPr>
          <w:rFonts w:hint="eastAsia" w:ascii="宋体" w:hAnsi="宋体" w:cs="宋体"/>
          <w:color w:val="auto"/>
          <w:sz w:val="24"/>
          <w:szCs w:val="24"/>
          <w:highlight w:val="none"/>
        </w:rPr>
      </w:pPr>
      <w:r>
        <w:rPr>
          <w:rFonts w:hint="eastAsia" w:ascii="宋体" w:hAnsi="宋体"/>
          <w:color w:val="auto"/>
          <w:sz w:val="24"/>
          <w:highlight w:val="none"/>
        </w:rPr>
        <w:t>3</w:t>
      </w:r>
      <w:r>
        <w:rPr>
          <w:rFonts w:hint="eastAsia" w:ascii="宋体" w:hAnsi="宋体"/>
          <w:color w:val="auto"/>
          <w:sz w:val="24"/>
          <w:highlight w:val="none"/>
          <w:lang w:val="en-US" w:eastAsia="zh-CN"/>
        </w:rPr>
        <w:t>7</w:t>
      </w:r>
      <w:r>
        <w:rPr>
          <w:rFonts w:hint="eastAsia" w:ascii="宋体" w:hAnsi="宋体"/>
          <w:color w:val="auto"/>
          <w:sz w:val="24"/>
          <w:highlight w:val="none"/>
        </w:rPr>
        <w:t>.未尽事宜按《中华人民共和国政府采购法》及其他有关法律法规规定执行</w:t>
      </w:r>
      <w:r>
        <w:rPr>
          <w:rFonts w:hint="eastAsia" w:ascii="宋体" w:hAnsi="宋体" w:cs="宋体"/>
          <w:color w:val="auto"/>
          <w:sz w:val="24"/>
          <w:szCs w:val="24"/>
          <w:highlight w:val="none"/>
        </w:rPr>
        <w:t>。</w:t>
      </w:r>
    </w:p>
    <w:p w14:paraId="691F0E44">
      <w:pPr>
        <w:spacing w:line="360" w:lineRule="auto"/>
        <w:ind w:firstLine="1200"/>
        <w:outlineLvl w:val="0"/>
        <w:rPr>
          <w:rFonts w:hint="eastAsia" w:ascii="宋体" w:hAnsi="宋体" w:cs="宋体"/>
          <w:bCs/>
          <w:color w:val="auto"/>
          <w:sz w:val="24"/>
          <w:szCs w:val="24"/>
          <w:highlight w:val="none"/>
        </w:rPr>
        <w:sectPr>
          <w:footerReference r:id="rId6" w:type="default"/>
          <w:pgSz w:w="11906" w:h="16838"/>
          <w:pgMar w:top="1440" w:right="1486" w:bottom="1440" w:left="1800" w:header="851" w:footer="992" w:gutter="0"/>
          <w:cols w:space="1701" w:num="1"/>
          <w:docGrid w:linePitch="360" w:charSpace="0"/>
        </w:sectPr>
      </w:pPr>
    </w:p>
    <w:p w14:paraId="6F8D90E6">
      <w:pPr>
        <w:spacing w:before="240" w:after="60"/>
        <w:ind w:firstLine="2200"/>
        <w:outlineLvl w:val="0"/>
        <w:rPr>
          <w:rFonts w:hint="eastAsia" w:ascii="宋体" w:hAnsi="宋体" w:cs="宋体"/>
          <w:b/>
          <w:color w:val="auto"/>
          <w:sz w:val="44"/>
          <w:szCs w:val="44"/>
          <w:highlight w:val="none"/>
        </w:rPr>
      </w:pPr>
      <w:r>
        <w:rPr>
          <w:rFonts w:hint="eastAsia" w:ascii="宋体" w:hAnsi="宋体" w:cs="宋体"/>
          <w:bCs/>
          <w:color w:val="auto"/>
          <w:sz w:val="44"/>
          <w:szCs w:val="32"/>
          <w:highlight w:val="none"/>
        </w:rPr>
        <w:t>第三章 投标文件格式</w:t>
      </w:r>
    </w:p>
    <w:p w14:paraId="3669B184">
      <w:pPr>
        <w:spacing w:line="440" w:lineRule="exact"/>
        <w:rPr>
          <w:rFonts w:hint="eastAsia" w:ascii="宋体" w:hAnsi="宋体" w:cs="宋体"/>
          <w:color w:val="auto"/>
          <w:szCs w:val="21"/>
          <w:highlight w:val="none"/>
        </w:rPr>
      </w:pPr>
    </w:p>
    <w:p w14:paraId="493750C4">
      <w:pPr>
        <w:spacing w:line="440" w:lineRule="exact"/>
        <w:rPr>
          <w:rFonts w:hint="eastAsia" w:ascii="宋体" w:hAnsi="宋体" w:cs="宋体"/>
          <w:color w:val="auto"/>
          <w:sz w:val="24"/>
          <w:highlight w:val="none"/>
        </w:rPr>
      </w:pPr>
      <w:r>
        <w:rPr>
          <w:rFonts w:hint="eastAsia" w:ascii="宋体" w:hAnsi="宋体" w:cs="宋体"/>
          <w:color w:val="auto"/>
          <w:sz w:val="24"/>
          <w:highlight w:val="none"/>
        </w:rPr>
        <w:t>说明：</w:t>
      </w:r>
    </w:p>
    <w:p w14:paraId="0D064449">
      <w:pPr>
        <w:spacing w:line="440" w:lineRule="exact"/>
        <w:ind w:firstLine="435"/>
        <w:rPr>
          <w:rFonts w:hint="eastAsia" w:ascii="宋体" w:hAnsi="宋体" w:cs="宋体"/>
          <w:color w:val="auto"/>
          <w:sz w:val="24"/>
          <w:highlight w:val="none"/>
        </w:rPr>
      </w:pPr>
      <w:r>
        <w:rPr>
          <w:rFonts w:hint="eastAsia" w:ascii="宋体" w:hAnsi="宋体" w:cs="宋体"/>
          <w:color w:val="auto"/>
          <w:sz w:val="24"/>
          <w:highlight w:val="none"/>
        </w:rPr>
        <w:t>对本章所有的投标书格式，投标方可根据自身情况进行补充和修改，但补充和修改不得造成与本格式内容有实质性的违背。</w:t>
      </w:r>
    </w:p>
    <w:p w14:paraId="751F6BE4">
      <w:pPr>
        <w:jc w:val="left"/>
        <w:rPr>
          <w:rFonts w:hint="eastAsia" w:ascii="宋体" w:hAnsi="宋体" w:cs="宋体"/>
          <w:color w:val="auto"/>
          <w:sz w:val="24"/>
          <w:highlight w:val="none"/>
        </w:rPr>
      </w:pPr>
    </w:p>
    <w:p w14:paraId="55583818">
      <w:pPr>
        <w:jc w:val="left"/>
        <w:rPr>
          <w:rFonts w:hint="eastAsia" w:ascii="宋体" w:hAnsi="宋体" w:cs="宋体"/>
          <w:color w:val="auto"/>
          <w:sz w:val="24"/>
          <w:highlight w:val="none"/>
        </w:rPr>
      </w:pPr>
    </w:p>
    <w:p w14:paraId="32350DF8">
      <w:pPr>
        <w:jc w:val="left"/>
        <w:rPr>
          <w:rFonts w:hint="eastAsia" w:ascii="宋体" w:hAnsi="宋体" w:cs="宋体"/>
          <w:color w:val="auto"/>
          <w:sz w:val="24"/>
          <w:highlight w:val="none"/>
        </w:rPr>
      </w:pPr>
    </w:p>
    <w:p w14:paraId="05059D83">
      <w:pPr>
        <w:jc w:val="left"/>
        <w:rPr>
          <w:rFonts w:hint="eastAsia" w:ascii="宋体" w:hAnsi="宋体" w:cs="宋体"/>
          <w:color w:val="auto"/>
          <w:sz w:val="24"/>
          <w:highlight w:val="none"/>
        </w:rPr>
      </w:pPr>
    </w:p>
    <w:p w14:paraId="1BFA0FA7">
      <w:pPr>
        <w:jc w:val="left"/>
        <w:rPr>
          <w:rFonts w:hint="eastAsia" w:ascii="宋体" w:hAnsi="宋体" w:cs="宋体"/>
          <w:color w:val="auto"/>
          <w:sz w:val="24"/>
          <w:highlight w:val="none"/>
        </w:rPr>
      </w:pPr>
    </w:p>
    <w:p w14:paraId="051956FE">
      <w:pPr>
        <w:jc w:val="left"/>
        <w:rPr>
          <w:rFonts w:hint="eastAsia" w:ascii="宋体" w:hAnsi="宋体" w:cs="宋体"/>
          <w:color w:val="auto"/>
          <w:sz w:val="24"/>
          <w:highlight w:val="none"/>
        </w:rPr>
      </w:pPr>
    </w:p>
    <w:p w14:paraId="662E3DA7">
      <w:pPr>
        <w:spacing w:line="360" w:lineRule="auto"/>
        <w:jc w:val="left"/>
        <w:rPr>
          <w:rFonts w:hint="eastAsia" w:ascii="宋体" w:hAnsi="宋体" w:cs="宋体"/>
          <w:color w:val="auto"/>
          <w:sz w:val="28"/>
          <w:szCs w:val="28"/>
          <w:highlight w:val="none"/>
        </w:rPr>
      </w:pPr>
      <w:r>
        <w:rPr>
          <w:rFonts w:hint="eastAsia" w:ascii="宋体" w:hAnsi="宋体" w:cs="宋体"/>
          <w:color w:val="auto"/>
          <w:sz w:val="28"/>
          <w:szCs w:val="28"/>
          <w:highlight w:val="none"/>
        </w:rPr>
        <w:t>1、（投标方）法定代表人授权委托书</w:t>
      </w:r>
    </w:p>
    <w:p w14:paraId="70CC9EA2">
      <w:pPr>
        <w:jc w:val="left"/>
        <w:rPr>
          <w:rFonts w:hint="eastAsia" w:ascii="宋体" w:hAnsi="宋体" w:cs="宋体"/>
          <w:color w:val="auto"/>
          <w:sz w:val="24"/>
          <w:highlight w:val="none"/>
        </w:rPr>
      </w:pPr>
    </w:p>
    <w:p w14:paraId="154A909A">
      <w:pPr>
        <w:spacing w:line="400" w:lineRule="exact"/>
        <w:rPr>
          <w:rFonts w:hint="eastAsia" w:ascii="宋体" w:hAnsi="宋体" w:cs="宋体"/>
          <w:color w:val="auto"/>
          <w:sz w:val="24"/>
          <w:highlight w:val="none"/>
        </w:rPr>
      </w:pPr>
    </w:p>
    <w:p w14:paraId="5064A5FD">
      <w:pPr>
        <w:spacing w:line="400" w:lineRule="exact"/>
        <w:jc w:val="center"/>
        <w:rPr>
          <w:rFonts w:hint="eastAsia" w:ascii="宋体" w:hAnsi="宋体" w:cs="宋体"/>
          <w:color w:val="auto"/>
          <w:sz w:val="24"/>
          <w:highlight w:val="none"/>
        </w:rPr>
      </w:pPr>
      <w:r>
        <w:rPr>
          <w:rFonts w:hint="eastAsia" w:ascii="宋体" w:hAnsi="宋体" w:cs="宋体"/>
          <w:color w:val="auto"/>
          <w:sz w:val="24"/>
          <w:highlight w:val="none"/>
        </w:rPr>
        <w:t>授权委托书</w:t>
      </w:r>
    </w:p>
    <w:p w14:paraId="0D3AC8E3">
      <w:pPr>
        <w:spacing w:line="360" w:lineRule="auto"/>
        <w:ind w:firstLine="420"/>
        <w:jc w:val="left"/>
        <w:rPr>
          <w:rFonts w:hint="eastAsia" w:ascii="宋体" w:hAnsi="宋体" w:cs="宋体"/>
          <w:color w:val="auto"/>
          <w:sz w:val="24"/>
          <w:highlight w:val="none"/>
        </w:rPr>
      </w:pPr>
    </w:p>
    <w:p w14:paraId="4D2359F7">
      <w:pPr>
        <w:spacing w:line="360" w:lineRule="auto"/>
        <w:ind w:firstLine="420"/>
        <w:jc w:val="left"/>
        <w:rPr>
          <w:rFonts w:hint="eastAsia" w:ascii="宋体" w:hAnsi="宋体" w:cs="宋体"/>
          <w:color w:val="auto"/>
          <w:sz w:val="24"/>
          <w:highlight w:val="none"/>
        </w:rPr>
      </w:pPr>
      <w:r>
        <w:rPr>
          <w:rFonts w:hint="eastAsia" w:ascii="宋体" w:hAnsi="宋体" w:cs="宋体"/>
          <w:color w:val="auto"/>
          <w:sz w:val="24"/>
          <w:highlight w:val="none"/>
        </w:rPr>
        <w:t>本授权委托书声明：我</w:t>
      </w:r>
      <w:r>
        <w:rPr>
          <w:rFonts w:hint="eastAsia" w:ascii="宋体" w:hAnsi="宋体" w:cs="宋体"/>
          <w:color w:val="auto"/>
          <w:sz w:val="24"/>
          <w:highlight w:val="none"/>
          <w:u w:val="single"/>
        </w:rPr>
        <w:t xml:space="preserve">  （姓名）</w:t>
      </w:r>
      <w:r>
        <w:rPr>
          <w:rFonts w:hint="eastAsia" w:ascii="宋体" w:hAnsi="宋体" w:cs="宋体"/>
          <w:color w:val="auto"/>
          <w:sz w:val="24"/>
          <w:highlight w:val="none"/>
        </w:rPr>
        <w:t>系</w:t>
      </w:r>
      <w:r>
        <w:rPr>
          <w:rFonts w:hint="eastAsia" w:ascii="宋体" w:hAnsi="宋体" w:cs="宋体"/>
          <w:color w:val="auto"/>
          <w:sz w:val="24"/>
          <w:highlight w:val="none"/>
          <w:u w:val="single"/>
        </w:rPr>
        <w:t xml:space="preserve">  （投标单位名称）  </w:t>
      </w:r>
      <w:r>
        <w:rPr>
          <w:rFonts w:hint="eastAsia" w:ascii="宋体" w:hAnsi="宋体" w:cs="宋体"/>
          <w:color w:val="auto"/>
          <w:sz w:val="24"/>
          <w:highlight w:val="none"/>
        </w:rPr>
        <w:t>的法定代表人，现授权委托</w:t>
      </w:r>
      <w:r>
        <w:rPr>
          <w:rFonts w:hint="eastAsia" w:ascii="宋体" w:hAnsi="宋体" w:cs="宋体"/>
          <w:color w:val="auto"/>
          <w:sz w:val="24"/>
          <w:highlight w:val="none"/>
          <w:u w:val="single"/>
        </w:rPr>
        <w:t xml:space="preserve">  （单位名称）  </w:t>
      </w:r>
      <w:r>
        <w:rPr>
          <w:rFonts w:hint="eastAsia" w:ascii="宋体" w:hAnsi="宋体" w:cs="宋体"/>
          <w:color w:val="auto"/>
          <w:sz w:val="24"/>
          <w:highlight w:val="none"/>
        </w:rPr>
        <w:t>的</w:t>
      </w:r>
      <w:r>
        <w:rPr>
          <w:rFonts w:hint="eastAsia" w:ascii="宋体" w:hAnsi="宋体" w:cs="宋体"/>
          <w:color w:val="auto"/>
          <w:sz w:val="24"/>
          <w:highlight w:val="none"/>
          <w:u w:val="single"/>
        </w:rPr>
        <w:t xml:space="preserve">  （姓名）  </w:t>
      </w:r>
      <w:r>
        <w:rPr>
          <w:rFonts w:hint="eastAsia" w:ascii="宋体" w:hAnsi="宋体" w:cs="宋体"/>
          <w:color w:val="auto"/>
          <w:sz w:val="24"/>
          <w:highlight w:val="none"/>
        </w:rPr>
        <w:t>为我公司被授权人，以本公司的名义参加苏州时代招投标有限公司组织实施的编号为</w:t>
      </w:r>
      <w:r>
        <w:rPr>
          <w:rFonts w:hint="eastAsia" w:ascii="宋体" w:hAnsi="宋体" w:cs="宋体"/>
          <w:color w:val="auto"/>
          <w:sz w:val="24"/>
          <w:highlight w:val="none"/>
          <w:u w:val="single"/>
        </w:rPr>
        <w:t xml:space="preserve">  （招标编号）  </w:t>
      </w:r>
      <w:r>
        <w:rPr>
          <w:rFonts w:hint="eastAsia" w:ascii="宋体" w:hAnsi="宋体" w:cs="宋体"/>
          <w:color w:val="auto"/>
          <w:sz w:val="24"/>
          <w:highlight w:val="none"/>
        </w:rPr>
        <w:t>号的招标活动。被授权人在开标、评标、合同谈判过程中所签署的一切文件和处理与此有关的一切事务，我均予以承认。</w:t>
      </w:r>
    </w:p>
    <w:p w14:paraId="6A637B3E">
      <w:pPr>
        <w:spacing w:line="360" w:lineRule="auto"/>
        <w:ind w:firstLine="420"/>
        <w:jc w:val="left"/>
        <w:rPr>
          <w:rFonts w:hint="eastAsia" w:ascii="宋体" w:hAnsi="宋体" w:cs="宋体"/>
          <w:color w:val="auto"/>
          <w:sz w:val="24"/>
          <w:highlight w:val="none"/>
        </w:rPr>
      </w:pPr>
      <w:r>
        <w:rPr>
          <w:rFonts w:hint="eastAsia" w:ascii="宋体" w:hAnsi="宋体" w:cs="宋体"/>
          <w:color w:val="auto"/>
          <w:sz w:val="24"/>
          <w:highlight w:val="none"/>
        </w:rPr>
        <w:t>被授权人在授权委托书有效期内签署的所有文件不因授权委托的撤销而失效，除非有撤销授权委托的书面通知，本授权委托书自投标开始至合同履行完毕止。</w:t>
      </w:r>
    </w:p>
    <w:p w14:paraId="725CF399">
      <w:pPr>
        <w:spacing w:line="360" w:lineRule="auto"/>
        <w:ind w:firstLine="420"/>
        <w:jc w:val="left"/>
        <w:rPr>
          <w:rFonts w:hint="eastAsia" w:ascii="宋体" w:hAnsi="宋体" w:cs="宋体"/>
          <w:color w:val="auto"/>
          <w:sz w:val="24"/>
          <w:highlight w:val="none"/>
        </w:rPr>
      </w:pPr>
      <w:r>
        <w:rPr>
          <w:rFonts w:hint="eastAsia" w:ascii="宋体" w:hAnsi="宋体" w:cs="宋体"/>
          <w:color w:val="auto"/>
          <w:sz w:val="24"/>
          <w:highlight w:val="none"/>
        </w:rPr>
        <w:t>被授权人无转委托权。特此委托。</w:t>
      </w:r>
    </w:p>
    <w:p w14:paraId="3CD2B094">
      <w:pPr>
        <w:spacing w:line="360" w:lineRule="auto"/>
        <w:ind w:firstLine="420"/>
        <w:jc w:val="left"/>
        <w:rPr>
          <w:rFonts w:hint="eastAsia" w:ascii="宋体" w:hAnsi="宋体" w:cs="宋体"/>
          <w:color w:val="auto"/>
          <w:sz w:val="24"/>
          <w:highlight w:val="none"/>
        </w:rPr>
      </w:pPr>
    </w:p>
    <w:p w14:paraId="2CC55F4C">
      <w:pPr>
        <w:spacing w:line="360" w:lineRule="auto"/>
        <w:ind w:firstLine="420"/>
        <w:jc w:val="left"/>
        <w:rPr>
          <w:rFonts w:hint="eastAsia" w:ascii="宋体" w:hAnsi="宋体" w:cs="宋体"/>
          <w:color w:val="auto"/>
          <w:sz w:val="24"/>
          <w:highlight w:val="none"/>
        </w:rPr>
      </w:pPr>
      <w:r>
        <w:rPr>
          <w:rFonts w:hint="eastAsia" w:ascii="宋体" w:hAnsi="宋体" w:cs="宋体"/>
          <w:color w:val="auto"/>
          <w:sz w:val="24"/>
          <w:highlight w:val="none"/>
        </w:rPr>
        <w:t>投标单位：（盖章）</w:t>
      </w:r>
    </w:p>
    <w:p w14:paraId="2639ED61">
      <w:pPr>
        <w:spacing w:line="360" w:lineRule="auto"/>
        <w:ind w:firstLine="420"/>
        <w:jc w:val="left"/>
        <w:rPr>
          <w:rFonts w:hint="eastAsia" w:ascii="宋体" w:hAnsi="宋体" w:cs="宋体"/>
          <w:color w:val="auto"/>
          <w:sz w:val="24"/>
          <w:highlight w:val="none"/>
        </w:rPr>
      </w:pPr>
      <w:r>
        <w:rPr>
          <w:rFonts w:hint="eastAsia" w:ascii="宋体" w:hAnsi="宋体" w:cs="宋体"/>
          <w:color w:val="auto"/>
          <w:sz w:val="24"/>
          <w:highlight w:val="none"/>
        </w:rPr>
        <w:t>法定代表人：（签字或盖章）</w:t>
      </w:r>
    </w:p>
    <w:p w14:paraId="0E927811">
      <w:pPr>
        <w:spacing w:line="360" w:lineRule="auto"/>
        <w:ind w:firstLine="420"/>
        <w:jc w:val="left"/>
        <w:rPr>
          <w:rFonts w:hint="eastAsia" w:ascii="宋体" w:hAnsi="宋体" w:cs="宋体"/>
          <w:color w:val="auto"/>
          <w:sz w:val="24"/>
          <w:highlight w:val="none"/>
        </w:rPr>
      </w:pPr>
      <w:r>
        <w:rPr>
          <w:rFonts w:hint="eastAsia" w:ascii="宋体" w:hAnsi="宋体" w:cs="宋体"/>
          <w:color w:val="auto"/>
          <w:sz w:val="24"/>
          <w:highlight w:val="none"/>
        </w:rPr>
        <w:t>被授权人：（签字）</w:t>
      </w:r>
    </w:p>
    <w:p w14:paraId="3C836DC3">
      <w:pPr>
        <w:ind w:firstLine="420"/>
        <w:jc w:val="right"/>
        <w:rPr>
          <w:rFonts w:hint="eastAsia" w:ascii="宋体" w:hAnsi="宋体" w:cs="宋体"/>
          <w:color w:val="auto"/>
          <w:sz w:val="24"/>
          <w:highlight w:val="none"/>
        </w:rPr>
      </w:pPr>
    </w:p>
    <w:p w14:paraId="52F01E52">
      <w:pPr>
        <w:ind w:firstLine="420"/>
        <w:jc w:val="left"/>
        <w:rPr>
          <w:rFonts w:hint="eastAsia" w:ascii="宋体" w:hAnsi="宋体" w:cs="宋体"/>
          <w:color w:val="auto"/>
          <w:sz w:val="24"/>
          <w:highlight w:val="none"/>
        </w:rPr>
      </w:pPr>
      <w:r>
        <w:rPr>
          <w:rFonts w:hint="eastAsia" w:ascii="宋体" w:hAnsi="宋体" w:cs="宋体"/>
          <w:color w:val="auto"/>
          <w:sz w:val="24"/>
          <w:highlight w:val="none"/>
        </w:rPr>
        <w:t>日期：    年     月     日</w:t>
      </w:r>
    </w:p>
    <w:p w14:paraId="7A059AAA">
      <w:pPr>
        <w:spacing w:line="360" w:lineRule="auto"/>
        <w:jc w:val="left"/>
        <w:rPr>
          <w:rFonts w:hint="eastAsia" w:ascii="宋体" w:hAnsi="宋体" w:cs="宋体"/>
          <w:color w:val="auto"/>
          <w:sz w:val="28"/>
          <w:szCs w:val="28"/>
          <w:highlight w:val="none"/>
        </w:rPr>
      </w:pPr>
      <w:r>
        <w:rPr>
          <w:rFonts w:hint="eastAsia" w:ascii="宋体" w:hAnsi="宋体" w:cs="宋体"/>
          <w:color w:val="auto"/>
          <w:sz w:val="24"/>
          <w:szCs w:val="20"/>
          <w:highlight w:val="none"/>
        </w:rPr>
        <w:br w:type="page" w:clear="all"/>
      </w:r>
      <w:r>
        <w:rPr>
          <w:rFonts w:hint="eastAsia" w:ascii="宋体" w:hAnsi="宋体" w:cs="宋体"/>
          <w:color w:val="auto"/>
          <w:sz w:val="28"/>
          <w:szCs w:val="28"/>
          <w:highlight w:val="none"/>
        </w:rPr>
        <w:t>2、投标函</w:t>
      </w:r>
    </w:p>
    <w:p w14:paraId="1D8E0961">
      <w:pPr>
        <w:spacing w:line="360" w:lineRule="auto"/>
        <w:jc w:val="center"/>
        <w:rPr>
          <w:rFonts w:hint="eastAsia" w:ascii="宋体" w:hAnsi="宋体" w:cs="宋体"/>
          <w:color w:val="auto"/>
          <w:sz w:val="28"/>
          <w:szCs w:val="28"/>
          <w:highlight w:val="none"/>
        </w:rPr>
      </w:pPr>
      <w:r>
        <w:rPr>
          <w:rFonts w:hint="eastAsia" w:ascii="宋体" w:hAnsi="宋体" w:cs="宋体"/>
          <w:color w:val="auto"/>
          <w:sz w:val="28"/>
          <w:szCs w:val="28"/>
          <w:highlight w:val="none"/>
        </w:rPr>
        <w:t>投标函</w:t>
      </w:r>
    </w:p>
    <w:p w14:paraId="0E4E9AF6">
      <w:pPr>
        <w:spacing w:line="400" w:lineRule="exact"/>
        <w:rPr>
          <w:rFonts w:hint="eastAsia" w:ascii="宋体" w:hAnsi="宋体" w:cs="宋体"/>
          <w:color w:val="auto"/>
          <w:sz w:val="24"/>
          <w:highlight w:val="none"/>
        </w:rPr>
      </w:pPr>
      <w:r>
        <w:rPr>
          <w:rFonts w:hint="eastAsia" w:ascii="宋体" w:hAnsi="宋体" w:cs="宋体"/>
          <w:color w:val="auto"/>
          <w:sz w:val="24"/>
          <w:highlight w:val="none"/>
          <w:u w:val="single"/>
        </w:rPr>
        <w:t xml:space="preserve"> 苏州时代招投标有限公司 </w:t>
      </w:r>
      <w:r>
        <w:rPr>
          <w:rFonts w:hint="eastAsia" w:ascii="宋体" w:hAnsi="宋体" w:cs="宋体"/>
          <w:color w:val="auto"/>
          <w:sz w:val="24"/>
          <w:highlight w:val="none"/>
        </w:rPr>
        <w:t>：</w:t>
      </w:r>
    </w:p>
    <w:p w14:paraId="011DED5D">
      <w:pPr>
        <w:spacing w:line="400" w:lineRule="exact"/>
        <w:rPr>
          <w:rFonts w:hint="eastAsia" w:ascii="宋体" w:hAnsi="宋体" w:cs="宋体"/>
          <w:color w:val="auto"/>
          <w:sz w:val="24"/>
          <w:highlight w:val="none"/>
        </w:rPr>
      </w:pPr>
      <w:r>
        <w:rPr>
          <w:rFonts w:hint="eastAsia" w:ascii="宋体" w:hAnsi="宋体" w:cs="宋体"/>
          <w:color w:val="auto"/>
          <w:sz w:val="24"/>
          <w:highlight w:val="none"/>
        </w:rPr>
        <w:t xml:space="preserve">    我们收到贵公司</w:t>
      </w:r>
      <w:r>
        <w:rPr>
          <w:rFonts w:hint="eastAsia" w:ascii="宋体" w:hAnsi="宋体" w:cs="宋体"/>
          <w:color w:val="auto"/>
          <w:sz w:val="24"/>
          <w:highlight w:val="none"/>
          <w:u w:val="single"/>
        </w:rPr>
        <w:t>（招标编号）</w:t>
      </w:r>
      <w:r>
        <w:rPr>
          <w:rFonts w:hint="eastAsia" w:ascii="宋体" w:hAnsi="宋体" w:cs="宋体"/>
          <w:color w:val="auto"/>
          <w:sz w:val="24"/>
          <w:highlight w:val="none"/>
        </w:rPr>
        <w:t>号招标文件，经仔细阅读和研究，我们同意招标文件中各款要求并决定参加投标。</w:t>
      </w:r>
    </w:p>
    <w:p w14:paraId="137E576A">
      <w:pPr>
        <w:spacing w:line="400" w:lineRule="exact"/>
        <w:ind w:firstLine="480"/>
        <w:rPr>
          <w:rFonts w:hint="eastAsia" w:ascii="宋体" w:hAnsi="宋体" w:cs="宋体"/>
          <w:color w:val="auto"/>
          <w:sz w:val="24"/>
          <w:highlight w:val="none"/>
        </w:rPr>
      </w:pPr>
      <w:r>
        <w:rPr>
          <w:rFonts w:hint="eastAsia" w:ascii="宋体" w:hAnsi="宋体" w:cs="宋体"/>
          <w:color w:val="auto"/>
          <w:sz w:val="24"/>
          <w:highlight w:val="none"/>
        </w:rPr>
        <w:t>1、我们愿意按照招标文件的一切要求，提供包括招标书中要求的</w:t>
      </w:r>
      <w:r>
        <w:rPr>
          <w:rFonts w:hint="eastAsia" w:ascii="宋体" w:hAnsi="宋体" w:cs="宋体"/>
          <w:color w:val="auto"/>
          <w:sz w:val="24"/>
          <w:highlight w:val="none"/>
          <w:u w:val="single"/>
        </w:rPr>
        <w:t>（项目名称）</w:t>
      </w:r>
      <w:r>
        <w:rPr>
          <w:rFonts w:hint="eastAsia" w:ascii="宋体" w:hAnsi="宋体" w:cs="宋体"/>
          <w:color w:val="auto"/>
          <w:sz w:val="24"/>
          <w:highlight w:val="none"/>
        </w:rPr>
        <w:t>全部项目的所有费用。</w:t>
      </w:r>
    </w:p>
    <w:p w14:paraId="0F7FD9F4">
      <w:pPr>
        <w:spacing w:line="400" w:lineRule="exact"/>
        <w:rPr>
          <w:rFonts w:hint="eastAsia" w:ascii="宋体" w:hAnsi="宋体" w:cs="宋体"/>
          <w:color w:val="auto"/>
          <w:sz w:val="24"/>
          <w:highlight w:val="none"/>
        </w:rPr>
      </w:pPr>
      <w:r>
        <w:rPr>
          <w:rFonts w:hint="eastAsia" w:ascii="宋体" w:hAnsi="宋体" w:cs="宋体"/>
          <w:color w:val="auto"/>
          <w:sz w:val="24"/>
          <w:highlight w:val="none"/>
        </w:rPr>
        <w:t xml:space="preserve">    2、如果我们的投标书被接受，我们将严格履行招标文件中规定的每一项要求，按期、按质、按量履行合同的义务。</w:t>
      </w:r>
    </w:p>
    <w:p w14:paraId="74C54306">
      <w:pPr>
        <w:spacing w:line="400" w:lineRule="exact"/>
        <w:ind w:firstLine="480"/>
        <w:rPr>
          <w:rFonts w:hint="eastAsia" w:ascii="宋体" w:hAnsi="宋体" w:cs="宋体"/>
          <w:color w:val="auto"/>
          <w:sz w:val="24"/>
          <w:highlight w:val="none"/>
        </w:rPr>
      </w:pPr>
      <w:r>
        <w:rPr>
          <w:rFonts w:hint="eastAsia" w:ascii="宋体" w:hAnsi="宋体" w:cs="宋体"/>
          <w:color w:val="auto"/>
          <w:sz w:val="24"/>
          <w:highlight w:val="none"/>
        </w:rPr>
        <w:t>3、我们已详细审查并同意招标文件及更正文件（如有）中的规定。我们完全理解并同意放弃对这方面有不明及误解的权力。</w:t>
      </w:r>
    </w:p>
    <w:p w14:paraId="27DAC80D">
      <w:pPr>
        <w:spacing w:line="400" w:lineRule="exact"/>
        <w:ind w:firstLine="480"/>
        <w:rPr>
          <w:rFonts w:hint="eastAsia" w:ascii="宋体" w:hAnsi="宋体" w:cs="宋体"/>
          <w:color w:val="auto"/>
          <w:sz w:val="24"/>
          <w:highlight w:val="none"/>
        </w:rPr>
      </w:pPr>
      <w:r>
        <w:rPr>
          <w:rFonts w:hint="eastAsia" w:ascii="宋体" w:hAnsi="宋体" w:cs="宋体"/>
          <w:color w:val="auto"/>
          <w:sz w:val="24"/>
          <w:highlight w:val="none"/>
        </w:rPr>
        <w:t>4、我们同意按招标文件中的规定，本投标书的有效期限为投标截止日起</w:t>
      </w:r>
      <w:r>
        <w:rPr>
          <w:rFonts w:hint="eastAsia" w:ascii="宋体" w:hAnsi="宋体" w:cs="宋体"/>
          <w:color w:val="auto"/>
          <w:sz w:val="24"/>
          <w:highlight w:val="none"/>
          <w:u w:val="single"/>
          <w:lang w:val="en-US" w:eastAsia="zh-CN"/>
        </w:rPr>
        <w:t>九</w:t>
      </w:r>
      <w:r>
        <w:rPr>
          <w:rFonts w:hint="eastAsia" w:ascii="宋体" w:hAnsi="宋体" w:cs="宋体"/>
          <w:color w:val="auto"/>
          <w:sz w:val="24"/>
          <w:highlight w:val="none"/>
          <w:u w:val="single"/>
        </w:rPr>
        <w:t>十天</w:t>
      </w:r>
      <w:r>
        <w:rPr>
          <w:rFonts w:hint="eastAsia" w:ascii="宋体" w:hAnsi="宋体" w:cs="宋体"/>
          <w:color w:val="auto"/>
          <w:sz w:val="24"/>
          <w:highlight w:val="none"/>
        </w:rPr>
        <w:t>。</w:t>
      </w:r>
    </w:p>
    <w:p w14:paraId="469DC2A5">
      <w:pPr>
        <w:spacing w:line="400" w:lineRule="exact"/>
        <w:ind w:firstLine="480"/>
        <w:rPr>
          <w:rFonts w:hint="eastAsia" w:ascii="宋体" w:hAnsi="宋体" w:cs="宋体"/>
          <w:color w:val="auto"/>
          <w:sz w:val="24"/>
          <w:highlight w:val="none"/>
        </w:rPr>
      </w:pPr>
      <w:r>
        <w:rPr>
          <w:rFonts w:hint="eastAsia" w:ascii="宋体" w:hAnsi="宋体" w:cs="宋体"/>
          <w:color w:val="auto"/>
          <w:sz w:val="24"/>
          <w:highlight w:val="none"/>
        </w:rPr>
        <w:t>5、我们愿意提供采购人或采购代理机构在招标文件中要求的所有资料。</w:t>
      </w:r>
    </w:p>
    <w:p w14:paraId="340C8A68">
      <w:pPr>
        <w:spacing w:line="400" w:lineRule="exact"/>
        <w:ind w:firstLine="480"/>
        <w:rPr>
          <w:rFonts w:hint="eastAsia" w:ascii="宋体" w:hAnsi="宋体" w:cs="宋体"/>
          <w:color w:val="auto"/>
          <w:sz w:val="24"/>
          <w:highlight w:val="none"/>
        </w:rPr>
      </w:pPr>
      <w:r>
        <w:rPr>
          <w:rFonts w:hint="eastAsia" w:ascii="宋体" w:hAnsi="宋体" w:cs="宋体"/>
          <w:color w:val="auto"/>
          <w:sz w:val="24"/>
          <w:highlight w:val="none"/>
        </w:rPr>
        <w:t>6、我们声明：我们在参加本次政府采购活动前3年内在经营活动中没有重大违法记录。</w:t>
      </w:r>
    </w:p>
    <w:p w14:paraId="1A652BE1">
      <w:pPr>
        <w:spacing w:line="400" w:lineRule="exact"/>
        <w:ind w:firstLine="480"/>
        <w:rPr>
          <w:rFonts w:hint="eastAsia" w:ascii="宋体" w:hAnsi="宋体" w:cs="宋体"/>
          <w:color w:val="auto"/>
          <w:sz w:val="24"/>
          <w:highlight w:val="none"/>
        </w:rPr>
      </w:pPr>
      <w:r>
        <w:rPr>
          <w:rFonts w:hint="eastAsia" w:ascii="宋体" w:hAnsi="宋体" w:cs="宋体"/>
          <w:color w:val="auto"/>
          <w:sz w:val="24"/>
          <w:highlight w:val="none"/>
        </w:rPr>
        <w:t>7、我们愿意遵守招标公告及招标文件中所列的收费标准。</w:t>
      </w:r>
    </w:p>
    <w:p w14:paraId="6BF1630A">
      <w:pPr>
        <w:spacing w:line="400" w:lineRule="exact"/>
        <w:ind w:firstLine="480"/>
        <w:rPr>
          <w:rFonts w:hint="eastAsia" w:ascii="宋体" w:hAnsi="宋体" w:cs="宋体"/>
          <w:color w:val="auto"/>
          <w:sz w:val="24"/>
          <w:highlight w:val="none"/>
        </w:rPr>
      </w:pPr>
      <w:r>
        <w:rPr>
          <w:rFonts w:hint="eastAsia" w:ascii="宋体" w:hAnsi="宋体" w:cs="宋体"/>
          <w:color w:val="auto"/>
          <w:sz w:val="24"/>
          <w:highlight w:val="none"/>
        </w:rPr>
        <w:t>8、我们承诺该项投标在开标后的全过程中保持有效，不做任何更改和变动。</w:t>
      </w:r>
    </w:p>
    <w:p w14:paraId="7555E7E3">
      <w:pPr>
        <w:spacing w:line="400" w:lineRule="exact"/>
        <w:ind w:firstLine="480"/>
        <w:rPr>
          <w:rFonts w:hint="eastAsia" w:ascii="宋体" w:hAnsi="宋体" w:cs="宋体"/>
          <w:color w:val="auto"/>
          <w:sz w:val="24"/>
          <w:highlight w:val="none"/>
        </w:rPr>
      </w:pPr>
      <w:r>
        <w:rPr>
          <w:rFonts w:hint="eastAsia" w:ascii="宋体" w:hAnsi="宋体" w:cs="宋体"/>
          <w:color w:val="auto"/>
          <w:sz w:val="24"/>
          <w:highlight w:val="none"/>
        </w:rPr>
        <w:t>9、如果我们中标，我们愿意按招标文件规定支付代理服务费；</w:t>
      </w:r>
    </w:p>
    <w:p w14:paraId="68CD0C18">
      <w:pPr>
        <w:spacing w:line="400" w:lineRule="exact"/>
        <w:ind w:firstLine="480"/>
        <w:rPr>
          <w:rFonts w:hint="eastAsia" w:ascii="宋体" w:hAnsi="宋体" w:cs="宋体"/>
          <w:color w:val="auto"/>
          <w:sz w:val="24"/>
          <w:highlight w:val="none"/>
        </w:rPr>
      </w:pPr>
      <w:r>
        <w:rPr>
          <w:rFonts w:hint="eastAsia" w:ascii="宋体" w:hAnsi="宋体" w:cs="宋体"/>
          <w:color w:val="auto"/>
          <w:sz w:val="24"/>
          <w:highlight w:val="none"/>
        </w:rPr>
        <w:t>10、我们承诺我公司符合招标文件投标人须知中“合格投标人的资格条件”的要求，若与真实情况不符，本公司愿意承担由此而产生的一切后果。</w:t>
      </w:r>
    </w:p>
    <w:p w14:paraId="34444FB7">
      <w:pPr>
        <w:spacing w:line="400" w:lineRule="exact"/>
        <w:ind w:firstLine="480"/>
        <w:rPr>
          <w:rFonts w:hint="eastAsia" w:ascii="宋体" w:hAnsi="宋体" w:cs="宋体"/>
          <w:color w:val="auto"/>
          <w:sz w:val="24"/>
          <w:highlight w:val="none"/>
        </w:rPr>
      </w:pPr>
      <w:r>
        <w:rPr>
          <w:rFonts w:hint="eastAsia" w:ascii="宋体" w:hAnsi="宋体" w:cs="宋体"/>
          <w:color w:val="auto"/>
          <w:sz w:val="24"/>
          <w:highlight w:val="none"/>
        </w:rPr>
        <w:t>11、我们</w:t>
      </w:r>
      <w:r>
        <w:rPr>
          <w:rFonts w:hint="eastAsia" w:ascii="宋体" w:hAnsi="宋体" w:cs="宋体"/>
          <w:color w:val="auto"/>
          <w:sz w:val="24"/>
          <w:highlight w:val="none"/>
          <w:lang w:val="zh-CN"/>
        </w:rPr>
        <w:t>承诺若在机器码检查中被查出存在与其他投标供应商机器码一致情形的，愿意承担由此产生的一切后果，包括但不限于不得参与后续本项目因故废标后重新开展的相关采购活动。</w:t>
      </w:r>
    </w:p>
    <w:p w14:paraId="28F530BD">
      <w:pPr>
        <w:spacing w:line="400" w:lineRule="exact"/>
        <w:ind w:firstLine="480"/>
        <w:rPr>
          <w:rFonts w:hint="eastAsia" w:ascii="宋体" w:hAnsi="宋体" w:cs="宋体"/>
          <w:color w:val="auto"/>
          <w:sz w:val="24"/>
          <w:highlight w:val="none"/>
        </w:rPr>
      </w:pPr>
      <w:r>
        <w:rPr>
          <w:rFonts w:hint="eastAsia" w:ascii="宋体" w:hAnsi="宋体" w:cs="宋体"/>
          <w:color w:val="auto"/>
          <w:sz w:val="24"/>
          <w:highlight w:val="none"/>
        </w:rPr>
        <w:t>12、所有有关标书的函电，请按下列地址联系：</w:t>
      </w:r>
    </w:p>
    <w:p w14:paraId="79D75C69">
      <w:pPr>
        <w:spacing w:line="400" w:lineRule="exact"/>
        <w:ind w:firstLine="480"/>
        <w:jc w:val="left"/>
        <w:rPr>
          <w:rFonts w:hint="eastAsia" w:ascii="宋体" w:hAnsi="宋体" w:cs="宋体"/>
          <w:color w:val="auto"/>
          <w:sz w:val="24"/>
          <w:highlight w:val="none"/>
        </w:rPr>
      </w:pPr>
      <w:r>
        <w:rPr>
          <w:rFonts w:hint="eastAsia" w:ascii="宋体" w:hAnsi="宋体" w:cs="宋体"/>
          <w:color w:val="auto"/>
          <w:sz w:val="24"/>
          <w:highlight w:val="none"/>
        </w:rPr>
        <w:t>单    位：                                  联 系 人：</w:t>
      </w:r>
    </w:p>
    <w:p w14:paraId="5969BEF8">
      <w:pPr>
        <w:spacing w:line="400" w:lineRule="exact"/>
        <w:ind w:firstLine="480"/>
        <w:jc w:val="left"/>
        <w:rPr>
          <w:rFonts w:hint="eastAsia" w:ascii="宋体" w:hAnsi="宋体" w:cs="宋体"/>
          <w:color w:val="auto"/>
          <w:sz w:val="24"/>
          <w:highlight w:val="none"/>
        </w:rPr>
      </w:pPr>
      <w:r>
        <w:rPr>
          <w:rFonts w:hint="eastAsia" w:ascii="宋体" w:hAnsi="宋体" w:cs="宋体"/>
          <w:color w:val="auto"/>
          <w:sz w:val="24"/>
          <w:highlight w:val="none"/>
        </w:rPr>
        <w:t>地    址：                                  邮政编码：</w:t>
      </w:r>
    </w:p>
    <w:p w14:paraId="441B9D7E">
      <w:pPr>
        <w:spacing w:line="400" w:lineRule="exact"/>
        <w:ind w:firstLine="480"/>
        <w:jc w:val="left"/>
        <w:rPr>
          <w:rFonts w:hint="eastAsia" w:ascii="宋体" w:hAnsi="宋体" w:cs="宋体"/>
          <w:color w:val="auto"/>
          <w:sz w:val="24"/>
          <w:highlight w:val="none"/>
        </w:rPr>
      </w:pPr>
      <w:r>
        <w:rPr>
          <w:rFonts w:hint="eastAsia" w:ascii="宋体" w:hAnsi="宋体" w:cs="宋体"/>
          <w:color w:val="auto"/>
          <w:sz w:val="24"/>
          <w:highlight w:val="none"/>
        </w:rPr>
        <w:t>联系电话：                                  传真（或邮箱）：</w:t>
      </w:r>
    </w:p>
    <w:p w14:paraId="0E413E5B">
      <w:pPr>
        <w:spacing w:line="400" w:lineRule="exact"/>
        <w:ind w:right="480" w:firstLine="4080"/>
        <w:rPr>
          <w:rFonts w:hint="eastAsia" w:ascii="宋体" w:hAnsi="宋体" w:cs="宋体"/>
          <w:color w:val="auto"/>
          <w:sz w:val="24"/>
          <w:highlight w:val="none"/>
        </w:rPr>
      </w:pPr>
    </w:p>
    <w:p w14:paraId="084F772B">
      <w:pPr>
        <w:spacing w:line="400" w:lineRule="exact"/>
        <w:ind w:right="480" w:firstLine="4080"/>
        <w:rPr>
          <w:rFonts w:hint="eastAsia" w:ascii="宋体" w:hAnsi="宋体" w:cs="宋体"/>
          <w:color w:val="auto"/>
          <w:sz w:val="24"/>
          <w:highlight w:val="none"/>
        </w:rPr>
      </w:pPr>
      <w:r>
        <w:rPr>
          <w:rFonts w:hint="eastAsia" w:ascii="宋体" w:hAnsi="宋体" w:cs="宋体"/>
          <w:color w:val="auto"/>
          <w:sz w:val="24"/>
          <w:highlight w:val="none"/>
        </w:rPr>
        <w:t>投标单位：（单位盖章）</w:t>
      </w:r>
    </w:p>
    <w:p w14:paraId="49F127E3">
      <w:pPr>
        <w:spacing w:line="400" w:lineRule="exact"/>
        <w:jc w:val="right"/>
        <w:rPr>
          <w:rFonts w:hint="eastAsia" w:ascii="宋体" w:hAnsi="宋体" w:cs="宋体"/>
          <w:color w:val="auto"/>
          <w:sz w:val="24"/>
          <w:highlight w:val="none"/>
        </w:rPr>
      </w:pPr>
      <w:r>
        <w:rPr>
          <w:rFonts w:hint="eastAsia" w:ascii="宋体" w:hAnsi="宋体" w:cs="宋体"/>
          <w:color w:val="auto"/>
          <w:sz w:val="24"/>
          <w:highlight w:val="none"/>
        </w:rPr>
        <w:t>法定代表人或被授权人：（签字或盖章）</w:t>
      </w:r>
    </w:p>
    <w:p w14:paraId="5FFF5442">
      <w:pPr>
        <w:spacing w:line="400" w:lineRule="exact"/>
        <w:jc w:val="right"/>
        <w:rPr>
          <w:rFonts w:hint="eastAsia" w:ascii="宋体" w:hAnsi="宋体" w:cs="宋体"/>
          <w:color w:val="auto"/>
          <w:sz w:val="24"/>
          <w:highlight w:val="none"/>
        </w:rPr>
      </w:pPr>
      <w:r>
        <w:rPr>
          <w:rFonts w:hint="eastAsia" w:ascii="宋体" w:hAnsi="宋体" w:cs="宋体"/>
          <w:color w:val="auto"/>
          <w:sz w:val="24"/>
          <w:highlight w:val="none"/>
        </w:rPr>
        <w:t>年     月     日</w:t>
      </w:r>
    </w:p>
    <w:p w14:paraId="7106DE8F">
      <w:pPr>
        <w:pStyle w:val="197"/>
        <w:rPr>
          <w:color w:val="auto"/>
          <w:highlight w:val="none"/>
        </w:rPr>
      </w:pPr>
    </w:p>
    <w:p w14:paraId="5BF633A3">
      <w:pPr>
        <w:pStyle w:val="197"/>
        <w:rPr>
          <w:rFonts w:hint="eastAsia"/>
          <w:color w:val="auto"/>
          <w:highlight w:val="none"/>
        </w:rPr>
      </w:pPr>
    </w:p>
    <w:p w14:paraId="0694C9E5">
      <w:pPr>
        <w:spacing w:line="360" w:lineRule="auto"/>
        <w:rPr>
          <w:rFonts w:hint="eastAsia" w:ascii="宋体" w:hAnsi="宋体"/>
          <w:color w:val="auto"/>
          <w:sz w:val="28"/>
          <w:szCs w:val="28"/>
          <w:highlight w:val="none"/>
        </w:rPr>
      </w:pPr>
      <w:r>
        <w:rPr>
          <w:rFonts w:hint="eastAsia" w:ascii="宋体" w:hAnsi="宋体"/>
          <w:color w:val="auto"/>
          <w:sz w:val="28"/>
          <w:szCs w:val="28"/>
          <w:highlight w:val="none"/>
        </w:rPr>
        <w:t>3、开标一览表（</w:t>
      </w:r>
      <w:r>
        <w:rPr>
          <w:rFonts w:hint="eastAsia" w:ascii="宋体" w:hAnsi="宋体" w:cs="宋体"/>
          <w:b/>
          <w:color w:val="auto"/>
          <w:sz w:val="24"/>
          <w:highlight w:val="none"/>
        </w:rPr>
        <w:t>按苏采云投标系统内统一格式填写）</w:t>
      </w:r>
    </w:p>
    <w:p w14:paraId="3A3794A7">
      <w:pPr>
        <w:spacing w:line="360" w:lineRule="auto"/>
        <w:jc w:val="center"/>
        <w:rPr>
          <w:rFonts w:hint="eastAsia" w:ascii="宋体" w:hAnsi="宋体"/>
          <w:color w:val="auto"/>
          <w:sz w:val="28"/>
          <w:szCs w:val="28"/>
          <w:highlight w:val="none"/>
          <w:u w:val="none"/>
          <w:lang w:val="en-US" w:eastAsia="zh-CN"/>
        </w:rPr>
      </w:pPr>
    </w:p>
    <w:p w14:paraId="4A4FD5A1">
      <w:pPr>
        <w:spacing w:line="360" w:lineRule="auto"/>
        <w:jc w:val="center"/>
        <w:rPr>
          <w:rFonts w:hint="eastAsia" w:ascii="宋体" w:hAnsi="宋体"/>
          <w:color w:val="auto"/>
          <w:sz w:val="28"/>
          <w:szCs w:val="28"/>
          <w:highlight w:val="none"/>
        </w:rPr>
      </w:pPr>
      <w:r>
        <w:rPr>
          <w:rFonts w:hint="eastAsia" w:ascii="宋体" w:hAnsi="宋体"/>
          <w:color w:val="auto"/>
          <w:sz w:val="28"/>
          <w:szCs w:val="28"/>
          <w:highlight w:val="none"/>
        </w:rPr>
        <w:t>开标一览表</w:t>
      </w:r>
    </w:p>
    <w:p w14:paraId="63A357F0">
      <w:pPr>
        <w:spacing w:line="360" w:lineRule="auto"/>
        <w:rPr>
          <w:color w:val="auto"/>
          <w:highlight w:val="none"/>
        </w:rPr>
      </w:pPr>
      <w:r>
        <w:rPr>
          <w:rFonts w:hint="eastAsia" w:ascii="宋体" w:hAnsi="宋体"/>
          <w:color w:val="auto"/>
          <w:sz w:val="24"/>
          <w:szCs w:val="24"/>
          <w:highlight w:val="none"/>
          <w:lang w:val="zh-CN"/>
        </w:rPr>
        <w:t>投标人全称（加盖公章）：</w:t>
      </w:r>
    </w:p>
    <w:p w14:paraId="0A67CCE8">
      <w:pPr>
        <w:spacing w:line="360" w:lineRule="auto"/>
        <w:rPr>
          <w:rFonts w:hint="eastAsia" w:ascii="宋体" w:hAnsi="宋体"/>
          <w:color w:val="auto"/>
          <w:sz w:val="24"/>
          <w:szCs w:val="24"/>
          <w:highlight w:val="none"/>
          <w:lang w:val="zh-CN"/>
        </w:rPr>
      </w:pPr>
      <w:r>
        <w:rPr>
          <w:rFonts w:hint="eastAsia" w:ascii="宋体" w:hAnsi="宋体"/>
          <w:color w:val="auto"/>
          <w:sz w:val="24"/>
          <w:szCs w:val="24"/>
          <w:highlight w:val="none"/>
          <w:lang w:val="zh-CN"/>
        </w:rPr>
        <w:t xml:space="preserve">项目编号：  </w:t>
      </w:r>
    </w:p>
    <w:tbl>
      <w:tblPr>
        <w:tblStyle w:val="33"/>
        <w:tblW w:w="8265" w:type="dxa"/>
        <w:tblInd w:w="12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100"/>
        <w:gridCol w:w="2680"/>
        <w:gridCol w:w="3485"/>
      </w:tblGrid>
      <w:tr w14:paraId="1174B7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758" w:hRule="atLeast"/>
        </w:trPr>
        <w:tc>
          <w:tcPr>
            <w:tcW w:w="2100" w:type="dxa"/>
            <w:noWrap w:val="0"/>
            <w:vAlign w:val="center"/>
          </w:tcPr>
          <w:p w14:paraId="2D39760D">
            <w:pPr>
              <w:spacing w:line="600" w:lineRule="exact"/>
              <w:jc w:val="center"/>
              <w:rPr>
                <w:rFonts w:ascii="宋体" w:hAnsi="宋体"/>
                <w:color w:val="auto"/>
                <w:highlight w:val="none"/>
              </w:rPr>
            </w:pPr>
            <w:r>
              <w:rPr>
                <w:rFonts w:hint="eastAsia" w:ascii="宋体" w:hAnsi="宋体"/>
                <w:color w:val="auto"/>
                <w:sz w:val="24"/>
                <w:szCs w:val="24"/>
                <w:highlight w:val="none"/>
              </w:rPr>
              <w:t>项目名称</w:t>
            </w:r>
          </w:p>
        </w:tc>
        <w:tc>
          <w:tcPr>
            <w:tcW w:w="2680" w:type="dxa"/>
            <w:noWrap w:val="0"/>
            <w:vAlign w:val="center"/>
          </w:tcPr>
          <w:p w14:paraId="62F13764">
            <w:pPr>
              <w:spacing w:line="600" w:lineRule="exact"/>
              <w:jc w:val="center"/>
              <w:rPr>
                <w:rFonts w:hint="default" w:ascii="宋体" w:hAnsi="宋体"/>
                <w:color w:val="auto"/>
                <w:sz w:val="24"/>
                <w:szCs w:val="24"/>
                <w:highlight w:val="none"/>
                <w:lang w:val="en-US" w:eastAsia="zh-CN"/>
              </w:rPr>
            </w:pPr>
            <w:r>
              <w:rPr>
                <w:rFonts w:hint="eastAsia" w:ascii="宋体" w:hAnsi="宋体"/>
                <w:color w:val="auto"/>
                <w:sz w:val="24"/>
                <w:szCs w:val="24"/>
                <w:highlight w:val="none"/>
                <w:lang w:val="en-US" w:eastAsia="zh-CN"/>
              </w:rPr>
              <w:t>采购内容</w:t>
            </w:r>
          </w:p>
        </w:tc>
        <w:tc>
          <w:tcPr>
            <w:tcW w:w="3485" w:type="dxa"/>
            <w:noWrap w:val="0"/>
            <w:vAlign w:val="center"/>
          </w:tcPr>
          <w:p w14:paraId="4FF791D2">
            <w:pPr>
              <w:spacing w:line="600" w:lineRule="exact"/>
              <w:jc w:val="center"/>
              <w:rPr>
                <w:rFonts w:hint="eastAsia" w:ascii="宋体" w:hAnsi="宋体"/>
                <w:color w:val="auto"/>
                <w:sz w:val="24"/>
                <w:szCs w:val="24"/>
                <w:highlight w:val="none"/>
                <w:lang w:eastAsia="zh-CN"/>
              </w:rPr>
            </w:pPr>
            <w:r>
              <w:rPr>
                <w:rFonts w:hint="eastAsia" w:ascii="宋体" w:hAnsi="宋体"/>
                <w:color w:val="auto"/>
                <w:sz w:val="24"/>
                <w:szCs w:val="24"/>
                <w:highlight w:val="none"/>
              </w:rPr>
              <w:t>投标</w:t>
            </w:r>
            <w:r>
              <w:rPr>
                <w:rFonts w:hint="eastAsia" w:ascii="宋体" w:hAnsi="宋体"/>
                <w:color w:val="auto"/>
                <w:sz w:val="24"/>
                <w:szCs w:val="24"/>
                <w:highlight w:val="none"/>
                <w:lang w:eastAsia="zh-CN"/>
              </w:rPr>
              <w:t>优惠率</w:t>
            </w:r>
          </w:p>
        </w:tc>
      </w:tr>
      <w:tr w14:paraId="5E2DC8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65" w:hRule="atLeast"/>
        </w:trPr>
        <w:tc>
          <w:tcPr>
            <w:tcW w:w="2100" w:type="dxa"/>
            <w:vMerge w:val="restart"/>
            <w:noWrap w:val="0"/>
            <w:vAlign w:val="center"/>
          </w:tcPr>
          <w:p w14:paraId="2973B699">
            <w:pPr>
              <w:spacing w:line="600" w:lineRule="exact"/>
              <w:jc w:val="center"/>
              <w:rPr>
                <w:rFonts w:ascii="宋体" w:hAnsi="宋体"/>
                <w:color w:val="auto"/>
                <w:highlight w:val="none"/>
              </w:rPr>
            </w:pPr>
          </w:p>
        </w:tc>
        <w:tc>
          <w:tcPr>
            <w:tcW w:w="2680" w:type="dxa"/>
            <w:vMerge w:val="restart"/>
            <w:noWrap w:val="0"/>
            <w:vAlign w:val="center"/>
          </w:tcPr>
          <w:p w14:paraId="423BC62A">
            <w:pPr>
              <w:spacing w:line="600" w:lineRule="exact"/>
              <w:jc w:val="center"/>
              <w:rPr>
                <w:rFonts w:hint="eastAsia" w:ascii="宋体" w:hAnsi="宋体"/>
                <w:color w:val="auto"/>
                <w:highlight w:val="none"/>
              </w:rPr>
            </w:pPr>
          </w:p>
        </w:tc>
        <w:tc>
          <w:tcPr>
            <w:tcW w:w="3485" w:type="dxa"/>
            <w:noWrap w:val="0"/>
            <w:vAlign w:val="center"/>
          </w:tcPr>
          <w:p w14:paraId="2E83F020">
            <w:pPr>
              <w:spacing w:line="600" w:lineRule="exact"/>
              <w:rPr>
                <w:rFonts w:ascii="宋体" w:hAnsi="宋体"/>
                <w:color w:val="auto"/>
                <w:highlight w:val="none"/>
              </w:rPr>
            </w:pPr>
            <w:r>
              <w:rPr>
                <w:rFonts w:hint="eastAsia" w:ascii="宋体" w:hAnsi="宋体"/>
                <w:color w:val="auto"/>
                <w:sz w:val="24"/>
                <w:szCs w:val="24"/>
                <w:highlight w:val="none"/>
              </w:rPr>
              <w:t xml:space="preserve">小写：       </w:t>
            </w:r>
            <w:r>
              <w:rPr>
                <w:rFonts w:hint="eastAsia" w:ascii="宋体" w:hAnsi="宋体"/>
                <w:color w:val="auto"/>
                <w:sz w:val="24"/>
                <w:szCs w:val="24"/>
                <w:highlight w:val="none"/>
                <w:lang w:val="en-US" w:eastAsia="zh-CN"/>
              </w:rPr>
              <w:t>%</w:t>
            </w:r>
            <w:r>
              <w:rPr>
                <w:rFonts w:hint="eastAsia" w:ascii="宋体" w:hAnsi="宋体"/>
                <w:color w:val="auto"/>
                <w:sz w:val="24"/>
                <w:szCs w:val="24"/>
                <w:highlight w:val="none"/>
              </w:rPr>
              <w:t xml:space="preserve">        </w:t>
            </w:r>
          </w:p>
        </w:tc>
      </w:tr>
      <w:tr w14:paraId="6130AA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807" w:hRule="atLeast"/>
        </w:trPr>
        <w:tc>
          <w:tcPr>
            <w:tcW w:w="2100" w:type="dxa"/>
            <w:vMerge w:val="continue"/>
            <w:noWrap w:val="0"/>
            <w:vAlign w:val="center"/>
          </w:tcPr>
          <w:p w14:paraId="4692C15C">
            <w:pPr>
              <w:spacing w:line="600" w:lineRule="exact"/>
              <w:jc w:val="center"/>
              <w:rPr>
                <w:rFonts w:ascii="宋体" w:hAnsi="宋体"/>
                <w:color w:val="auto"/>
                <w:highlight w:val="none"/>
              </w:rPr>
            </w:pPr>
          </w:p>
        </w:tc>
        <w:tc>
          <w:tcPr>
            <w:tcW w:w="2680" w:type="dxa"/>
            <w:vMerge w:val="continue"/>
            <w:noWrap w:val="0"/>
            <w:vAlign w:val="center"/>
          </w:tcPr>
          <w:p w14:paraId="56B0E87B">
            <w:pPr>
              <w:spacing w:line="600" w:lineRule="exact"/>
              <w:rPr>
                <w:rFonts w:hint="eastAsia" w:ascii="宋体" w:hAnsi="宋体"/>
                <w:color w:val="auto"/>
                <w:highlight w:val="none"/>
                <w:lang w:eastAsia="zh-CN"/>
              </w:rPr>
            </w:pPr>
          </w:p>
        </w:tc>
        <w:tc>
          <w:tcPr>
            <w:tcW w:w="3485" w:type="dxa"/>
            <w:noWrap w:val="0"/>
            <w:vAlign w:val="center"/>
          </w:tcPr>
          <w:p w14:paraId="7C29C052">
            <w:pPr>
              <w:spacing w:line="600" w:lineRule="exact"/>
              <w:rPr>
                <w:rFonts w:hint="eastAsia" w:ascii="宋体" w:hAnsi="宋体" w:eastAsia="宋体"/>
                <w:color w:val="auto"/>
                <w:highlight w:val="none"/>
                <w:lang w:eastAsia="zh-CN"/>
              </w:rPr>
            </w:pPr>
            <w:r>
              <w:rPr>
                <w:rFonts w:hint="eastAsia" w:ascii="宋体" w:hAnsi="宋体"/>
                <w:color w:val="auto"/>
                <w:sz w:val="24"/>
                <w:szCs w:val="24"/>
                <w:highlight w:val="none"/>
                <w:lang w:eastAsia="zh-CN"/>
              </w:rPr>
              <w:t>大写：</w:t>
            </w:r>
          </w:p>
        </w:tc>
      </w:tr>
    </w:tbl>
    <w:p w14:paraId="19DE297A">
      <w:pPr>
        <w:spacing w:line="600" w:lineRule="exact"/>
        <w:rPr>
          <w:color w:val="auto"/>
          <w:highlight w:val="none"/>
        </w:rPr>
      </w:pPr>
    </w:p>
    <w:p w14:paraId="06EA3F86">
      <w:pPr>
        <w:spacing w:line="360" w:lineRule="auto"/>
        <w:jc w:val="left"/>
        <w:rPr>
          <w:color w:val="auto"/>
          <w:highlight w:val="none"/>
        </w:rPr>
      </w:pPr>
      <w:r>
        <w:rPr>
          <w:rFonts w:hint="eastAsia" w:ascii="宋体" w:hAnsi="宋体"/>
          <w:color w:val="auto"/>
          <w:szCs w:val="21"/>
          <w:highlight w:val="none"/>
        </w:rPr>
        <w:t xml:space="preserve">                               </w:t>
      </w:r>
      <w:r>
        <w:rPr>
          <w:rFonts w:ascii="宋体" w:hAnsi="宋体"/>
          <w:color w:val="auto"/>
          <w:szCs w:val="21"/>
          <w:highlight w:val="none"/>
        </w:rPr>
        <w:t xml:space="preserve">                    </w:t>
      </w:r>
      <w:r>
        <w:rPr>
          <w:rFonts w:hint="eastAsia" w:ascii="宋体" w:hAnsi="宋体"/>
          <w:color w:val="auto"/>
          <w:sz w:val="24"/>
          <w:szCs w:val="24"/>
          <w:highlight w:val="none"/>
          <w:lang w:val="zh-CN"/>
        </w:rPr>
        <w:t xml:space="preserve">  日期：    年   月   日</w:t>
      </w:r>
    </w:p>
    <w:p w14:paraId="231CC077">
      <w:pPr>
        <w:spacing w:line="360" w:lineRule="auto"/>
        <w:jc w:val="left"/>
        <w:rPr>
          <w:color w:val="auto"/>
          <w:highlight w:val="none"/>
        </w:rPr>
      </w:pPr>
    </w:p>
    <w:p w14:paraId="7690471B">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color w:val="auto"/>
          <w:sz w:val="24"/>
          <w:szCs w:val="24"/>
          <w:highlight w:val="none"/>
          <w:lang w:val="zh-CN"/>
        </w:rPr>
      </w:pPr>
      <w:r>
        <w:rPr>
          <w:rFonts w:hint="eastAsia" w:ascii="宋体" w:hAnsi="宋体"/>
          <w:color w:val="auto"/>
          <w:sz w:val="24"/>
          <w:szCs w:val="24"/>
          <w:highlight w:val="none"/>
          <w:lang w:val="zh-CN"/>
        </w:rPr>
        <w:t>填写说明：</w:t>
      </w:r>
    </w:p>
    <w:p w14:paraId="4D1770D5">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color w:val="auto"/>
          <w:sz w:val="24"/>
          <w:szCs w:val="24"/>
          <w:highlight w:val="none"/>
          <w:lang w:val="zh-CN"/>
        </w:rPr>
      </w:pPr>
      <w:r>
        <w:rPr>
          <w:rFonts w:hint="eastAsia" w:ascii="宋体" w:hAnsi="宋体"/>
          <w:color w:val="auto"/>
          <w:sz w:val="24"/>
          <w:szCs w:val="24"/>
          <w:highlight w:val="none"/>
          <w:lang w:val="zh-CN"/>
        </w:rPr>
        <w:t>1.开标一览表必须加盖投标人公章（复印件无效）。</w:t>
      </w:r>
    </w:p>
    <w:p w14:paraId="017E9B51">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color w:val="auto"/>
          <w:sz w:val="24"/>
          <w:szCs w:val="24"/>
          <w:highlight w:val="none"/>
          <w:lang w:val="zh-CN"/>
        </w:rPr>
      </w:pPr>
      <w:r>
        <w:rPr>
          <w:rFonts w:hint="eastAsia" w:ascii="宋体" w:hAnsi="宋体"/>
          <w:color w:val="auto"/>
          <w:sz w:val="24"/>
          <w:szCs w:val="24"/>
          <w:highlight w:val="none"/>
          <w:lang w:val="zh-CN"/>
        </w:rPr>
        <w:t>2.如有分包，投标人投任何一个包的标的，都需单独填写开标一览表。</w:t>
      </w:r>
    </w:p>
    <w:p w14:paraId="00916F53">
      <w:pPr>
        <w:keepNext w:val="0"/>
        <w:keepLines w:val="0"/>
        <w:pageBreakBefore w:val="0"/>
        <w:widowControl w:val="0"/>
        <w:kinsoku/>
        <w:wordWrap/>
        <w:overflowPunct/>
        <w:topLinePunct w:val="0"/>
        <w:autoSpaceDE/>
        <w:autoSpaceDN/>
        <w:bidi w:val="0"/>
        <w:adjustRightInd/>
        <w:snapToGrid/>
        <w:spacing w:line="360" w:lineRule="auto"/>
        <w:jc w:val="left"/>
        <w:textAlignment w:val="auto"/>
        <w:rPr>
          <w:rStyle w:val="211"/>
          <w:rFonts w:hint="eastAsia" w:ascii="宋体" w:hAnsi="宋体" w:cs="宋体"/>
          <w:i w:val="0"/>
          <w:iCs/>
          <w:color w:val="auto"/>
          <w:sz w:val="24"/>
          <w:szCs w:val="24"/>
          <w:highlight w:val="none"/>
          <w:lang w:eastAsia="zh-CN"/>
        </w:rPr>
      </w:pPr>
      <w:r>
        <w:rPr>
          <w:rFonts w:hint="eastAsia" w:ascii="宋体" w:hAnsi="宋体"/>
          <w:color w:val="auto"/>
          <w:sz w:val="24"/>
          <w:szCs w:val="24"/>
          <w:highlight w:val="none"/>
          <w:lang w:val="zh-CN"/>
        </w:rPr>
        <w:t>3.本项目采用</w:t>
      </w:r>
      <w:r>
        <w:rPr>
          <w:rFonts w:hint="eastAsia" w:ascii="宋体" w:hAnsi="宋体"/>
          <w:b/>
          <w:bCs/>
          <w:color w:val="auto"/>
          <w:sz w:val="24"/>
          <w:szCs w:val="24"/>
          <w:highlight w:val="none"/>
          <w:lang w:val="zh-CN"/>
        </w:rPr>
        <w:t>优惠率报价</w:t>
      </w:r>
      <w:r>
        <w:rPr>
          <w:rFonts w:hint="eastAsia" w:ascii="宋体" w:hAnsi="宋体"/>
          <w:color w:val="auto"/>
          <w:sz w:val="24"/>
          <w:szCs w:val="24"/>
          <w:highlight w:val="none"/>
          <w:lang w:val="zh-CN"/>
        </w:rPr>
        <w:t>方式，不</w:t>
      </w:r>
      <w:r>
        <w:rPr>
          <w:rFonts w:hint="eastAsia" w:ascii="宋体" w:hAnsi="宋体"/>
          <w:color w:val="auto"/>
          <w:sz w:val="24"/>
          <w:szCs w:val="24"/>
          <w:highlight w:val="none"/>
          <w:lang w:val="en-US" w:eastAsia="zh-CN"/>
        </w:rPr>
        <w:t>需</w:t>
      </w:r>
      <w:r>
        <w:rPr>
          <w:rFonts w:hint="eastAsia" w:ascii="宋体" w:hAnsi="宋体"/>
          <w:color w:val="auto"/>
          <w:sz w:val="24"/>
          <w:szCs w:val="24"/>
          <w:highlight w:val="none"/>
          <w:lang w:val="zh-CN"/>
        </w:rPr>
        <w:t>报总价，</w:t>
      </w:r>
      <w:r>
        <w:rPr>
          <w:rFonts w:hint="eastAsia" w:ascii="宋体" w:hAnsi="宋体"/>
          <w:color w:val="auto"/>
          <w:sz w:val="24"/>
          <w:szCs w:val="24"/>
          <w:highlight w:val="none"/>
          <w:lang w:val="en-US" w:eastAsia="zh-CN"/>
        </w:rPr>
        <w:t>投标单位</w:t>
      </w:r>
      <w:r>
        <w:rPr>
          <w:rFonts w:hint="eastAsia" w:ascii="宋体" w:hAnsi="宋体"/>
          <w:color w:val="auto"/>
          <w:sz w:val="24"/>
          <w:szCs w:val="24"/>
          <w:highlight w:val="none"/>
          <w:lang w:val="zh-CN"/>
        </w:rPr>
        <w:t>在收费标准基础上报出</w:t>
      </w:r>
      <w:r>
        <w:rPr>
          <w:rFonts w:hint="eastAsia" w:ascii="宋体" w:hAnsi="宋体"/>
          <w:color w:val="auto"/>
          <w:sz w:val="24"/>
          <w:szCs w:val="24"/>
          <w:highlight w:val="none"/>
          <w:lang w:val="en-US" w:eastAsia="zh-CN"/>
        </w:rPr>
        <w:t>统一</w:t>
      </w:r>
      <w:r>
        <w:rPr>
          <w:rFonts w:hint="eastAsia" w:ascii="宋体" w:hAnsi="宋体"/>
          <w:color w:val="auto"/>
          <w:sz w:val="24"/>
          <w:szCs w:val="24"/>
          <w:highlight w:val="none"/>
          <w:lang w:val="zh-CN"/>
        </w:rPr>
        <w:t>优惠率，</w:t>
      </w:r>
      <w:r>
        <w:rPr>
          <w:rFonts w:hint="eastAsia" w:ascii="宋体" w:hAnsi="宋体"/>
          <w:color w:val="auto"/>
          <w:sz w:val="24"/>
          <w:szCs w:val="24"/>
          <w:highlight w:val="none"/>
          <w:lang w:val="en-US" w:eastAsia="zh-CN"/>
        </w:rPr>
        <w:t>不存在平均优惠率</w:t>
      </w:r>
      <w:r>
        <w:rPr>
          <w:rStyle w:val="211"/>
          <w:rFonts w:hint="eastAsia" w:ascii="宋体" w:hAnsi="宋体" w:cs="宋体"/>
          <w:i w:val="0"/>
          <w:iCs/>
          <w:color w:val="auto"/>
          <w:sz w:val="24"/>
          <w:szCs w:val="24"/>
          <w:highlight w:val="none"/>
          <w:lang w:eastAsia="zh-CN"/>
        </w:rPr>
        <w:t>。</w:t>
      </w:r>
    </w:p>
    <w:p w14:paraId="6970576E">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color w:val="auto"/>
          <w:sz w:val="24"/>
          <w:szCs w:val="24"/>
          <w:highlight w:val="yellow"/>
          <w:lang w:val="zh-CN"/>
        </w:rPr>
      </w:pPr>
      <w:r>
        <w:rPr>
          <w:rStyle w:val="211"/>
          <w:rFonts w:hint="eastAsia" w:ascii="宋体" w:hAnsi="宋体" w:cs="宋体"/>
          <w:i w:val="0"/>
          <w:iCs/>
          <w:color w:val="auto"/>
          <w:sz w:val="24"/>
          <w:szCs w:val="24"/>
          <w:highlight w:val="yellow"/>
          <w:lang w:val="en-US" w:eastAsia="zh-CN"/>
        </w:rPr>
        <w:t>4.开标一览表中填写的</w:t>
      </w:r>
      <w:r>
        <w:rPr>
          <w:rStyle w:val="211"/>
          <w:rFonts w:hint="eastAsia" w:ascii="宋体" w:hAnsi="宋体" w:cs="宋体"/>
          <w:b/>
          <w:bCs/>
          <w:i w:val="0"/>
          <w:iCs/>
          <w:color w:val="auto"/>
          <w:sz w:val="24"/>
          <w:szCs w:val="24"/>
          <w:highlight w:val="yellow"/>
          <w:lang w:val="en-US" w:eastAsia="zh-CN"/>
        </w:rPr>
        <w:t>投标优惠率=普检项目优惠率+特殊优惠率</w:t>
      </w:r>
      <w:r>
        <w:rPr>
          <w:rStyle w:val="211"/>
          <w:rFonts w:hint="eastAsia" w:ascii="宋体" w:hAnsi="宋体" w:cs="宋体"/>
          <w:i w:val="0"/>
          <w:iCs/>
          <w:color w:val="auto"/>
          <w:sz w:val="24"/>
          <w:szCs w:val="24"/>
          <w:highlight w:val="yellow"/>
          <w:lang w:val="en-US" w:eastAsia="zh-CN"/>
        </w:rPr>
        <w:t>。</w:t>
      </w:r>
    </w:p>
    <w:p w14:paraId="79139E2A">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b w:val="0"/>
          <w:bCs w:val="0"/>
          <w:color w:val="auto"/>
          <w:sz w:val="24"/>
          <w:highlight w:val="none"/>
          <w:lang w:eastAsia="zh-CN"/>
        </w:rPr>
      </w:pPr>
      <w:r>
        <w:rPr>
          <w:rFonts w:hint="eastAsia" w:ascii="宋体" w:hAnsi="宋体"/>
          <w:b/>
          <w:bCs/>
          <w:color w:val="auto"/>
          <w:sz w:val="24"/>
          <w:szCs w:val="24"/>
          <w:highlight w:val="yellow"/>
          <w:lang w:val="en-US" w:eastAsia="zh-CN"/>
        </w:rPr>
        <w:t>5.普检项目</w:t>
      </w:r>
      <w:r>
        <w:rPr>
          <w:rFonts w:hint="eastAsia" w:ascii="宋体" w:hAnsi="宋体"/>
          <w:b/>
          <w:bCs/>
          <w:color w:val="auto"/>
          <w:sz w:val="24"/>
          <w:highlight w:val="yellow"/>
          <w:lang w:eastAsia="zh-CN"/>
        </w:rPr>
        <w:t>：</w:t>
      </w:r>
      <w:r>
        <w:rPr>
          <w:rFonts w:hint="eastAsia" w:ascii="宋体" w:hAnsi="宋体"/>
          <w:b/>
          <w:bCs/>
          <w:color w:val="auto"/>
          <w:sz w:val="24"/>
          <w:szCs w:val="24"/>
          <w:highlight w:val="yellow"/>
          <w:lang w:val="zh-CN" w:eastAsia="zh-CN"/>
        </w:rPr>
        <w:t>投标优惠率处于【</w:t>
      </w:r>
      <w:r>
        <w:rPr>
          <w:rFonts w:hint="eastAsia" w:ascii="宋体" w:hAnsi="宋体"/>
          <w:b/>
          <w:bCs/>
          <w:color w:val="auto"/>
          <w:sz w:val="24"/>
          <w:szCs w:val="24"/>
          <w:highlight w:val="yellow"/>
          <w:lang w:val="en-US" w:eastAsia="zh-CN"/>
        </w:rPr>
        <w:t>80</w:t>
      </w:r>
      <w:r>
        <w:rPr>
          <w:rFonts w:hint="eastAsia" w:ascii="宋体" w:hAnsi="宋体"/>
          <w:b/>
          <w:bCs/>
          <w:color w:val="auto"/>
          <w:sz w:val="24"/>
          <w:szCs w:val="24"/>
          <w:highlight w:val="yellow"/>
          <w:lang w:val="zh-CN" w:eastAsia="zh-CN"/>
        </w:rPr>
        <w:t>%（含）-100%（含）】</w:t>
      </w:r>
      <w:r>
        <w:rPr>
          <w:rFonts w:hint="eastAsia" w:ascii="宋体" w:hAnsi="宋体"/>
          <w:b/>
          <w:bCs/>
          <w:color w:val="auto"/>
          <w:sz w:val="24"/>
          <w:highlight w:val="yellow"/>
          <w:lang w:eastAsia="zh-CN"/>
        </w:rPr>
        <w:t>、</w:t>
      </w:r>
      <w:r>
        <w:rPr>
          <w:rFonts w:hint="eastAsia" w:ascii="宋体" w:hAnsi="宋体"/>
          <w:b/>
          <w:bCs/>
          <w:color w:val="auto"/>
          <w:sz w:val="24"/>
          <w:szCs w:val="24"/>
          <w:highlight w:val="yellow"/>
          <w:lang w:val="en-US" w:eastAsia="zh-CN"/>
        </w:rPr>
        <w:t>特检项目：</w:t>
      </w:r>
      <w:r>
        <w:rPr>
          <w:rFonts w:hint="eastAsia" w:ascii="宋体" w:hAnsi="宋体"/>
          <w:b/>
          <w:bCs/>
          <w:color w:val="auto"/>
          <w:sz w:val="24"/>
          <w:szCs w:val="24"/>
          <w:highlight w:val="yellow"/>
          <w:lang w:val="zh-CN" w:eastAsia="zh-CN"/>
        </w:rPr>
        <w:t>投标优惠率处于【</w:t>
      </w:r>
      <w:r>
        <w:rPr>
          <w:rFonts w:hint="eastAsia" w:ascii="宋体" w:hAnsi="宋体"/>
          <w:b/>
          <w:bCs/>
          <w:color w:val="auto"/>
          <w:sz w:val="24"/>
          <w:szCs w:val="24"/>
          <w:highlight w:val="yellow"/>
          <w:lang w:val="en-US" w:eastAsia="zh-CN"/>
        </w:rPr>
        <w:t>70</w:t>
      </w:r>
      <w:r>
        <w:rPr>
          <w:rFonts w:hint="eastAsia" w:ascii="宋体" w:hAnsi="宋体"/>
          <w:b/>
          <w:bCs/>
          <w:color w:val="auto"/>
          <w:sz w:val="24"/>
          <w:szCs w:val="24"/>
          <w:highlight w:val="yellow"/>
          <w:lang w:val="zh-CN" w:eastAsia="zh-CN"/>
        </w:rPr>
        <w:t>%（含）-100%（含）】</w:t>
      </w:r>
      <w:r>
        <w:rPr>
          <w:rFonts w:hint="eastAsia" w:ascii="宋体" w:hAnsi="宋体"/>
          <w:b/>
          <w:bCs/>
          <w:color w:val="auto"/>
          <w:sz w:val="24"/>
          <w:szCs w:val="24"/>
          <w:highlight w:val="yellow"/>
          <w:lang w:val="en-US" w:eastAsia="zh-CN"/>
        </w:rPr>
        <w:t>的</w:t>
      </w:r>
      <w:r>
        <w:rPr>
          <w:rFonts w:hint="eastAsia" w:ascii="宋体" w:hAnsi="宋体"/>
          <w:b/>
          <w:bCs/>
          <w:color w:val="auto"/>
          <w:sz w:val="24"/>
          <w:szCs w:val="24"/>
          <w:highlight w:val="yellow"/>
          <w:lang w:val="zh-CN" w:eastAsia="zh-CN"/>
        </w:rPr>
        <w:t>，为有效投标报价，超出此范围的报价为无效报价</w:t>
      </w:r>
      <w:r>
        <w:rPr>
          <w:rFonts w:hint="eastAsia" w:ascii="宋体" w:hAnsi="宋体"/>
          <w:b/>
          <w:bCs/>
          <w:color w:val="auto"/>
          <w:sz w:val="24"/>
          <w:highlight w:val="yellow"/>
          <w:lang w:eastAsia="zh-CN"/>
        </w:rPr>
        <w:t>。</w:t>
      </w:r>
      <w:r>
        <w:rPr>
          <w:rFonts w:hint="eastAsia" w:ascii="宋体" w:hAnsi="宋体"/>
          <w:b w:val="0"/>
          <w:bCs w:val="0"/>
          <w:color w:val="auto"/>
          <w:sz w:val="24"/>
          <w:highlight w:val="none"/>
          <w:lang w:eastAsia="zh-CN"/>
        </w:rPr>
        <w:t>【举例说明：如收费标准为100元，投标</w:t>
      </w:r>
      <w:r>
        <w:rPr>
          <w:rFonts w:hint="eastAsia" w:ascii="宋体" w:hAnsi="宋体"/>
          <w:b w:val="0"/>
          <w:bCs w:val="0"/>
          <w:color w:val="auto"/>
          <w:sz w:val="24"/>
          <w:highlight w:val="none"/>
          <w:lang w:val="en-US" w:eastAsia="zh-CN"/>
        </w:rPr>
        <w:t>单位</w:t>
      </w:r>
      <w:r>
        <w:rPr>
          <w:rFonts w:hint="eastAsia" w:ascii="宋体" w:hAnsi="宋体"/>
          <w:b w:val="0"/>
          <w:bCs w:val="0"/>
          <w:color w:val="auto"/>
          <w:sz w:val="24"/>
          <w:highlight w:val="none"/>
          <w:lang w:eastAsia="zh-CN"/>
        </w:rPr>
        <w:t>优惠率为</w:t>
      </w:r>
      <w:r>
        <w:rPr>
          <w:rFonts w:hint="eastAsia" w:ascii="宋体" w:hAnsi="宋体"/>
          <w:b w:val="0"/>
          <w:bCs w:val="0"/>
          <w:color w:val="auto"/>
          <w:sz w:val="24"/>
          <w:highlight w:val="none"/>
          <w:lang w:val="en-US" w:eastAsia="zh-CN"/>
        </w:rPr>
        <w:t>8</w:t>
      </w:r>
      <w:r>
        <w:rPr>
          <w:rFonts w:hint="eastAsia" w:ascii="宋体" w:hAnsi="宋体"/>
          <w:b w:val="0"/>
          <w:bCs w:val="0"/>
          <w:color w:val="auto"/>
          <w:sz w:val="24"/>
          <w:highlight w:val="none"/>
          <w:lang w:eastAsia="zh-CN"/>
        </w:rPr>
        <w:t>0%，则最终结算价为：100*（1-</w:t>
      </w:r>
      <w:r>
        <w:rPr>
          <w:rFonts w:hint="eastAsia" w:ascii="宋体" w:hAnsi="宋体"/>
          <w:b w:val="0"/>
          <w:bCs w:val="0"/>
          <w:color w:val="auto"/>
          <w:sz w:val="24"/>
          <w:highlight w:val="none"/>
          <w:lang w:val="en-US" w:eastAsia="zh-CN"/>
        </w:rPr>
        <w:t>8</w:t>
      </w:r>
      <w:r>
        <w:rPr>
          <w:rFonts w:hint="eastAsia" w:ascii="宋体" w:hAnsi="宋体"/>
          <w:b w:val="0"/>
          <w:bCs w:val="0"/>
          <w:color w:val="auto"/>
          <w:sz w:val="24"/>
          <w:highlight w:val="none"/>
          <w:lang w:eastAsia="zh-CN"/>
        </w:rPr>
        <w:t>0%）】</w:t>
      </w:r>
    </w:p>
    <w:p w14:paraId="384FB64C">
      <w:pPr>
        <w:pStyle w:val="193"/>
        <w:spacing w:line="360" w:lineRule="auto"/>
        <w:ind w:firstLine="0"/>
        <w:rPr>
          <w:rFonts w:hint="eastAsia" w:ascii="宋体" w:hAnsi="宋体"/>
          <w:color w:val="auto"/>
          <w:sz w:val="28"/>
          <w:szCs w:val="28"/>
          <w:highlight w:val="none"/>
        </w:rPr>
      </w:pPr>
    </w:p>
    <w:p w14:paraId="082202DB">
      <w:pPr>
        <w:pStyle w:val="193"/>
        <w:spacing w:line="360" w:lineRule="auto"/>
        <w:ind w:firstLine="0"/>
        <w:rPr>
          <w:rFonts w:hint="eastAsia" w:ascii="宋体" w:hAnsi="宋体"/>
          <w:color w:val="auto"/>
          <w:sz w:val="28"/>
          <w:szCs w:val="28"/>
          <w:highlight w:val="none"/>
        </w:rPr>
      </w:pPr>
    </w:p>
    <w:p w14:paraId="06B8664E">
      <w:pPr>
        <w:pStyle w:val="193"/>
        <w:spacing w:line="360" w:lineRule="auto"/>
        <w:ind w:firstLine="0"/>
        <w:rPr>
          <w:rFonts w:hint="eastAsia" w:ascii="宋体" w:hAnsi="宋体"/>
          <w:color w:val="auto"/>
          <w:sz w:val="28"/>
          <w:szCs w:val="28"/>
          <w:highlight w:val="none"/>
        </w:rPr>
      </w:pPr>
    </w:p>
    <w:p w14:paraId="2184EB27">
      <w:pPr>
        <w:pStyle w:val="193"/>
        <w:spacing w:line="360" w:lineRule="auto"/>
        <w:ind w:firstLine="0"/>
        <w:rPr>
          <w:rFonts w:hint="eastAsia" w:ascii="宋体" w:hAnsi="宋体"/>
          <w:color w:val="auto"/>
          <w:sz w:val="28"/>
          <w:szCs w:val="28"/>
          <w:highlight w:val="none"/>
        </w:rPr>
      </w:pPr>
    </w:p>
    <w:p w14:paraId="57D1B489">
      <w:pPr>
        <w:pStyle w:val="193"/>
        <w:spacing w:line="360" w:lineRule="auto"/>
        <w:ind w:firstLine="0"/>
        <w:rPr>
          <w:rFonts w:hint="eastAsia" w:ascii="宋体" w:hAnsi="宋体"/>
          <w:color w:val="auto"/>
          <w:sz w:val="28"/>
          <w:szCs w:val="28"/>
          <w:highlight w:val="none"/>
        </w:rPr>
      </w:pPr>
    </w:p>
    <w:p w14:paraId="79FDF8E8">
      <w:pPr>
        <w:rPr>
          <w:rFonts w:hint="eastAsia" w:ascii="宋体" w:hAnsi="宋体"/>
          <w:color w:val="auto"/>
          <w:sz w:val="28"/>
          <w:szCs w:val="28"/>
          <w:highlight w:val="none"/>
        </w:rPr>
      </w:pPr>
      <w:r>
        <w:rPr>
          <w:rFonts w:hint="eastAsia" w:ascii="宋体" w:hAnsi="宋体"/>
          <w:color w:val="auto"/>
          <w:sz w:val="28"/>
          <w:szCs w:val="28"/>
          <w:highlight w:val="none"/>
        </w:rPr>
        <w:br w:type="page"/>
      </w:r>
    </w:p>
    <w:p w14:paraId="60F94AE7">
      <w:pPr>
        <w:pStyle w:val="193"/>
        <w:spacing w:line="360" w:lineRule="auto"/>
        <w:ind w:firstLine="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4、投标报价明细表</w:t>
      </w:r>
    </w:p>
    <w:p w14:paraId="2836E831">
      <w:pPr>
        <w:rPr>
          <w:rFonts w:hint="eastAsia" w:ascii="宋体" w:hAnsi="宋体"/>
          <w:color w:val="auto"/>
          <w:sz w:val="28"/>
          <w:szCs w:val="28"/>
          <w:highlight w:val="none"/>
        </w:rPr>
      </w:pPr>
    </w:p>
    <w:p w14:paraId="2994ACA2">
      <w:pPr>
        <w:jc w:val="center"/>
        <w:rPr>
          <w:rFonts w:hint="eastAsia" w:ascii="宋体" w:hAnsi="宋体"/>
          <w:color w:val="auto"/>
          <w:sz w:val="28"/>
          <w:szCs w:val="28"/>
          <w:highlight w:val="none"/>
        </w:rPr>
      </w:pPr>
      <w:r>
        <w:rPr>
          <w:rFonts w:hint="eastAsia" w:ascii="宋体" w:hAnsi="宋体" w:eastAsia="宋体" w:cs="宋体"/>
          <w:color w:val="auto"/>
          <w:sz w:val="28"/>
          <w:szCs w:val="28"/>
          <w:highlight w:val="none"/>
        </w:rPr>
        <w:t>投标报价明细表</w:t>
      </w:r>
    </w:p>
    <w:p w14:paraId="68885E82">
      <w:pPr>
        <w:rPr>
          <w:rFonts w:hint="eastAsia" w:ascii="宋体" w:hAnsi="宋体"/>
          <w:color w:val="auto"/>
          <w:sz w:val="28"/>
          <w:szCs w:val="28"/>
          <w:highlight w:val="none"/>
        </w:rPr>
      </w:pPr>
    </w:p>
    <w:tbl>
      <w:tblPr>
        <w:tblStyle w:val="33"/>
        <w:tblW w:w="4870" w:type="pct"/>
        <w:tblInd w:w="12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93"/>
        <w:gridCol w:w="1805"/>
        <w:gridCol w:w="1950"/>
        <w:gridCol w:w="1651"/>
        <w:gridCol w:w="1996"/>
      </w:tblGrid>
      <w:tr w14:paraId="3C2AE1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538" w:type="pct"/>
            <w:noWrap w:val="0"/>
            <w:vAlign w:val="center"/>
          </w:tcPr>
          <w:p w14:paraId="38AD7CA8">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br w:type="page"/>
            </w:r>
            <w:r>
              <w:rPr>
                <w:rFonts w:hint="eastAsia" w:ascii="宋体" w:hAnsi="宋体" w:cs="宋体"/>
                <w:color w:val="auto"/>
                <w:sz w:val="24"/>
                <w:szCs w:val="24"/>
                <w:highlight w:val="none"/>
                <w:lang w:val="en-US" w:eastAsia="zh-CN"/>
              </w:rPr>
              <w:t>序</w:t>
            </w:r>
            <w:r>
              <w:rPr>
                <w:rFonts w:hint="eastAsia" w:ascii="宋体" w:hAnsi="宋体" w:eastAsia="宋体" w:cs="宋体"/>
                <w:color w:val="auto"/>
                <w:sz w:val="24"/>
                <w:szCs w:val="24"/>
                <w:highlight w:val="none"/>
              </w:rPr>
              <w:t>号</w:t>
            </w:r>
          </w:p>
        </w:tc>
        <w:tc>
          <w:tcPr>
            <w:tcW w:w="1088" w:type="pct"/>
            <w:noWrap w:val="0"/>
            <w:vAlign w:val="center"/>
          </w:tcPr>
          <w:p w14:paraId="72368A1D">
            <w:pPr>
              <w:widowControl/>
              <w:jc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采购内容</w:t>
            </w:r>
          </w:p>
        </w:tc>
        <w:tc>
          <w:tcPr>
            <w:tcW w:w="1175" w:type="pct"/>
            <w:noWrap w:val="0"/>
            <w:vAlign w:val="center"/>
          </w:tcPr>
          <w:p w14:paraId="7FAA4B2A">
            <w:pPr>
              <w:jc w:val="center"/>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优惠</w:t>
            </w:r>
            <w:r>
              <w:rPr>
                <w:rFonts w:hint="eastAsia" w:ascii="宋体" w:hAnsi="宋体" w:cs="宋体"/>
                <w:color w:val="auto"/>
                <w:sz w:val="24"/>
                <w:szCs w:val="24"/>
                <w:highlight w:val="none"/>
              </w:rPr>
              <w:t>率限价</w:t>
            </w:r>
          </w:p>
          <w:p w14:paraId="38F88C1B">
            <w:pPr>
              <w:jc w:val="center"/>
              <w:rPr>
                <w:rFonts w:hint="eastAsia" w:ascii="宋体" w:hAnsi="宋体" w:eastAsia="宋体" w:cs="宋体"/>
                <w:color w:val="auto"/>
                <w:sz w:val="24"/>
                <w:szCs w:val="24"/>
                <w:highlight w:val="none"/>
              </w:rPr>
            </w:pPr>
            <w:r>
              <w:rPr>
                <w:rFonts w:hint="eastAsia" w:ascii="宋体" w:hAnsi="宋体" w:cs="宋体"/>
                <w:color w:val="auto"/>
                <w:sz w:val="24"/>
                <w:szCs w:val="24"/>
                <w:highlight w:val="none"/>
              </w:rPr>
              <w:t>（%）</w:t>
            </w:r>
          </w:p>
        </w:tc>
        <w:tc>
          <w:tcPr>
            <w:tcW w:w="995" w:type="pct"/>
            <w:noWrap w:val="0"/>
            <w:vAlign w:val="center"/>
          </w:tcPr>
          <w:p w14:paraId="08EA56C4">
            <w:pPr>
              <w:jc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优惠</w:t>
            </w:r>
            <w:r>
              <w:rPr>
                <w:rFonts w:hint="eastAsia" w:ascii="宋体" w:hAnsi="宋体" w:cs="宋体"/>
                <w:color w:val="auto"/>
                <w:sz w:val="24"/>
                <w:szCs w:val="24"/>
                <w:highlight w:val="none"/>
              </w:rPr>
              <w:t>率报价（%）</w:t>
            </w:r>
          </w:p>
        </w:tc>
        <w:tc>
          <w:tcPr>
            <w:tcW w:w="1202" w:type="pct"/>
            <w:noWrap w:val="0"/>
            <w:vAlign w:val="center"/>
          </w:tcPr>
          <w:p w14:paraId="19E70CCB">
            <w:pPr>
              <w:pStyle w:val="214"/>
              <w:adjustRightInd/>
              <w:spacing w:line="360" w:lineRule="auto"/>
              <w:jc w:val="center"/>
              <w:rPr>
                <w:rFonts w:hint="eastAsia" w:ascii="宋体" w:hAnsi="宋体" w:eastAsia="宋体" w:cs="宋体"/>
                <w:color w:val="auto"/>
                <w:sz w:val="24"/>
                <w:szCs w:val="24"/>
                <w:highlight w:val="none"/>
              </w:rPr>
            </w:pPr>
            <w:r>
              <w:rPr>
                <w:rFonts w:hAnsi="宋体" w:eastAsia="宋体" w:cs="宋体"/>
                <w:color w:val="auto"/>
                <w:sz w:val="24"/>
                <w:szCs w:val="24"/>
                <w:highlight w:val="none"/>
                <w:lang w:val="zh-CN"/>
              </w:rPr>
              <w:t>服务期限</w:t>
            </w:r>
          </w:p>
        </w:tc>
      </w:tr>
      <w:tr w14:paraId="095A21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538" w:type="pct"/>
            <w:noWrap w:val="0"/>
            <w:vAlign w:val="center"/>
          </w:tcPr>
          <w:p w14:paraId="1EDD4D54">
            <w:pPr>
              <w:widowControl/>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1</w:t>
            </w:r>
          </w:p>
        </w:tc>
        <w:tc>
          <w:tcPr>
            <w:tcW w:w="1088" w:type="pct"/>
            <w:noWrap w:val="0"/>
            <w:vAlign w:val="center"/>
          </w:tcPr>
          <w:p w14:paraId="3C4E53A6">
            <w:pPr>
              <w:jc w:val="center"/>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lang w:eastAsia="zh-CN"/>
              </w:rPr>
              <w:t>普检项目</w:t>
            </w:r>
          </w:p>
        </w:tc>
        <w:tc>
          <w:tcPr>
            <w:tcW w:w="1175" w:type="pct"/>
            <w:noWrap w:val="0"/>
            <w:vAlign w:val="center"/>
          </w:tcPr>
          <w:p w14:paraId="0F9F0632">
            <w:pPr>
              <w:widowControl/>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80%</w:t>
            </w:r>
          </w:p>
        </w:tc>
        <w:tc>
          <w:tcPr>
            <w:tcW w:w="995" w:type="pct"/>
            <w:noWrap w:val="0"/>
            <w:vAlign w:val="center"/>
          </w:tcPr>
          <w:p w14:paraId="3944EFCE">
            <w:pPr>
              <w:pStyle w:val="42"/>
              <w:jc w:val="center"/>
              <w:rPr>
                <w:rFonts w:hint="eastAsia" w:ascii="宋体" w:hAnsi="宋体" w:eastAsia="宋体" w:cs="宋体"/>
                <w:color w:val="auto"/>
                <w:sz w:val="24"/>
                <w:szCs w:val="24"/>
                <w:highlight w:val="none"/>
                <w:lang w:val="en-US" w:eastAsia="zh-CN"/>
              </w:rPr>
            </w:pPr>
          </w:p>
        </w:tc>
        <w:tc>
          <w:tcPr>
            <w:tcW w:w="1202" w:type="pct"/>
            <w:vMerge w:val="restart"/>
            <w:noWrap w:val="0"/>
            <w:vAlign w:val="center"/>
          </w:tcPr>
          <w:p w14:paraId="57A91A24">
            <w:pPr>
              <w:pStyle w:val="42"/>
              <w:jc w:val="center"/>
              <w:rPr>
                <w:rFonts w:hint="eastAsia" w:ascii="宋体" w:hAnsi="宋体" w:eastAsia="宋体" w:cs="宋体"/>
                <w:color w:val="auto"/>
                <w:sz w:val="24"/>
                <w:szCs w:val="24"/>
                <w:highlight w:val="none"/>
                <w:lang w:val="en-US" w:eastAsia="zh-CN"/>
              </w:rPr>
            </w:pPr>
          </w:p>
        </w:tc>
      </w:tr>
      <w:tr w14:paraId="6F85AE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538" w:type="pct"/>
            <w:noWrap w:val="0"/>
            <w:vAlign w:val="center"/>
          </w:tcPr>
          <w:p w14:paraId="2F077DC8">
            <w:pPr>
              <w:widowControl/>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2</w:t>
            </w:r>
          </w:p>
        </w:tc>
        <w:tc>
          <w:tcPr>
            <w:tcW w:w="1088" w:type="pct"/>
            <w:noWrap w:val="0"/>
            <w:vAlign w:val="center"/>
          </w:tcPr>
          <w:p w14:paraId="40BF5102">
            <w:pPr>
              <w:widowControl/>
              <w:jc w:val="center"/>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lang w:eastAsia="zh-CN"/>
              </w:rPr>
              <w:t>特检项目</w:t>
            </w:r>
          </w:p>
        </w:tc>
        <w:tc>
          <w:tcPr>
            <w:tcW w:w="1175" w:type="pct"/>
            <w:noWrap w:val="0"/>
            <w:vAlign w:val="center"/>
          </w:tcPr>
          <w:p w14:paraId="5BA3B4BC">
            <w:pPr>
              <w:widowControl/>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70%</w:t>
            </w:r>
          </w:p>
        </w:tc>
        <w:tc>
          <w:tcPr>
            <w:tcW w:w="995" w:type="pct"/>
            <w:noWrap w:val="0"/>
            <w:vAlign w:val="center"/>
          </w:tcPr>
          <w:p w14:paraId="763305C0">
            <w:pPr>
              <w:widowControl/>
              <w:jc w:val="center"/>
              <w:rPr>
                <w:rFonts w:hint="eastAsia" w:ascii="宋体" w:hAnsi="宋体" w:eastAsia="宋体" w:cs="宋体"/>
                <w:color w:val="auto"/>
                <w:sz w:val="24"/>
                <w:szCs w:val="24"/>
                <w:highlight w:val="none"/>
                <w:lang w:val="en-US" w:eastAsia="zh-CN"/>
              </w:rPr>
            </w:pPr>
          </w:p>
        </w:tc>
        <w:tc>
          <w:tcPr>
            <w:tcW w:w="1202" w:type="pct"/>
            <w:vMerge w:val="continue"/>
            <w:noWrap w:val="0"/>
            <w:vAlign w:val="center"/>
          </w:tcPr>
          <w:p w14:paraId="48B0E88F">
            <w:pPr>
              <w:widowControl/>
              <w:jc w:val="center"/>
              <w:rPr>
                <w:rFonts w:hint="default" w:ascii="宋体" w:hAnsi="宋体" w:eastAsia="宋体" w:cs="宋体"/>
                <w:color w:val="auto"/>
                <w:sz w:val="24"/>
                <w:szCs w:val="24"/>
                <w:highlight w:val="none"/>
                <w:lang w:val="en-US" w:eastAsia="zh-CN"/>
              </w:rPr>
            </w:pPr>
          </w:p>
        </w:tc>
      </w:tr>
      <w:tr w14:paraId="2496A4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1626" w:type="pct"/>
            <w:gridSpan w:val="2"/>
            <w:noWrap w:val="0"/>
            <w:vAlign w:val="center"/>
          </w:tcPr>
          <w:p w14:paraId="074E6419">
            <w:pPr>
              <w:widowControl/>
              <w:jc w:val="center"/>
              <w:rPr>
                <w:rFonts w:hint="default" w:ascii="宋体" w:hAnsi="宋体" w:eastAsia="宋体" w:cs="宋体"/>
                <w:b/>
                <w:bCs/>
                <w:color w:val="auto"/>
                <w:sz w:val="24"/>
                <w:szCs w:val="24"/>
                <w:highlight w:val="none"/>
                <w:lang w:val="en-US" w:eastAsia="zh-CN"/>
              </w:rPr>
            </w:pPr>
            <w:r>
              <w:rPr>
                <w:rFonts w:hint="eastAsia" w:ascii="宋体" w:hAnsi="宋体" w:cs="宋体"/>
                <w:b/>
                <w:bCs/>
                <w:color w:val="auto"/>
                <w:sz w:val="24"/>
                <w:szCs w:val="24"/>
                <w:highlight w:val="none"/>
                <w:lang w:val="en-US" w:eastAsia="zh-CN"/>
              </w:rPr>
              <w:t>合计优惠率</w:t>
            </w:r>
          </w:p>
        </w:tc>
        <w:tc>
          <w:tcPr>
            <w:tcW w:w="3373" w:type="pct"/>
            <w:gridSpan w:val="3"/>
            <w:noWrap w:val="0"/>
            <w:vAlign w:val="center"/>
          </w:tcPr>
          <w:p w14:paraId="3E66D42A">
            <w:pPr>
              <w:widowControl/>
              <w:jc w:val="both"/>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（大写）                 小写：</w:t>
            </w:r>
          </w:p>
        </w:tc>
      </w:tr>
    </w:tbl>
    <w:p w14:paraId="28A1E5CA">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b w:val="0"/>
          <w:bCs w:val="0"/>
          <w:color w:val="auto"/>
          <w:sz w:val="24"/>
          <w:highlight w:val="none"/>
        </w:rPr>
      </w:pPr>
      <w:r>
        <w:rPr>
          <w:rFonts w:hint="eastAsia" w:ascii="宋体" w:hAnsi="宋体"/>
          <w:b w:val="0"/>
          <w:bCs w:val="0"/>
          <w:color w:val="auto"/>
          <w:sz w:val="24"/>
          <w:highlight w:val="none"/>
        </w:rPr>
        <w:t>注：</w:t>
      </w:r>
      <w:r>
        <w:rPr>
          <w:rFonts w:hint="eastAsia" w:ascii="宋体" w:hAnsi="宋体"/>
          <w:b w:val="0"/>
          <w:bCs w:val="0"/>
          <w:color w:val="auto"/>
          <w:sz w:val="24"/>
          <w:highlight w:val="none"/>
          <w:lang w:val="en-US" w:eastAsia="zh-CN"/>
        </w:rPr>
        <w:t>1）投标</w:t>
      </w:r>
      <w:r>
        <w:rPr>
          <w:rFonts w:hint="eastAsia" w:ascii="宋体" w:hAnsi="宋体"/>
          <w:b w:val="0"/>
          <w:bCs w:val="0"/>
          <w:color w:val="auto"/>
          <w:sz w:val="24"/>
          <w:highlight w:val="none"/>
        </w:rPr>
        <w:t>单位</w:t>
      </w:r>
      <w:r>
        <w:rPr>
          <w:rFonts w:hint="eastAsia" w:ascii="宋体" w:hAnsi="宋体"/>
          <w:b w:val="0"/>
          <w:bCs w:val="0"/>
          <w:color w:val="auto"/>
          <w:sz w:val="24"/>
          <w:highlight w:val="none"/>
          <w:lang w:val="en-US" w:eastAsia="zh-CN"/>
        </w:rPr>
        <w:t>按限价要求进行</w:t>
      </w:r>
      <w:r>
        <w:rPr>
          <w:rFonts w:hint="eastAsia" w:ascii="宋体" w:hAnsi="宋体"/>
          <w:b w:val="0"/>
          <w:bCs w:val="0"/>
          <w:color w:val="auto"/>
          <w:sz w:val="24"/>
          <w:highlight w:val="none"/>
        </w:rPr>
        <w:t>填报，</w:t>
      </w:r>
      <w:r>
        <w:rPr>
          <w:rFonts w:hint="eastAsia" w:ascii="宋体" w:hAnsi="宋体"/>
          <w:b w:val="0"/>
          <w:bCs w:val="0"/>
          <w:color w:val="auto"/>
          <w:sz w:val="24"/>
          <w:highlight w:val="none"/>
          <w:lang w:val="en-US" w:eastAsia="zh-CN"/>
        </w:rPr>
        <w:t>超出此范围的报价为无效响应报价，无效投标报价的投标文件不进行评审，也不得中标</w:t>
      </w:r>
      <w:r>
        <w:rPr>
          <w:rFonts w:hint="eastAsia" w:ascii="宋体" w:hAnsi="宋体"/>
          <w:b w:val="0"/>
          <w:bCs w:val="0"/>
          <w:color w:val="auto"/>
          <w:sz w:val="24"/>
          <w:highlight w:val="none"/>
        </w:rPr>
        <w:t>。</w:t>
      </w:r>
    </w:p>
    <w:p w14:paraId="3F92AE7F">
      <w:pPr>
        <w:pStyle w:val="204"/>
        <w:numPr>
          <w:ilvl w:val="0"/>
          <w:numId w:val="0"/>
        </w:numPr>
        <w:spacing w:line="360" w:lineRule="auto"/>
        <w:rPr>
          <w:rFonts w:hint="eastAsia" w:ascii="宋体" w:hAnsi="宋体" w:eastAsia="宋体" w:cs="宋体"/>
          <w:b w:val="0"/>
          <w:bCs w:val="0"/>
          <w:color w:val="auto"/>
          <w:sz w:val="24"/>
          <w:szCs w:val="24"/>
          <w:highlight w:val="none"/>
        </w:rPr>
      </w:pPr>
      <w:r>
        <w:rPr>
          <w:rFonts w:hint="eastAsia" w:ascii="宋体" w:hAnsi="宋体" w:cs="宋体"/>
          <w:color w:val="auto"/>
          <w:sz w:val="24"/>
          <w:szCs w:val="24"/>
          <w:highlight w:val="yellow"/>
          <w:lang w:val="en-US" w:eastAsia="zh-CN"/>
        </w:rPr>
        <w:t>2）</w:t>
      </w:r>
      <w:r>
        <w:rPr>
          <w:rFonts w:hint="eastAsia" w:ascii="宋体" w:hAnsi="宋体" w:eastAsia="宋体" w:cs="宋体"/>
          <w:b/>
          <w:bCs/>
          <w:color w:val="auto"/>
          <w:sz w:val="24"/>
          <w:szCs w:val="24"/>
          <w:highlight w:val="yellow"/>
          <w:lang w:val="en-US" w:eastAsia="zh-CN"/>
        </w:rPr>
        <w:t>普检项目：投标优惠率处于【80%（含）-100%（含）】、特检项目：投标优惠率处于【70%（含）-100%（含）】的，为有效投标报价，超出此范围的报价为无效报价。</w:t>
      </w:r>
      <w:r>
        <w:rPr>
          <w:rFonts w:hint="eastAsia" w:ascii="宋体" w:hAnsi="宋体" w:eastAsia="宋体" w:cs="宋体"/>
          <w:b w:val="0"/>
          <w:bCs w:val="0"/>
          <w:color w:val="auto"/>
          <w:sz w:val="24"/>
          <w:szCs w:val="24"/>
          <w:highlight w:val="none"/>
          <w:lang w:val="en-US" w:eastAsia="zh-CN"/>
        </w:rPr>
        <w:t>【</w:t>
      </w:r>
      <w:r>
        <w:rPr>
          <w:rFonts w:hint="eastAsia" w:ascii="宋体" w:hAnsi="宋体" w:eastAsia="宋体" w:cs="宋体"/>
          <w:b/>
          <w:bCs/>
          <w:color w:val="auto"/>
          <w:sz w:val="24"/>
          <w:szCs w:val="24"/>
          <w:highlight w:val="none"/>
          <w:lang w:val="en-US" w:eastAsia="zh-CN"/>
        </w:rPr>
        <w:t>举例说明：</w:t>
      </w:r>
      <w:r>
        <w:rPr>
          <w:rFonts w:hint="eastAsia" w:ascii="宋体" w:hAnsi="宋体" w:eastAsia="宋体" w:cs="宋体"/>
          <w:b w:val="0"/>
          <w:bCs w:val="0"/>
          <w:color w:val="auto"/>
          <w:sz w:val="24"/>
          <w:szCs w:val="24"/>
          <w:highlight w:val="none"/>
          <w:lang w:val="en-US" w:eastAsia="zh-CN"/>
        </w:rPr>
        <w:t>如收费标准为100元，投标单位优惠率为80%，则最终结算价为：100*（1-80%）】</w:t>
      </w:r>
      <w:r>
        <w:rPr>
          <w:rFonts w:hint="eastAsia" w:hAnsi="宋体" w:eastAsia="宋体" w:cs="宋体"/>
          <w:b w:val="0"/>
          <w:bCs w:val="0"/>
          <w:color w:val="auto"/>
          <w:sz w:val="24"/>
          <w:szCs w:val="24"/>
          <w:highlight w:val="none"/>
          <w:lang w:val="en-US" w:eastAsia="zh-CN"/>
        </w:rPr>
        <w:t>。</w:t>
      </w:r>
    </w:p>
    <w:p w14:paraId="0AF7504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color w:val="auto"/>
          <w:sz w:val="24"/>
          <w:szCs w:val="24"/>
          <w:highlight w:val="none"/>
          <w:lang w:val="en-US" w:eastAsia="zh-CN"/>
        </w:rPr>
      </w:pPr>
    </w:p>
    <w:p w14:paraId="495BD93E">
      <w:pPr>
        <w:rPr>
          <w:rFonts w:hint="eastAsia" w:ascii="宋体" w:hAnsi="宋体" w:eastAsia="宋体" w:cs="宋体"/>
          <w:color w:val="auto"/>
          <w:sz w:val="24"/>
          <w:szCs w:val="24"/>
          <w:highlight w:val="none"/>
          <w:lang w:val="en-US" w:eastAsia="zh-CN"/>
        </w:rPr>
      </w:pPr>
    </w:p>
    <w:p w14:paraId="648F3C6C">
      <w:pPr>
        <w:rPr>
          <w:rFonts w:hint="eastAsia" w:ascii="宋体" w:hAnsi="宋体" w:eastAsia="宋体" w:cs="宋体"/>
          <w:color w:val="auto"/>
          <w:sz w:val="24"/>
          <w:szCs w:val="24"/>
          <w:highlight w:val="none"/>
          <w:lang w:val="en-US" w:eastAsia="zh-CN"/>
        </w:rPr>
      </w:pPr>
    </w:p>
    <w:p w14:paraId="40072825">
      <w:pPr>
        <w:rPr>
          <w:rFonts w:hint="eastAsia" w:ascii="宋体" w:hAnsi="宋体" w:eastAsia="宋体" w:cs="宋体"/>
          <w:color w:val="auto"/>
          <w:sz w:val="24"/>
          <w:szCs w:val="24"/>
          <w:highlight w:val="none"/>
          <w:lang w:val="en-US" w:eastAsia="zh-CN"/>
        </w:rPr>
      </w:pPr>
    </w:p>
    <w:p w14:paraId="29DA9753">
      <w:pPr>
        <w:spacing w:line="360" w:lineRule="auto"/>
        <w:rPr>
          <w:rFonts w:hint="eastAsia" w:ascii="宋体" w:hAnsi="宋体"/>
          <w:color w:val="auto"/>
          <w:sz w:val="24"/>
          <w:highlight w:val="none"/>
        </w:rPr>
      </w:pPr>
    </w:p>
    <w:p w14:paraId="4A058DB9">
      <w:pPr>
        <w:spacing w:line="360" w:lineRule="auto"/>
        <w:rPr>
          <w:rFonts w:hint="eastAsia" w:ascii="宋体" w:hAnsi="宋体"/>
          <w:color w:val="auto"/>
          <w:sz w:val="24"/>
          <w:highlight w:val="none"/>
        </w:rPr>
      </w:pPr>
      <w:r>
        <w:rPr>
          <w:rFonts w:hint="eastAsia" w:ascii="宋体" w:hAnsi="宋体"/>
          <w:color w:val="auto"/>
          <w:sz w:val="24"/>
          <w:highlight w:val="none"/>
        </w:rPr>
        <w:t>投标单位：（单位盖章）</w:t>
      </w:r>
    </w:p>
    <w:p w14:paraId="543D2414">
      <w:pPr>
        <w:spacing w:line="360" w:lineRule="auto"/>
        <w:rPr>
          <w:rFonts w:hint="eastAsia" w:ascii="宋体" w:hAnsi="宋体"/>
          <w:color w:val="auto"/>
          <w:sz w:val="24"/>
          <w:highlight w:val="none"/>
        </w:rPr>
      </w:pPr>
      <w:r>
        <w:rPr>
          <w:rFonts w:hint="eastAsia" w:ascii="宋体" w:hAnsi="宋体"/>
          <w:color w:val="auto"/>
          <w:sz w:val="24"/>
          <w:highlight w:val="none"/>
        </w:rPr>
        <w:t>法定代表人或代理人：（签字或盖章）</w:t>
      </w:r>
    </w:p>
    <w:p w14:paraId="43B5FAC7">
      <w:pPr>
        <w:spacing w:line="480" w:lineRule="auto"/>
        <w:rPr>
          <w:rFonts w:hint="eastAsia" w:ascii="宋体" w:hAnsi="宋体"/>
          <w:bCs/>
          <w:color w:val="auto"/>
          <w:sz w:val="24"/>
          <w:szCs w:val="24"/>
          <w:highlight w:val="none"/>
        </w:rPr>
      </w:pPr>
      <w:r>
        <w:rPr>
          <w:rFonts w:hint="eastAsia" w:ascii="宋体" w:hAnsi="宋体"/>
          <w:color w:val="auto"/>
          <w:sz w:val="24"/>
          <w:highlight w:val="none"/>
        </w:rPr>
        <w:t>日期：     年     月     日</w:t>
      </w:r>
    </w:p>
    <w:p w14:paraId="7DD40ADD">
      <w:pP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br w:type="page"/>
      </w:r>
    </w:p>
    <w:p w14:paraId="4ECD917F">
      <w:pPr>
        <w:pStyle w:val="193"/>
        <w:spacing w:line="360" w:lineRule="auto"/>
        <w:ind w:firstLine="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5、</w:t>
      </w:r>
      <w:r>
        <w:rPr>
          <w:rFonts w:hint="eastAsia" w:ascii="宋体" w:hAnsi="宋体" w:eastAsia="宋体" w:cs="宋体"/>
          <w:color w:val="auto"/>
          <w:sz w:val="28"/>
          <w:szCs w:val="28"/>
          <w:highlight w:val="none"/>
        </w:rPr>
        <w:t>关于投标报价合理性的澄清说明</w:t>
      </w:r>
      <w:r>
        <w:rPr>
          <w:rFonts w:hint="eastAsia" w:ascii="宋体" w:hAnsi="宋体" w:eastAsia="宋体" w:cs="宋体"/>
          <w:color w:val="auto"/>
          <w:sz w:val="28"/>
          <w:szCs w:val="28"/>
          <w:highlight w:val="none"/>
          <w:lang w:eastAsia="zh-CN"/>
        </w:rPr>
        <w:t>（</w:t>
      </w:r>
      <w:r>
        <w:rPr>
          <w:rFonts w:hint="eastAsia" w:ascii="宋体" w:hAnsi="宋体" w:eastAsia="宋体" w:cs="宋体"/>
          <w:color w:val="auto"/>
          <w:sz w:val="28"/>
          <w:szCs w:val="28"/>
          <w:highlight w:val="none"/>
          <w:lang w:val="en-US" w:eastAsia="zh-CN"/>
        </w:rPr>
        <w:t>若涉及）</w:t>
      </w:r>
    </w:p>
    <w:p w14:paraId="2A51ECD4">
      <w:pPr>
        <w:ind w:left="0" w:firstLine="420"/>
        <w:jc w:val="center"/>
        <w:rPr>
          <w:rFonts w:ascii="宋体" w:hAnsi="宋体"/>
          <w:b/>
          <w:color w:val="auto"/>
          <w:sz w:val="21"/>
          <w:szCs w:val="21"/>
          <w:highlight w:val="none"/>
        </w:rPr>
      </w:pPr>
    </w:p>
    <w:p w14:paraId="63924AB1">
      <w:pPr>
        <w:spacing w:line="360" w:lineRule="auto"/>
        <w:jc w:val="center"/>
        <w:rPr>
          <w:rFonts w:hint="eastAsia" w:ascii="宋体" w:hAnsi="宋体" w:cs="宋体"/>
          <w:b/>
          <w:color w:val="auto"/>
          <w:sz w:val="24"/>
          <w:highlight w:val="none"/>
          <w:lang w:val="en-US" w:eastAsia="zh-CN"/>
        </w:rPr>
      </w:pPr>
      <w:r>
        <w:rPr>
          <w:rFonts w:hint="eastAsia" w:ascii="宋体" w:hAnsi="宋体" w:cs="宋体"/>
          <w:b/>
          <w:color w:val="auto"/>
          <w:sz w:val="24"/>
          <w:highlight w:val="none"/>
          <w:lang w:val="en-US" w:eastAsia="zh-CN"/>
        </w:rPr>
        <w:t>关于投标报价合理性的澄清说明</w:t>
      </w:r>
    </w:p>
    <w:p w14:paraId="7A22054E">
      <w:pPr>
        <w:spacing w:line="360" w:lineRule="auto"/>
        <w:jc w:val="center"/>
        <w:rPr>
          <w:rFonts w:hint="eastAsia" w:ascii="宋体" w:hAnsi="宋体" w:cs="宋体"/>
          <w:b/>
          <w:color w:val="auto"/>
          <w:sz w:val="24"/>
          <w:highlight w:val="none"/>
          <w:lang w:val="en-US" w:eastAsia="zh-CN"/>
        </w:rPr>
      </w:pPr>
    </w:p>
    <w:p w14:paraId="5FEF80DE">
      <w:pPr>
        <w:spacing w:line="360" w:lineRule="auto"/>
        <w:ind w:left="0"/>
        <w:jc w:val="left"/>
        <w:rPr>
          <w:rFonts w:ascii="宋体" w:hAnsi="宋体"/>
          <w:color w:val="auto"/>
          <w:sz w:val="24"/>
          <w:szCs w:val="24"/>
          <w:highlight w:val="none"/>
        </w:rPr>
      </w:pPr>
      <w:r>
        <w:rPr>
          <w:rFonts w:hint="eastAsia" w:ascii="宋体" w:hAnsi="宋体"/>
          <w:color w:val="auto"/>
          <w:sz w:val="24"/>
          <w:szCs w:val="24"/>
          <w:highlight w:val="none"/>
          <w:u w:val="single"/>
        </w:rPr>
        <w:t>苏州</w:t>
      </w:r>
      <w:r>
        <w:rPr>
          <w:rFonts w:hint="eastAsia" w:ascii="宋体" w:hAnsi="宋体"/>
          <w:color w:val="auto"/>
          <w:sz w:val="24"/>
          <w:szCs w:val="24"/>
          <w:highlight w:val="none"/>
          <w:u w:val="single"/>
          <w:lang w:val="en-US" w:eastAsia="zh-CN"/>
        </w:rPr>
        <w:t>时代招投标有限公司</w:t>
      </w:r>
      <w:r>
        <w:rPr>
          <w:rFonts w:ascii="宋体" w:hAnsi="宋体"/>
          <w:color w:val="auto"/>
          <w:sz w:val="24"/>
          <w:szCs w:val="24"/>
          <w:highlight w:val="none"/>
        </w:rPr>
        <w:t>：</w:t>
      </w:r>
    </w:p>
    <w:p w14:paraId="64CEE76C">
      <w:pPr>
        <w:pStyle w:val="16"/>
        <w:spacing w:line="360" w:lineRule="auto"/>
        <w:ind w:left="0" w:firstLine="420"/>
        <w:rPr>
          <w:rFonts w:ascii="宋体" w:hAnsi="宋体" w:cs="宋体"/>
          <w:color w:val="auto"/>
          <w:sz w:val="24"/>
          <w:szCs w:val="24"/>
          <w:highlight w:val="none"/>
        </w:rPr>
      </w:pPr>
      <w:r>
        <w:rPr>
          <w:rFonts w:ascii="宋体" w:hAnsi="宋体"/>
          <w:color w:val="auto"/>
          <w:sz w:val="24"/>
          <w:szCs w:val="24"/>
          <w:highlight w:val="none"/>
        </w:rPr>
        <w:t>本公司愿就由贵</w:t>
      </w:r>
      <w:r>
        <w:rPr>
          <w:rFonts w:hint="eastAsia" w:ascii="宋体" w:hAnsi="宋体"/>
          <w:color w:val="auto"/>
          <w:sz w:val="24"/>
          <w:szCs w:val="24"/>
          <w:highlight w:val="none"/>
        </w:rPr>
        <w:t>中心</w:t>
      </w:r>
      <w:r>
        <w:rPr>
          <w:rFonts w:ascii="宋体" w:hAnsi="宋体"/>
          <w:color w:val="auto"/>
          <w:sz w:val="24"/>
          <w:szCs w:val="24"/>
          <w:highlight w:val="none"/>
        </w:rPr>
        <w:t>组织实施的编号为</w:t>
      </w:r>
      <w:r>
        <w:rPr>
          <w:rFonts w:ascii="宋体" w:hAnsi="宋体"/>
          <w:color w:val="auto"/>
          <w:sz w:val="24"/>
          <w:szCs w:val="24"/>
          <w:highlight w:val="none"/>
          <w:u w:val="single"/>
        </w:rPr>
        <w:t xml:space="preserve">              </w:t>
      </w:r>
      <w:r>
        <w:rPr>
          <w:rFonts w:ascii="宋体" w:hAnsi="宋体"/>
          <w:color w:val="auto"/>
          <w:sz w:val="24"/>
          <w:szCs w:val="24"/>
          <w:highlight w:val="none"/>
        </w:rPr>
        <w:t>号（</w:t>
      </w:r>
      <w:r>
        <w:rPr>
          <w:rFonts w:hint="eastAsia" w:ascii="宋体" w:hAnsi="宋体"/>
          <w:color w:val="auto"/>
          <w:sz w:val="24"/>
          <w:szCs w:val="24"/>
          <w:highlight w:val="none"/>
        </w:rPr>
        <w:t>项目</w:t>
      </w:r>
      <w:r>
        <w:rPr>
          <w:rFonts w:ascii="宋体" w:hAnsi="宋体"/>
          <w:color w:val="auto"/>
          <w:sz w:val="24"/>
          <w:szCs w:val="24"/>
          <w:highlight w:val="none"/>
        </w:rPr>
        <w:t>编号）的招标活动进行投标</w:t>
      </w:r>
      <w:r>
        <w:rPr>
          <w:rFonts w:hint="eastAsia" w:ascii="宋体" w:hAnsi="宋体"/>
          <w:color w:val="auto"/>
          <w:sz w:val="24"/>
          <w:szCs w:val="24"/>
          <w:highlight w:val="none"/>
        </w:rPr>
        <w:t>，对于本公司的投标报价合理性作出说明如下：</w:t>
      </w:r>
    </w:p>
    <w:tbl>
      <w:tblPr>
        <w:tblStyle w:val="33"/>
        <w:tblW w:w="8265" w:type="dxa"/>
        <w:tblInd w:w="12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65"/>
      </w:tblGrid>
      <w:tr w14:paraId="7981F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0" w:hRule="atLeast"/>
        </w:trPr>
        <w:tc>
          <w:tcPr>
            <w:tcW w:w="8265" w:type="dxa"/>
            <w:noWrap w:val="0"/>
            <w:vAlign w:val="center"/>
          </w:tcPr>
          <w:p w14:paraId="41484284">
            <w:pPr>
              <w:widowControl w:val="0"/>
              <w:spacing w:line="600" w:lineRule="auto"/>
              <w:ind w:left="0"/>
              <w:rPr>
                <w:rFonts w:ascii="宋体" w:hAnsi="宋体"/>
                <w:b/>
                <w:color w:val="auto"/>
                <w:sz w:val="24"/>
                <w:szCs w:val="24"/>
                <w:highlight w:val="none"/>
                <w:shd w:val="pct10" w:color="auto" w:fill="FFFFFF"/>
              </w:rPr>
            </w:pPr>
            <w:r>
              <w:rPr>
                <w:rFonts w:hint="eastAsia" w:ascii="宋体" w:hAnsi="宋体"/>
                <w:b/>
                <w:color w:val="auto"/>
                <w:sz w:val="24"/>
                <w:szCs w:val="24"/>
                <w:highlight w:val="none"/>
              </w:rPr>
              <w:t>投标人应当根据实际情况自拟答复并根据评标委员会关于澄清的要求提供相关证明材料作为附件。</w:t>
            </w:r>
          </w:p>
        </w:tc>
      </w:tr>
    </w:tbl>
    <w:p w14:paraId="12A478C1">
      <w:pPr>
        <w:spacing w:line="360" w:lineRule="auto"/>
        <w:rPr>
          <w:rFonts w:ascii="宋体" w:hAnsi="宋体" w:cs="宋体"/>
          <w:bCs/>
          <w:color w:val="auto"/>
          <w:sz w:val="24"/>
          <w:szCs w:val="24"/>
          <w:highlight w:val="none"/>
        </w:rPr>
      </w:pPr>
      <w:bookmarkStart w:id="13" w:name="OLE_LINK21"/>
      <w:bookmarkStart w:id="14" w:name="OLE_LINK24"/>
      <w:bookmarkStart w:id="15" w:name="OLE_LINK23"/>
      <w:bookmarkStart w:id="16" w:name="OLE_LINK26"/>
      <w:r>
        <w:rPr>
          <w:rFonts w:hint="eastAsia" w:ascii="宋体" w:hAnsi="宋体"/>
          <w:b w:val="0"/>
          <w:bCs/>
          <w:color w:val="auto"/>
          <w:sz w:val="24"/>
          <w:szCs w:val="24"/>
          <w:highlight w:val="none"/>
          <w:lang w:val="zh-CN"/>
        </w:rPr>
        <w:t>备注：根据招标文件第二章“投标人须知”第26.4</w:t>
      </w:r>
      <w:bookmarkStart w:id="17" w:name="OLE_LINK12"/>
      <w:r>
        <w:rPr>
          <w:rFonts w:hint="eastAsia" w:ascii="宋体" w:hAnsi="宋体"/>
          <w:b w:val="0"/>
          <w:bCs/>
          <w:color w:val="auto"/>
          <w:sz w:val="24"/>
          <w:szCs w:val="24"/>
          <w:highlight w:val="none"/>
          <w:lang w:val="zh-CN"/>
        </w:rPr>
        <w:t>条要求，</w:t>
      </w:r>
      <w:bookmarkEnd w:id="17"/>
      <w:r>
        <w:rPr>
          <w:rFonts w:hint="eastAsia" w:ascii="宋体" w:hAnsi="宋体"/>
          <w:bCs/>
          <w:color w:val="auto"/>
          <w:sz w:val="24"/>
          <w:szCs w:val="24"/>
          <w:highlight w:val="none"/>
          <w:lang w:val="zh-CN"/>
        </w:rPr>
        <w:t>在评标过程中</w:t>
      </w:r>
      <w:r>
        <w:rPr>
          <w:rFonts w:hint="eastAsia" w:ascii="宋体" w:hAnsi="宋体" w:cs="宋体"/>
          <w:bCs/>
          <w:color w:val="auto"/>
          <w:sz w:val="24"/>
          <w:szCs w:val="24"/>
          <w:highlight w:val="none"/>
          <w:lang w:val="zh-CN"/>
        </w:rPr>
        <w:t>当</w:t>
      </w:r>
      <w:r>
        <w:rPr>
          <w:rFonts w:hint="eastAsia" w:ascii="宋体" w:hAnsi="宋体" w:cs="宋体"/>
          <w:bCs/>
          <w:color w:val="auto"/>
          <w:sz w:val="24"/>
          <w:szCs w:val="24"/>
          <w:highlight w:val="none"/>
          <w:lang w:val="en-US" w:eastAsia="zh-CN"/>
        </w:rPr>
        <w:t>投标</w:t>
      </w:r>
      <w:r>
        <w:rPr>
          <w:rFonts w:hint="eastAsia" w:ascii="宋体" w:hAnsi="宋体" w:cs="宋体"/>
          <w:bCs/>
          <w:color w:val="auto"/>
          <w:sz w:val="24"/>
          <w:szCs w:val="24"/>
          <w:highlight w:val="none"/>
          <w:lang w:val="zh-CN"/>
        </w:rPr>
        <w:t>报价低于全部通过符合性审查供应商</w:t>
      </w:r>
      <w:r>
        <w:rPr>
          <w:rFonts w:hint="eastAsia" w:ascii="宋体" w:hAnsi="宋体" w:cs="宋体"/>
          <w:bCs/>
          <w:color w:val="auto"/>
          <w:sz w:val="24"/>
          <w:szCs w:val="24"/>
          <w:highlight w:val="none"/>
          <w:lang w:val="en-US" w:eastAsia="zh-CN"/>
        </w:rPr>
        <w:t>投标</w:t>
      </w:r>
      <w:r>
        <w:rPr>
          <w:rFonts w:hint="eastAsia" w:ascii="宋体" w:hAnsi="宋体" w:cs="宋体"/>
          <w:bCs/>
          <w:color w:val="auto"/>
          <w:sz w:val="24"/>
          <w:szCs w:val="24"/>
          <w:highlight w:val="none"/>
          <w:lang w:val="zh-CN"/>
        </w:rPr>
        <w:t>报价平均值50%、低于通过符合性审查的次低报价供应商</w:t>
      </w:r>
      <w:r>
        <w:rPr>
          <w:rFonts w:hint="eastAsia" w:ascii="宋体" w:hAnsi="宋体" w:cs="宋体"/>
          <w:bCs/>
          <w:color w:val="auto"/>
          <w:sz w:val="24"/>
          <w:szCs w:val="24"/>
          <w:highlight w:val="none"/>
          <w:lang w:val="en-US" w:eastAsia="zh-CN"/>
        </w:rPr>
        <w:t>投标</w:t>
      </w:r>
      <w:r>
        <w:rPr>
          <w:rFonts w:hint="eastAsia" w:ascii="宋体" w:hAnsi="宋体" w:cs="宋体"/>
          <w:bCs/>
          <w:color w:val="auto"/>
          <w:sz w:val="24"/>
          <w:szCs w:val="24"/>
          <w:highlight w:val="none"/>
          <w:lang w:val="zh-CN"/>
        </w:rPr>
        <w:t>报价50%、低于采购项目最高限价45%的或者评标委员会认定的供应商报价过低、有可能影响产品质量或者不能诚信履约的其他情形,评标委员会应当要求</w:t>
      </w:r>
      <w:r>
        <w:rPr>
          <w:rFonts w:hint="eastAsia" w:ascii="宋体" w:hAnsi="宋体" w:cs="宋体"/>
          <w:bCs/>
          <w:color w:val="auto"/>
          <w:sz w:val="24"/>
          <w:szCs w:val="24"/>
          <w:highlight w:val="none"/>
          <w:lang w:val="en-US" w:eastAsia="zh-CN"/>
        </w:rPr>
        <w:t>投标</w:t>
      </w:r>
      <w:r>
        <w:rPr>
          <w:rFonts w:hint="eastAsia" w:ascii="宋体" w:hAnsi="宋体" w:cs="宋体"/>
          <w:bCs/>
          <w:color w:val="auto"/>
          <w:sz w:val="24"/>
          <w:szCs w:val="24"/>
          <w:highlight w:val="none"/>
        </w:rPr>
        <w:t>单位在评审现场合理的时间内对投标价格作出解释，提供项目具体成本测算等与报价合理性相关的书面说明及必要的证明材料，包括但不限于原材料成本、人工成本、制造费用等。属于低于采购项目最高限价45%情形的，供应商已随</w:t>
      </w:r>
      <w:r>
        <w:rPr>
          <w:rFonts w:hint="eastAsia" w:ascii="宋体" w:hAnsi="宋体" w:cs="宋体"/>
          <w:bCs/>
          <w:color w:val="auto"/>
          <w:sz w:val="24"/>
          <w:szCs w:val="24"/>
          <w:highlight w:val="none"/>
          <w:lang w:eastAsia="zh-CN"/>
        </w:rPr>
        <w:t>投标文件</w:t>
      </w:r>
      <w:r>
        <w:rPr>
          <w:rFonts w:hint="eastAsia" w:ascii="宋体" w:hAnsi="宋体" w:cs="宋体"/>
          <w:bCs/>
          <w:color w:val="auto"/>
          <w:sz w:val="24"/>
          <w:szCs w:val="24"/>
          <w:highlight w:val="none"/>
        </w:rPr>
        <w:t>一并提交相关书面说明及必要的证明材料的，在评审现场可不再重复提交。</w:t>
      </w:r>
    </w:p>
    <w:p w14:paraId="3381303C">
      <w:pPr>
        <w:spacing w:line="360" w:lineRule="auto"/>
        <w:ind w:left="0" w:firstLine="422"/>
        <w:rPr>
          <w:rFonts w:ascii="宋体" w:hAnsi="宋体"/>
          <w:b w:val="0"/>
          <w:bCs/>
          <w:color w:val="auto"/>
          <w:sz w:val="24"/>
          <w:szCs w:val="24"/>
          <w:highlight w:val="none"/>
          <w:lang w:val="zh-CN"/>
        </w:rPr>
      </w:pPr>
      <w:r>
        <w:rPr>
          <w:rFonts w:hint="eastAsia" w:ascii="宋体" w:hAnsi="宋体" w:cs="宋体"/>
          <w:bCs/>
          <w:color w:val="auto"/>
          <w:sz w:val="24"/>
          <w:szCs w:val="24"/>
          <w:highlight w:val="none"/>
          <w:lang w:val="en-US" w:eastAsia="zh-CN"/>
        </w:rPr>
        <w:t>投标</w:t>
      </w:r>
      <w:r>
        <w:rPr>
          <w:rFonts w:hint="eastAsia" w:ascii="宋体" w:hAnsi="宋体" w:cs="宋体"/>
          <w:bCs/>
          <w:color w:val="auto"/>
          <w:sz w:val="24"/>
          <w:szCs w:val="24"/>
          <w:highlight w:val="none"/>
        </w:rPr>
        <w:t>单位</w:t>
      </w:r>
      <w:r>
        <w:rPr>
          <w:rFonts w:hint="eastAsia" w:ascii="宋体" w:hAnsi="宋体" w:cs="宋体"/>
          <w:bCs/>
          <w:color w:val="auto"/>
          <w:sz w:val="24"/>
          <w:szCs w:val="24"/>
          <w:highlight w:val="none"/>
          <w:lang w:val="zh-CN"/>
        </w:rPr>
        <w:t>不能证明其报价合理性的，评标委员会应当将其作为无效</w:t>
      </w:r>
      <w:r>
        <w:rPr>
          <w:rFonts w:hint="eastAsia" w:ascii="宋体" w:hAnsi="宋体" w:cs="宋体"/>
          <w:bCs/>
          <w:color w:val="auto"/>
          <w:sz w:val="24"/>
          <w:szCs w:val="24"/>
          <w:highlight w:val="none"/>
          <w:lang w:val="en-US" w:eastAsia="zh-CN"/>
        </w:rPr>
        <w:t>投标</w:t>
      </w:r>
      <w:r>
        <w:rPr>
          <w:rFonts w:hint="eastAsia" w:ascii="宋体" w:hAnsi="宋体" w:cs="宋体"/>
          <w:bCs/>
          <w:color w:val="auto"/>
          <w:sz w:val="24"/>
          <w:szCs w:val="24"/>
          <w:highlight w:val="none"/>
        </w:rPr>
        <w:t>报价</w:t>
      </w:r>
      <w:r>
        <w:rPr>
          <w:rFonts w:hint="eastAsia" w:ascii="宋体" w:hAnsi="宋体" w:cs="宋体"/>
          <w:bCs/>
          <w:color w:val="auto"/>
          <w:sz w:val="24"/>
          <w:szCs w:val="24"/>
          <w:highlight w:val="none"/>
          <w:lang w:val="zh-CN"/>
        </w:rPr>
        <w:t>处理</w:t>
      </w:r>
      <w:r>
        <w:rPr>
          <w:rFonts w:hint="eastAsia" w:ascii="宋体" w:hAnsi="宋体"/>
          <w:b w:val="0"/>
          <w:bCs/>
          <w:color w:val="auto"/>
          <w:sz w:val="24"/>
          <w:szCs w:val="24"/>
          <w:highlight w:val="none"/>
          <w:lang w:val="zh-CN"/>
        </w:rPr>
        <w:t>。</w:t>
      </w:r>
      <w:bookmarkEnd w:id="13"/>
      <w:bookmarkEnd w:id="14"/>
      <w:bookmarkEnd w:id="15"/>
      <w:bookmarkEnd w:id="16"/>
    </w:p>
    <w:p w14:paraId="7D323745">
      <w:pPr>
        <w:spacing w:line="360" w:lineRule="auto"/>
        <w:rPr>
          <w:rFonts w:hint="eastAsia" w:ascii="宋体" w:hAnsi="宋体"/>
          <w:color w:val="auto"/>
          <w:sz w:val="24"/>
          <w:highlight w:val="none"/>
        </w:rPr>
      </w:pPr>
    </w:p>
    <w:p w14:paraId="3C1D2135">
      <w:pPr>
        <w:spacing w:line="360" w:lineRule="auto"/>
        <w:rPr>
          <w:rFonts w:hint="eastAsia" w:ascii="宋体" w:hAnsi="宋体"/>
          <w:color w:val="auto"/>
          <w:sz w:val="24"/>
          <w:highlight w:val="none"/>
        </w:rPr>
      </w:pPr>
      <w:r>
        <w:rPr>
          <w:rFonts w:hint="eastAsia" w:ascii="宋体" w:hAnsi="宋体"/>
          <w:color w:val="auto"/>
          <w:sz w:val="24"/>
          <w:highlight w:val="none"/>
        </w:rPr>
        <w:t>投标单位：（单位盖章）</w:t>
      </w:r>
    </w:p>
    <w:p w14:paraId="1DBF0B63">
      <w:pPr>
        <w:spacing w:line="360" w:lineRule="auto"/>
        <w:rPr>
          <w:rFonts w:hint="eastAsia" w:ascii="宋体" w:hAnsi="宋体"/>
          <w:color w:val="auto"/>
          <w:sz w:val="24"/>
          <w:highlight w:val="none"/>
        </w:rPr>
      </w:pPr>
      <w:r>
        <w:rPr>
          <w:rFonts w:hint="eastAsia" w:ascii="宋体" w:hAnsi="宋体"/>
          <w:color w:val="auto"/>
          <w:sz w:val="24"/>
          <w:highlight w:val="none"/>
        </w:rPr>
        <w:t>法定代表人或代理人：（签字或盖章）</w:t>
      </w:r>
    </w:p>
    <w:p w14:paraId="4C219F6C">
      <w:pPr>
        <w:spacing w:line="480" w:lineRule="auto"/>
        <w:rPr>
          <w:rFonts w:hint="eastAsia" w:ascii="宋体" w:hAnsi="宋体"/>
          <w:bCs/>
          <w:color w:val="auto"/>
          <w:sz w:val="24"/>
          <w:szCs w:val="24"/>
          <w:highlight w:val="none"/>
        </w:rPr>
      </w:pPr>
      <w:r>
        <w:rPr>
          <w:rFonts w:hint="eastAsia" w:ascii="宋体" w:hAnsi="宋体"/>
          <w:color w:val="auto"/>
          <w:sz w:val="24"/>
          <w:highlight w:val="none"/>
        </w:rPr>
        <w:t>日期：     年     月     日</w:t>
      </w:r>
    </w:p>
    <w:p w14:paraId="03DCD04A">
      <w:pPr>
        <w:spacing w:line="360" w:lineRule="auto"/>
        <w:jc w:val="left"/>
        <w:rPr>
          <w:rFonts w:hint="eastAsia" w:ascii="宋体" w:hAnsi="宋体"/>
          <w:color w:val="auto"/>
          <w:sz w:val="28"/>
          <w:szCs w:val="28"/>
          <w:highlight w:val="none"/>
        </w:rPr>
      </w:pPr>
      <w:r>
        <w:rPr>
          <w:rFonts w:hint="eastAsia" w:ascii="宋体" w:hAnsi="宋体"/>
          <w:color w:val="auto"/>
          <w:sz w:val="28"/>
          <w:szCs w:val="28"/>
          <w:highlight w:val="none"/>
          <w:lang w:val="en-US" w:eastAsia="zh-CN"/>
        </w:rPr>
        <w:t>6、</w:t>
      </w:r>
      <w:r>
        <w:rPr>
          <w:rFonts w:hint="eastAsia" w:ascii="宋体" w:hAnsi="宋体"/>
          <w:color w:val="auto"/>
          <w:sz w:val="28"/>
          <w:szCs w:val="28"/>
          <w:highlight w:val="none"/>
        </w:rPr>
        <w:t>偏离表</w:t>
      </w:r>
    </w:p>
    <w:p w14:paraId="55EA282B">
      <w:pPr>
        <w:spacing w:line="380" w:lineRule="exact"/>
        <w:jc w:val="center"/>
        <w:rPr>
          <w:rFonts w:hint="eastAsia" w:ascii="宋体" w:hAnsi="宋体"/>
          <w:b/>
          <w:color w:val="auto"/>
          <w:sz w:val="24"/>
          <w:highlight w:val="none"/>
        </w:rPr>
      </w:pPr>
      <w:r>
        <w:rPr>
          <w:rFonts w:ascii="宋体" w:hAnsi="宋体"/>
          <w:b/>
          <w:color w:val="auto"/>
          <w:sz w:val="24"/>
          <w:highlight w:val="none"/>
        </w:rPr>
        <w:t>偏离表</w:t>
      </w:r>
      <w:r>
        <w:rPr>
          <w:rFonts w:hint="eastAsia" w:ascii="宋体" w:hAnsi="宋体"/>
          <w:b/>
          <w:color w:val="auto"/>
          <w:sz w:val="24"/>
          <w:highlight w:val="none"/>
        </w:rPr>
        <w:t>（技术、商务）</w:t>
      </w:r>
    </w:p>
    <w:p w14:paraId="2920E1AD">
      <w:pPr>
        <w:spacing w:after="120"/>
        <w:ind w:left="420" w:firstLine="420"/>
        <w:rPr>
          <w:color w:val="auto"/>
          <w:highlight w:val="none"/>
        </w:rPr>
      </w:pPr>
    </w:p>
    <w:tbl>
      <w:tblPr>
        <w:tblStyle w:val="33"/>
        <w:tblW w:w="8340" w:type="dxa"/>
        <w:tblInd w:w="126" w:type="dxa"/>
        <w:tblLayout w:type="fixed"/>
        <w:tblCellMar>
          <w:top w:w="0" w:type="dxa"/>
          <w:left w:w="108" w:type="dxa"/>
          <w:bottom w:w="0" w:type="dxa"/>
          <w:right w:w="108" w:type="dxa"/>
        </w:tblCellMar>
      </w:tblPr>
      <w:tblGrid>
        <w:gridCol w:w="900"/>
        <w:gridCol w:w="1728"/>
        <w:gridCol w:w="2130"/>
        <w:gridCol w:w="1950"/>
        <w:gridCol w:w="1632"/>
      </w:tblGrid>
      <w:tr w14:paraId="1A676A32">
        <w:tblPrEx>
          <w:tblCellMar>
            <w:top w:w="0" w:type="dxa"/>
            <w:left w:w="108" w:type="dxa"/>
            <w:bottom w:w="0" w:type="dxa"/>
            <w:right w:w="108" w:type="dxa"/>
          </w:tblCellMar>
        </w:tblPrEx>
        <w:trPr>
          <w:trHeight w:val="567" w:hRule="atLeast"/>
        </w:trPr>
        <w:tc>
          <w:tcPr>
            <w:tcW w:w="90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71AF3851">
            <w:pPr>
              <w:keepNext w:val="0"/>
              <w:keepLines w:val="0"/>
              <w:pageBreakBefore w:val="0"/>
              <w:widowControl/>
              <w:spacing w:line="240" w:lineRule="auto"/>
              <w:ind w:firstLine="0"/>
              <w:jc w:val="center"/>
              <w:rPr>
                <w:rFonts w:hint="eastAsia" w:ascii="宋体" w:hAnsi="宋体" w:cs="宋体"/>
                <w:bCs/>
                <w:color w:val="auto"/>
                <w:sz w:val="24"/>
                <w:szCs w:val="24"/>
                <w:highlight w:val="none"/>
              </w:rPr>
            </w:pPr>
            <w:r>
              <w:rPr>
                <w:rFonts w:hint="eastAsia" w:ascii="宋体" w:hAnsi="宋体" w:cs="宋体"/>
                <w:bCs/>
                <w:color w:val="auto"/>
                <w:sz w:val="24"/>
                <w:szCs w:val="24"/>
                <w:highlight w:val="none"/>
              </w:rPr>
              <w:t>序号</w:t>
            </w:r>
          </w:p>
        </w:tc>
        <w:tc>
          <w:tcPr>
            <w:tcW w:w="172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2BFBC2E0">
            <w:pPr>
              <w:keepNext w:val="0"/>
              <w:keepLines w:val="0"/>
              <w:pageBreakBefore w:val="0"/>
              <w:widowControl/>
              <w:spacing w:line="240" w:lineRule="auto"/>
              <w:ind w:firstLine="0"/>
              <w:jc w:val="center"/>
              <w:rPr>
                <w:rFonts w:hint="eastAsia" w:ascii="宋体" w:hAnsi="宋体" w:cs="宋体"/>
                <w:bCs/>
                <w:color w:val="auto"/>
                <w:sz w:val="24"/>
                <w:szCs w:val="24"/>
                <w:highlight w:val="none"/>
              </w:rPr>
            </w:pPr>
            <w:r>
              <w:rPr>
                <w:rFonts w:hint="eastAsia" w:ascii="宋体" w:hAnsi="宋体" w:cs="宋体"/>
                <w:bCs/>
                <w:color w:val="auto"/>
                <w:sz w:val="24"/>
                <w:szCs w:val="24"/>
                <w:highlight w:val="none"/>
                <w:lang w:val="en-US" w:eastAsia="zh-CN"/>
              </w:rPr>
              <w:t>招标</w:t>
            </w:r>
            <w:r>
              <w:rPr>
                <w:rFonts w:hint="eastAsia" w:ascii="宋体" w:hAnsi="宋体" w:cs="宋体"/>
                <w:bCs/>
                <w:color w:val="auto"/>
                <w:sz w:val="24"/>
                <w:szCs w:val="24"/>
                <w:highlight w:val="none"/>
              </w:rPr>
              <w:t>要求</w:t>
            </w:r>
          </w:p>
        </w:tc>
        <w:tc>
          <w:tcPr>
            <w:tcW w:w="2130" w:type="dxa"/>
            <w:tcBorders>
              <w:top w:val="single" w:color="000000" w:sz="4" w:space="0"/>
              <w:left w:val="single" w:color="000000" w:sz="4" w:space="0"/>
              <w:bottom w:val="single" w:color="000000" w:sz="4" w:space="0"/>
              <w:right w:val="single" w:color="auto" w:sz="4" w:space="0"/>
            </w:tcBorders>
            <w:noWrap/>
            <w:tcMar>
              <w:top w:w="0" w:type="dxa"/>
              <w:left w:w="108" w:type="dxa"/>
              <w:bottom w:w="0" w:type="dxa"/>
              <w:right w:w="108" w:type="dxa"/>
            </w:tcMar>
            <w:vAlign w:val="center"/>
          </w:tcPr>
          <w:p w14:paraId="68C300D5">
            <w:pPr>
              <w:keepNext w:val="0"/>
              <w:keepLines w:val="0"/>
              <w:pageBreakBefore w:val="0"/>
              <w:widowControl/>
              <w:spacing w:line="240" w:lineRule="auto"/>
              <w:ind w:firstLine="0"/>
              <w:jc w:val="center"/>
              <w:rPr>
                <w:rFonts w:hint="default" w:ascii="宋体" w:hAnsi="宋体" w:cs="宋体"/>
                <w:bCs/>
                <w:color w:val="auto"/>
                <w:sz w:val="24"/>
                <w:szCs w:val="24"/>
                <w:highlight w:val="none"/>
                <w:lang w:val="en-US"/>
              </w:rPr>
            </w:pPr>
            <w:r>
              <w:rPr>
                <w:rFonts w:hint="eastAsia" w:ascii="宋体" w:hAnsi="宋体" w:cs="宋体"/>
                <w:bCs/>
                <w:color w:val="auto"/>
                <w:sz w:val="24"/>
                <w:szCs w:val="24"/>
                <w:highlight w:val="none"/>
                <w:lang w:val="en-US" w:eastAsia="zh-CN"/>
              </w:rPr>
              <w:t>投标内容</w:t>
            </w:r>
          </w:p>
        </w:tc>
        <w:tc>
          <w:tcPr>
            <w:tcW w:w="1950" w:type="dxa"/>
            <w:tcBorders>
              <w:top w:val="single" w:color="000000" w:sz="4" w:space="0"/>
              <w:left w:val="single" w:color="auto" w:sz="4" w:space="0"/>
              <w:bottom w:val="single" w:color="000000" w:sz="4" w:space="0"/>
              <w:right w:val="single" w:color="000000" w:sz="4" w:space="0"/>
            </w:tcBorders>
            <w:noWrap/>
            <w:tcMar>
              <w:top w:w="0" w:type="dxa"/>
              <w:left w:w="108" w:type="dxa"/>
              <w:bottom w:w="0" w:type="dxa"/>
              <w:right w:w="108" w:type="dxa"/>
            </w:tcMar>
            <w:vAlign w:val="center"/>
          </w:tcPr>
          <w:p w14:paraId="44EE8F47">
            <w:pPr>
              <w:keepNext w:val="0"/>
              <w:keepLines w:val="0"/>
              <w:pageBreakBefore w:val="0"/>
              <w:widowControl/>
              <w:spacing w:line="240" w:lineRule="auto"/>
              <w:ind w:firstLine="0"/>
              <w:jc w:val="center"/>
              <w:rPr>
                <w:rFonts w:hint="default" w:ascii="宋体" w:hAnsi="宋体" w:cs="宋体"/>
                <w:bCs/>
                <w:color w:val="auto"/>
                <w:sz w:val="24"/>
                <w:szCs w:val="24"/>
                <w:highlight w:val="none"/>
                <w:lang w:val="en-US" w:eastAsia="zh-CN"/>
              </w:rPr>
            </w:pPr>
            <w:r>
              <w:rPr>
                <w:rFonts w:hint="eastAsia" w:ascii="宋体" w:hAnsi="宋体" w:cs="宋体"/>
                <w:bCs/>
                <w:color w:val="auto"/>
                <w:sz w:val="24"/>
                <w:szCs w:val="24"/>
                <w:highlight w:val="none"/>
                <w:lang w:val="en-US" w:eastAsia="zh-CN"/>
              </w:rPr>
              <w:t>偏离说明</w:t>
            </w:r>
          </w:p>
        </w:tc>
        <w:tc>
          <w:tcPr>
            <w:tcW w:w="1632"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3DA087F0">
            <w:pPr>
              <w:keepNext w:val="0"/>
              <w:keepLines w:val="0"/>
              <w:pageBreakBefore w:val="0"/>
              <w:widowControl/>
              <w:spacing w:line="240" w:lineRule="auto"/>
              <w:ind w:firstLine="0"/>
              <w:jc w:val="center"/>
              <w:rPr>
                <w:rFonts w:hint="default" w:ascii="宋体" w:hAnsi="宋体" w:eastAsia="宋体" w:cs="宋体"/>
                <w:bCs/>
                <w:color w:val="auto"/>
                <w:sz w:val="24"/>
                <w:szCs w:val="24"/>
                <w:highlight w:val="none"/>
                <w:lang w:val="en-US" w:eastAsia="zh-CN"/>
              </w:rPr>
            </w:pPr>
            <w:r>
              <w:rPr>
                <w:rFonts w:hint="eastAsia" w:ascii="宋体" w:hAnsi="宋体" w:cs="宋体"/>
                <w:bCs/>
                <w:color w:val="auto"/>
                <w:sz w:val="24"/>
                <w:szCs w:val="24"/>
                <w:highlight w:val="none"/>
                <w:lang w:val="en-US" w:eastAsia="zh-CN"/>
              </w:rPr>
              <w:t>证明材料</w:t>
            </w:r>
          </w:p>
        </w:tc>
      </w:tr>
      <w:tr w14:paraId="19585238">
        <w:tblPrEx>
          <w:tblCellMar>
            <w:top w:w="0" w:type="dxa"/>
            <w:left w:w="108" w:type="dxa"/>
            <w:bottom w:w="0" w:type="dxa"/>
            <w:right w:w="108" w:type="dxa"/>
          </w:tblCellMar>
        </w:tblPrEx>
        <w:trPr>
          <w:trHeight w:val="567" w:hRule="atLeast"/>
        </w:trPr>
        <w:tc>
          <w:tcPr>
            <w:tcW w:w="90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6884397D">
            <w:pPr>
              <w:keepNext w:val="0"/>
              <w:keepLines w:val="0"/>
              <w:pageBreakBefore w:val="0"/>
              <w:widowControl/>
              <w:spacing w:line="240" w:lineRule="auto"/>
              <w:ind w:firstLine="0"/>
              <w:jc w:val="center"/>
              <w:rPr>
                <w:rFonts w:hint="eastAsia" w:ascii="宋体" w:hAnsi="宋体" w:cs="宋体"/>
                <w:bCs/>
                <w:color w:val="auto"/>
                <w:sz w:val="24"/>
                <w:szCs w:val="24"/>
                <w:highlight w:val="none"/>
              </w:rPr>
            </w:pPr>
            <w:r>
              <w:rPr>
                <w:rFonts w:hint="eastAsia" w:ascii="宋体" w:hAnsi="宋体" w:cs="宋体"/>
                <w:bCs/>
                <w:color w:val="auto"/>
                <w:sz w:val="24"/>
                <w:szCs w:val="24"/>
                <w:highlight w:val="none"/>
              </w:rPr>
              <w:t>1</w:t>
            </w:r>
          </w:p>
        </w:tc>
        <w:tc>
          <w:tcPr>
            <w:tcW w:w="172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2626F735">
            <w:pPr>
              <w:keepNext w:val="0"/>
              <w:keepLines w:val="0"/>
              <w:pageBreakBefore w:val="0"/>
              <w:widowControl/>
              <w:spacing w:line="240" w:lineRule="auto"/>
              <w:ind w:firstLine="0"/>
              <w:jc w:val="center"/>
              <w:rPr>
                <w:rFonts w:hint="eastAsia" w:ascii="宋体" w:hAnsi="宋体" w:cs="宋体"/>
                <w:bCs/>
                <w:color w:val="auto"/>
                <w:sz w:val="24"/>
                <w:szCs w:val="24"/>
                <w:highlight w:val="none"/>
              </w:rPr>
            </w:pPr>
          </w:p>
        </w:tc>
        <w:tc>
          <w:tcPr>
            <w:tcW w:w="2130" w:type="dxa"/>
            <w:tcBorders>
              <w:top w:val="single" w:color="000000" w:sz="4" w:space="0"/>
              <w:left w:val="single" w:color="000000" w:sz="4" w:space="0"/>
              <w:bottom w:val="single" w:color="000000" w:sz="4" w:space="0"/>
              <w:right w:val="single" w:color="auto" w:sz="4" w:space="0"/>
            </w:tcBorders>
            <w:noWrap/>
            <w:tcMar>
              <w:top w:w="0" w:type="dxa"/>
              <w:left w:w="108" w:type="dxa"/>
              <w:bottom w:w="0" w:type="dxa"/>
              <w:right w:w="108" w:type="dxa"/>
            </w:tcMar>
            <w:vAlign w:val="center"/>
          </w:tcPr>
          <w:p w14:paraId="4E5AB1A4">
            <w:pPr>
              <w:keepNext w:val="0"/>
              <w:keepLines w:val="0"/>
              <w:pageBreakBefore w:val="0"/>
              <w:widowControl/>
              <w:spacing w:line="240" w:lineRule="auto"/>
              <w:ind w:firstLine="0"/>
              <w:jc w:val="center"/>
              <w:rPr>
                <w:rFonts w:hint="eastAsia" w:ascii="宋体" w:hAnsi="宋体" w:cs="宋体"/>
                <w:bCs/>
                <w:color w:val="auto"/>
                <w:sz w:val="24"/>
                <w:szCs w:val="24"/>
                <w:highlight w:val="none"/>
              </w:rPr>
            </w:pPr>
          </w:p>
        </w:tc>
        <w:tc>
          <w:tcPr>
            <w:tcW w:w="1950" w:type="dxa"/>
            <w:tcBorders>
              <w:top w:val="single" w:color="000000" w:sz="4" w:space="0"/>
              <w:left w:val="single" w:color="auto" w:sz="4" w:space="0"/>
              <w:bottom w:val="single" w:color="000000" w:sz="4" w:space="0"/>
              <w:right w:val="single" w:color="000000" w:sz="4" w:space="0"/>
            </w:tcBorders>
            <w:noWrap/>
            <w:tcMar>
              <w:top w:w="0" w:type="dxa"/>
              <w:left w:w="108" w:type="dxa"/>
              <w:bottom w:w="0" w:type="dxa"/>
              <w:right w:w="108" w:type="dxa"/>
            </w:tcMar>
            <w:vAlign w:val="center"/>
          </w:tcPr>
          <w:p w14:paraId="6CB5ACF3">
            <w:pPr>
              <w:keepNext w:val="0"/>
              <w:keepLines w:val="0"/>
              <w:pageBreakBefore w:val="0"/>
              <w:widowControl/>
              <w:spacing w:line="240" w:lineRule="auto"/>
              <w:ind w:firstLine="0"/>
              <w:jc w:val="center"/>
              <w:rPr>
                <w:rFonts w:hint="eastAsia" w:ascii="宋体" w:hAnsi="宋体" w:cs="宋体"/>
                <w:bCs/>
                <w:color w:val="auto"/>
                <w:sz w:val="24"/>
                <w:szCs w:val="24"/>
                <w:highlight w:val="none"/>
              </w:rPr>
            </w:pPr>
          </w:p>
        </w:tc>
        <w:tc>
          <w:tcPr>
            <w:tcW w:w="1632"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6C9B0D81">
            <w:pPr>
              <w:keepNext w:val="0"/>
              <w:keepLines w:val="0"/>
              <w:pageBreakBefore w:val="0"/>
              <w:widowControl/>
              <w:spacing w:line="240" w:lineRule="auto"/>
              <w:ind w:firstLine="0"/>
              <w:jc w:val="center"/>
              <w:rPr>
                <w:rFonts w:hint="eastAsia" w:ascii="宋体" w:hAnsi="宋体" w:cs="宋体"/>
                <w:bCs/>
                <w:color w:val="auto"/>
                <w:sz w:val="24"/>
                <w:szCs w:val="24"/>
                <w:highlight w:val="none"/>
              </w:rPr>
            </w:pPr>
          </w:p>
        </w:tc>
      </w:tr>
      <w:tr w14:paraId="3FD4FD4B">
        <w:tblPrEx>
          <w:tblCellMar>
            <w:top w:w="0" w:type="dxa"/>
            <w:left w:w="108" w:type="dxa"/>
            <w:bottom w:w="0" w:type="dxa"/>
            <w:right w:w="108" w:type="dxa"/>
          </w:tblCellMar>
        </w:tblPrEx>
        <w:trPr>
          <w:trHeight w:val="567" w:hRule="atLeast"/>
        </w:trPr>
        <w:tc>
          <w:tcPr>
            <w:tcW w:w="90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1F663A4E">
            <w:pPr>
              <w:keepNext w:val="0"/>
              <w:keepLines w:val="0"/>
              <w:pageBreakBefore w:val="0"/>
              <w:widowControl/>
              <w:spacing w:line="240" w:lineRule="auto"/>
              <w:ind w:firstLine="0"/>
              <w:jc w:val="center"/>
              <w:rPr>
                <w:rFonts w:hint="eastAsia" w:ascii="宋体" w:hAnsi="宋体" w:cs="宋体"/>
                <w:bCs/>
                <w:color w:val="auto"/>
                <w:sz w:val="24"/>
                <w:szCs w:val="24"/>
                <w:highlight w:val="none"/>
              </w:rPr>
            </w:pPr>
            <w:r>
              <w:rPr>
                <w:rFonts w:hint="eastAsia" w:ascii="宋体" w:hAnsi="宋体" w:cs="宋体"/>
                <w:bCs/>
                <w:color w:val="auto"/>
                <w:sz w:val="24"/>
                <w:szCs w:val="24"/>
                <w:highlight w:val="none"/>
              </w:rPr>
              <w:t>2</w:t>
            </w:r>
          </w:p>
        </w:tc>
        <w:tc>
          <w:tcPr>
            <w:tcW w:w="172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798C0A64">
            <w:pPr>
              <w:keepNext w:val="0"/>
              <w:keepLines w:val="0"/>
              <w:pageBreakBefore w:val="0"/>
              <w:widowControl/>
              <w:spacing w:line="240" w:lineRule="auto"/>
              <w:ind w:firstLine="0"/>
              <w:jc w:val="center"/>
              <w:rPr>
                <w:rFonts w:hint="eastAsia" w:ascii="宋体" w:hAnsi="宋体" w:cs="宋体"/>
                <w:bCs/>
                <w:color w:val="auto"/>
                <w:sz w:val="24"/>
                <w:szCs w:val="24"/>
                <w:highlight w:val="none"/>
              </w:rPr>
            </w:pPr>
          </w:p>
        </w:tc>
        <w:tc>
          <w:tcPr>
            <w:tcW w:w="2130" w:type="dxa"/>
            <w:tcBorders>
              <w:top w:val="single" w:color="000000" w:sz="4" w:space="0"/>
              <w:left w:val="single" w:color="000000" w:sz="4" w:space="0"/>
              <w:bottom w:val="single" w:color="000000" w:sz="4" w:space="0"/>
              <w:right w:val="single" w:color="auto" w:sz="4" w:space="0"/>
            </w:tcBorders>
            <w:noWrap/>
            <w:tcMar>
              <w:top w:w="0" w:type="dxa"/>
              <w:left w:w="108" w:type="dxa"/>
              <w:bottom w:w="0" w:type="dxa"/>
              <w:right w:w="108" w:type="dxa"/>
            </w:tcMar>
            <w:vAlign w:val="center"/>
          </w:tcPr>
          <w:p w14:paraId="0E5C043F">
            <w:pPr>
              <w:keepNext w:val="0"/>
              <w:keepLines w:val="0"/>
              <w:pageBreakBefore w:val="0"/>
              <w:widowControl/>
              <w:spacing w:line="240" w:lineRule="auto"/>
              <w:ind w:firstLine="0"/>
              <w:jc w:val="center"/>
              <w:rPr>
                <w:rFonts w:hint="eastAsia" w:ascii="宋体" w:hAnsi="宋体" w:cs="宋体"/>
                <w:bCs/>
                <w:color w:val="auto"/>
                <w:sz w:val="24"/>
                <w:szCs w:val="24"/>
                <w:highlight w:val="none"/>
              </w:rPr>
            </w:pPr>
          </w:p>
        </w:tc>
        <w:tc>
          <w:tcPr>
            <w:tcW w:w="1950" w:type="dxa"/>
            <w:tcBorders>
              <w:top w:val="single" w:color="000000" w:sz="4" w:space="0"/>
              <w:left w:val="single" w:color="auto" w:sz="4" w:space="0"/>
              <w:bottom w:val="single" w:color="000000" w:sz="4" w:space="0"/>
              <w:right w:val="single" w:color="000000" w:sz="4" w:space="0"/>
            </w:tcBorders>
            <w:noWrap/>
            <w:tcMar>
              <w:top w:w="0" w:type="dxa"/>
              <w:left w:w="108" w:type="dxa"/>
              <w:bottom w:w="0" w:type="dxa"/>
              <w:right w:w="108" w:type="dxa"/>
            </w:tcMar>
            <w:vAlign w:val="center"/>
          </w:tcPr>
          <w:p w14:paraId="7790C687">
            <w:pPr>
              <w:keepNext w:val="0"/>
              <w:keepLines w:val="0"/>
              <w:pageBreakBefore w:val="0"/>
              <w:widowControl/>
              <w:spacing w:line="240" w:lineRule="auto"/>
              <w:ind w:firstLine="0"/>
              <w:jc w:val="center"/>
              <w:rPr>
                <w:rFonts w:hint="eastAsia" w:ascii="宋体" w:hAnsi="宋体" w:cs="宋体"/>
                <w:bCs/>
                <w:color w:val="auto"/>
                <w:sz w:val="24"/>
                <w:szCs w:val="24"/>
                <w:highlight w:val="none"/>
              </w:rPr>
            </w:pPr>
          </w:p>
        </w:tc>
        <w:tc>
          <w:tcPr>
            <w:tcW w:w="1632"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007236D4">
            <w:pPr>
              <w:keepNext w:val="0"/>
              <w:keepLines w:val="0"/>
              <w:pageBreakBefore w:val="0"/>
              <w:widowControl/>
              <w:spacing w:line="240" w:lineRule="auto"/>
              <w:ind w:firstLine="0"/>
              <w:jc w:val="center"/>
              <w:rPr>
                <w:rFonts w:hint="eastAsia" w:ascii="宋体" w:hAnsi="宋体" w:cs="宋体"/>
                <w:bCs/>
                <w:color w:val="auto"/>
                <w:sz w:val="24"/>
                <w:szCs w:val="24"/>
                <w:highlight w:val="none"/>
              </w:rPr>
            </w:pPr>
          </w:p>
        </w:tc>
      </w:tr>
      <w:tr w14:paraId="3B7BD733">
        <w:tblPrEx>
          <w:tblCellMar>
            <w:top w:w="0" w:type="dxa"/>
            <w:left w:w="108" w:type="dxa"/>
            <w:bottom w:w="0" w:type="dxa"/>
            <w:right w:w="108" w:type="dxa"/>
          </w:tblCellMar>
        </w:tblPrEx>
        <w:trPr>
          <w:trHeight w:val="567" w:hRule="atLeast"/>
        </w:trPr>
        <w:tc>
          <w:tcPr>
            <w:tcW w:w="90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0C6E065C">
            <w:pPr>
              <w:keepNext w:val="0"/>
              <w:keepLines w:val="0"/>
              <w:pageBreakBefore w:val="0"/>
              <w:widowControl/>
              <w:spacing w:line="240" w:lineRule="auto"/>
              <w:ind w:firstLine="0"/>
              <w:jc w:val="center"/>
              <w:rPr>
                <w:rFonts w:hint="eastAsia" w:ascii="宋体" w:hAnsi="宋体" w:cs="宋体"/>
                <w:bCs/>
                <w:color w:val="auto"/>
                <w:sz w:val="24"/>
                <w:szCs w:val="24"/>
                <w:highlight w:val="none"/>
              </w:rPr>
            </w:pPr>
            <w:r>
              <w:rPr>
                <w:rFonts w:hint="eastAsia" w:ascii="宋体" w:hAnsi="宋体" w:cs="宋体"/>
                <w:bCs/>
                <w:color w:val="auto"/>
                <w:sz w:val="24"/>
                <w:szCs w:val="24"/>
                <w:highlight w:val="none"/>
              </w:rPr>
              <w:t>3</w:t>
            </w:r>
          </w:p>
        </w:tc>
        <w:tc>
          <w:tcPr>
            <w:tcW w:w="172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70515802">
            <w:pPr>
              <w:keepNext w:val="0"/>
              <w:keepLines w:val="0"/>
              <w:pageBreakBefore w:val="0"/>
              <w:widowControl/>
              <w:spacing w:line="240" w:lineRule="auto"/>
              <w:ind w:firstLine="0"/>
              <w:jc w:val="center"/>
              <w:rPr>
                <w:rFonts w:hint="eastAsia" w:ascii="宋体" w:hAnsi="宋体" w:cs="宋体"/>
                <w:bCs/>
                <w:color w:val="auto"/>
                <w:sz w:val="24"/>
                <w:szCs w:val="24"/>
                <w:highlight w:val="none"/>
              </w:rPr>
            </w:pPr>
          </w:p>
        </w:tc>
        <w:tc>
          <w:tcPr>
            <w:tcW w:w="2130" w:type="dxa"/>
            <w:tcBorders>
              <w:top w:val="single" w:color="000000" w:sz="4" w:space="0"/>
              <w:left w:val="single" w:color="000000" w:sz="4" w:space="0"/>
              <w:bottom w:val="single" w:color="000000" w:sz="4" w:space="0"/>
              <w:right w:val="single" w:color="auto" w:sz="4" w:space="0"/>
            </w:tcBorders>
            <w:noWrap/>
            <w:tcMar>
              <w:top w:w="0" w:type="dxa"/>
              <w:left w:w="108" w:type="dxa"/>
              <w:bottom w:w="0" w:type="dxa"/>
              <w:right w:w="108" w:type="dxa"/>
            </w:tcMar>
            <w:vAlign w:val="center"/>
          </w:tcPr>
          <w:p w14:paraId="6C7ECB02">
            <w:pPr>
              <w:keepNext w:val="0"/>
              <w:keepLines w:val="0"/>
              <w:pageBreakBefore w:val="0"/>
              <w:widowControl/>
              <w:spacing w:line="240" w:lineRule="auto"/>
              <w:ind w:firstLine="0"/>
              <w:jc w:val="center"/>
              <w:rPr>
                <w:rFonts w:hint="eastAsia" w:ascii="宋体" w:hAnsi="宋体" w:cs="宋体"/>
                <w:bCs/>
                <w:color w:val="auto"/>
                <w:sz w:val="24"/>
                <w:szCs w:val="24"/>
                <w:highlight w:val="none"/>
              </w:rPr>
            </w:pPr>
          </w:p>
        </w:tc>
        <w:tc>
          <w:tcPr>
            <w:tcW w:w="1950" w:type="dxa"/>
            <w:tcBorders>
              <w:top w:val="single" w:color="000000" w:sz="4" w:space="0"/>
              <w:left w:val="single" w:color="auto" w:sz="4" w:space="0"/>
              <w:bottom w:val="single" w:color="000000" w:sz="4" w:space="0"/>
              <w:right w:val="single" w:color="000000" w:sz="4" w:space="0"/>
            </w:tcBorders>
            <w:noWrap/>
            <w:tcMar>
              <w:top w:w="0" w:type="dxa"/>
              <w:left w:w="108" w:type="dxa"/>
              <w:bottom w:w="0" w:type="dxa"/>
              <w:right w:w="108" w:type="dxa"/>
            </w:tcMar>
            <w:vAlign w:val="center"/>
          </w:tcPr>
          <w:p w14:paraId="7D8D2835">
            <w:pPr>
              <w:keepNext w:val="0"/>
              <w:keepLines w:val="0"/>
              <w:pageBreakBefore w:val="0"/>
              <w:widowControl/>
              <w:spacing w:line="240" w:lineRule="auto"/>
              <w:ind w:firstLine="0"/>
              <w:jc w:val="center"/>
              <w:rPr>
                <w:rFonts w:hint="eastAsia" w:ascii="宋体" w:hAnsi="宋体" w:cs="宋体"/>
                <w:bCs/>
                <w:color w:val="auto"/>
                <w:sz w:val="24"/>
                <w:szCs w:val="24"/>
                <w:highlight w:val="none"/>
              </w:rPr>
            </w:pPr>
          </w:p>
        </w:tc>
        <w:tc>
          <w:tcPr>
            <w:tcW w:w="1632"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155788C5">
            <w:pPr>
              <w:keepNext w:val="0"/>
              <w:keepLines w:val="0"/>
              <w:pageBreakBefore w:val="0"/>
              <w:widowControl/>
              <w:spacing w:line="240" w:lineRule="auto"/>
              <w:ind w:firstLine="0"/>
              <w:jc w:val="center"/>
              <w:rPr>
                <w:rFonts w:hint="eastAsia" w:ascii="宋体" w:hAnsi="宋体" w:cs="宋体"/>
                <w:bCs/>
                <w:color w:val="auto"/>
                <w:sz w:val="24"/>
                <w:szCs w:val="24"/>
                <w:highlight w:val="none"/>
              </w:rPr>
            </w:pPr>
          </w:p>
        </w:tc>
      </w:tr>
      <w:tr w14:paraId="32A14EC2">
        <w:tblPrEx>
          <w:tblCellMar>
            <w:top w:w="0" w:type="dxa"/>
            <w:left w:w="108" w:type="dxa"/>
            <w:bottom w:w="0" w:type="dxa"/>
            <w:right w:w="108" w:type="dxa"/>
          </w:tblCellMar>
        </w:tblPrEx>
        <w:trPr>
          <w:trHeight w:val="567" w:hRule="atLeast"/>
        </w:trPr>
        <w:tc>
          <w:tcPr>
            <w:tcW w:w="90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19D835E8">
            <w:pPr>
              <w:keepNext w:val="0"/>
              <w:keepLines w:val="0"/>
              <w:pageBreakBefore w:val="0"/>
              <w:widowControl/>
              <w:spacing w:line="240" w:lineRule="auto"/>
              <w:ind w:firstLine="0"/>
              <w:jc w:val="center"/>
              <w:rPr>
                <w:rFonts w:hint="eastAsia" w:ascii="宋体" w:hAnsi="宋体" w:cs="宋体"/>
                <w:bCs/>
                <w:color w:val="auto"/>
                <w:sz w:val="24"/>
                <w:szCs w:val="24"/>
                <w:highlight w:val="none"/>
              </w:rPr>
            </w:pPr>
            <w:r>
              <w:rPr>
                <w:rFonts w:hint="eastAsia" w:ascii="宋体" w:hAnsi="宋体" w:cs="宋体"/>
                <w:bCs/>
                <w:color w:val="auto"/>
                <w:sz w:val="24"/>
                <w:szCs w:val="24"/>
                <w:highlight w:val="none"/>
              </w:rPr>
              <w:t>4</w:t>
            </w:r>
          </w:p>
        </w:tc>
        <w:tc>
          <w:tcPr>
            <w:tcW w:w="172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292A8C9E">
            <w:pPr>
              <w:keepNext w:val="0"/>
              <w:keepLines w:val="0"/>
              <w:pageBreakBefore w:val="0"/>
              <w:widowControl/>
              <w:spacing w:line="240" w:lineRule="auto"/>
              <w:ind w:firstLine="0"/>
              <w:jc w:val="center"/>
              <w:rPr>
                <w:rFonts w:hint="eastAsia" w:ascii="宋体" w:hAnsi="宋体" w:cs="宋体"/>
                <w:bCs/>
                <w:color w:val="auto"/>
                <w:sz w:val="24"/>
                <w:szCs w:val="24"/>
                <w:highlight w:val="none"/>
              </w:rPr>
            </w:pPr>
          </w:p>
        </w:tc>
        <w:tc>
          <w:tcPr>
            <w:tcW w:w="2130" w:type="dxa"/>
            <w:tcBorders>
              <w:top w:val="single" w:color="000000" w:sz="4" w:space="0"/>
              <w:left w:val="single" w:color="000000" w:sz="4" w:space="0"/>
              <w:bottom w:val="single" w:color="000000" w:sz="4" w:space="0"/>
              <w:right w:val="single" w:color="auto" w:sz="4" w:space="0"/>
            </w:tcBorders>
            <w:noWrap/>
            <w:tcMar>
              <w:top w:w="0" w:type="dxa"/>
              <w:left w:w="108" w:type="dxa"/>
              <w:bottom w:w="0" w:type="dxa"/>
              <w:right w:w="108" w:type="dxa"/>
            </w:tcMar>
            <w:vAlign w:val="center"/>
          </w:tcPr>
          <w:p w14:paraId="0A4F4ECB">
            <w:pPr>
              <w:keepNext w:val="0"/>
              <w:keepLines w:val="0"/>
              <w:pageBreakBefore w:val="0"/>
              <w:widowControl/>
              <w:spacing w:line="240" w:lineRule="auto"/>
              <w:ind w:firstLine="0"/>
              <w:jc w:val="center"/>
              <w:rPr>
                <w:rFonts w:hint="eastAsia" w:ascii="宋体" w:hAnsi="宋体" w:cs="宋体"/>
                <w:bCs/>
                <w:color w:val="auto"/>
                <w:sz w:val="24"/>
                <w:szCs w:val="24"/>
                <w:highlight w:val="none"/>
              </w:rPr>
            </w:pPr>
          </w:p>
        </w:tc>
        <w:tc>
          <w:tcPr>
            <w:tcW w:w="1950" w:type="dxa"/>
            <w:tcBorders>
              <w:top w:val="single" w:color="000000" w:sz="4" w:space="0"/>
              <w:left w:val="single" w:color="auto" w:sz="4" w:space="0"/>
              <w:bottom w:val="single" w:color="000000" w:sz="4" w:space="0"/>
              <w:right w:val="single" w:color="000000" w:sz="4" w:space="0"/>
            </w:tcBorders>
            <w:noWrap/>
            <w:tcMar>
              <w:top w:w="0" w:type="dxa"/>
              <w:left w:w="108" w:type="dxa"/>
              <w:bottom w:w="0" w:type="dxa"/>
              <w:right w:w="108" w:type="dxa"/>
            </w:tcMar>
            <w:vAlign w:val="center"/>
          </w:tcPr>
          <w:p w14:paraId="57807713">
            <w:pPr>
              <w:keepNext w:val="0"/>
              <w:keepLines w:val="0"/>
              <w:pageBreakBefore w:val="0"/>
              <w:widowControl/>
              <w:spacing w:line="240" w:lineRule="auto"/>
              <w:ind w:firstLine="0"/>
              <w:jc w:val="center"/>
              <w:rPr>
                <w:rFonts w:hint="eastAsia" w:ascii="宋体" w:hAnsi="宋体" w:cs="宋体"/>
                <w:bCs/>
                <w:color w:val="auto"/>
                <w:sz w:val="24"/>
                <w:szCs w:val="24"/>
                <w:highlight w:val="none"/>
              </w:rPr>
            </w:pPr>
          </w:p>
        </w:tc>
        <w:tc>
          <w:tcPr>
            <w:tcW w:w="1632"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671F3E7B">
            <w:pPr>
              <w:keepNext w:val="0"/>
              <w:keepLines w:val="0"/>
              <w:pageBreakBefore w:val="0"/>
              <w:widowControl/>
              <w:spacing w:line="240" w:lineRule="auto"/>
              <w:ind w:firstLine="0"/>
              <w:jc w:val="center"/>
              <w:rPr>
                <w:rFonts w:hint="eastAsia" w:ascii="宋体" w:hAnsi="宋体" w:cs="宋体"/>
                <w:bCs/>
                <w:color w:val="auto"/>
                <w:sz w:val="24"/>
                <w:szCs w:val="24"/>
                <w:highlight w:val="none"/>
              </w:rPr>
            </w:pPr>
          </w:p>
        </w:tc>
      </w:tr>
      <w:tr w14:paraId="2916B3D2">
        <w:tblPrEx>
          <w:tblCellMar>
            <w:top w:w="0" w:type="dxa"/>
            <w:left w:w="108" w:type="dxa"/>
            <w:bottom w:w="0" w:type="dxa"/>
            <w:right w:w="108" w:type="dxa"/>
          </w:tblCellMar>
        </w:tblPrEx>
        <w:trPr>
          <w:trHeight w:val="567" w:hRule="atLeast"/>
        </w:trPr>
        <w:tc>
          <w:tcPr>
            <w:tcW w:w="90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418EE607">
            <w:pPr>
              <w:keepNext w:val="0"/>
              <w:keepLines w:val="0"/>
              <w:pageBreakBefore w:val="0"/>
              <w:widowControl/>
              <w:spacing w:line="240" w:lineRule="auto"/>
              <w:ind w:firstLine="0"/>
              <w:jc w:val="center"/>
              <w:rPr>
                <w:rFonts w:hint="eastAsia" w:ascii="宋体" w:hAnsi="宋体" w:cs="宋体"/>
                <w:bCs/>
                <w:color w:val="auto"/>
                <w:sz w:val="24"/>
                <w:szCs w:val="24"/>
                <w:highlight w:val="none"/>
              </w:rPr>
            </w:pPr>
            <w:r>
              <w:rPr>
                <w:rFonts w:hint="eastAsia" w:ascii="宋体" w:hAnsi="宋体" w:cs="宋体"/>
                <w:bCs/>
                <w:color w:val="auto"/>
                <w:sz w:val="24"/>
                <w:szCs w:val="24"/>
                <w:highlight w:val="none"/>
              </w:rPr>
              <w:t>5</w:t>
            </w:r>
          </w:p>
        </w:tc>
        <w:tc>
          <w:tcPr>
            <w:tcW w:w="172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19A09037">
            <w:pPr>
              <w:keepNext w:val="0"/>
              <w:keepLines w:val="0"/>
              <w:pageBreakBefore w:val="0"/>
              <w:widowControl/>
              <w:spacing w:line="240" w:lineRule="auto"/>
              <w:ind w:firstLine="0"/>
              <w:jc w:val="center"/>
              <w:rPr>
                <w:rFonts w:hint="eastAsia" w:ascii="宋体" w:hAnsi="宋体" w:cs="宋体"/>
                <w:bCs/>
                <w:color w:val="auto"/>
                <w:sz w:val="24"/>
                <w:szCs w:val="24"/>
                <w:highlight w:val="none"/>
              </w:rPr>
            </w:pPr>
          </w:p>
        </w:tc>
        <w:tc>
          <w:tcPr>
            <w:tcW w:w="2130" w:type="dxa"/>
            <w:tcBorders>
              <w:top w:val="single" w:color="000000" w:sz="4" w:space="0"/>
              <w:left w:val="single" w:color="000000" w:sz="4" w:space="0"/>
              <w:bottom w:val="single" w:color="000000" w:sz="4" w:space="0"/>
              <w:right w:val="single" w:color="auto" w:sz="4" w:space="0"/>
            </w:tcBorders>
            <w:noWrap/>
            <w:tcMar>
              <w:top w:w="0" w:type="dxa"/>
              <w:left w:w="108" w:type="dxa"/>
              <w:bottom w:w="0" w:type="dxa"/>
              <w:right w:w="108" w:type="dxa"/>
            </w:tcMar>
            <w:vAlign w:val="center"/>
          </w:tcPr>
          <w:p w14:paraId="2182E628">
            <w:pPr>
              <w:keepNext w:val="0"/>
              <w:keepLines w:val="0"/>
              <w:pageBreakBefore w:val="0"/>
              <w:widowControl/>
              <w:spacing w:line="240" w:lineRule="auto"/>
              <w:ind w:firstLine="0"/>
              <w:jc w:val="center"/>
              <w:rPr>
                <w:rFonts w:hint="eastAsia" w:ascii="宋体" w:hAnsi="宋体" w:cs="宋体"/>
                <w:bCs/>
                <w:color w:val="auto"/>
                <w:sz w:val="24"/>
                <w:szCs w:val="24"/>
                <w:highlight w:val="none"/>
              </w:rPr>
            </w:pPr>
          </w:p>
        </w:tc>
        <w:tc>
          <w:tcPr>
            <w:tcW w:w="1950" w:type="dxa"/>
            <w:tcBorders>
              <w:top w:val="single" w:color="000000" w:sz="4" w:space="0"/>
              <w:left w:val="single" w:color="auto" w:sz="4" w:space="0"/>
              <w:bottom w:val="single" w:color="000000" w:sz="4" w:space="0"/>
              <w:right w:val="single" w:color="000000" w:sz="4" w:space="0"/>
            </w:tcBorders>
            <w:noWrap/>
            <w:tcMar>
              <w:top w:w="0" w:type="dxa"/>
              <w:left w:w="108" w:type="dxa"/>
              <w:bottom w:w="0" w:type="dxa"/>
              <w:right w:w="108" w:type="dxa"/>
            </w:tcMar>
            <w:vAlign w:val="center"/>
          </w:tcPr>
          <w:p w14:paraId="0D8B154B">
            <w:pPr>
              <w:keepNext w:val="0"/>
              <w:keepLines w:val="0"/>
              <w:pageBreakBefore w:val="0"/>
              <w:widowControl/>
              <w:spacing w:line="240" w:lineRule="auto"/>
              <w:ind w:firstLine="0"/>
              <w:jc w:val="center"/>
              <w:rPr>
                <w:rFonts w:hint="eastAsia" w:ascii="宋体" w:hAnsi="宋体" w:cs="宋体"/>
                <w:bCs/>
                <w:color w:val="auto"/>
                <w:sz w:val="24"/>
                <w:szCs w:val="24"/>
                <w:highlight w:val="none"/>
              </w:rPr>
            </w:pPr>
          </w:p>
        </w:tc>
        <w:tc>
          <w:tcPr>
            <w:tcW w:w="1632"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5EC2AF3C">
            <w:pPr>
              <w:keepNext w:val="0"/>
              <w:keepLines w:val="0"/>
              <w:pageBreakBefore w:val="0"/>
              <w:widowControl/>
              <w:spacing w:line="240" w:lineRule="auto"/>
              <w:ind w:firstLine="0"/>
              <w:jc w:val="center"/>
              <w:rPr>
                <w:rFonts w:hint="eastAsia" w:ascii="宋体" w:hAnsi="宋体" w:cs="宋体"/>
                <w:bCs/>
                <w:color w:val="auto"/>
                <w:sz w:val="24"/>
                <w:szCs w:val="24"/>
                <w:highlight w:val="none"/>
              </w:rPr>
            </w:pPr>
          </w:p>
        </w:tc>
      </w:tr>
      <w:tr w14:paraId="48B65369">
        <w:tblPrEx>
          <w:tblCellMar>
            <w:top w:w="0" w:type="dxa"/>
            <w:left w:w="108" w:type="dxa"/>
            <w:bottom w:w="0" w:type="dxa"/>
            <w:right w:w="108" w:type="dxa"/>
          </w:tblCellMar>
        </w:tblPrEx>
        <w:trPr>
          <w:trHeight w:val="567" w:hRule="atLeast"/>
        </w:trPr>
        <w:tc>
          <w:tcPr>
            <w:tcW w:w="90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3A6D70E2">
            <w:pPr>
              <w:keepNext w:val="0"/>
              <w:keepLines w:val="0"/>
              <w:pageBreakBefore w:val="0"/>
              <w:widowControl/>
              <w:spacing w:line="240" w:lineRule="auto"/>
              <w:ind w:firstLine="0"/>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w:t>
            </w:r>
          </w:p>
        </w:tc>
        <w:tc>
          <w:tcPr>
            <w:tcW w:w="172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76F15E16">
            <w:pPr>
              <w:keepNext w:val="0"/>
              <w:keepLines w:val="0"/>
              <w:pageBreakBefore w:val="0"/>
              <w:widowControl/>
              <w:spacing w:line="240" w:lineRule="auto"/>
              <w:ind w:firstLine="0"/>
              <w:jc w:val="center"/>
              <w:rPr>
                <w:rFonts w:hint="eastAsia" w:ascii="宋体" w:hAnsi="宋体" w:cs="宋体"/>
                <w:bCs/>
                <w:color w:val="auto"/>
                <w:sz w:val="24"/>
                <w:szCs w:val="24"/>
                <w:highlight w:val="none"/>
              </w:rPr>
            </w:pPr>
          </w:p>
        </w:tc>
        <w:tc>
          <w:tcPr>
            <w:tcW w:w="2130" w:type="dxa"/>
            <w:tcBorders>
              <w:top w:val="single" w:color="000000" w:sz="4" w:space="0"/>
              <w:left w:val="single" w:color="000000" w:sz="4" w:space="0"/>
              <w:bottom w:val="single" w:color="000000" w:sz="4" w:space="0"/>
              <w:right w:val="single" w:color="auto" w:sz="4" w:space="0"/>
            </w:tcBorders>
            <w:noWrap/>
            <w:tcMar>
              <w:top w:w="0" w:type="dxa"/>
              <w:left w:w="108" w:type="dxa"/>
              <w:bottom w:w="0" w:type="dxa"/>
              <w:right w:w="108" w:type="dxa"/>
            </w:tcMar>
            <w:vAlign w:val="center"/>
          </w:tcPr>
          <w:p w14:paraId="152CC04D">
            <w:pPr>
              <w:keepNext w:val="0"/>
              <w:keepLines w:val="0"/>
              <w:pageBreakBefore w:val="0"/>
              <w:widowControl/>
              <w:spacing w:line="240" w:lineRule="auto"/>
              <w:ind w:firstLine="0"/>
              <w:jc w:val="center"/>
              <w:rPr>
                <w:rFonts w:hint="eastAsia" w:ascii="宋体" w:hAnsi="宋体" w:cs="宋体"/>
                <w:bCs/>
                <w:color w:val="auto"/>
                <w:sz w:val="24"/>
                <w:szCs w:val="24"/>
                <w:highlight w:val="none"/>
              </w:rPr>
            </w:pPr>
          </w:p>
        </w:tc>
        <w:tc>
          <w:tcPr>
            <w:tcW w:w="1950" w:type="dxa"/>
            <w:tcBorders>
              <w:top w:val="single" w:color="000000" w:sz="4" w:space="0"/>
              <w:left w:val="single" w:color="auto" w:sz="4" w:space="0"/>
              <w:bottom w:val="single" w:color="000000" w:sz="4" w:space="0"/>
              <w:right w:val="single" w:color="000000" w:sz="4" w:space="0"/>
            </w:tcBorders>
            <w:noWrap/>
            <w:tcMar>
              <w:top w:w="0" w:type="dxa"/>
              <w:left w:w="108" w:type="dxa"/>
              <w:bottom w:w="0" w:type="dxa"/>
              <w:right w:w="108" w:type="dxa"/>
            </w:tcMar>
            <w:vAlign w:val="center"/>
          </w:tcPr>
          <w:p w14:paraId="78CF9B8F">
            <w:pPr>
              <w:keepNext w:val="0"/>
              <w:keepLines w:val="0"/>
              <w:pageBreakBefore w:val="0"/>
              <w:widowControl/>
              <w:spacing w:line="240" w:lineRule="auto"/>
              <w:ind w:firstLine="0"/>
              <w:jc w:val="center"/>
              <w:rPr>
                <w:rFonts w:hint="eastAsia" w:ascii="宋体" w:hAnsi="宋体" w:cs="宋体"/>
                <w:bCs/>
                <w:color w:val="auto"/>
                <w:sz w:val="24"/>
                <w:szCs w:val="24"/>
                <w:highlight w:val="none"/>
              </w:rPr>
            </w:pPr>
          </w:p>
        </w:tc>
        <w:tc>
          <w:tcPr>
            <w:tcW w:w="1632"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6BC2FF26">
            <w:pPr>
              <w:keepNext w:val="0"/>
              <w:keepLines w:val="0"/>
              <w:pageBreakBefore w:val="0"/>
              <w:widowControl/>
              <w:spacing w:line="240" w:lineRule="auto"/>
              <w:ind w:firstLine="0"/>
              <w:jc w:val="center"/>
              <w:rPr>
                <w:rFonts w:hint="eastAsia" w:ascii="宋体" w:hAnsi="宋体" w:cs="宋体"/>
                <w:bCs/>
                <w:color w:val="auto"/>
                <w:sz w:val="24"/>
                <w:szCs w:val="24"/>
                <w:highlight w:val="none"/>
              </w:rPr>
            </w:pPr>
          </w:p>
        </w:tc>
      </w:tr>
    </w:tbl>
    <w:p w14:paraId="6353AF6C">
      <w:pPr>
        <w:spacing w:line="360" w:lineRule="auto"/>
        <w:ind w:firstLine="210"/>
        <w:rPr>
          <w:rFonts w:hint="eastAsia" w:ascii="宋体" w:hAnsi="宋体"/>
          <w:color w:val="auto"/>
          <w:sz w:val="24"/>
          <w:highlight w:val="none"/>
        </w:rPr>
      </w:pPr>
    </w:p>
    <w:p w14:paraId="4FED8658">
      <w:pPr>
        <w:pStyle w:val="197"/>
        <w:rPr>
          <w:color w:val="auto"/>
          <w:highlight w:val="none"/>
        </w:rPr>
      </w:pPr>
    </w:p>
    <w:p w14:paraId="722ACB1E">
      <w:pPr>
        <w:spacing w:line="360" w:lineRule="auto"/>
        <w:rPr>
          <w:rFonts w:hint="eastAsia" w:ascii="宋体" w:hAnsi="宋体"/>
          <w:color w:val="auto"/>
          <w:sz w:val="24"/>
          <w:highlight w:val="none"/>
        </w:rPr>
      </w:pPr>
      <w:r>
        <w:rPr>
          <w:rFonts w:hint="eastAsia" w:ascii="宋体" w:hAnsi="宋体"/>
          <w:color w:val="auto"/>
          <w:sz w:val="24"/>
          <w:highlight w:val="none"/>
        </w:rPr>
        <w:t>投标</w:t>
      </w:r>
      <w:r>
        <w:rPr>
          <w:rFonts w:ascii="宋体" w:hAnsi="宋体"/>
          <w:color w:val="auto"/>
          <w:sz w:val="24"/>
          <w:highlight w:val="none"/>
        </w:rPr>
        <w:t>单位：（单位盖章）</w:t>
      </w:r>
    </w:p>
    <w:p w14:paraId="6943D63E">
      <w:pPr>
        <w:spacing w:line="360" w:lineRule="auto"/>
        <w:rPr>
          <w:rFonts w:hint="eastAsia" w:ascii="宋体" w:hAnsi="宋体"/>
          <w:color w:val="auto"/>
          <w:sz w:val="24"/>
          <w:highlight w:val="none"/>
        </w:rPr>
      </w:pPr>
      <w:r>
        <w:rPr>
          <w:rFonts w:ascii="宋体" w:hAnsi="宋体"/>
          <w:color w:val="auto"/>
          <w:sz w:val="24"/>
          <w:highlight w:val="none"/>
        </w:rPr>
        <w:t>法定代表人或代理人：（签字或盖章）</w:t>
      </w:r>
    </w:p>
    <w:p w14:paraId="6BEA1AEA">
      <w:pPr>
        <w:spacing w:line="380" w:lineRule="exact"/>
        <w:rPr>
          <w:rFonts w:hint="eastAsia" w:ascii="宋体" w:hAnsi="宋体"/>
          <w:color w:val="auto"/>
          <w:sz w:val="24"/>
          <w:highlight w:val="none"/>
        </w:rPr>
      </w:pPr>
      <w:r>
        <w:rPr>
          <w:rFonts w:hint="eastAsia" w:ascii="宋体" w:hAnsi="宋体"/>
          <w:color w:val="auto"/>
          <w:sz w:val="24"/>
          <w:highlight w:val="none"/>
        </w:rPr>
        <w:t>日期：    年    月    日</w:t>
      </w:r>
    </w:p>
    <w:p w14:paraId="5721F19A">
      <w:pPr>
        <w:spacing w:line="360" w:lineRule="auto"/>
        <w:ind w:firstLine="210"/>
        <w:rPr>
          <w:rFonts w:hint="eastAsia" w:ascii="宋体" w:hAnsi="宋体"/>
          <w:color w:val="auto"/>
          <w:sz w:val="24"/>
          <w:highlight w:val="none"/>
        </w:rPr>
      </w:pPr>
    </w:p>
    <w:p w14:paraId="764924CB">
      <w:pPr>
        <w:spacing w:line="360" w:lineRule="auto"/>
        <w:ind w:firstLine="210"/>
        <w:rPr>
          <w:rFonts w:hint="eastAsia" w:ascii="宋体" w:hAnsi="宋体"/>
          <w:color w:val="auto"/>
          <w:sz w:val="24"/>
          <w:highlight w:val="none"/>
        </w:rPr>
      </w:pPr>
    </w:p>
    <w:p w14:paraId="5A62D3A6">
      <w:pPr>
        <w:spacing w:line="360" w:lineRule="auto"/>
        <w:ind w:firstLine="210"/>
        <w:rPr>
          <w:rFonts w:hint="eastAsia" w:ascii="宋体" w:hAnsi="宋体"/>
          <w:color w:val="auto"/>
          <w:sz w:val="24"/>
          <w:highlight w:val="none"/>
        </w:rPr>
      </w:pPr>
    </w:p>
    <w:p w14:paraId="3D2A0796">
      <w:pPr>
        <w:spacing w:line="360" w:lineRule="auto"/>
        <w:ind w:firstLine="210"/>
        <w:rPr>
          <w:rFonts w:hint="eastAsia" w:ascii="宋体" w:hAnsi="宋体"/>
          <w:color w:val="auto"/>
          <w:sz w:val="24"/>
          <w:highlight w:val="none"/>
        </w:rPr>
      </w:pPr>
    </w:p>
    <w:p w14:paraId="73474A18">
      <w:pPr>
        <w:spacing w:line="360" w:lineRule="auto"/>
        <w:ind w:firstLine="210"/>
        <w:rPr>
          <w:rFonts w:hint="eastAsia" w:ascii="宋体" w:hAnsi="宋体"/>
          <w:color w:val="auto"/>
          <w:sz w:val="24"/>
          <w:highlight w:val="none"/>
        </w:rPr>
      </w:pPr>
    </w:p>
    <w:p w14:paraId="67AFDE46">
      <w:pPr>
        <w:spacing w:line="360" w:lineRule="auto"/>
        <w:ind w:firstLine="210"/>
        <w:rPr>
          <w:rFonts w:hint="eastAsia" w:ascii="宋体" w:hAnsi="宋体"/>
          <w:color w:val="auto"/>
          <w:sz w:val="24"/>
          <w:highlight w:val="none"/>
        </w:rPr>
      </w:pPr>
    </w:p>
    <w:p w14:paraId="1AA58BFC">
      <w:pPr>
        <w:spacing w:line="360" w:lineRule="auto"/>
        <w:ind w:firstLine="210"/>
        <w:rPr>
          <w:rFonts w:hint="eastAsia" w:ascii="宋体" w:hAnsi="宋体"/>
          <w:color w:val="auto"/>
          <w:sz w:val="24"/>
          <w:highlight w:val="none"/>
        </w:rPr>
      </w:pPr>
    </w:p>
    <w:p w14:paraId="4CD424B8">
      <w:pPr>
        <w:spacing w:line="360" w:lineRule="auto"/>
        <w:rPr>
          <w:rFonts w:hint="eastAsia" w:ascii="宋体" w:hAnsi="宋体"/>
          <w:color w:val="auto"/>
          <w:sz w:val="24"/>
          <w:highlight w:val="none"/>
        </w:rPr>
      </w:pPr>
    </w:p>
    <w:p w14:paraId="40988F5D">
      <w:pPr>
        <w:rPr>
          <w:rFonts w:hint="eastAsia" w:ascii="宋体" w:hAnsi="宋体"/>
          <w:color w:val="auto"/>
          <w:sz w:val="28"/>
          <w:szCs w:val="28"/>
          <w:highlight w:val="none"/>
        </w:rPr>
      </w:pPr>
      <w:r>
        <w:rPr>
          <w:rFonts w:hint="eastAsia" w:ascii="宋体" w:hAnsi="宋体"/>
          <w:color w:val="auto"/>
          <w:sz w:val="28"/>
          <w:szCs w:val="28"/>
          <w:highlight w:val="none"/>
        </w:rPr>
        <w:br w:type="page" w:clear="all"/>
      </w:r>
    </w:p>
    <w:p w14:paraId="70BF7EFE">
      <w:pPr>
        <w:spacing w:line="360" w:lineRule="auto"/>
        <w:rPr>
          <w:rFonts w:hint="eastAsia" w:ascii="宋体" w:hAnsi="宋体"/>
          <w:color w:val="auto"/>
          <w:sz w:val="28"/>
          <w:szCs w:val="28"/>
          <w:highlight w:val="none"/>
        </w:rPr>
      </w:pPr>
      <w:r>
        <w:rPr>
          <w:rFonts w:hint="eastAsia" w:ascii="宋体" w:hAnsi="宋体"/>
          <w:color w:val="auto"/>
          <w:sz w:val="28"/>
          <w:szCs w:val="28"/>
          <w:highlight w:val="none"/>
          <w:lang w:val="en-US" w:eastAsia="zh-CN"/>
        </w:rPr>
        <w:t>7</w:t>
      </w:r>
      <w:r>
        <w:rPr>
          <w:rFonts w:hint="eastAsia" w:ascii="宋体" w:hAnsi="宋体"/>
          <w:color w:val="auto"/>
          <w:sz w:val="28"/>
          <w:szCs w:val="28"/>
          <w:highlight w:val="none"/>
        </w:rPr>
        <w:t>、服务人员配备表（如有）</w:t>
      </w:r>
    </w:p>
    <w:p w14:paraId="39B2368E">
      <w:pPr>
        <w:widowControl/>
        <w:spacing w:line="360" w:lineRule="auto"/>
        <w:jc w:val="center"/>
        <w:rPr>
          <w:rFonts w:hint="eastAsia" w:ascii="宋体" w:hAnsi="宋体"/>
          <w:color w:val="auto"/>
          <w:sz w:val="28"/>
          <w:szCs w:val="28"/>
          <w:highlight w:val="none"/>
        </w:rPr>
      </w:pPr>
    </w:p>
    <w:p w14:paraId="347DD527">
      <w:pPr>
        <w:widowControl/>
        <w:spacing w:line="360" w:lineRule="auto"/>
        <w:jc w:val="center"/>
        <w:rPr>
          <w:rFonts w:hint="eastAsia" w:ascii="宋体" w:hAnsi="宋体"/>
          <w:color w:val="auto"/>
          <w:sz w:val="28"/>
          <w:szCs w:val="28"/>
          <w:highlight w:val="none"/>
        </w:rPr>
      </w:pPr>
      <w:r>
        <w:rPr>
          <w:rFonts w:hint="eastAsia" w:ascii="宋体" w:hAnsi="宋体"/>
          <w:color w:val="auto"/>
          <w:sz w:val="28"/>
          <w:szCs w:val="28"/>
          <w:highlight w:val="none"/>
        </w:rPr>
        <w:t>项目配备人员表</w:t>
      </w:r>
    </w:p>
    <w:tbl>
      <w:tblPr>
        <w:tblStyle w:val="33"/>
        <w:tblW w:w="837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94"/>
        <w:gridCol w:w="1162"/>
        <w:gridCol w:w="1188"/>
        <w:gridCol w:w="970"/>
        <w:gridCol w:w="925"/>
        <w:gridCol w:w="925"/>
        <w:gridCol w:w="1475"/>
        <w:gridCol w:w="935"/>
      </w:tblGrid>
      <w:tr w14:paraId="27179C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60" w:hRule="atLeast"/>
          <w:jc w:val="center"/>
        </w:trPr>
        <w:tc>
          <w:tcPr>
            <w:tcW w:w="794" w:type="dxa"/>
            <w:noWrap w:val="0"/>
            <w:vAlign w:val="center"/>
          </w:tcPr>
          <w:p w14:paraId="2F74AF8A">
            <w:pPr>
              <w:spacing w:line="380" w:lineRule="exact"/>
              <w:jc w:val="center"/>
              <w:rPr>
                <w:rFonts w:hint="eastAsia" w:ascii="宋体" w:hAnsi="宋体" w:cs="宋体"/>
                <w:color w:val="auto"/>
                <w:sz w:val="24"/>
                <w:highlight w:val="none"/>
              </w:rPr>
            </w:pPr>
            <w:r>
              <w:rPr>
                <w:rFonts w:hint="eastAsia" w:ascii="宋体" w:hAnsi="宋体" w:cs="宋体"/>
                <w:color w:val="auto"/>
                <w:sz w:val="24"/>
                <w:highlight w:val="none"/>
              </w:rPr>
              <w:t>序号</w:t>
            </w:r>
          </w:p>
        </w:tc>
        <w:tc>
          <w:tcPr>
            <w:tcW w:w="1162" w:type="dxa"/>
            <w:noWrap w:val="0"/>
            <w:vAlign w:val="center"/>
          </w:tcPr>
          <w:p w14:paraId="5D91851C">
            <w:pPr>
              <w:spacing w:line="380" w:lineRule="exact"/>
              <w:jc w:val="center"/>
              <w:rPr>
                <w:rFonts w:hint="eastAsia" w:ascii="宋体" w:hAnsi="宋体" w:cs="宋体"/>
                <w:color w:val="auto"/>
                <w:sz w:val="24"/>
                <w:highlight w:val="none"/>
              </w:rPr>
            </w:pPr>
            <w:r>
              <w:rPr>
                <w:rFonts w:hint="eastAsia" w:ascii="宋体" w:hAnsi="宋体" w:cs="宋体"/>
                <w:color w:val="auto"/>
                <w:sz w:val="24"/>
                <w:highlight w:val="none"/>
              </w:rPr>
              <w:t>岗位</w:t>
            </w:r>
          </w:p>
        </w:tc>
        <w:tc>
          <w:tcPr>
            <w:tcW w:w="1188" w:type="dxa"/>
            <w:noWrap w:val="0"/>
            <w:vAlign w:val="center"/>
          </w:tcPr>
          <w:p w14:paraId="0782423D">
            <w:pPr>
              <w:spacing w:line="380" w:lineRule="exact"/>
              <w:jc w:val="center"/>
              <w:rPr>
                <w:rFonts w:hint="eastAsia" w:ascii="宋体" w:hAnsi="宋体" w:cs="宋体"/>
                <w:color w:val="auto"/>
                <w:sz w:val="24"/>
                <w:highlight w:val="none"/>
              </w:rPr>
            </w:pPr>
            <w:r>
              <w:rPr>
                <w:rFonts w:hint="eastAsia" w:ascii="宋体" w:hAnsi="宋体" w:cs="宋体"/>
                <w:color w:val="auto"/>
                <w:sz w:val="24"/>
                <w:highlight w:val="none"/>
              </w:rPr>
              <w:t>姓名</w:t>
            </w:r>
          </w:p>
        </w:tc>
        <w:tc>
          <w:tcPr>
            <w:tcW w:w="970" w:type="dxa"/>
            <w:noWrap w:val="0"/>
            <w:vAlign w:val="center"/>
          </w:tcPr>
          <w:p w14:paraId="7FAC1E59">
            <w:pPr>
              <w:spacing w:line="380" w:lineRule="exact"/>
              <w:jc w:val="center"/>
              <w:rPr>
                <w:rFonts w:hint="eastAsia" w:ascii="宋体" w:hAnsi="宋体" w:cs="宋体"/>
                <w:color w:val="auto"/>
                <w:sz w:val="24"/>
                <w:highlight w:val="none"/>
              </w:rPr>
            </w:pPr>
            <w:r>
              <w:rPr>
                <w:rFonts w:hint="eastAsia" w:ascii="宋体" w:hAnsi="宋体" w:cs="宋体"/>
                <w:color w:val="auto"/>
                <w:sz w:val="24"/>
                <w:highlight w:val="none"/>
              </w:rPr>
              <w:t>性别</w:t>
            </w:r>
          </w:p>
        </w:tc>
        <w:tc>
          <w:tcPr>
            <w:tcW w:w="925" w:type="dxa"/>
            <w:noWrap w:val="0"/>
            <w:vAlign w:val="center"/>
          </w:tcPr>
          <w:p w14:paraId="0E46AE85">
            <w:pPr>
              <w:spacing w:line="380" w:lineRule="exact"/>
              <w:jc w:val="center"/>
              <w:rPr>
                <w:rFonts w:hint="eastAsia" w:ascii="宋体" w:hAnsi="宋体" w:cs="宋体"/>
                <w:color w:val="auto"/>
                <w:sz w:val="24"/>
                <w:highlight w:val="none"/>
              </w:rPr>
            </w:pPr>
            <w:r>
              <w:rPr>
                <w:rFonts w:hint="eastAsia" w:ascii="宋体" w:hAnsi="宋体" w:cs="宋体"/>
                <w:color w:val="auto"/>
                <w:sz w:val="24"/>
                <w:highlight w:val="none"/>
              </w:rPr>
              <w:t>年龄</w:t>
            </w:r>
          </w:p>
        </w:tc>
        <w:tc>
          <w:tcPr>
            <w:tcW w:w="925" w:type="dxa"/>
            <w:noWrap w:val="0"/>
            <w:vAlign w:val="center"/>
          </w:tcPr>
          <w:p w14:paraId="17D8A338">
            <w:pPr>
              <w:spacing w:line="380" w:lineRule="exact"/>
              <w:jc w:val="center"/>
              <w:rPr>
                <w:rFonts w:hint="eastAsia" w:ascii="宋体" w:hAnsi="宋体" w:cs="宋体"/>
                <w:color w:val="auto"/>
                <w:sz w:val="24"/>
                <w:highlight w:val="none"/>
              </w:rPr>
            </w:pPr>
            <w:r>
              <w:rPr>
                <w:rFonts w:hint="eastAsia" w:ascii="宋体" w:hAnsi="宋体" w:cs="宋体"/>
                <w:color w:val="auto"/>
                <w:sz w:val="24"/>
                <w:highlight w:val="none"/>
              </w:rPr>
              <w:t>学历</w:t>
            </w:r>
          </w:p>
        </w:tc>
        <w:tc>
          <w:tcPr>
            <w:tcW w:w="1475" w:type="dxa"/>
            <w:noWrap w:val="0"/>
            <w:vAlign w:val="center"/>
          </w:tcPr>
          <w:p w14:paraId="448AF0E5">
            <w:pPr>
              <w:spacing w:line="380" w:lineRule="exact"/>
              <w:jc w:val="center"/>
              <w:rPr>
                <w:rFonts w:hint="default" w:ascii="宋体" w:hAnsi="宋体" w:eastAsia="宋体" w:cs="宋体"/>
                <w:color w:val="auto"/>
                <w:sz w:val="24"/>
                <w:highlight w:val="none"/>
                <w:lang w:val="en-US" w:eastAsia="zh-CN"/>
              </w:rPr>
            </w:pPr>
            <w:r>
              <w:rPr>
                <w:rFonts w:hint="eastAsia" w:ascii="宋体" w:hAnsi="宋体" w:cs="宋体"/>
                <w:color w:val="auto"/>
                <w:sz w:val="24"/>
                <w:highlight w:val="none"/>
              </w:rPr>
              <w:t>职称</w:t>
            </w:r>
            <w:r>
              <w:rPr>
                <w:rFonts w:hint="eastAsia" w:ascii="宋体" w:hAnsi="宋体" w:cs="宋体"/>
                <w:color w:val="auto"/>
                <w:sz w:val="24"/>
                <w:highlight w:val="none"/>
                <w:lang w:val="en-US" w:eastAsia="zh-CN"/>
              </w:rPr>
              <w:t>或专业证书</w:t>
            </w:r>
          </w:p>
        </w:tc>
        <w:tc>
          <w:tcPr>
            <w:tcW w:w="935" w:type="dxa"/>
            <w:noWrap w:val="0"/>
            <w:vAlign w:val="center"/>
          </w:tcPr>
          <w:p w14:paraId="26965B7F">
            <w:pPr>
              <w:spacing w:line="380" w:lineRule="exact"/>
              <w:jc w:val="center"/>
              <w:rPr>
                <w:rFonts w:hint="eastAsia" w:ascii="宋体" w:hAnsi="宋体" w:cs="宋体"/>
                <w:color w:val="auto"/>
                <w:sz w:val="24"/>
                <w:highlight w:val="none"/>
              </w:rPr>
            </w:pPr>
            <w:r>
              <w:rPr>
                <w:rFonts w:hint="eastAsia" w:ascii="宋体" w:hAnsi="宋体" w:cs="宋体"/>
                <w:color w:val="auto"/>
                <w:sz w:val="24"/>
                <w:highlight w:val="none"/>
              </w:rPr>
              <w:t>备注</w:t>
            </w:r>
          </w:p>
        </w:tc>
      </w:tr>
      <w:tr w14:paraId="1F9DFC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95" w:hRule="atLeast"/>
          <w:jc w:val="center"/>
        </w:trPr>
        <w:tc>
          <w:tcPr>
            <w:tcW w:w="794" w:type="dxa"/>
            <w:noWrap w:val="0"/>
            <w:vAlign w:val="center"/>
          </w:tcPr>
          <w:p w14:paraId="79EC5BA0">
            <w:pPr>
              <w:spacing w:line="380" w:lineRule="exact"/>
              <w:jc w:val="center"/>
              <w:rPr>
                <w:rFonts w:hint="eastAsia" w:ascii="宋体" w:hAnsi="宋体" w:cs="宋体"/>
                <w:color w:val="auto"/>
                <w:sz w:val="24"/>
                <w:highlight w:val="none"/>
              </w:rPr>
            </w:pPr>
            <w:r>
              <w:rPr>
                <w:rFonts w:hint="eastAsia" w:ascii="宋体" w:hAnsi="宋体" w:cs="宋体"/>
                <w:color w:val="auto"/>
                <w:sz w:val="24"/>
                <w:highlight w:val="none"/>
              </w:rPr>
              <w:t>1</w:t>
            </w:r>
          </w:p>
        </w:tc>
        <w:tc>
          <w:tcPr>
            <w:tcW w:w="1162" w:type="dxa"/>
            <w:noWrap w:val="0"/>
            <w:vAlign w:val="center"/>
          </w:tcPr>
          <w:p w14:paraId="1ECDB9D9">
            <w:pPr>
              <w:spacing w:line="380" w:lineRule="exact"/>
              <w:jc w:val="center"/>
              <w:rPr>
                <w:rFonts w:hint="eastAsia" w:ascii="宋体" w:hAnsi="宋体" w:cs="宋体"/>
                <w:color w:val="auto"/>
                <w:sz w:val="24"/>
                <w:highlight w:val="none"/>
              </w:rPr>
            </w:pPr>
          </w:p>
        </w:tc>
        <w:tc>
          <w:tcPr>
            <w:tcW w:w="1188" w:type="dxa"/>
            <w:noWrap w:val="0"/>
            <w:vAlign w:val="center"/>
          </w:tcPr>
          <w:p w14:paraId="3843D91B">
            <w:pPr>
              <w:spacing w:line="380" w:lineRule="exact"/>
              <w:jc w:val="center"/>
              <w:rPr>
                <w:rFonts w:hint="eastAsia" w:ascii="宋体" w:hAnsi="宋体" w:cs="宋体"/>
                <w:color w:val="auto"/>
                <w:sz w:val="24"/>
                <w:highlight w:val="none"/>
              </w:rPr>
            </w:pPr>
          </w:p>
        </w:tc>
        <w:tc>
          <w:tcPr>
            <w:tcW w:w="970" w:type="dxa"/>
            <w:noWrap w:val="0"/>
            <w:vAlign w:val="center"/>
          </w:tcPr>
          <w:p w14:paraId="69BBB3D8">
            <w:pPr>
              <w:spacing w:line="380" w:lineRule="exact"/>
              <w:jc w:val="center"/>
              <w:rPr>
                <w:rFonts w:hint="eastAsia" w:ascii="宋体" w:hAnsi="宋体" w:cs="宋体"/>
                <w:color w:val="auto"/>
                <w:sz w:val="24"/>
                <w:highlight w:val="none"/>
              </w:rPr>
            </w:pPr>
          </w:p>
        </w:tc>
        <w:tc>
          <w:tcPr>
            <w:tcW w:w="925" w:type="dxa"/>
            <w:noWrap w:val="0"/>
            <w:vAlign w:val="center"/>
          </w:tcPr>
          <w:p w14:paraId="6795EBF4">
            <w:pPr>
              <w:spacing w:line="380" w:lineRule="exact"/>
              <w:jc w:val="center"/>
              <w:rPr>
                <w:rFonts w:hint="eastAsia" w:ascii="宋体" w:hAnsi="宋体" w:cs="宋体"/>
                <w:color w:val="auto"/>
                <w:sz w:val="24"/>
                <w:highlight w:val="none"/>
              </w:rPr>
            </w:pPr>
          </w:p>
        </w:tc>
        <w:tc>
          <w:tcPr>
            <w:tcW w:w="925" w:type="dxa"/>
            <w:noWrap w:val="0"/>
            <w:vAlign w:val="center"/>
          </w:tcPr>
          <w:p w14:paraId="4DA7EEF8">
            <w:pPr>
              <w:spacing w:line="380" w:lineRule="exact"/>
              <w:jc w:val="center"/>
              <w:rPr>
                <w:rFonts w:hint="eastAsia" w:ascii="宋体" w:hAnsi="宋体" w:cs="宋体"/>
                <w:color w:val="auto"/>
                <w:sz w:val="24"/>
                <w:highlight w:val="none"/>
              </w:rPr>
            </w:pPr>
          </w:p>
        </w:tc>
        <w:tc>
          <w:tcPr>
            <w:tcW w:w="1475" w:type="dxa"/>
            <w:noWrap w:val="0"/>
            <w:vAlign w:val="center"/>
          </w:tcPr>
          <w:p w14:paraId="027DC879">
            <w:pPr>
              <w:spacing w:line="380" w:lineRule="exact"/>
              <w:jc w:val="center"/>
              <w:rPr>
                <w:rFonts w:hint="eastAsia" w:ascii="宋体" w:hAnsi="宋体" w:cs="宋体"/>
                <w:color w:val="auto"/>
                <w:sz w:val="24"/>
                <w:highlight w:val="none"/>
              </w:rPr>
            </w:pPr>
          </w:p>
        </w:tc>
        <w:tc>
          <w:tcPr>
            <w:tcW w:w="935" w:type="dxa"/>
            <w:noWrap w:val="0"/>
          </w:tcPr>
          <w:p w14:paraId="305F517D">
            <w:pPr>
              <w:spacing w:line="380" w:lineRule="exact"/>
              <w:jc w:val="center"/>
              <w:rPr>
                <w:rFonts w:hint="eastAsia" w:ascii="宋体" w:hAnsi="宋体" w:cs="宋体"/>
                <w:color w:val="auto"/>
                <w:sz w:val="24"/>
                <w:highlight w:val="none"/>
              </w:rPr>
            </w:pPr>
          </w:p>
        </w:tc>
      </w:tr>
      <w:tr w14:paraId="2A672A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95" w:hRule="atLeast"/>
          <w:jc w:val="center"/>
        </w:trPr>
        <w:tc>
          <w:tcPr>
            <w:tcW w:w="794" w:type="dxa"/>
            <w:noWrap w:val="0"/>
            <w:vAlign w:val="center"/>
          </w:tcPr>
          <w:p w14:paraId="773CE566">
            <w:pPr>
              <w:spacing w:line="380" w:lineRule="exact"/>
              <w:jc w:val="center"/>
              <w:rPr>
                <w:rFonts w:hint="eastAsia" w:ascii="宋体" w:hAnsi="宋体" w:cs="宋体"/>
                <w:color w:val="auto"/>
                <w:sz w:val="24"/>
                <w:highlight w:val="none"/>
              </w:rPr>
            </w:pPr>
            <w:r>
              <w:rPr>
                <w:rFonts w:hint="eastAsia" w:ascii="宋体" w:hAnsi="宋体" w:cs="宋体"/>
                <w:color w:val="auto"/>
                <w:sz w:val="24"/>
                <w:highlight w:val="none"/>
              </w:rPr>
              <w:t>2</w:t>
            </w:r>
          </w:p>
        </w:tc>
        <w:tc>
          <w:tcPr>
            <w:tcW w:w="1162" w:type="dxa"/>
            <w:noWrap w:val="0"/>
            <w:vAlign w:val="center"/>
          </w:tcPr>
          <w:p w14:paraId="3009A515">
            <w:pPr>
              <w:spacing w:line="380" w:lineRule="exact"/>
              <w:jc w:val="center"/>
              <w:rPr>
                <w:rFonts w:hint="eastAsia" w:ascii="宋体" w:hAnsi="宋体" w:cs="宋体"/>
                <w:color w:val="auto"/>
                <w:sz w:val="24"/>
                <w:highlight w:val="none"/>
              </w:rPr>
            </w:pPr>
          </w:p>
        </w:tc>
        <w:tc>
          <w:tcPr>
            <w:tcW w:w="1188" w:type="dxa"/>
            <w:noWrap w:val="0"/>
            <w:vAlign w:val="center"/>
          </w:tcPr>
          <w:p w14:paraId="60B623A8">
            <w:pPr>
              <w:spacing w:line="380" w:lineRule="exact"/>
              <w:jc w:val="center"/>
              <w:rPr>
                <w:rFonts w:hint="eastAsia" w:ascii="宋体" w:hAnsi="宋体" w:cs="宋体"/>
                <w:color w:val="auto"/>
                <w:sz w:val="24"/>
                <w:highlight w:val="none"/>
              </w:rPr>
            </w:pPr>
          </w:p>
        </w:tc>
        <w:tc>
          <w:tcPr>
            <w:tcW w:w="970" w:type="dxa"/>
            <w:noWrap w:val="0"/>
            <w:vAlign w:val="center"/>
          </w:tcPr>
          <w:p w14:paraId="12A98736">
            <w:pPr>
              <w:spacing w:line="380" w:lineRule="exact"/>
              <w:jc w:val="center"/>
              <w:rPr>
                <w:rFonts w:hint="eastAsia" w:ascii="宋体" w:hAnsi="宋体" w:cs="宋体"/>
                <w:color w:val="auto"/>
                <w:sz w:val="24"/>
                <w:highlight w:val="none"/>
              </w:rPr>
            </w:pPr>
          </w:p>
        </w:tc>
        <w:tc>
          <w:tcPr>
            <w:tcW w:w="925" w:type="dxa"/>
            <w:noWrap w:val="0"/>
            <w:vAlign w:val="center"/>
          </w:tcPr>
          <w:p w14:paraId="31688B88">
            <w:pPr>
              <w:spacing w:line="380" w:lineRule="exact"/>
              <w:jc w:val="center"/>
              <w:rPr>
                <w:rFonts w:hint="eastAsia" w:ascii="宋体" w:hAnsi="宋体" w:cs="宋体"/>
                <w:color w:val="auto"/>
                <w:sz w:val="24"/>
                <w:highlight w:val="none"/>
              </w:rPr>
            </w:pPr>
          </w:p>
        </w:tc>
        <w:tc>
          <w:tcPr>
            <w:tcW w:w="925" w:type="dxa"/>
            <w:noWrap w:val="0"/>
            <w:vAlign w:val="center"/>
          </w:tcPr>
          <w:p w14:paraId="6EDA3C67">
            <w:pPr>
              <w:spacing w:line="380" w:lineRule="exact"/>
              <w:jc w:val="center"/>
              <w:rPr>
                <w:rFonts w:hint="eastAsia" w:ascii="宋体" w:hAnsi="宋体" w:cs="宋体"/>
                <w:color w:val="auto"/>
                <w:sz w:val="24"/>
                <w:highlight w:val="none"/>
              </w:rPr>
            </w:pPr>
          </w:p>
        </w:tc>
        <w:tc>
          <w:tcPr>
            <w:tcW w:w="1475" w:type="dxa"/>
            <w:noWrap w:val="0"/>
            <w:vAlign w:val="center"/>
          </w:tcPr>
          <w:p w14:paraId="3D2A6DEE">
            <w:pPr>
              <w:spacing w:line="380" w:lineRule="exact"/>
              <w:jc w:val="center"/>
              <w:rPr>
                <w:rFonts w:hint="eastAsia" w:ascii="宋体" w:hAnsi="宋体" w:cs="宋体"/>
                <w:color w:val="auto"/>
                <w:sz w:val="24"/>
                <w:highlight w:val="none"/>
              </w:rPr>
            </w:pPr>
          </w:p>
        </w:tc>
        <w:tc>
          <w:tcPr>
            <w:tcW w:w="935" w:type="dxa"/>
            <w:noWrap w:val="0"/>
          </w:tcPr>
          <w:p w14:paraId="00D9E74F">
            <w:pPr>
              <w:spacing w:line="380" w:lineRule="exact"/>
              <w:jc w:val="center"/>
              <w:rPr>
                <w:rFonts w:hint="eastAsia" w:ascii="宋体" w:hAnsi="宋体" w:cs="宋体"/>
                <w:color w:val="auto"/>
                <w:sz w:val="24"/>
                <w:highlight w:val="none"/>
              </w:rPr>
            </w:pPr>
          </w:p>
        </w:tc>
      </w:tr>
      <w:tr w14:paraId="074028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95" w:hRule="atLeast"/>
          <w:jc w:val="center"/>
        </w:trPr>
        <w:tc>
          <w:tcPr>
            <w:tcW w:w="794" w:type="dxa"/>
            <w:noWrap w:val="0"/>
            <w:vAlign w:val="center"/>
          </w:tcPr>
          <w:p w14:paraId="5D7B1D07">
            <w:pPr>
              <w:spacing w:line="380" w:lineRule="exact"/>
              <w:jc w:val="center"/>
              <w:rPr>
                <w:rFonts w:hint="eastAsia" w:ascii="宋体" w:hAnsi="宋体" w:cs="宋体"/>
                <w:color w:val="auto"/>
                <w:sz w:val="24"/>
                <w:highlight w:val="none"/>
              </w:rPr>
            </w:pPr>
            <w:r>
              <w:rPr>
                <w:rFonts w:hint="eastAsia" w:ascii="宋体" w:hAnsi="宋体" w:cs="宋体"/>
                <w:color w:val="auto"/>
                <w:sz w:val="24"/>
                <w:highlight w:val="none"/>
              </w:rPr>
              <w:t>3</w:t>
            </w:r>
          </w:p>
        </w:tc>
        <w:tc>
          <w:tcPr>
            <w:tcW w:w="1162" w:type="dxa"/>
            <w:noWrap w:val="0"/>
            <w:vAlign w:val="center"/>
          </w:tcPr>
          <w:p w14:paraId="2930ABE8">
            <w:pPr>
              <w:spacing w:line="380" w:lineRule="exact"/>
              <w:jc w:val="center"/>
              <w:rPr>
                <w:rFonts w:hint="eastAsia" w:ascii="宋体" w:hAnsi="宋体" w:cs="宋体"/>
                <w:color w:val="auto"/>
                <w:sz w:val="24"/>
                <w:highlight w:val="none"/>
              </w:rPr>
            </w:pPr>
          </w:p>
        </w:tc>
        <w:tc>
          <w:tcPr>
            <w:tcW w:w="1188" w:type="dxa"/>
            <w:noWrap w:val="0"/>
            <w:vAlign w:val="center"/>
          </w:tcPr>
          <w:p w14:paraId="3021DEF6">
            <w:pPr>
              <w:spacing w:line="380" w:lineRule="exact"/>
              <w:jc w:val="center"/>
              <w:rPr>
                <w:rFonts w:hint="eastAsia" w:ascii="宋体" w:hAnsi="宋体" w:cs="宋体"/>
                <w:color w:val="auto"/>
                <w:sz w:val="24"/>
                <w:highlight w:val="none"/>
              </w:rPr>
            </w:pPr>
          </w:p>
        </w:tc>
        <w:tc>
          <w:tcPr>
            <w:tcW w:w="970" w:type="dxa"/>
            <w:noWrap w:val="0"/>
            <w:vAlign w:val="center"/>
          </w:tcPr>
          <w:p w14:paraId="32074451">
            <w:pPr>
              <w:spacing w:line="380" w:lineRule="exact"/>
              <w:jc w:val="center"/>
              <w:rPr>
                <w:rFonts w:hint="eastAsia" w:ascii="宋体" w:hAnsi="宋体" w:cs="宋体"/>
                <w:color w:val="auto"/>
                <w:sz w:val="24"/>
                <w:highlight w:val="none"/>
              </w:rPr>
            </w:pPr>
          </w:p>
        </w:tc>
        <w:tc>
          <w:tcPr>
            <w:tcW w:w="925" w:type="dxa"/>
            <w:noWrap w:val="0"/>
            <w:vAlign w:val="center"/>
          </w:tcPr>
          <w:p w14:paraId="78BCE66E">
            <w:pPr>
              <w:spacing w:line="380" w:lineRule="exact"/>
              <w:jc w:val="center"/>
              <w:rPr>
                <w:rFonts w:hint="eastAsia" w:ascii="宋体" w:hAnsi="宋体" w:cs="宋体"/>
                <w:color w:val="auto"/>
                <w:sz w:val="24"/>
                <w:highlight w:val="none"/>
              </w:rPr>
            </w:pPr>
          </w:p>
        </w:tc>
        <w:tc>
          <w:tcPr>
            <w:tcW w:w="925" w:type="dxa"/>
            <w:noWrap w:val="0"/>
            <w:vAlign w:val="center"/>
          </w:tcPr>
          <w:p w14:paraId="1D0A136D">
            <w:pPr>
              <w:spacing w:line="380" w:lineRule="exact"/>
              <w:jc w:val="center"/>
              <w:rPr>
                <w:rFonts w:hint="eastAsia" w:ascii="宋体" w:hAnsi="宋体" w:cs="宋体"/>
                <w:color w:val="auto"/>
                <w:sz w:val="24"/>
                <w:highlight w:val="none"/>
              </w:rPr>
            </w:pPr>
          </w:p>
        </w:tc>
        <w:tc>
          <w:tcPr>
            <w:tcW w:w="1475" w:type="dxa"/>
            <w:noWrap w:val="0"/>
            <w:vAlign w:val="center"/>
          </w:tcPr>
          <w:p w14:paraId="7DF8FBBA">
            <w:pPr>
              <w:spacing w:line="380" w:lineRule="exact"/>
              <w:jc w:val="center"/>
              <w:rPr>
                <w:rFonts w:hint="eastAsia" w:ascii="宋体" w:hAnsi="宋体" w:cs="宋体"/>
                <w:color w:val="auto"/>
                <w:sz w:val="24"/>
                <w:highlight w:val="none"/>
              </w:rPr>
            </w:pPr>
          </w:p>
        </w:tc>
        <w:tc>
          <w:tcPr>
            <w:tcW w:w="935" w:type="dxa"/>
            <w:noWrap w:val="0"/>
          </w:tcPr>
          <w:p w14:paraId="6B6058CD">
            <w:pPr>
              <w:spacing w:line="380" w:lineRule="exact"/>
              <w:jc w:val="center"/>
              <w:rPr>
                <w:rFonts w:hint="eastAsia" w:ascii="宋体" w:hAnsi="宋体" w:cs="宋体"/>
                <w:color w:val="auto"/>
                <w:sz w:val="24"/>
                <w:highlight w:val="none"/>
              </w:rPr>
            </w:pPr>
          </w:p>
        </w:tc>
      </w:tr>
      <w:tr w14:paraId="4E8F72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95" w:hRule="atLeast"/>
          <w:jc w:val="center"/>
        </w:trPr>
        <w:tc>
          <w:tcPr>
            <w:tcW w:w="794" w:type="dxa"/>
            <w:noWrap w:val="0"/>
            <w:vAlign w:val="center"/>
          </w:tcPr>
          <w:p w14:paraId="1AC42D3F">
            <w:pPr>
              <w:spacing w:line="380" w:lineRule="exact"/>
              <w:jc w:val="center"/>
              <w:rPr>
                <w:rFonts w:hint="eastAsia" w:ascii="宋体" w:hAnsi="宋体" w:cs="宋体"/>
                <w:color w:val="auto"/>
                <w:sz w:val="24"/>
                <w:highlight w:val="none"/>
              </w:rPr>
            </w:pPr>
            <w:r>
              <w:rPr>
                <w:rFonts w:hint="eastAsia" w:ascii="宋体" w:hAnsi="宋体" w:cs="宋体"/>
                <w:color w:val="auto"/>
                <w:sz w:val="24"/>
                <w:highlight w:val="none"/>
              </w:rPr>
              <w:t>4</w:t>
            </w:r>
          </w:p>
        </w:tc>
        <w:tc>
          <w:tcPr>
            <w:tcW w:w="1162" w:type="dxa"/>
            <w:noWrap w:val="0"/>
            <w:vAlign w:val="center"/>
          </w:tcPr>
          <w:p w14:paraId="087B784D">
            <w:pPr>
              <w:spacing w:line="380" w:lineRule="exact"/>
              <w:jc w:val="center"/>
              <w:rPr>
                <w:rFonts w:hint="eastAsia" w:ascii="宋体" w:hAnsi="宋体" w:cs="宋体"/>
                <w:color w:val="auto"/>
                <w:sz w:val="24"/>
                <w:highlight w:val="none"/>
              </w:rPr>
            </w:pPr>
          </w:p>
        </w:tc>
        <w:tc>
          <w:tcPr>
            <w:tcW w:w="1188" w:type="dxa"/>
            <w:noWrap w:val="0"/>
            <w:vAlign w:val="center"/>
          </w:tcPr>
          <w:p w14:paraId="7CDDBB7B">
            <w:pPr>
              <w:spacing w:line="380" w:lineRule="exact"/>
              <w:jc w:val="center"/>
              <w:rPr>
                <w:rFonts w:hint="eastAsia" w:ascii="宋体" w:hAnsi="宋体" w:cs="宋体"/>
                <w:color w:val="auto"/>
                <w:sz w:val="24"/>
                <w:highlight w:val="none"/>
              </w:rPr>
            </w:pPr>
          </w:p>
        </w:tc>
        <w:tc>
          <w:tcPr>
            <w:tcW w:w="970" w:type="dxa"/>
            <w:noWrap w:val="0"/>
            <w:vAlign w:val="center"/>
          </w:tcPr>
          <w:p w14:paraId="1525E713">
            <w:pPr>
              <w:spacing w:line="380" w:lineRule="exact"/>
              <w:jc w:val="center"/>
              <w:rPr>
                <w:rFonts w:hint="eastAsia" w:ascii="宋体" w:hAnsi="宋体" w:cs="宋体"/>
                <w:color w:val="auto"/>
                <w:sz w:val="24"/>
                <w:highlight w:val="none"/>
              </w:rPr>
            </w:pPr>
          </w:p>
        </w:tc>
        <w:tc>
          <w:tcPr>
            <w:tcW w:w="925" w:type="dxa"/>
            <w:noWrap w:val="0"/>
            <w:vAlign w:val="center"/>
          </w:tcPr>
          <w:p w14:paraId="6A1CECF2">
            <w:pPr>
              <w:spacing w:line="380" w:lineRule="exact"/>
              <w:jc w:val="center"/>
              <w:rPr>
                <w:rFonts w:hint="eastAsia" w:ascii="宋体" w:hAnsi="宋体" w:cs="宋体"/>
                <w:color w:val="auto"/>
                <w:sz w:val="24"/>
                <w:highlight w:val="none"/>
              </w:rPr>
            </w:pPr>
          </w:p>
        </w:tc>
        <w:tc>
          <w:tcPr>
            <w:tcW w:w="925" w:type="dxa"/>
            <w:noWrap w:val="0"/>
            <w:vAlign w:val="center"/>
          </w:tcPr>
          <w:p w14:paraId="7247FCC2">
            <w:pPr>
              <w:spacing w:line="380" w:lineRule="exact"/>
              <w:jc w:val="center"/>
              <w:rPr>
                <w:rFonts w:hint="eastAsia" w:ascii="宋体" w:hAnsi="宋体" w:cs="宋体"/>
                <w:color w:val="auto"/>
                <w:sz w:val="24"/>
                <w:highlight w:val="none"/>
              </w:rPr>
            </w:pPr>
          </w:p>
        </w:tc>
        <w:tc>
          <w:tcPr>
            <w:tcW w:w="1475" w:type="dxa"/>
            <w:noWrap w:val="0"/>
            <w:vAlign w:val="center"/>
          </w:tcPr>
          <w:p w14:paraId="16F06D28">
            <w:pPr>
              <w:spacing w:line="380" w:lineRule="exact"/>
              <w:jc w:val="center"/>
              <w:rPr>
                <w:rFonts w:hint="eastAsia" w:ascii="宋体" w:hAnsi="宋体" w:cs="宋体"/>
                <w:color w:val="auto"/>
                <w:sz w:val="24"/>
                <w:highlight w:val="none"/>
              </w:rPr>
            </w:pPr>
          </w:p>
        </w:tc>
        <w:tc>
          <w:tcPr>
            <w:tcW w:w="935" w:type="dxa"/>
            <w:noWrap w:val="0"/>
          </w:tcPr>
          <w:p w14:paraId="04877911">
            <w:pPr>
              <w:spacing w:line="380" w:lineRule="exact"/>
              <w:jc w:val="center"/>
              <w:rPr>
                <w:rFonts w:hint="eastAsia" w:ascii="宋体" w:hAnsi="宋体" w:cs="宋体"/>
                <w:color w:val="auto"/>
                <w:sz w:val="24"/>
                <w:highlight w:val="none"/>
              </w:rPr>
            </w:pPr>
          </w:p>
        </w:tc>
      </w:tr>
      <w:tr w14:paraId="4B4324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95" w:hRule="atLeast"/>
          <w:jc w:val="center"/>
        </w:trPr>
        <w:tc>
          <w:tcPr>
            <w:tcW w:w="794" w:type="dxa"/>
            <w:noWrap w:val="0"/>
            <w:vAlign w:val="center"/>
          </w:tcPr>
          <w:p w14:paraId="7360E08E">
            <w:pPr>
              <w:spacing w:line="380" w:lineRule="exact"/>
              <w:jc w:val="center"/>
              <w:rPr>
                <w:rFonts w:hint="eastAsia" w:ascii="宋体" w:hAnsi="宋体" w:cs="宋体"/>
                <w:color w:val="auto"/>
                <w:sz w:val="24"/>
                <w:highlight w:val="none"/>
              </w:rPr>
            </w:pPr>
            <w:r>
              <w:rPr>
                <w:rFonts w:hint="eastAsia" w:ascii="宋体" w:hAnsi="宋体" w:cs="宋体"/>
                <w:color w:val="auto"/>
                <w:sz w:val="24"/>
                <w:highlight w:val="none"/>
              </w:rPr>
              <w:t>5</w:t>
            </w:r>
          </w:p>
        </w:tc>
        <w:tc>
          <w:tcPr>
            <w:tcW w:w="1162" w:type="dxa"/>
            <w:noWrap w:val="0"/>
            <w:vAlign w:val="center"/>
          </w:tcPr>
          <w:p w14:paraId="30AAB8C7">
            <w:pPr>
              <w:spacing w:line="380" w:lineRule="exact"/>
              <w:jc w:val="center"/>
              <w:rPr>
                <w:rFonts w:hint="eastAsia" w:ascii="宋体" w:hAnsi="宋体" w:cs="宋体"/>
                <w:color w:val="auto"/>
                <w:sz w:val="24"/>
                <w:highlight w:val="none"/>
              </w:rPr>
            </w:pPr>
          </w:p>
        </w:tc>
        <w:tc>
          <w:tcPr>
            <w:tcW w:w="1188" w:type="dxa"/>
            <w:noWrap w:val="0"/>
            <w:vAlign w:val="center"/>
          </w:tcPr>
          <w:p w14:paraId="72F4194B">
            <w:pPr>
              <w:spacing w:line="380" w:lineRule="exact"/>
              <w:jc w:val="center"/>
              <w:rPr>
                <w:rFonts w:hint="eastAsia" w:ascii="宋体" w:hAnsi="宋体" w:cs="宋体"/>
                <w:color w:val="auto"/>
                <w:sz w:val="24"/>
                <w:highlight w:val="none"/>
              </w:rPr>
            </w:pPr>
          </w:p>
        </w:tc>
        <w:tc>
          <w:tcPr>
            <w:tcW w:w="970" w:type="dxa"/>
            <w:noWrap w:val="0"/>
            <w:vAlign w:val="center"/>
          </w:tcPr>
          <w:p w14:paraId="443BB31D">
            <w:pPr>
              <w:spacing w:line="380" w:lineRule="exact"/>
              <w:jc w:val="center"/>
              <w:rPr>
                <w:rFonts w:hint="eastAsia" w:ascii="宋体" w:hAnsi="宋体" w:cs="宋体"/>
                <w:color w:val="auto"/>
                <w:sz w:val="24"/>
                <w:highlight w:val="none"/>
              </w:rPr>
            </w:pPr>
          </w:p>
        </w:tc>
        <w:tc>
          <w:tcPr>
            <w:tcW w:w="925" w:type="dxa"/>
            <w:noWrap w:val="0"/>
            <w:vAlign w:val="center"/>
          </w:tcPr>
          <w:p w14:paraId="0CCC181E">
            <w:pPr>
              <w:spacing w:line="380" w:lineRule="exact"/>
              <w:jc w:val="center"/>
              <w:rPr>
                <w:rFonts w:hint="eastAsia" w:ascii="宋体" w:hAnsi="宋体" w:cs="宋体"/>
                <w:color w:val="auto"/>
                <w:sz w:val="24"/>
                <w:highlight w:val="none"/>
              </w:rPr>
            </w:pPr>
          </w:p>
        </w:tc>
        <w:tc>
          <w:tcPr>
            <w:tcW w:w="925" w:type="dxa"/>
            <w:noWrap w:val="0"/>
            <w:vAlign w:val="center"/>
          </w:tcPr>
          <w:p w14:paraId="2BF47BCD">
            <w:pPr>
              <w:spacing w:line="380" w:lineRule="exact"/>
              <w:jc w:val="center"/>
              <w:rPr>
                <w:rFonts w:hint="eastAsia" w:ascii="宋体" w:hAnsi="宋体" w:cs="宋体"/>
                <w:color w:val="auto"/>
                <w:sz w:val="24"/>
                <w:highlight w:val="none"/>
              </w:rPr>
            </w:pPr>
          </w:p>
        </w:tc>
        <w:tc>
          <w:tcPr>
            <w:tcW w:w="1475" w:type="dxa"/>
            <w:noWrap w:val="0"/>
            <w:vAlign w:val="center"/>
          </w:tcPr>
          <w:p w14:paraId="7C5D2776">
            <w:pPr>
              <w:spacing w:line="380" w:lineRule="exact"/>
              <w:jc w:val="center"/>
              <w:rPr>
                <w:rFonts w:hint="eastAsia" w:ascii="宋体" w:hAnsi="宋体" w:cs="宋体"/>
                <w:color w:val="auto"/>
                <w:sz w:val="24"/>
                <w:highlight w:val="none"/>
              </w:rPr>
            </w:pPr>
          </w:p>
        </w:tc>
        <w:tc>
          <w:tcPr>
            <w:tcW w:w="935" w:type="dxa"/>
            <w:noWrap w:val="0"/>
          </w:tcPr>
          <w:p w14:paraId="1B7DD42D">
            <w:pPr>
              <w:spacing w:line="380" w:lineRule="exact"/>
              <w:jc w:val="center"/>
              <w:rPr>
                <w:rFonts w:hint="eastAsia" w:ascii="宋体" w:hAnsi="宋体" w:cs="宋体"/>
                <w:color w:val="auto"/>
                <w:sz w:val="24"/>
                <w:highlight w:val="none"/>
              </w:rPr>
            </w:pPr>
          </w:p>
        </w:tc>
      </w:tr>
      <w:tr w14:paraId="41B9EC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95" w:hRule="atLeast"/>
          <w:jc w:val="center"/>
        </w:trPr>
        <w:tc>
          <w:tcPr>
            <w:tcW w:w="794" w:type="dxa"/>
            <w:noWrap w:val="0"/>
            <w:vAlign w:val="center"/>
          </w:tcPr>
          <w:p w14:paraId="3E0F2654">
            <w:pPr>
              <w:spacing w:line="380" w:lineRule="exact"/>
              <w:jc w:val="center"/>
              <w:rPr>
                <w:rFonts w:hint="eastAsia" w:ascii="宋体" w:hAnsi="宋体" w:cs="宋体"/>
                <w:color w:val="auto"/>
                <w:sz w:val="24"/>
                <w:highlight w:val="none"/>
              </w:rPr>
            </w:pPr>
            <w:r>
              <w:rPr>
                <w:rFonts w:hint="eastAsia" w:ascii="宋体" w:hAnsi="宋体" w:cs="宋体"/>
                <w:color w:val="auto"/>
                <w:sz w:val="24"/>
                <w:highlight w:val="none"/>
              </w:rPr>
              <w:t>6</w:t>
            </w:r>
          </w:p>
        </w:tc>
        <w:tc>
          <w:tcPr>
            <w:tcW w:w="1162" w:type="dxa"/>
            <w:noWrap w:val="0"/>
            <w:vAlign w:val="center"/>
          </w:tcPr>
          <w:p w14:paraId="1D683D9A">
            <w:pPr>
              <w:spacing w:line="380" w:lineRule="exact"/>
              <w:jc w:val="center"/>
              <w:rPr>
                <w:rFonts w:hint="eastAsia" w:ascii="宋体" w:hAnsi="宋体" w:cs="宋体"/>
                <w:color w:val="auto"/>
                <w:sz w:val="24"/>
                <w:highlight w:val="none"/>
              </w:rPr>
            </w:pPr>
          </w:p>
        </w:tc>
        <w:tc>
          <w:tcPr>
            <w:tcW w:w="1188" w:type="dxa"/>
            <w:noWrap w:val="0"/>
            <w:vAlign w:val="center"/>
          </w:tcPr>
          <w:p w14:paraId="10AC1816">
            <w:pPr>
              <w:spacing w:line="380" w:lineRule="exact"/>
              <w:jc w:val="center"/>
              <w:rPr>
                <w:rFonts w:hint="eastAsia" w:ascii="宋体" w:hAnsi="宋体" w:cs="宋体"/>
                <w:color w:val="auto"/>
                <w:sz w:val="24"/>
                <w:highlight w:val="none"/>
              </w:rPr>
            </w:pPr>
          </w:p>
        </w:tc>
        <w:tc>
          <w:tcPr>
            <w:tcW w:w="970" w:type="dxa"/>
            <w:noWrap w:val="0"/>
            <w:vAlign w:val="center"/>
          </w:tcPr>
          <w:p w14:paraId="61906478">
            <w:pPr>
              <w:spacing w:line="380" w:lineRule="exact"/>
              <w:jc w:val="center"/>
              <w:rPr>
                <w:rFonts w:hint="eastAsia" w:ascii="宋体" w:hAnsi="宋体" w:cs="宋体"/>
                <w:color w:val="auto"/>
                <w:sz w:val="24"/>
                <w:highlight w:val="none"/>
              </w:rPr>
            </w:pPr>
          </w:p>
        </w:tc>
        <w:tc>
          <w:tcPr>
            <w:tcW w:w="925" w:type="dxa"/>
            <w:noWrap w:val="0"/>
            <w:vAlign w:val="center"/>
          </w:tcPr>
          <w:p w14:paraId="6217E31E">
            <w:pPr>
              <w:spacing w:line="380" w:lineRule="exact"/>
              <w:jc w:val="center"/>
              <w:rPr>
                <w:rFonts w:hint="eastAsia" w:ascii="宋体" w:hAnsi="宋体" w:cs="宋体"/>
                <w:color w:val="auto"/>
                <w:sz w:val="24"/>
                <w:highlight w:val="none"/>
              </w:rPr>
            </w:pPr>
          </w:p>
        </w:tc>
        <w:tc>
          <w:tcPr>
            <w:tcW w:w="925" w:type="dxa"/>
            <w:noWrap w:val="0"/>
            <w:vAlign w:val="center"/>
          </w:tcPr>
          <w:p w14:paraId="6F4762D6">
            <w:pPr>
              <w:spacing w:line="380" w:lineRule="exact"/>
              <w:jc w:val="center"/>
              <w:rPr>
                <w:rFonts w:hint="eastAsia" w:ascii="宋体" w:hAnsi="宋体" w:cs="宋体"/>
                <w:color w:val="auto"/>
                <w:sz w:val="24"/>
                <w:highlight w:val="none"/>
              </w:rPr>
            </w:pPr>
          </w:p>
        </w:tc>
        <w:tc>
          <w:tcPr>
            <w:tcW w:w="1475" w:type="dxa"/>
            <w:noWrap w:val="0"/>
            <w:vAlign w:val="center"/>
          </w:tcPr>
          <w:p w14:paraId="2A6FA8D6">
            <w:pPr>
              <w:spacing w:line="380" w:lineRule="exact"/>
              <w:jc w:val="center"/>
              <w:rPr>
                <w:rFonts w:hint="eastAsia" w:ascii="宋体" w:hAnsi="宋体" w:cs="宋体"/>
                <w:color w:val="auto"/>
                <w:sz w:val="24"/>
                <w:highlight w:val="none"/>
              </w:rPr>
            </w:pPr>
          </w:p>
        </w:tc>
        <w:tc>
          <w:tcPr>
            <w:tcW w:w="935" w:type="dxa"/>
            <w:noWrap w:val="0"/>
          </w:tcPr>
          <w:p w14:paraId="7D742645">
            <w:pPr>
              <w:spacing w:line="380" w:lineRule="exact"/>
              <w:jc w:val="center"/>
              <w:rPr>
                <w:rFonts w:hint="eastAsia" w:ascii="宋体" w:hAnsi="宋体" w:cs="宋体"/>
                <w:color w:val="auto"/>
                <w:sz w:val="24"/>
                <w:highlight w:val="none"/>
              </w:rPr>
            </w:pPr>
          </w:p>
        </w:tc>
      </w:tr>
      <w:tr w14:paraId="4FD31F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95" w:hRule="atLeast"/>
          <w:jc w:val="center"/>
        </w:trPr>
        <w:tc>
          <w:tcPr>
            <w:tcW w:w="794" w:type="dxa"/>
            <w:noWrap w:val="0"/>
            <w:vAlign w:val="center"/>
          </w:tcPr>
          <w:p w14:paraId="3666DA0C">
            <w:pPr>
              <w:spacing w:line="380" w:lineRule="exact"/>
              <w:jc w:val="center"/>
              <w:rPr>
                <w:rFonts w:hint="eastAsia" w:ascii="宋体" w:hAnsi="宋体" w:cs="宋体"/>
                <w:color w:val="auto"/>
                <w:sz w:val="24"/>
                <w:highlight w:val="none"/>
              </w:rPr>
            </w:pPr>
            <w:r>
              <w:rPr>
                <w:rFonts w:hint="eastAsia" w:ascii="宋体" w:hAnsi="宋体" w:cs="宋体"/>
                <w:color w:val="auto"/>
                <w:sz w:val="24"/>
                <w:highlight w:val="none"/>
              </w:rPr>
              <w:t>7</w:t>
            </w:r>
          </w:p>
        </w:tc>
        <w:tc>
          <w:tcPr>
            <w:tcW w:w="1162" w:type="dxa"/>
            <w:noWrap w:val="0"/>
            <w:vAlign w:val="center"/>
          </w:tcPr>
          <w:p w14:paraId="6A9A6B70">
            <w:pPr>
              <w:spacing w:line="380" w:lineRule="exact"/>
              <w:jc w:val="center"/>
              <w:rPr>
                <w:rFonts w:hint="eastAsia" w:ascii="宋体" w:hAnsi="宋体" w:cs="宋体"/>
                <w:color w:val="auto"/>
                <w:sz w:val="24"/>
                <w:highlight w:val="none"/>
              </w:rPr>
            </w:pPr>
          </w:p>
        </w:tc>
        <w:tc>
          <w:tcPr>
            <w:tcW w:w="1188" w:type="dxa"/>
            <w:noWrap w:val="0"/>
            <w:vAlign w:val="center"/>
          </w:tcPr>
          <w:p w14:paraId="1367B870">
            <w:pPr>
              <w:spacing w:line="380" w:lineRule="exact"/>
              <w:jc w:val="center"/>
              <w:rPr>
                <w:rFonts w:hint="eastAsia" w:ascii="宋体" w:hAnsi="宋体" w:cs="宋体"/>
                <w:color w:val="auto"/>
                <w:sz w:val="24"/>
                <w:highlight w:val="none"/>
              </w:rPr>
            </w:pPr>
          </w:p>
        </w:tc>
        <w:tc>
          <w:tcPr>
            <w:tcW w:w="970" w:type="dxa"/>
            <w:noWrap w:val="0"/>
            <w:vAlign w:val="center"/>
          </w:tcPr>
          <w:p w14:paraId="1E49A9F9">
            <w:pPr>
              <w:spacing w:line="380" w:lineRule="exact"/>
              <w:jc w:val="center"/>
              <w:rPr>
                <w:rFonts w:hint="eastAsia" w:ascii="宋体" w:hAnsi="宋体" w:cs="宋体"/>
                <w:color w:val="auto"/>
                <w:sz w:val="24"/>
                <w:highlight w:val="none"/>
              </w:rPr>
            </w:pPr>
          </w:p>
        </w:tc>
        <w:tc>
          <w:tcPr>
            <w:tcW w:w="925" w:type="dxa"/>
            <w:noWrap w:val="0"/>
            <w:vAlign w:val="center"/>
          </w:tcPr>
          <w:p w14:paraId="2C106F70">
            <w:pPr>
              <w:spacing w:line="380" w:lineRule="exact"/>
              <w:jc w:val="center"/>
              <w:rPr>
                <w:rFonts w:hint="eastAsia" w:ascii="宋体" w:hAnsi="宋体" w:cs="宋体"/>
                <w:color w:val="auto"/>
                <w:sz w:val="24"/>
                <w:highlight w:val="none"/>
              </w:rPr>
            </w:pPr>
          </w:p>
        </w:tc>
        <w:tc>
          <w:tcPr>
            <w:tcW w:w="925" w:type="dxa"/>
            <w:noWrap w:val="0"/>
            <w:vAlign w:val="center"/>
          </w:tcPr>
          <w:p w14:paraId="54297328">
            <w:pPr>
              <w:spacing w:line="380" w:lineRule="exact"/>
              <w:jc w:val="center"/>
              <w:rPr>
                <w:rFonts w:hint="eastAsia" w:ascii="宋体" w:hAnsi="宋体" w:cs="宋体"/>
                <w:color w:val="auto"/>
                <w:sz w:val="24"/>
                <w:highlight w:val="none"/>
              </w:rPr>
            </w:pPr>
          </w:p>
        </w:tc>
        <w:tc>
          <w:tcPr>
            <w:tcW w:w="1475" w:type="dxa"/>
            <w:noWrap w:val="0"/>
            <w:vAlign w:val="center"/>
          </w:tcPr>
          <w:p w14:paraId="5D1F3857">
            <w:pPr>
              <w:spacing w:line="380" w:lineRule="exact"/>
              <w:jc w:val="center"/>
              <w:rPr>
                <w:rFonts w:hint="eastAsia" w:ascii="宋体" w:hAnsi="宋体" w:cs="宋体"/>
                <w:color w:val="auto"/>
                <w:sz w:val="24"/>
                <w:highlight w:val="none"/>
              </w:rPr>
            </w:pPr>
          </w:p>
        </w:tc>
        <w:tc>
          <w:tcPr>
            <w:tcW w:w="935" w:type="dxa"/>
            <w:noWrap w:val="0"/>
          </w:tcPr>
          <w:p w14:paraId="3A1DB795">
            <w:pPr>
              <w:spacing w:line="380" w:lineRule="exact"/>
              <w:jc w:val="center"/>
              <w:rPr>
                <w:rFonts w:hint="eastAsia" w:ascii="宋体" w:hAnsi="宋体" w:cs="宋体"/>
                <w:color w:val="auto"/>
                <w:sz w:val="24"/>
                <w:highlight w:val="none"/>
              </w:rPr>
            </w:pPr>
          </w:p>
        </w:tc>
      </w:tr>
      <w:tr w14:paraId="4B4C3B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95" w:hRule="atLeast"/>
          <w:jc w:val="center"/>
        </w:trPr>
        <w:tc>
          <w:tcPr>
            <w:tcW w:w="794" w:type="dxa"/>
            <w:noWrap w:val="0"/>
            <w:vAlign w:val="center"/>
          </w:tcPr>
          <w:p w14:paraId="60CC3412">
            <w:pPr>
              <w:spacing w:line="380" w:lineRule="exact"/>
              <w:jc w:val="center"/>
              <w:rPr>
                <w:rFonts w:hint="eastAsia" w:ascii="宋体" w:hAnsi="宋体" w:cs="宋体"/>
                <w:color w:val="auto"/>
                <w:sz w:val="24"/>
                <w:highlight w:val="none"/>
              </w:rPr>
            </w:pPr>
            <w:r>
              <w:rPr>
                <w:rFonts w:hint="eastAsia" w:ascii="宋体" w:hAnsi="宋体" w:cs="宋体"/>
                <w:color w:val="auto"/>
                <w:sz w:val="24"/>
                <w:highlight w:val="none"/>
              </w:rPr>
              <w:t>8</w:t>
            </w:r>
          </w:p>
        </w:tc>
        <w:tc>
          <w:tcPr>
            <w:tcW w:w="1162" w:type="dxa"/>
            <w:noWrap w:val="0"/>
            <w:vAlign w:val="center"/>
          </w:tcPr>
          <w:p w14:paraId="2907639B">
            <w:pPr>
              <w:spacing w:line="380" w:lineRule="exact"/>
              <w:jc w:val="center"/>
              <w:rPr>
                <w:rFonts w:hint="eastAsia" w:ascii="宋体" w:hAnsi="宋体" w:cs="宋体"/>
                <w:color w:val="auto"/>
                <w:sz w:val="24"/>
                <w:highlight w:val="none"/>
              </w:rPr>
            </w:pPr>
          </w:p>
        </w:tc>
        <w:tc>
          <w:tcPr>
            <w:tcW w:w="1188" w:type="dxa"/>
            <w:noWrap w:val="0"/>
            <w:vAlign w:val="center"/>
          </w:tcPr>
          <w:p w14:paraId="5399658A">
            <w:pPr>
              <w:spacing w:line="380" w:lineRule="exact"/>
              <w:jc w:val="center"/>
              <w:rPr>
                <w:rFonts w:hint="eastAsia" w:ascii="宋体" w:hAnsi="宋体" w:cs="宋体"/>
                <w:color w:val="auto"/>
                <w:sz w:val="24"/>
                <w:highlight w:val="none"/>
              </w:rPr>
            </w:pPr>
          </w:p>
        </w:tc>
        <w:tc>
          <w:tcPr>
            <w:tcW w:w="970" w:type="dxa"/>
            <w:noWrap w:val="0"/>
            <w:vAlign w:val="center"/>
          </w:tcPr>
          <w:p w14:paraId="48E4EC3A">
            <w:pPr>
              <w:spacing w:line="380" w:lineRule="exact"/>
              <w:jc w:val="center"/>
              <w:rPr>
                <w:rFonts w:hint="eastAsia" w:ascii="宋体" w:hAnsi="宋体" w:cs="宋体"/>
                <w:color w:val="auto"/>
                <w:sz w:val="24"/>
                <w:highlight w:val="none"/>
              </w:rPr>
            </w:pPr>
          </w:p>
        </w:tc>
        <w:tc>
          <w:tcPr>
            <w:tcW w:w="925" w:type="dxa"/>
            <w:noWrap w:val="0"/>
            <w:vAlign w:val="center"/>
          </w:tcPr>
          <w:p w14:paraId="63CF2060">
            <w:pPr>
              <w:spacing w:line="380" w:lineRule="exact"/>
              <w:jc w:val="center"/>
              <w:rPr>
                <w:rFonts w:hint="eastAsia" w:ascii="宋体" w:hAnsi="宋体" w:cs="宋体"/>
                <w:color w:val="auto"/>
                <w:sz w:val="24"/>
                <w:highlight w:val="none"/>
              </w:rPr>
            </w:pPr>
          </w:p>
        </w:tc>
        <w:tc>
          <w:tcPr>
            <w:tcW w:w="925" w:type="dxa"/>
            <w:noWrap w:val="0"/>
            <w:vAlign w:val="center"/>
          </w:tcPr>
          <w:p w14:paraId="71E8AF07">
            <w:pPr>
              <w:spacing w:line="380" w:lineRule="exact"/>
              <w:jc w:val="center"/>
              <w:rPr>
                <w:rFonts w:hint="eastAsia" w:ascii="宋体" w:hAnsi="宋体" w:cs="宋体"/>
                <w:color w:val="auto"/>
                <w:sz w:val="24"/>
                <w:highlight w:val="none"/>
              </w:rPr>
            </w:pPr>
          </w:p>
        </w:tc>
        <w:tc>
          <w:tcPr>
            <w:tcW w:w="1475" w:type="dxa"/>
            <w:noWrap w:val="0"/>
            <w:vAlign w:val="center"/>
          </w:tcPr>
          <w:p w14:paraId="756FA39E">
            <w:pPr>
              <w:spacing w:line="380" w:lineRule="exact"/>
              <w:jc w:val="center"/>
              <w:rPr>
                <w:rFonts w:hint="eastAsia" w:ascii="宋体" w:hAnsi="宋体" w:cs="宋体"/>
                <w:color w:val="auto"/>
                <w:sz w:val="24"/>
                <w:highlight w:val="none"/>
              </w:rPr>
            </w:pPr>
          </w:p>
        </w:tc>
        <w:tc>
          <w:tcPr>
            <w:tcW w:w="935" w:type="dxa"/>
            <w:noWrap w:val="0"/>
          </w:tcPr>
          <w:p w14:paraId="416692C9">
            <w:pPr>
              <w:spacing w:line="380" w:lineRule="exact"/>
              <w:jc w:val="center"/>
              <w:rPr>
                <w:rFonts w:hint="eastAsia" w:ascii="宋体" w:hAnsi="宋体" w:cs="宋体"/>
                <w:color w:val="auto"/>
                <w:sz w:val="24"/>
                <w:highlight w:val="none"/>
              </w:rPr>
            </w:pPr>
          </w:p>
        </w:tc>
      </w:tr>
      <w:tr w14:paraId="4967EA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95" w:hRule="atLeast"/>
          <w:jc w:val="center"/>
        </w:trPr>
        <w:tc>
          <w:tcPr>
            <w:tcW w:w="794" w:type="dxa"/>
            <w:noWrap w:val="0"/>
            <w:vAlign w:val="center"/>
          </w:tcPr>
          <w:p w14:paraId="609A5291">
            <w:pPr>
              <w:spacing w:line="380" w:lineRule="exact"/>
              <w:jc w:val="center"/>
              <w:rPr>
                <w:rFonts w:hint="eastAsia" w:ascii="宋体" w:hAnsi="宋体" w:cs="宋体"/>
                <w:color w:val="auto"/>
                <w:sz w:val="24"/>
                <w:highlight w:val="none"/>
              </w:rPr>
            </w:pPr>
            <w:r>
              <w:rPr>
                <w:rFonts w:hint="eastAsia" w:ascii="宋体" w:hAnsi="宋体" w:cs="宋体"/>
                <w:color w:val="auto"/>
                <w:sz w:val="24"/>
                <w:highlight w:val="none"/>
              </w:rPr>
              <w:t>……</w:t>
            </w:r>
          </w:p>
        </w:tc>
        <w:tc>
          <w:tcPr>
            <w:tcW w:w="1162" w:type="dxa"/>
            <w:noWrap w:val="0"/>
            <w:vAlign w:val="center"/>
          </w:tcPr>
          <w:p w14:paraId="2CB04BD5">
            <w:pPr>
              <w:spacing w:line="380" w:lineRule="exact"/>
              <w:jc w:val="center"/>
              <w:rPr>
                <w:rFonts w:hint="eastAsia" w:ascii="宋体" w:hAnsi="宋体" w:cs="宋体"/>
                <w:color w:val="auto"/>
                <w:sz w:val="24"/>
                <w:highlight w:val="none"/>
              </w:rPr>
            </w:pPr>
          </w:p>
        </w:tc>
        <w:tc>
          <w:tcPr>
            <w:tcW w:w="1188" w:type="dxa"/>
            <w:noWrap w:val="0"/>
            <w:vAlign w:val="center"/>
          </w:tcPr>
          <w:p w14:paraId="33386EB5">
            <w:pPr>
              <w:spacing w:line="380" w:lineRule="exact"/>
              <w:jc w:val="center"/>
              <w:rPr>
                <w:rFonts w:hint="eastAsia" w:ascii="宋体" w:hAnsi="宋体" w:cs="宋体"/>
                <w:color w:val="auto"/>
                <w:sz w:val="24"/>
                <w:highlight w:val="none"/>
              </w:rPr>
            </w:pPr>
          </w:p>
        </w:tc>
        <w:tc>
          <w:tcPr>
            <w:tcW w:w="970" w:type="dxa"/>
            <w:noWrap w:val="0"/>
            <w:vAlign w:val="center"/>
          </w:tcPr>
          <w:p w14:paraId="30521F89">
            <w:pPr>
              <w:spacing w:line="380" w:lineRule="exact"/>
              <w:jc w:val="center"/>
              <w:rPr>
                <w:rFonts w:hint="eastAsia" w:ascii="宋体" w:hAnsi="宋体" w:cs="宋体"/>
                <w:color w:val="auto"/>
                <w:sz w:val="24"/>
                <w:highlight w:val="none"/>
              </w:rPr>
            </w:pPr>
          </w:p>
        </w:tc>
        <w:tc>
          <w:tcPr>
            <w:tcW w:w="925" w:type="dxa"/>
            <w:noWrap w:val="0"/>
            <w:vAlign w:val="center"/>
          </w:tcPr>
          <w:p w14:paraId="73B9EF22">
            <w:pPr>
              <w:spacing w:line="380" w:lineRule="exact"/>
              <w:jc w:val="center"/>
              <w:rPr>
                <w:rFonts w:hint="eastAsia" w:ascii="宋体" w:hAnsi="宋体" w:cs="宋体"/>
                <w:color w:val="auto"/>
                <w:sz w:val="24"/>
                <w:highlight w:val="none"/>
              </w:rPr>
            </w:pPr>
          </w:p>
        </w:tc>
        <w:tc>
          <w:tcPr>
            <w:tcW w:w="925" w:type="dxa"/>
            <w:noWrap w:val="0"/>
            <w:vAlign w:val="center"/>
          </w:tcPr>
          <w:p w14:paraId="7641D65A">
            <w:pPr>
              <w:spacing w:line="380" w:lineRule="exact"/>
              <w:jc w:val="center"/>
              <w:rPr>
                <w:rFonts w:hint="eastAsia" w:ascii="宋体" w:hAnsi="宋体" w:cs="宋体"/>
                <w:color w:val="auto"/>
                <w:sz w:val="24"/>
                <w:highlight w:val="none"/>
              </w:rPr>
            </w:pPr>
          </w:p>
        </w:tc>
        <w:tc>
          <w:tcPr>
            <w:tcW w:w="1475" w:type="dxa"/>
            <w:noWrap w:val="0"/>
            <w:vAlign w:val="center"/>
          </w:tcPr>
          <w:p w14:paraId="4360A71B">
            <w:pPr>
              <w:spacing w:line="380" w:lineRule="exact"/>
              <w:jc w:val="center"/>
              <w:rPr>
                <w:rFonts w:hint="eastAsia" w:ascii="宋体" w:hAnsi="宋体" w:cs="宋体"/>
                <w:color w:val="auto"/>
                <w:sz w:val="24"/>
                <w:highlight w:val="none"/>
              </w:rPr>
            </w:pPr>
          </w:p>
        </w:tc>
        <w:tc>
          <w:tcPr>
            <w:tcW w:w="935" w:type="dxa"/>
            <w:noWrap w:val="0"/>
          </w:tcPr>
          <w:p w14:paraId="2E149BA2">
            <w:pPr>
              <w:spacing w:line="380" w:lineRule="exact"/>
              <w:jc w:val="center"/>
              <w:rPr>
                <w:rFonts w:hint="eastAsia" w:ascii="宋体" w:hAnsi="宋体" w:cs="宋体"/>
                <w:color w:val="auto"/>
                <w:sz w:val="24"/>
                <w:highlight w:val="none"/>
              </w:rPr>
            </w:pPr>
          </w:p>
        </w:tc>
      </w:tr>
      <w:tr w14:paraId="2B145C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95" w:hRule="atLeast"/>
          <w:jc w:val="center"/>
        </w:trPr>
        <w:tc>
          <w:tcPr>
            <w:tcW w:w="794" w:type="dxa"/>
            <w:noWrap w:val="0"/>
            <w:vAlign w:val="center"/>
          </w:tcPr>
          <w:p w14:paraId="7799C483">
            <w:pPr>
              <w:spacing w:line="380" w:lineRule="exact"/>
              <w:jc w:val="center"/>
              <w:rPr>
                <w:rFonts w:hint="eastAsia" w:ascii="宋体" w:hAnsi="宋体" w:cs="宋体"/>
                <w:color w:val="auto"/>
                <w:sz w:val="24"/>
                <w:highlight w:val="none"/>
              </w:rPr>
            </w:pPr>
          </w:p>
        </w:tc>
        <w:tc>
          <w:tcPr>
            <w:tcW w:w="1162" w:type="dxa"/>
            <w:noWrap w:val="0"/>
            <w:vAlign w:val="center"/>
          </w:tcPr>
          <w:p w14:paraId="08FEB6C1">
            <w:pPr>
              <w:spacing w:line="380" w:lineRule="exact"/>
              <w:jc w:val="center"/>
              <w:rPr>
                <w:rFonts w:hint="eastAsia" w:ascii="宋体" w:hAnsi="宋体" w:cs="宋体"/>
                <w:color w:val="auto"/>
                <w:sz w:val="24"/>
                <w:highlight w:val="none"/>
              </w:rPr>
            </w:pPr>
          </w:p>
        </w:tc>
        <w:tc>
          <w:tcPr>
            <w:tcW w:w="1188" w:type="dxa"/>
            <w:noWrap w:val="0"/>
            <w:vAlign w:val="center"/>
          </w:tcPr>
          <w:p w14:paraId="542782D2">
            <w:pPr>
              <w:spacing w:line="380" w:lineRule="exact"/>
              <w:jc w:val="center"/>
              <w:rPr>
                <w:rFonts w:hint="eastAsia" w:ascii="宋体" w:hAnsi="宋体" w:cs="宋体"/>
                <w:color w:val="auto"/>
                <w:sz w:val="24"/>
                <w:highlight w:val="none"/>
              </w:rPr>
            </w:pPr>
          </w:p>
        </w:tc>
        <w:tc>
          <w:tcPr>
            <w:tcW w:w="970" w:type="dxa"/>
            <w:noWrap w:val="0"/>
            <w:vAlign w:val="center"/>
          </w:tcPr>
          <w:p w14:paraId="66EEE6DB">
            <w:pPr>
              <w:spacing w:line="380" w:lineRule="exact"/>
              <w:jc w:val="center"/>
              <w:rPr>
                <w:rFonts w:hint="eastAsia" w:ascii="宋体" w:hAnsi="宋体" w:cs="宋体"/>
                <w:color w:val="auto"/>
                <w:sz w:val="24"/>
                <w:highlight w:val="none"/>
              </w:rPr>
            </w:pPr>
          </w:p>
        </w:tc>
        <w:tc>
          <w:tcPr>
            <w:tcW w:w="925" w:type="dxa"/>
            <w:noWrap w:val="0"/>
            <w:vAlign w:val="center"/>
          </w:tcPr>
          <w:p w14:paraId="04D4497D">
            <w:pPr>
              <w:spacing w:line="380" w:lineRule="exact"/>
              <w:jc w:val="center"/>
              <w:rPr>
                <w:rFonts w:hint="eastAsia" w:ascii="宋体" w:hAnsi="宋体" w:cs="宋体"/>
                <w:color w:val="auto"/>
                <w:sz w:val="24"/>
                <w:highlight w:val="none"/>
              </w:rPr>
            </w:pPr>
          </w:p>
        </w:tc>
        <w:tc>
          <w:tcPr>
            <w:tcW w:w="925" w:type="dxa"/>
            <w:noWrap w:val="0"/>
            <w:vAlign w:val="center"/>
          </w:tcPr>
          <w:p w14:paraId="0387F27B">
            <w:pPr>
              <w:spacing w:line="380" w:lineRule="exact"/>
              <w:jc w:val="center"/>
              <w:rPr>
                <w:rFonts w:hint="eastAsia" w:ascii="宋体" w:hAnsi="宋体" w:cs="宋体"/>
                <w:color w:val="auto"/>
                <w:sz w:val="24"/>
                <w:highlight w:val="none"/>
              </w:rPr>
            </w:pPr>
          </w:p>
        </w:tc>
        <w:tc>
          <w:tcPr>
            <w:tcW w:w="1475" w:type="dxa"/>
            <w:noWrap w:val="0"/>
            <w:vAlign w:val="center"/>
          </w:tcPr>
          <w:p w14:paraId="2642D835">
            <w:pPr>
              <w:spacing w:line="380" w:lineRule="exact"/>
              <w:jc w:val="center"/>
              <w:rPr>
                <w:rFonts w:hint="eastAsia" w:ascii="宋体" w:hAnsi="宋体" w:cs="宋体"/>
                <w:color w:val="auto"/>
                <w:sz w:val="24"/>
                <w:highlight w:val="none"/>
              </w:rPr>
            </w:pPr>
          </w:p>
        </w:tc>
        <w:tc>
          <w:tcPr>
            <w:tcW w:w="935" w:type="dxa"/>
            <w:noWrap w:val="0"/>
          </w:tcPr>
          <w:p w14:paraId="28A0EF9E">
            <w:pPr>
              <w:spacing w:line="380" w:lineRule="exact"/>
              <w:jc w:val="center"/>
              <w:rPr>
                <w:rFonts w:hint="eastAsia" w:ascii="宋体" w:hAnsi="宋体" w:cs="宋体"/>
                <w:color w:val="auto"/>
                <w:sz w:val="24"/>
                <w:highlight w:val="none"/>
              </w:rPr>
            </w:pPr>
          </w:p>
        </w:tc>
      </w:tr>
      <w:tr w14:paraId="3CCA36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95" w:hRule="atLeast"/>
          <w:jc w:val="center"/>
        </w:trPr>
        <w:tc>
          <w:tcPr>
            <w:tcW w:w="794" w:type="dxa"/>
            <w:noWrap w:val="0"/>
            <w:vAlign w:val="center"/>
          </w:tcPr>
          <w:p w14:paraId="098134F4">
            <w:pPr>
              <w:spacing w:line="380" w:lineRule="exact"/>
              <w:jc w:val="center"/>
              <w:rPr>
                <w:rFonts w:hint="eastAsia" w:ascii="宋体" w:hAnsi="宋体" w:cs="宋体"/>
                <w:color w:val="auto"/>
                <w:sz w:val="24"/>
                <w:highlight w:val="none"/>
              </w:rPr>
            </w:pPr>
          </w:p>
        </w:tc>
        <w:tc>
          <w:tcPr>
            <w:tcW w:w="1162" w:type="dxa"/>
            <w:noWrap w:val="0"/>
            <w:vAlign w:val="center"/>
          </w:tcPr>
          <w:p w14:paraId="62202A5D">
            <w:pPr>
              <w:spacing w:line="380" w:lineRule="exact"/>
              <w:jc w:val="center"/>
              <w:rPr>
                <w:rFonts w:hint="eastAsia" w:ascii="宋体" w:hAnsi="宋体" w:cs="宋体"/>
                <w:color w:val="auto"/>
                <w:sz w:val="24"/>
                <w:highlight w:val="none"/>
              </w:rPr>
            </w:pPr>
          </w:p>
        </w:tc>
        <w:tc>
          <w:tcPr>
            <w:tcW w:w="1188" w:type="dxa"/>
            <w:noWrap w:val="0"/>
            <w:vAlign w:val="center"/>
          </w:tcPr>
          <w:p w14:paraId="42A5393B">
            <w:pPr>
              <w:spacing w:line="380" w:lineRule="exact"/>
              <w:jc w:val="center"/>
              <w:rPr>
                <w:rFonts w:hint="eastAsia" w:ascii="宋体" w:hAnsi="宋体" w:cs="宋体"/>
                <w:color w:val="auto"/>
                <w:sz w:val="24"/>
                <w:highlight w:val="none"/>
              </w:rPr>
            </w:pPr>
          </w:p>
        </w:tc>
        <w:tc>
          <w:tcPr>
            <w:tcW w:w="970" w:type="dxa"/>
            <w:noWrap w:val="0"/>
            <w:vAlign w:val="center"/>
          </w:tcPr>
          <w:p w14:paraId="38B0BFEB">
            <w:pPr>
              <w:spacing w:line="380" w:lineRule="exact"/>
              <w:jc w:val="center"/>
              <w:rPr>
                <w:rFonts w:hint="eastAsia" w:ascii="宋体" w:hAnsi="宋体" w:cs="宋体"/>
                <w:color w:val="auto"/>
                <w:sz w:val="24"/>
                <w:highlight w:val="none"/>
              </w:rPr>
            </w:pPr>
          </w:p>
        </w:tc>
        <w:tc>
          <w:tcPr>
            <w:tcW w:w="925" w:type="dxa"/>
            <w:noWrap w:val="0"/>
            <w:vAlign w:val="center"/>
          </w:tcPr>
          <w:p w14:paraId="28D8A5CC">
            <w:pPr>
              <w:spacing w:line="380" w:lineRule="exact"/>
              <w:jc w:val="center"/>
              <w:rPr>
                <w:rFonts w:hint="eastAsia" w:ascii="宋体" w:hAnsi="宋体" w:cs="宋体"/>
                <w:color w:val="auto"/>
                <w:sz w:val="24"/>
                <w:highlight w:val="none"/>
              </w:rPr>
            </w:pPr>
          </w:p>
        </w:tc>
        <w:tc>
          <w:tcPr>
            <w:tcW w:w="925" w:type="dxa"/>
            <w:noWrap w:val="0"/>
            <w:vAlign w:val="center"/>
          </w:tcPr>
          <w:p w14:paraId="2AA55F9D">
            <w:pPr>
              <w:spacing w:line="380" w:lineRule="exact"/>
              <w:jc w:val="center"/>
              <w:rPr>
                <w:rFonts w:hint="eastAsia" w:ascii="宋体" w:hAnsi="宋体" w:cs="宋体"/>
                <w:color w:val="auto"/>
                <w:sz w:val="24"/>
                <w:highlight w:val="none"/>
              </w:rPr>
            </w:pPr>
          </w:p>
        </w:tc>
        <w:tc>
          <w:tcPr>
            <w:tcW w:w="1475" w:type="dxa"/>
            <w:noWrap w:val="0"/>
            <w:vAlign w:val="center"/>
          </w:tcPr>
          <w:p w14:paraId="53B5A4E3">
            <w:pPr>
              <w:spacing w:line="380" w:lineRule="exact"/>
              <w:jc w:val="center"/>
              <w:rPr>
                <w:rFonts w:hint="eastAsia" w:ascii="宋体" w:hAnsi="宋体" w:cs="宋体"/>
                <w:color w:val="auto"/>
                <w:sz w:val="24"/>
                <w:highlight w:val="none"/>
              </w:rPr>
            </w:pPr>
          </w:p>
        </w:tc>
        <w:tc>
          <w:tcPr>
            <w:tcW w:w="935" w:type="dxa"/>
            <w:noWrap w:val="0"/>
          </w:tcPr>
          <w:p w14:paraId="29D6C973">
            <w:pPr>
              <w:spacing w:line="380" w:lineRule="exact"/>
              <w:jc w:val="center"/>
              <w:rPr>
                <w:rFonts w:hint="eastAsia" w:ascii="宋体" w:hAnsi="宋体" w:cs="宋体"/>
                <w:color w:val="auto"/>
                <w:sz w:val="24"/>
                <w:highlight w:val="none"/>
              </w:rPr>
            </w:pPr>
          </w:p>
        </w:tc>
      </w:tr>
      <w:tr w14:paraId="7B58B8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95" w:hRule="atLeast"/>
          <w:jc w:val="center"/>
        </w:trPr>
        <w:tc>
          <w:tcPr>
            <w:tcW w:w="794" w:type="dxa"/>
            <w:noWrap w:val="0"/>
            <w:vAlign w:val="center"/>
          </w:tcPr>
          <w:p w14:paraId="3545279E">
            <w:pPr>
              <w:spacing w:line="380" w:lineRule="exact"/>
              <w:jc w:val="center"/>
              <w:rPr>
                <w:rFonts w:hint="eastAsia" w:ascii="宋体" w:hAnsi="宋体" w:cs="宋体"/>
                <w:color w:val="auto"/>
                <w:sz w:val="24"/>
                <w:highlight w:val="none"/>
              </w:rPr>
            </w:pPr>
          </w:p>
        </w:tc>
        <w:tc>
          <w:tcPr>
            <w:tcW w:w="1162" w:type="dxa"/>
            <w:noWrap w:val="0"/>
            <w:vAlign w:val="center"/>
          </w:tcPr>
          <w:p w14:paraId="32618523">
            <w:pPr>
              <w:spacing w:line="380" w:lineRule="exact"/>
              <w:jc w:val="center"/>
              <w:rPr>
                <w:rFonts w:hint="eastAsia" w:ascii="宋体" w:hAnsi="宋体" w:cs="宋体"/>
                <w:color w:val="auto"/>
                <w:sz w:val="24"/>
                <w:highlight w:val="none"/>
              </w:rPr>
            </w:pPr>
          </w:p>
        </w:tc>
        <w:tc>
          <w:tcPr>
            <w:tcW w:w="1188" w:type="dxa"/>
            <w:noWrap w:val="0"/>
            <w:vAlign w:val="center"/>
          </w:tcPr>
          <w:p w14:paraId="26F81DDD">
            <w:pPr>
              <w:spacing w:line="380" w:lineRule="exact"/>
              <w:jc w:val="center"/>
              <w:rPr>
                <w:rFonts w:hint="eastAsia" w:ascii="宋体" w:hAnsi="宋体" w:cs="宋体"/>
                <w:color w:val="auto"/>
                <w:sz w:val="24"/>
                <w:highlight w:val="none"/>
              </w:rPr>
            </w:pPr>
          </w:p>
        </w:tc>
        <w:tc>
          <w:tcPr>
            <w:tcW w:w="970" w:type="dxa"/>
            <w:noWrap w:val="0"/>
            <w:vAlign w:val="center"/>
          </w:tcPr>
          <w:p w14:paraId="2FCC97DC">
            <w:pPr>
              <w:spacing w:line="380" w:lineRule="exact"/>
              <w:jc w:val="center"/>
              <w:rPr>
                <w:rFonts w:hint="eastAsia" w:ascii="宋体" w:hAnsi="宋体" w:cs="宋体"/>
                <w:color w:val="auto"/>
                <w:sz w:val="24"/>
                <w:highlight w:val="none"/>
              </w:rPr>
            </w:pPr>
          </w:p>
        </w:tc>
        <w:tc>
          <w:tcPr>
            <w:tcW w:w="925" w:type="dxa"/>
            <w:noWrap w:val="0"/>
            <w:vAlign w:val="center"/>
          </w:tcPr>
          <w:p w14:paraId="33B01FFC">
            <w:pPr>
              <w:spacing w:line="380" w:lineRule="exact"/>
              <w:jc w:val="center"/>
              <w:rPr>
                <w:rFonts w:hint="eastAsia" w:ascii="宋体" w:hAnsi="宋体" w:cs="宋体"/>
                <w:color w:val="auto"/>
                <w:sz w:val="24"/>
                <w:highlight w:val="none"/>
              </w:rPr>
            </w:pPr>
          </w:p>
        </w:tc>
        <w:tc>
          <w:tcPr>
            <w:tcW w:w="925" w:type="dxa"/>
            <w:noWrap w:val="0"/>
            <w:vAlign w:val="center"/>
          </w:tcPr>
          <w:p w14:paraId="6E585FA6">
            <w:pPr>
              <w:spacing w:line="380" w:lineRule="exact"/>
              <w:jc w:val="center"/>
              <w:rPr>
                <w:rFonts w:hint="eastAsia" w:ascii="宋体" w:hAnsi="宋体" w:cs="宋体"/>
                <w:color w:val="auto"/>
                <w:sz w:val="24"/>
                <w:highlight w:val="none"/>
              </w:rPr>
            </w:pPr>
          </w:p>
        </w:tc>
        <w:tc>
          <w:tcPr>
            <w:tcW w:w="1475" w:type="dxa"/>
            <w:noWrap w:val="0"/>
            <w:vAlign w:val="center"/>
          </w:tcPr>
          <w:p w14:paraId="4B0EBD1E">
            <w:pPr>
              <w:spacing w:line="380" w:lineRule="exact"/>
              <w:jc w:val="center"/>
              <w:rPr>
                <w:rFonts w:hint="eastAsia" w:ascii="宋体" w:hAnsi="宋体" w:cs="宋体"/>
                <w:color w:val="auto"/>
                <w:sz w:val="24"/>
                <w:highlight w:val="none"/>
              </w:rPr>
            </w:pPr>
          </w:p>
        </w:tc>
        <w:tc>
          <w:tcPr>
            <w:tcW w:w="935" w:type="dxa"/>
            <w:noWrap w:val="0"/>
          </w:tcPr>
          <w:p w14:paraId="25B583E5">
            <w:pPr>
              <w:spacing w:line="380" w:lineRule="exact"/>
              <w:jc w:val="center"/>
              <w:rPr>
                <w:rFonts w:hint="eastAsia" w:ascii="宋体" w:hAnsi="宋体" w:cs="宋体"/>
                <w:color w:val="auto"/>
                <w:sz w:val="24"/>
                <w:highlight w:val="none"/>
              </w:rPr>
            </w:pPr>
          </w:p>
        </w:tc>
      </w:tr>
      <w:tr w14:paraId="1BB2EF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95" w:hRule="atLeast"/>
          <w:jc w:val="center"/>
        </w:trPr>
        <w:tc>
          <w:tcPr>
            <w:tcW w:w="794" w:type="dxa"/>
            <w:noWrap w:val="0"/>
            <w:vAlign w:val="center"/>
          </w:tcPr>
          <w:p w14:paraId="22726102">
            <w:pPr>
              <w:spacing w:line="380" w:lineRule="exact"/>
              <w:jc w:val="center"/>
              <w:rPr>
                <w:rFonts w:hint="eastAsia" w:ascii="宋体" w:hAnsi="宋体" w:cs="宋体"/>
                <w:color w:val="auto"/>
                <w:sz w:val="24"/>
                <w:highlight w:val="none"/>
              </w:rPr>
            </w:pPr>
          </w:p>
        </w:tc>
        <w:tc>
          <w:tcPr>
            <w:tcW w:w="1162" w:type="dxa"/>
            <w:noWrap w:val="0"/>
            <w:vAlign w:val="center"/>
          </w:tcPr>
          <w:p w14:paraId="59C90FBA">
            <w:pPr>
              <w:spacing w:line="380" w:lineRule="exact"/>
              <w:jc w:val="center"/>
              <w:rPr>
                <w:rFonts w:hint="eastAsia" w:ascii="宋体" w:hAnsi="宋体" w:cs="宋体"/>
                <w:color w:val="auto"/>
                <w:sz w:val="24"/>
                <w:highlight w:val="none"/>
              </w:rPr>
            </w:pPr>
          </w:p>
        </w:tc>
        <w:tc>
          <w:tcPr>
            <w:tcW w:w="1188" w:type="dxa"/>
            <w:noWrap w:val="0"/>
            <w:vAlign w:val="center"/>
          </w:tcPr>
          <w:p w14:paraId="22021ECA">
            <w:pPr>
              <w:spacing w:line="380" w:lineRule="exact"/>
              <w:jc w:val="center"/>
              <w:rPr>
                <w:rFonts w:hint="eastAsia" w:ascii="宋体" w:hAnsi="宋体" w:cs="宋体"/>
                <w:color w:val="auto"/>
                <w:sz w:val="24"/>
                <w:highlight w:val="none"/>
              </w:rPr>
            </w:pPr>
          </w:p>
        </w:tc>
        <w:tc>
          <w:tcPr>
            <w:tcW w:w="970" w:type="dxa"/>
            <w:noWrap w:val="0"/>
            <w:vAlign w:val="center"/>
          </w:tcPr>
          <w:p w14:paraId="5A5B3FC2">
            <w:pPr>
              <w:spacing w:line="380" w:lineRule="exact"/>
              <w:jc w:val="center"/>
              <w:rPr>
                <w:rFonts w:hint="eastAsia" w:ascii="宋体" w:hAnsi="宋体" w:cs="宋体"/>
                <w:color w:val="auto"/>
                <w:sz w:val="24"/>
                <w:highlight w:val="none"/>
              </w:rPr>
            </w:pPr>
          </w:p>
        </w:tc>
        <w:tc>
          <w:tcPr>
            <w:tcW w:w="925" w:type="dxa"/>
            <w:noWrap w:val="0"/>
            <w:vAlign w:val="center"/>
          </w:tcPr>
          <w:p w14:paraId="3F5A1E9D">
            <w:pPr>
              <w:spacing w:line="380" w:lineRule="exact"/>
              <w:jc w:val="center"/>
              <w:rPr>
                <w:rFonts w:hint="eastAsia" w:ascii="宋体" w:hAnsi="宋体" w:cs="宋体"/>
                <w:color w:val="auto"/>
                <w:sz w:val="24"/>
                <w:highlight w:val="none"/>
              </w:rPr>
            </w:pPr>
          </w:p>
        </w:tc>
        <w:tc>
          <w:tcPr>
            <w:tcW w:w="925" w:type="dxa"/>
            <w:noWrap w:val="0"/>
            <w:vAlign w:val="center"/>
          </w:tcPr>
          <w:p w14:paraId="3CF8F7DF">
            <w:pPr>
              <w:spacing w:line="380" w:lineRule="exact"/>
              <w:jc w:val="center"/>
              <w:rPr>
                <w:rFonts w:hint="eastAsia" w:ascii="宋体" w:hAnsi="宋体" w:cs="宋体"/>
                <w:color w:val="auto"/>
                <w:sz w:val="24"/>
                <w:highlight w:val="none"/>
              </w:rPr>
            </w:pPr>
          </w:p>
        </w:tc>
        <w:tc>
          <w:tcPr>
            <w:tcW w:w="1475" w:type="dxa"/>
            <w:noWrap w:val="0"/>
            <w:vAlign w:val="center"/>
          </w:tcPr>
          <w:p w14:paraId="3D2FF702">
            <w:pPr>
              <w:spacing w:line="380" w:lineRule="exact"/>
              <w:jc w:val="center"/>
              <w:rPr>
                <w:rFonts w:hint="eastAsia" w:ascii="宋体" w:hAnsi="宋体" w:cs="宋体"/>
                <w:color w:val="auto"/>
                <w:sz w:val="24"/>
                <w:highlight w:val="none"/>
              </w:rPr>
            </w:pPr>
          </w:p>
        </w:tc>
        <w:tc>
          <w:tcPr>
            <w:tcW w:w="935" w:type="dxa"/>
            <w:noWrap w:val="0"/>
          </w:tcPr>
          <w:p w14:paraId="5EFB2BD1">
            <w:pPr>
              <w:spacing w:line="380" w:lineRule="exact"/>
              <w:jc w:val="center"/>
              <w:rPr>
                <w:rFonts w:hint="eastAsia" w:ascii="宋体" w:hAnsi="宋体" w:cs="宋体"/>
                <w:color w:val="auto"/>
                <w:sz w:val="24"/>
                <w:highlight w:val="none"/>
              </w:rPr>
            </w:pPr>
          </w:p>
        </w:tc>
      </w:tr>
    </w:tbl>
    <w:p w14:paraId="22DB9431">
      <w:pPr>
        <w:spacing w:line="360" w:lineRule="auto"/>
        <w:rPr>
          <w:rFonts w:hint="eastAsia" w:ascii="宋体" w:hAnsi="宋体" w:cs="宋体"/>
          <w:color w:val="auto"/>
          <w:sz w:val="24"/>
          <w:highlight w:val="none"/>
        </w:rPr>
      </w:pPr>
      <w:r>
        <w:rPr>
          <w:rFonts w:hint="eastAsia" w:ascii="宋体" w:hAnsi="宋体" w:cs="宋体"/>
          <w:color w:val="auto"/>
          <w:sz w:val="24"/>
          <w:highlight w:val="none"/>
        </w:rPr>
        <w:t>注：1）针对完成本项目所配备的人员。</w:t>
      </w:r>
    </w:p>
    <w:p w14:paraId="08E2EAEA">
      <w:pPr>
        <w:spacing w:line="360" w:lineRule="auto"/>
        <w:ind w:firstLine="420"/>
        <w:rPr>
          <w:rFonts w:hint="eastAsia" w:ascii="宋体" w:hAnsi="宋体" w:cs="宋体"/>
          <w:color w:val="auto"/>
          <w:sz w:val="24"/>
          <w:highlight w:val="none"/>
        </w:rPr>
      </w:pPr>
      <w:r>
        <w:rPr>
          <w:rFonts w:hint="eastAsia" w:ascii="宋体" w:hAnsi="宋体" w:cs="宋体"/>
          <w:color w:val="auto"/>
          <w:sz w:val="24"/>
          <w:highlight w:val="none"/>
        </w:rPr>
        <w:t>2）附相关证明材料复印件；</w:t>
      </w:r>
    </w:p>
    <w:p w14:paraId="2FC0DC10">
      <w:pPr>
        <w:spacing w:line="360" w:lineRule="auto"/>
        <w:ind w:firstLine="420"/>
        <w:rPr>
          <w:rFonts w:hint="eastAsia" w:ascii="宋体" w:hAnsi="宋体" w:cs="宋体"/>
          <w:color w:val="auto"/>
          <w:sz w:val="24"/>
          <w:highlight w:val="none"/>
        </w:rPr>
      </w:pPr>
      <w:r>
        <w:rPr>
          <w:rFonts w:hint="eastAsia" w:ascii="宋体" w:hAnsi="宋体" w:cs="宋体"/>
          <w:color w:val="auto"/>
          <w:sz w:val="24"/>
          <w:highlight w:val="none"/>
        </w:rPr>
        <w:t>3）表格不够填写可添加（或自拟）。</w:t>
      </w:r>
    </w:p>
    <w:p w14:paraId="4661D17F">
      <w:pPr>
        <w:pStyle w:val="199"/>
        <w:rPr>
          <w:rFonts w:hint="eastAsia" w:ascii="宋体" w:hAnsi="宋体" w:cs="宋体"/>
          <w:color w:val="auto"/>
          <w:highlight w:val="none"/>
        </w:rPr>
      </w:pPr>
    </w:p>
    <w:p w14:paraId="7B653637">
      <w:pPr>
        <w:spacing w:line="360" w:lineRule="auto"/>
        <w:rPr>
          <w:rFonts w:hint="eastAsia" w:ascii="宋体" w:hAnsi="宋体" w:cs="宋体"/>
          <w:color w:val="auto"/>
          <w:sz w:val="24"/>
          <w:highlight w:val="none"/>
        </w:rPr>
      </w:pPr>
      <w:r>
        <w:rPr>
          <w:rFonts w:hint="eastAsia" w:ascii="宋体" w:hAnsi="宋体" w:cs="宋体"/>
          <w:color w:val="auto"/>
          <w:sz w:val="24"/>
          <w:highlight w:val="none"/>
        </w:rPr>
        <w:t>投标单位：（单位盖章）</w:t>
      </w:r>
    </w:p>
    <w:p w14:paraId="10F3654F">
      <w:pPr>
        <w:spacing w:line="360" w:lineRule="auto"/>
        <w:rPr>
          <w:rFonts w:hint="eastAsia" w:ascii="宋体" w:hAnsi="宋体" w:cs="宋体"/>
          <w:color w:val="auto"/>
          <w:sz w:val="24"/>
          <w:highlight w:val="none"/>
        </w:rPr>
      </w:pPr>
      <w:r>
        <w:rPr>
          <w:rFonts w:hint="eastAsia" w:ascii="宋体" w:hAnsi="宋体" w:cs="宋体"/>
          <w:color w:val="auto"/>
          <w:sz w:val="24"/>
          <w:highlight w:val="none"/>
        </w:rPr>
        <w:t>法定代表人或代理人：（签字或盖章）</w:t>
      </w:r>
    </w:p>
    <w:p w14:paraId="70E38472">
      <w:pPr>
        <w:spacing w:line="360" w:lineRule="auto"/>
        <w:rPr>
          <w:rFonts w:hint="eastAsia" w:ascii="宋体" w:hAnsi="宋体" w:cs="宋体"/>
          <w:color w:val="auto"/>
          <w:sz w:val="24"/>
          <w:highlight w:val="none"/>
        </w:rPr>
      </w:pPr>
      <w:r>
        <w:rPr>
          <w:rFonts w:hint="eastAsia" w:ascii="宋体" w:hAnsi="宋体" w:cs="宋体"/>
          <w:color w:val="auto"/>
          <w:sz w:val="24"/>
          <w:highlight w:val="none"/>
        </w:rPr>
        <w:t>日期：     年     月    日</w:t>
      </w:r>
    </w:p>
    <w:p w14:paraId="0967D509">
      <w:pPr>
        <w:spacing w:line="360" w:lineRule="auto"/>
        <w:rPr>
          <w:rFonts w:hint="eastAsia" w:ascii="宋体" w:hAnsi="宋体"/>
          <w:color w:val="auto"/>
          <w:sz w:val="28"/>
          <w:szCs w:val="28"/>
          <w:highlight w:val="none"/>
        </w:rPr>
      </w:pPr>
    </w:p>
    <w:p w14:paraId="5D9DB814">
      <w:pPr>
        <w:spacing w:line="360" w:lineRule="auto"/>
        <w:rPr>
          <w:rFonts w:hint="eastAsia" w:ascii="宋体" w:hAnsi="宋体"/>
          <w:color w:val="auto"/>
          <w:sz w:val="28"/>
          <w:szCs w:val="28"/>
          <w:highlight w:val="none"/>
        </w:rPr>
      </w:pPr>
      <w:r>
        <w:rPr>
          <w:rFonts w:hint="eastAsia" w:ascii="宋体" w:hAnsi="宋体"/>
          <w:color w:val="auto"/>
          <w:sz w:val="28"/>
          <w:szCs w:val="28"/>
          <w:highlight w:val="none"/>
        </w:rPr>
        <w:br w:type="page" w:clear="all"/>
      </w:r>
      <w:r>
        <w:rPr>
          <w:rFonts w:hint="eastAsia" w:ascii="宋体" w:hAnsi="宋体"/>
          <w:color w:val="auto"/>
          <w:sz w:val="28"/>
          <w:szCs w:val="28"/>
          <w:highlight w:val="none"/>
          <w:lang w:val="en-US" w:eastAsia="zh-CN"/>
        </w:rPr>
        <w:t>8</w:t>
      </w:r>
      <w:r>
        <w:rPr>
          <w:rFonts w:hint="eastAsia" w:ascii="宋体" w:hAnsi="宋体"/>
          <w:color w:val="auto"/>
          <w:sz w:val="28"/>
          <w:szCs w:val="28"/>
          <w:highlight w:val="none"/>
        </w:rPr>
        <w:t>、投标单位类似项目业绩一览表（如有）</w:t>
      </w:r>
    </w:p>
    <w:p w14:paraId="34136513">
      <w:pPr>
        <w:spacing w:line="360" w:lineRule="auto"/>
        <w:jc w:val="center"/>
        <w:rPr>
          <w:rFonts w:hint="eastAsia" w:ascii="宋体" w:hAnsi="宋体"/>
          <w:color w:val="auto"/>
          <w:sz w:val="28"/>
          <w:szCs w:val="28"/>
          <w:highlight w:val="none"/>
        </w:rPr>
      </w:pPr>
    </w:p>
    <w:p w14:paraId="57FFF8E2">
      <w:pPr>
        <w:spacing w:line="360" w:lineRule="auto"/>
        <w:jc w:val="center"/>
        <w:rPr>
          <w:rFonts w:hint="eastAsia" w:ascii="宋体" w:hAnsi="宋体"/>
          <w:color w:val="auto"/>
          <w:sz w:val="28"/>
          <w:szCs w:val="28"/>
          <w:highlight w:val="none"/>
        </w:rPr>
      </w:pPr>
      <w:r>
        <w:rPr>
          <w:rFonts w:hint="eastAsia" w:ascii="宋体" w:hAnsi="宋体"/>
          <w:color w:val="auto"/>
          <w:sz w:val="28"/>
          <w:szCs w:val="28"/>
          <w:highlight w:val="none"/>
        </w:rPr>
        <w:t>类似项目业绩一览表</w:t>
      </w:r>
    </w:p>
    <w:p w14:paraId="362D2EBA">
      <w:pPr>
        <w:spacing w:line="360" w:lineRule="auto"/>
        <w:jc w:val="center"/>
        <w:rPr>
          <w:rFonts w:hint="eastAsia" w:ascii="宋体" w:hAnsi="宋体"/>
          <w:color w:val="auto"/>
          <w:sz w:val="28"/>
          <w:szCs w:val="28"/>
          <w:highlight w:val="none"/>
        </w:rPr>
      </w:pPr>
    </w:p>
    <w:tbl>
      <w:tblPr>
        <w:tblStyle w:val="33"/>
        <w:tblW w:w="8213" w:type="dxa"/>
        <w:tblInd w:w="-5" w:type="dxa"/>
        <w:tblLayout w:type="fixed"/>
        <w:tblCellMar>
          <w:top w:w="0" w:type="dxa"/>
          <w:left w:w="0" w:type="dxa"/>
          <w:bottom w:w="0" w:type="dxa"/>
          <w:right w:w="0" w:type="dxa"/>
        </w:tblCellMar>
      </w:tblPr>
      <w:tblGrid>
        <w:gridCol w:w="753"/>
        <w:gridCol w:w="1804"/>
        <w:gridCol w:w="1472"/>
        <w:gridCol w:w="1600"/>
        <w:gridCol w:w="1331"/>
        <w:gridCol w:w="1253"/>
      </w:tblGrid>
      <w:tr w14:paraId="1A9C9ED7">
        <w:tblPrEx>
          <w:tblCellMar>
            <w:top w:w="0" w:type="dxa"/>
            <w:left w:w="0" w:type="dxa"/>
            <w:bottom w:w="0" w:type="dxa"/>
            <w:right w:w="0" w:type="dxa"/>
          </w:tblCellMar>
        </w:tblPrEx>
        <w:trPr>
          <w:trHeight w:val="760" w:hRule="atLeast"/>
        </w:trPr>
        <w:tc>
          <w:tcPr>
            <w:tcW w:w="753" w:type="dxa"/>
            <w:tcBorders>
              <w:top w:val="single" w:color="000000" w:sz="4" w:space="0"/>
              <w:left w:val="single" w:color="000000" w:sz="4" w:space="0"/>
              <w:bottom w:val="single" w:color="000000" w:sz="4" w:space="0"/>
              <w:right w:val="single" w:color="000000" w:sz="4" w:space="0"/>
            </w:tcBorders>
            <w:noWrap w:val="0"/>
            <w:vAlign w:val="center"/>
          </w:tcPr>
          <w:p w14:paraId="7E1DB0B5">
            <w:pPr>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序号</w:t>
            </w:r>
          </w:p>
        </w:tc>
        <w:tc>
          <w:tcPr>
            <w:tcW w:w="1804" w:type="dxa"/>
            <w:tcBorders>
              <w:top w:val="single" w:color="000000" w:sz="4" w:space="0"/>
              <w:left w:val="nil"/>
              <w:bottom w:val="single" w:color="000000" w:sz="4" w:space="0"/>
              <w:right w:val="single" w:color="000000" w:sz="4" w:space="0"/>
            </w:tcBorders>
            <w:noWrap w:val="0"/>
            <w:vAlign w:val="center"/>
          </w:tcPr>
          <w:p w14:paraId="422BD420">
            <w:pPr>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项目名称</w:t>
            </w:r>
          </w:p>
        </w:tc>
        <w:tc>
          <w:tcPr>
            <w:tcW w:w="1472" w:type="dxa"/>
            <w:tcBorders>
              <w:top w:val="single" w:color="000000" w:sz="4" w:space="0"/>
              <w:left w:val="nil"/>
              <w:bottom w:val="single" w:color="000000" w:sz="4" w:space="0"/>
              <w:right w:val="single" w:color="000000" w:sz="4" w:space="0"/>
            </w:tcBorders>
            <w:noWrap w:val="0"/>
            <w:vAlign w:val="center"/>
          </w:tcPr>
          <w:p w14:paraId="2C338FBC">
            <w:pPr>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项目时间</w:t>
            </w:r>
          </w:p>
        </w:tc>
        <w:tc>
          <w:tcPr>
            <w:tcW w:w="1600" w:type="dxa"/>
            <w:tcBorders>
              <w:top w:val="single" w:color="000000" w:sz="4" w:space="0"/>
              <w:left w:val="nil"/>
              <w:bottom w:val="single" w:color="000000" w:sz="4" w:space="0"/>
              <w:right w:val="single" w:color="000000" w:sz="4" w:space="0"/>
            </w:tcBorders>
            <w:noWrap w:val="0"/>
            <w:vAlign w:val="center"/>
          </w:tcPr>
          <w:p w14:paraId="21BD6652">
            <w:pPr>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合同金额</w:t>
            </w:r>
          </w:p>
          <w:p w14:paraId="7C06CFCD">
            <w:pPr>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（人民币）</w:t>
            </w:r>
          </w:p>
        </w:tc>
        <w:tc>
          <w:tcPr>
            <w:tcW w:w="1331" w:type="dxa"/>
            <w:tcBorders>
              <w:top w:val="single" w:color="000000" w:sz="4" w:space="0"/>
              <w:left w:val="nil"/>
              <w:bottom w:val="single" w:color="000000" w:sz="4" w:space="0"/>
              <w:right w:val="single" w:color="000000" w:sz="4" w:space="0"/>
            </w:tcBorders>
            <w:noWrap w:val="0"/>
            <w:vAlign w:val="center"/>
          </w:tcPr>
          <w:p w14:paraId="0E6E3B38">
            <w:pPr>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业主单位</w:t>
            </w:r>
          </w:p>
        </w:tc>
        <w:tc>
          <w:tcPr>
            <w:tcW w:w="1253" w:type="dxa"/>
            <w:tcBorders>
              <w:top w:val="single" w:color="000000" w:sz="4" w:space="0"/>
              <w:left w:val="nil"/>
              <w:bottom w:val="single" w:color="000000" w:sz="4" w:space="0"/>
              <w:right w:val="single" w:color="000000" w:sz="4" w:space="0"/>
            </w:tcBorders>
            <w:noWrap w:val="0"/>
            <w:vAlign w:val="center"/>
          </w:tcPr>
          <w:p w14:paraId="732BDB45">
            <w:pPr>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备注</w:t>
            </w:r>
          </w:p>
        </w:tc>
      </w:tr>
      <w:tr w14:paraId="0B08652A">
        <w:tblPrEx>
          <w:tblCellMar>
            <w:top w:w="0" w:type="dxa"/>
            <w:left w:w="0" w:type="dxa"/>
            <w:bottom w:w="0" w:type="dxa"/>
            <w:right w:w="0" w:type="dxa"/>
          </w:tblCellMar>
        </w:tblPrEx>
        <w:trPr>
          <w:trHeight w:val="454" w:hRule="atLeast"/>
        </w:trPr>
        <w:tc>
          <w:tcPr>
            <w:tcW w:w="753" w:type="dxa"/>
            <w:tcBorders>
              <w:top w:val="single" w:color="000000" w:sz="4" w:space="0"/>
              <w:left w:val="single" w:color="000000" w:sz="4" w:space="0"/>
              <w:bottom w:val="single" w:color="000000" w:sz="4" w:space="0"/>
              <w:right w:val="single" w:color="000000" w:sz="4" w:space="0"/>
            </w:tcBorders>
            <w:noWrap w:val="0"/>
            <w:vAlign w:val="center"/>
          </w:tcPr>
          <w:p w14:paraId="265B43A7">
            <w:pPr>
              <w:spacing w:line="360" w:lineRule="auto"/>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1</w:t>
            </w:r>
          </w:p>
        </w:tc>
        <w:tc>
          <w:tcPr>
            <w:tcW w:w="1804" w:type="dxa"/>
            <w:tcBorders>
              <w:top w:val="single" w:color="000000" w:sz="4" w:space="0"/>
              <w:left w:val="nil"/>
              <w:bottom w:val="single" w:color="000000" w:sz="4" w:space="0"/>
              <w:right w:val="single" w:color="000000" w:sz="4" w:space="0"/>
            </w:tcBorders>
            <w:noWrap w:val="0"/>
            <w:vAlign w:val="center"/>
          </w:tcPr>
          <w:p w14:paraId="4183B28D">
            <w:pPr>
              <w:spacing w:line="360" w:lineRule="auto"/>
              <w:jc w:val="center"/>
              <w:rPr>
                <w:rFonts w:hint="eastAsia" w:ascii="宋体" w:hAnsi="宋体" w:cs="宋体"/>
                <w:color w:val="auto"/>
                <w:sz w:val="24"/>
                <w:szCs w:val="24"/>
                <w:highlight w:val="none"/>
              </w:rPr>
            </w:pPr>
          </w:p>
        </w:tc>
        <w:tc>
          <w:tcPr>
            <w:tcW w:w="1472" w:type="dxa"/>
            <w:tcBorders>
              <w:top w:val="single" w:color="000000" w:sz="4" w:space="0"/>
              <w:left w:val="nil"/>
              <w:bottom w:val="single" w:color="000000" w:sz="4" w:space="0"/>
              <w:right w:val="single" w:color="000000" w:sz="4" w:space="0"/>
            </w:tcBorders>
            <w:noWrap w:val="0"/>
            <w:vAlign w:val="center"/>
          </w:tcPr>
          <w:p w14:paraId="7C024117">
            <w:pPr>
              <w:spacing w:line="360" w:lineRule="auto"/>
              <w:jc w:val="center"/>
              <w:rPr>
                <w:rFonts w:hint="eastAsia" w:ascii="宋体" w:hAnsi="宋体" w:cs="宋体"/>
                <w:color w:val="auto"/>
                <w:sz w:val="24"/>
                <w:szCs w:val="24"/>
                <w:highlight w:val="none"/>
              </w:rPr>
            </w:pPr>
          </w:p>
        </w:tc>
        <w:tc>
          <w:tcPr>
            <w:tcW w:w="1600" w:type="dxa"/>
            <w:tcBorders>
              <w:top w:val="single" w:color="000000" w:sz="4" w:space="0"/>
              <w:left w:val="nil"/>
              <w:bottom w:val="single" w:color="000000" w:sz="4" w:space="0"/>
              <w:right w:val="single" w:color="000000" w:sz="4" w:space="0"/>
            </w:tcBorders>
            <w:noWrap w:val="0"/>
            <w:vAlign w:val="center"/>
          </w:tcPr>
          <w:p w14:paraId="6DD689F2">
            <w:pPr>
              <w:spacing w:line="360" w:lineRule="auto"/>
              <w:jc w:val="center"/>
              <w:rPr>
                <w:rFonts w:hint="eastAsia" w:ascii="宋体" w:hAnsi="宋体" w:cs="宋体"/>
                <w:color w:val="auto"/>
                <w:sz w:val="24"/>
                <w:szCs w:val="24"/>
                <w:highlight w:val="none"/>
              </w:rPr>
            </w:pPr>
          </w:p>
        </w:tc>
        <w:tc>
          <w:tcPr>
            <w:tcW w:w="1331" w:type="dxa"/>
            <w:tcBorders>
              <w:top w:val="single" w:color="000000" w:sz="4" w:space="0"/>
              <w:left w:val="nil"/>
              <w:bottom w:val="single" w:color="000000" w:sz="4" w:space="0"/>
              <w:right w:val="single" w:color="000000" w:sz="4" w:space="0"/>
            </w:tcBorders>
            <w:noWrap w:val="0"/>
            <w:vAlign w:val="center"/>
          </w:tcPr>
          <w:p w14:paraId="510756AD">
            <w:pPr>
              <w:spacing w:line="360" w:lineRule="auto"/>
              <w:jc w:val="center"/>
              <w:rPr>
                <w:rFonts w:hint="eastAsia" w:ascii="宋体" w:hAnsi="宋体" w:cs="宋体"/>
                <w:color w:val="auto"/>
                <w:sz w:val="24"/>
                <w:szCs w:val="24"/>
                <w:highlight w:val="none"/>
              </w:rPr>
            </w:pPr>
          </w:p>
        </w:tc>
        <w:tc>
          <w:tcPr>
            <w:tcW w:w="1253" w:type="dxa"/>
            <w:tcBorders>
              <w:top w:val="single" w:color="000000" w:sz="4" w:space="0"/>
              <w:left w:val="nil"/>
              <w:bottom w:val="single" w:color="000000" w:sz="4" w:space="0"/>
              <w:right w:val="single" w:color="000000" w:sz="4" w:space="0"/>
            </w:tcBorders>
            <w:noWrap w:val="0"/>
            <w:vAlign w:val="center"/>
          </w:tcPr>
          <w:p w14:paraId="24CBE69C">
            <w:pPr>
              <w:spacing w:line="360" w:lineRule="auto"/>
              <w:jc w:val="center"/>
              <w:rPr>
                <w:rFonts w:hint="eastAsia" w:ascii="宋体" w:hAnsi="宋体" w:cs="宋体"/>
                <w:color w:val="auto"/>
                <w:sz w:val="24"/>
                <w:szCs w:val="24"/>
                <w:highlight w:val="none"/>
              </w:rPr>
            </w:pPr>
          </w:p>
        </w:tc>
      </w:tr>
      <w:tr w14:paraId="449D50D8">
        <w:tblPrEx>
          <w:tblCellMar>
            <w:top w:w="0" w:type="dxa"/>
            <w:left w:w="0" w:type="dxa"/>
            <w:bottom w:w="0" w:type="dxa"/>
            <w:right w:w="0" w:type="dxa"/>
          </w:tblCellMar>
        </w:tblPrEx>
        <w:trPr>
          <w:trHeight w:val="454" w:hRule="atLeast"/>
        </w:trPr>
        <w:tc>
          <w:tcPr>
            <w:tcW w:w="753" w:type="dxa"/>
            <w:tcBorders>
              <w:top w:val="single" w:color="000000" w:sz="4" w:space="0"/>
              <w:left w:val="single" w:color="000000" w:sz="4" w:space="0"/>
              <w:bottom w:val="single" w:color="000000" w:sz="4" w:space="0"/>
              <w:right w:val="single" w:color="000000" w:sz="4" w:space="0"/>
            </w:tcBorders>
            <w:noWrap w:val="0"/>
            <w:vAlign w:val="center"/>
          </w:tcPr>
          <w:p w14:paraId="7024226C">
            <w:pPr>
              <w:spacing w:line="360" w:lineRule="auto"/>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2</w:t>
            </w:r>
          </w:p>
        </w:tc>
        <w:tc>
          <w:tcPr>
            <w:tcW w:w="1804" w:type="dxa"/>
            <w:tcBorders>
              <w:top w:val="single" w:color="000000" w:sz="4" w:space="0"/>
              <w:left w:val="nil"/>
              <w:bottom w:val="single" w:color="000000" w:sz="4" w:space="0"/>
              <w:right w:val="single" w:color="000000" w:sz="4" w:space="0"/>
            </w:tcBorders>
            <w:noWrap w:val="0"/>
            <w:vAlign w:val="center"/>
          </w:tcPr>
          <w:p w14:paraId="13C146C9">
            <w:pPr>
              <w:spacing w:line="360" w:lineRule="auto"/>
              <w:jc w:val="center"/>
              <w:rPr>
                <w:rFonts w:hint="eastAsia" w:ascii="宋体" w:hAnsi="宋体" w:cs="宋体"/>
                <w:color w:val="auto"/>
                <w:sz w:val="24"/>
                <w:szCs w:val="24"/>
                <w:highlight w:val="none"/>
              </w:rPr>
            </w:pPr>
          </w:p>
        </w:tc>
        <w:tc>
          <w:tcPr>
            <w:tcW w:w="1472" w:type="dxa"/>
            <w:tcBorders>
              <w:top w:val="single" w:color="000000" w:sz="4" w:space="0"/>
              <w:left w:val="nil"/>
              <w:bottom w:val="single" w:color="000000" w:sz="4" w:space="0"/>
              <w:right w:val="single" w:color="000000" w:sz="4" w:space="0"/>
            </w:tcBorders>
            <w:noWrap w:val="0"/>
            <w:vAlign w:val="center"/>
          </w:tcPr>
          <w:p w14:paraId="7DAEC6B5">
            <w:pPr>
              <w:spacing w:line="360" w:lineRule="auto"/>
              <w:jc w:val="center"/>
              <w:rPr>
                <w:rFonts w:hint="eastAsia" w:ascii="宋体" w:hAnsi="宋体" w:cs="宋体"/>
                <w:color w:val="auto"/>
                <w:sz w:val="24"/>
                <w:szCs w:val="24"/>
                <w:highlight w:val="none"/>
              </w:rPr>
            </w:pPr>
          </w:p>
        </w:tc>
        <w:tc>
          <w:tcPr>
            <w:tcW w:w="1600" w:type="dxa"/>
            <w:tcBorders>
              <w:top w:val="single" w:color="000000" w:sz="4" w:space="0"/>
              <w:left w:val="nil"/>
              <w:bottom w:val="single" w:color="000000" w:sz="4" w:space="0"/>
              <w:right w:val="single" w:color="000000" w:sz="4" w:space="0"/>
            </w:tcBorders>
            <w:noWrap w:val="0"/>
            <w:vAlign w:val="center"/>
          </w:tcPr>
          <w:p w14:paraId="1ECAE1EE">
            <w:pPr>
              <w:spacing w:line="360" w:lineRule="auto"/>
              <w:jc w:val="center"/>
              <w:rPr>
                <w:rFonts w:hint="eastAsia" w:ascii="宋体" w:hAnsi="宋体" w:cs="宋体"/>
                <w:color w:val="auto"/>
                <w:sz w:val="24"/>
                <w:szCs w:val="24"/>
                <w:highlight w:val="none"/>
              </w:rPr>
            </w:pPr>
          </w:p>
        </w:tc>
        <w:tc>
          <w:tcPr>
            <w:tcW w:w="1331" w:type="dxa"/>
            <w:tcBorders>
              <w:top w:val="single" w:color="000000" w:sz="4" w:space="0"/>
              <w:left w:val="nil"/>
              <w:bottom w:val="single" w:color="000000" w:sz="4" w:space="0"/>
              <w:right w:val="single" w:color="000000" w:sz="4" w:space="0"/>
            </w:tcBorders>
            <w:noWrap w:val="0"/>
            <w:vAlign w:val="center"/>
          </w:tcPr>
          <w:p w14:paraId="68EA9EE7">
            <w:pPr>
              <w:spacing w:line="360" w:lineRule="auto"/>
              <w:jc w:val="center"/>
              <w:rPr>
                <w:rFonts w:hint="eastAsia" w:ascii="宋体" w:hAnsi="宋体" w:cs="宋体"/>
                <w:color w:val="auto"/>
                <w:sz w:val="24"/>
                <w:szCs w:val="24"/>
                <w:highlight w:val="none"/>
              </w:rPr>
            </w:pPr>
          </w:p>
        </w:tc>
        <w:tc>
          <w:tcPr>
            <w:tcW w:w="1253" w:type="dxa"/>
            <w:tcBorders>
              <w:top w:val="single" w:color="000000" w:sz="4" w:space="0"/>
              <w:left w:val="nil"/>
              <w:bottom w:val="single" w:color="000000" w:sz="4" w:space="0"/>
              <w:right w:val="single" w:color="000000" w:sz="4" w:space="0"/>
            </w:tcBorders>
            <w:noWrap w:val="0"/>
            <w:vAlign w:val="center"/>
          </w:tcPr>
          <w:p w14:paraId="2411A687">
            <w:pPr>
              <w:spacing w:line="360" w:lineRule="auto"/>
              <w:jc w:val="center"/>
              <w:rPr>
                <w:rFonts w:hint="eastAsia" w:ascii="宋体" w:hAnsi="宋体" w:cs="宋体"/>
                <w:color w:val="auto"/>
                <w:sz w:val="24"/>
                <w:szCs w:val="24"/>
                <w:highlight w:val="none"/>
              </w:rPr>
            </w:pPr>
          </w:p>
        </w:tc>
      </w:tr>
      <w:tr w14:paraId="2ADDFB04">
        <w:tblPrEx>
          <w:tblCellMar>
            <w:top w:w="0" w:type="dxa"/>
            <w:left w:w="0" w:type="dxa"/>
            <w:bottom w:w="0" w:type="dxa"/>
            <w:right w:w="0" w:type="dxa"/>
          </w:tblCellMar>
        </w:tblPrEx>
        <w:trPr>
          <w:trHeight w:val="454" w:hRule="atLeast"/>
        </w:trPr>
        <w:tc>
          <w:tcPr>
            <w:tcW w:w="753" w:type="dxa"/>
            <w:tcBorders>
              <w:top w:val="single" w:color="000000" w:sz="4" w:space="0"/>
              <w:left w:val="single" w:color="000000" w:sz="4" w:space="0"/>
              <w:bottom w:val="single" w:color="000000" w:sz="4" w:space="0"/>
              <w:right w:val="single" w:color="000000" w:sz="4" w:space="0"/>
            </w:tcBorders>
            <w:noWrap w:val="0"/>
            <w:vAlign w:val="center"/>
          </w:tcPr>
          <w:p w14:paraId="36BA4BAD">
            <w:pPr>
              <w:spacing w:line="360" w:lineRule="auto"/>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3</w:t>
            </w:r>
          </w:p>
        </w:tc>
        <w:tc>
          <w:tcPr>
            <w:tcW w:w="1804" w:type="dxa"/>
            <w:tcBorders>
              <w:top w:val="single" w:color="000000" w:sz="4" w:space="0"/>
              <w:left w:val="nil"/>
              <w:bottom w:val="single" w:color="000000" w:sz="4" w:space="0"/>
              <w:right w:val="single" w:color="000000" w:sz="4" w:space="0"/>
            </w:tcBorders>
            <w:noWrap w:val="0"/>
            <w:vAlign w:val="center"/>
          </w:tcPr>
          <w:p w14:paraId="2DE261C1">
            <w:pPr>
              <w:spacing w:line="360" w:lineRule="auto"/>
              <w:jc w:val="center"/>
              <w:rPr>
                <w:rFonts w:hint="eastAsia" w:ascii="宋体" w:hAnsi="宋体" w:cs="宋体"/>
                <w:color w:val="auto"/>
                <w:sz w:val="24"/>
                <w:szCs w:val="24"/>
                <w:highlight w:val="none"/>
              </w:rPr>
            </w:pPr>
          </w:p>
        </w:tc>
        <w:tc>
          <w:tcPr>
            <w:tcW w:w="1472" w:type="dxa"/>
            <w:tcBorders>
              <w:top w:val="single" w:color="000000" w:sz="4" w:space="0"/>
              <w:left w:val="nil"/>
              <w:bottom w:val="single" w:color="000000" w:sz="4" w:space="0"/>
              <w:right w:val="single" w:color="000000" w:sz="4" w:space="0"/>
            </w:tcBorders>
            <w:noWrap w:val="0"/>
            <w:vAlign w:val="center"/>
          </w:tcPr>
          <w:p w14:paraId="75B90B87">
            <w:pPr>
              <w:spacing w:line="360" w:lineRule="auto"/>
              <w:jc w:val="center"/>
              <w:rPr>
                <w:rFonts w:hint="eastAsia" w:ascii="宋体" w:hAnsi="宋体" w:cs="宋体"/>
                <w:color w:val="auto"/>
                <w:sz w:val="24"/>
                <w:szCs w:val="24"/>
                <w:highlight w:val="none"/>
              </w:rPr>
            </w:pPr>
          </w:p>
        </w:tc>
        <w:tc>
          <w:tcPr>
            <w:tcW w:w="1600" w:type="dxa"/>
            <w:tcBorders>
              <w:top w:val="single" w:color="000000" w:sz="4" w:space="0"/>
              <w:left w:val="nil"/>
              <w:bottom w:val="single" w:color="000000" w:sz="4" w:space="0"/>
              <w:right w:val="single" w:color="000000" w:sz="4" w:space="0"/>
            </w:tcBorders>
            <w:noWrap w:val="0"/>
            <w:vAlign w:val="center"/>
          </w:tcPr>
          <w:p w14:paraId="3E9F2A52">
            <w:pPr>
              <w:spacing w:line="360" w:lineRule="auto"/>
              <w:jc w:val="center"/>
              <w:rPr>
                <w:rFonts w:hint="eastAsia" w:ascii="宋体" w:hAnsi="宋体" w:cs="宋体"/>
                <w:color w:val="auto"/>
                <w:sz w:val="24"/>
                <w:szCs w:val="24"/>
                <w:highlight w:val="none"/>
              </w:rPr>
            </w:pPr>
          </w:p>
        </w:tc>
        <w:tc>
          <w:tcPr>
            <w:tcW w:w="1331" w:type="dxa"/>
            <w:tcBorders>
              <w:top w:val="single" w:color="000000" w:sz="4" w:space="0"/>
              <w:left w:val="nil"/>
              <w:bottom w:val="single" w:color="000000" w:sz="4" w:space="0"/>
              <w:right w:val="single" w:color="000000" w:sz="4" w:space="0"/>
            </w:tcBorders>
            <w:noWrap w:val="0"/>
            <w:vAlign w:val="center"/>
          </w:tcPr>
          <w:p w14:paraId="564FA191">
            <w:pPr>
              <w:spacing w:line="360" w:lineRule="auto"/>
              <w:jc w:val="center"/>
              <w:rPr>
                <w:rFonts w:hint="eastAsia" w:ascii="宋体" w:hAnsi="宋体" w:cs="宋体"/>
                <w:color w:val="auto"/>
                <w:sz w:val="24"/>
                <w:szCs w:val="24"/>
                <w:highlight w:val="none"/>
              </w:rPr>
            </w:pPr>
          </w:p>
        </w:tc>
        <w:tc>
          <w:tcPr>
            <w:tcW w:w="1253" w:type="dxa"/>
            <w:tcBorders>
              <w:top w:val="single" w:color="000000" w:sz="4" w:space="0"/>
              <w:left w:val="nil"/>
              <w:bottom w:val="single" w:color="000000" w:sz="4" w:space="0"/>
              <w:right w:val="single" w:color="000000" w:sz="4" w:space="0"/>
            </w:tcBorders>
            <w:noWrap w:val="0"/>
            <w:vAlign w:val="center"/>
          </w:tcPr>
          <w:p w14:paraId="6A977200">
            <w:pPr>
              <w:spacing w:line="360" w:lineRule="auto"/>
              <w:jc w:val="center"/>
              <w:rPr>
                <w:rFonts w:hint="eastAsia" w:ascii="宋体" w:hAnsi="宋体" w:cs="宋体"/>
                <w:color w:val="auto"/>
                <w:sz w:val="24"/>
                <w:szCs w:val="24"/>
                <w:highlight w:val="none"/>
              </w:rPr>
            </w:pPr>
          </w:p>
        </w:tc>
      </w:tr>
      <w:tr w14:paraId="3C7DAA3A">
        <w:tblPrEx>
          <w:tblCellMar>
            <w:top w:w="0" w:type="dxa"/>
            <w:left w:w="0" w:type="dxa"/>
            <w:bottom w:w="0" w:type="dxa"/>
            <w:right w:w="0" w:type="dxa"/>
          </w:tblCellMar>
        </w:tblPrEx>
        <w:trPr>
          <w:trHeight w:val="454" w:hRule="atLeast"/>
        </w:trPr>
        <w:tc>
          <w:tcPr>
            <w:tcW w:w="753" w:type="dxa"/>
            <w:tcBorders>
              <w:top w:val="single" w:color="000000" w:sz="4" w:space="0"/>
              <w:left w:val="single" w:color="000000" w:sz="4" w:space="0"/>
              <w:bottom w:val="single" w:color="000000" w:sz="4" w:space="0"/>
              <w:right w:val="single" w:color="000000" w:sz="4" w:space="0"/>
            </w:tcBorders>
            <w:noWrap w:val="0"/>
            <w:vAlign w:val="center"/>
          </w:tcPr>
          <w:p w14:paraId="7CD4FC6D">
            <w:pPr>
              <w:spacing w:line="360" w:lineRule="auto"/>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4</w:t>
            </w:r>
          </w:p>
        </w:tc>
        <w:tc>
          <w:tcPr>
            <w:tcW w:w="1804" w:type="dxa"/>
            <w:tcBorders>
              <w:top w:val="single" w:color="000000" w:sz="4" w:space="0"/>
              <w:left w:val="nil"/>
              <w:bottom w:val="single" w:color="000000" w:sz="4" w:space="0"/>
              <w:right w:val="single" w:color="000000" w:sz="4" w:space="0"/>
            </w:tcBorders>
            <w:noWrap w:val="0"/>
            <w:vAlign w:val="center"/>
          </w:tcPr>
          <w:p w14:paraId="10E9F807">
            <w:pPr>
              <w:spacing w:line="360" w:lineRule="auto"/>
              <w:jc w:val="center"/>
              <w:rPr>
                <w:rFonts w:hint="eastAsia" w:ascii="宋体" w:hAnsi="宋体" w:cs="宋体"/>
                <w:color w:val="auto"/>
                <w:sz w:val="24"/>
                <w:szCs w:val="24"/>
                <w:highlight w:val="none"/>
              </w:rPr>
            </w:pPr>
          </w:p>
        </w:tc>
        <w:tc>
          <w:tcPr>
            <w:tcW w:w="1472" w:type="dxa"/>
            <w:tcBorders>
              <w:top w:val="single" w:color="000000" w:sz="4" w:space="0"/>
              <w:left w:val="nil"/>
              <w:bottom w:val="single" w:color="000000" w:sz="4" w:space="0"/>
              <w:right w:val="single" w:color="000000" w:sz="4" w:space="0"/>
            </w:tcBorders>
            <w:noWrap w:val="0"/>
            <w:vAlign w:val="center"/>
          </w:tcPr>
          <w:p w14:paraId="50D8C8A0">
            <w:pPr>
              <w:spacing w:line="360" w:lineRule="auto"/>
              <w:jc w:val="center"/>
              <w:rPr>
                <w:rFonts w:hint="eastAsia" w:ascii="宋体" w:hAnsi="宋体" w:cs="宋体"/>
                <w:color w:val="auto"/>
                <w:sz w:val="24"/>
                <w:szCs w:val="24"/>
                <w:highlight w:val="none"/>
              </w:rPr>
            </w:pPr>
          </w:p>
        </w:tc>
        <w:tc>
          <w:tcPr>
            <w:tcW w:w="1600" w:type="dxa"/>
            <w:tcBorders>
              <w:top w:val="single" w:color="000000" w:sz="4" w:space="0"/>
              <w:left w:val="nil"/>
              <w:bottom w:val="single" w:color="000000" w:sz="4" w:space="0"/>
              <w:right w:val="single" w:color="000000" w:sz="4" w:space="0"/>
            </w:tcBorders>
            <w:noWrap w:val="0"/>
            <w:vAlign w:val="center"/>
          </w:tcPr>
          <w:p w14:paraId="7CC845CA">
            <w:pPr>
              <w:spacing w:line="360" w:lineRule="auto"/>
              <w:jc w:val="center"/>
              <w:rPr>
                <w:rFonts w:hint="eastAsia" w:ascii="宋体" w:hAnsi="宋体" w:cs="宋体"/>
                <w:color w:val="auto"/>
                <w:sz w:val="24"/>
                <w:szCs w:val="24"/>
                <w:highlight w:val="none"/>
              </w:rPr>
            </w:pPr>
          </w:p>
        </w:tc>
        <w:tc>
          <w:tcPr>
            <w:tcW w:w="1331" w:type="dxa"/>
            <w:tcBorders>
              <w:top w:val="single" w:color="000000" w:sz="4" w:space="0"/>
              <w:left w:val="nil"/>
              <w:bottom w:val="single" w:color="000000" w:sz="4" w:space="0"/>
              <w:right w:val="single" w:color="000000" w:sz="4" w:space="0"/>
            </w:tcBorders>
            <w:noWrap w:val="0"/>
            <w:vAlign w:val="center"/>
          </w:tcPr>
          <w:p w14:paraId="2268C1B2">
            <w:pPr>
              <w:spacing w:line="360" w:lineRule="auto"/>
              <w:jc w:val="center"/>
              <w:rPr>
                <w:rFonts w:hint="eastAsia" w:ascii="宋体" w:hAnsi="宋体" w:cs="宋体"/>
                <w:color w:val="auto"/>
                <w:sz w:val="24"/>
                <w:szCs w:val="24"/>
                <w:highlight w:val="none"/>
              </w:rPr>
            </w:pPr>
          </w:p>
        </w:tc>
        <w:tc>
          <w:tcPr>
            <w:tcW w:w="1253" w:type="dxa"/>
            <w:tcBorders>
              <w:top w:val="single" w:color="000000" w:sz="4" w:space="0"/>
              <w:left w:val="nil"/>
              <w:bottom w:val="single" w:color="000000" w:sz="4" w:space="0"/>
              <w:right w:val="single" w:color="000000" w:sz="4" w:space="0"/>
            </w:tcBorders>
            <w:noWrap w:val="0"/>
            <w:vAlign w:val="center"/>
          </w:tcPr>
          <w:p w14:paraId="79CCBAF3">
            <w:pPr>
              <w:spacing w:line="360" w:lineRule="auto"/>
              <w:jc w:val="center"/>
              <w:rPr>
                <w:rFonts w:hint="eastAsia" w:ascii="宋体" w:hAnsi="宋体" w:cs="宋体"/>
                <w:color w:val="auto"/>
                <w:sz w:val="24"/>
                <w:szCs w:val="24"/>
                <w:highlight w:val="none"/>
              </w:rPr>
            </w:pPr>
          </w:p>
        </w:tc>
      </w:tr>
      <w:tr w14:paraId="696AB215">
        <w:tblPrEx>
          <w:tblCellMar>
            <w:top w:w="0" w:type="dxa"/>
            <w:left w:w="0" w:type="dxa"/>
            <w:bottom w:w="0" w:type="dxa"/>
            <w:right w:w="0" w:type="dxa"/>
          </w:tblCellMar>
        </w:tblPrEx>
        <w:trPr>
          <w:trHeight w:val="454" w:hRule="atLeast"/>
        </w:trPr>
        <w:tc>
          <w:tcPr>
            <w:tcW w:w="753" w:type="dxa"/>
            <w:tcBorders>
              <w:top w:val="single" w:color="000000" w:sz="4" w:space="0"/>
              <w:left w:val="single" w:color="000000" w:sz="4" w:space="0"/>
              <w:bottom w:val="single" w:color="000000" w:sz="4" w:space="0"/>
              <w:right w:val="single" w:color="000000" w:sz="4" w:space="0"/>
            </w:tcBorders>
            <w:noWrap w:val="0"/>
            <w:vAlign w:val="center"/>
          </w:tcPr>
          <w:p w14:paraId="1D67A9DC">
            <w:pPr>
              <w:spacing w:line="360" w:lineRule="auto"/>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5</w:t>
            </w:r>
          </w:p>
        </w:tc>
        <w:tc>
          <w:tcPr>
            <w:tcW w:w="1804" w:type="dxa"/>
            <w:tcBorders>
              <w:top w:val="single" w:color="000000" w:sz="4" w:space="0"/>
              <w:left w:val="nil"/>
              <w:bottom w:val="single" w:color="000000" w:sz="4" w:space="0"/>
              <w:right w:val="single" w:color="000000" w:sz="4" w:space="0"/>
            </w:tcBorders>
            <w:noWrap w:val="0"/>
            <w:vAlign w:val="center"/>
          </w:tcPr>
          <w:p w14:paraId="0B886CDC">
            <w:pPr>
              <w:spacing w:line="360" w:lineRule="auto"/>
              <w:jc w:val="center"/>
              <w:rPr>
                <w:rFonts w:hint="eastAsia" w:ascii="宋体" w:hAnsi="宋体" w:cs="宋体"/>
                <w:color w:val="auto"/>
                <w:sz w:val="24"/>
                <w:szCs w:val="24"/>
                <w:highlight w:val="none"/>
              </w:rPr>
            </w:pPr>
          </w:p>
        </w:tc>
        <w:tc>
          <w:tcPr>
            <w:tcW w:w="1472" w:type="dxa"/>
            <w:tcBorders>
              <w:top w:val="single" w:color="000000" w:sz="4" w:space="0"/>
              <w:left w:val="nil"/>
              <w:bottom w:val="single" w:color="000000" w:sz="4" w:space="0"/>
              <w:right w:val="single" w:color="000000" w:sz="4" w:space="0"/>
            </w:tcBorders>
            <w:noWrap w:val="0"/>
            <w:vAlign w:val="center"/>
          </w:tcPr>
          <w:p w14:paraId="684AB715">
            <w:pPr>
              <w:spacing w:line="360" w:lineRule="auto"/>
              <w:jc w:val="center"/>
              <w:rPr>
                <w:rFonts w:hint="eastAsia" w:ascii="宋体" w:hAnsi="宋体" w:cs="宋体"/>
                <w:color w:val="auto"/>
                <w:sz w:val="24"/>
                <w:szCs w:val="24"/>
                <w:highlight w:val="none"/>
              </w:rPr>
            </w:pPr>
          </w:p>
        </w:tc>
        <w:tc>
          <w:tcPr>
            <w:tcW w:w="1600" w:type="dxa"/>
            <w:tcBorders>
              <w:top w:val="single" w:color="000000" w:sz="4" w:space="0"/>
              <w:left w:val="nil"/>
              <w:bottom w:val="single" w:color="000000" w:sz="4" w:space="0"/>
              <w:right w:val="single" w:color="000000" w:sz="4" w:space="0"/>
            </w:tcBorders>
            <w:noWrap w:val="0"/>
            <w:vAlign w:val="center"/>
          </w:tcPr>
          <w:p w14:paraId="09B04989">
            <w:pPr>
              <w:spacing w:line="360" w:lineRule="auto"/>
              <w:jc w:val="center"/>
              <w:rPr>
                <w:rFonts w:hint="eastAsia" w:ascii="宋体" w:hAnsi="宋体" w:cs="宋体"/>
                <w:color w:val="auto"/>
                <w:sz w:val="24"/>
                <w:szCs w:val="24"/>
                <w:highlight w:val="none"/>
              </w:rPr>
            </w:pPr>
          </w:p>
        </w:tc>
        <w:tc>
          <w:tcPr>
            <w:tcW w:w="1331" w:type="dxa"/>
            <w:tcBorders>
              <w:top w:val="single" w:color="000000" w:sz="4" w:space="0"/>
              <w:left w:val="nil"/>
              <w:bottom w:val="single" w:color="000000" w:sz="4" w:space="0"/>
              <w:right w:val="single" w:color="000000" w:sz="4" w:space="0"/>
            </w:tcBorders>
            <w:noWrap w:val="0"/>
            <w:vAlign w:val="center"/>
          </w:tcPr>
          <w:p w14:paraId="4A1FC0DF">
            <w:pPr>
              <w:spacing w:line="360" w:lineRule="auto"/>
              <w:jc w:val="center"/>
              <w:rPr>
                <w:rFonts w:hint="eastAsia" w:ascii="宋体" w:hAnsi="宋体" w:cs="宋体"/>
                <w:color w:val="auto"/>
                <w:sz w:val="24"/>
                <w:szCs w:val="24"/>
                <w:highlight w:val="none"/>
              </w:rPr>
            </w:pPr>
          </w:p>
        </w:tc>
        <w:tc>
          <w:tcPr>
            <w:tcW w:w="1253" w:type="dxa"/>
            <w:tcBorders>
              <w:top w:val="single" w:color="000000" w:sz="4" w:space="0"/>
              <w:left w:val="nil"/>
              <w:bottom w:val="single" w:color="000000" w:sz="4" w:space="0"/>
              <w:right w:val="single" w:color="000000" w:sz="4" w:space="0"/>
            </w:tcBorders>
            <w:noWrap w:val="0"/>
            <w:vAlign w:val="center"/>
          </w:tcPr>
          <w:p w14:paraId="223C5D68">
            <w:pPr>
              <w:spacing w:line="360" w:lineRule="auto"/>
              <w:jc w:val="center"/>
              <w:rPr>
                <w:rFonts w:hint="eastAsia" w:ascii="宋体" w:hAnsi="宋体" w:cs="宋体"/>
                <w:color w:val="auto"/>
                <w:sz w:val="24"/>
                <w:szCs w:val="24"/>
                <w:highlight w:val="none"/>
              </w:rPr>
            </w:pPr>
          </w:p>
        </w:tc>
      </w:tr>
      <w:tr w14:paraId="576C5720">
        <w:tblPrEx>
          <w:tblCellMar>
            <w:top w:w="0" w:type="dxa"/>
            <w:left w:w="0" w:type="dxa"/>
            <w:bottom w:w="0" w:type="dxa"/>
            <w:right w:w="0" w:type="dxa"/>
          </w:tblCellMar>
        </w:tblPrEx>
        <w:trPr>
          <w:trHeight w:val="454" w:hRule="atLeast"/>
        </w:trPr>
        <w:tc>
          <w:tcPr>
            <w:tcW w:w="753" w:type="dxa"/>
            <w:tcBorders>
              <w:top w:val="single" w:color="000000" w:sz="4" w:space="0"/>
              <w:left w:val="single" w:color="000000" w:sz="4" w:space="0"/>
              <w:bottom w:val="single" w:color="000000" w:sz="4" w:space="0"/>
              <w:right w:val="single" w:color="000000" w:sz="4" w:space="0"/>
            </w:tcBorders>
            <w:noWrap w:val="0"/>
            <w:vAlign w:val="center"/>
          </w:tcPr>
          <w:p w14:paraId="7613CF5C">
            <w:pPr>
              <w:spacing w:line="360" w:lineRule="auto"/>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6</w:t>
            </w:r>
          </w:p>
        </w:tc>
        <w:tc>
          <w:tcPr>
            <w:tcW w:w="1804" w:type="dxa"/>
            <w:tcBorders>
              <w:top w:val="single" w:color="000000" w:sz="4" w:space="0"/>
              <w:left w:val="nil"/>
              <w:bottom w:val="single" w:color="000000" w:sz="4" w:space="0"/>
              <w:right w:val="single" w:color="000000" w:sz="4" w:space="0"/>
            </w:tcBorders>
            <w:noWrap w:val="0"/>
            <w:vAlign w:val="center"/>
          </w:tcPr>
          <w:p w14:paraId="7F80D605">
            <w:pPr>
              <w:spacing w:line="360" w:lineRule="auto"/>
              <w:jc w:val="center"/>
              <w:rPr>
                <w:rFonts w:hint="eastAsia" w:ascii="宋体" w:hAnsi="宋体" w:cs="宋体"/>
                <w:color w:val="auto"/>
                <w:sz w:val="24"/>
                <w:szCs w:val="24"/>
                <w:highlight w:val="none"/>
              </w:rPr>
            </w:pPr>
          </w:p>
        </w:tc>
        <w:tc>
          <w:tcPr>
            <w:tcW w:w="1472" w:type="dxa"/>
            <w:tcBorders>
              <w:top w:val="single" w:color="000000" w:sz="4" w:space="0"/>
              <w:left w:val="nil"/>
              <w:bottom w:val="single" w:color="000000" w:sz="4" w:space="0"/>
              <w:right w:val="single" w:color="000000" w:sz="4" w:space="0"/>
            </w:tcBorders>
            <w:noWrap w:val="0"/>
            <w:vAlign w:val="center"/>
          </w:tcPr>
          <w:p w14:paraId="6F65C918">
            <w:pPr>
              <w:spacing w:line="360" w:lineRule="auto"/>
              <w:jc w:val="center"/>
              <w:rPr>
                <w:rFonts w:hint="eastAsia" w:ascii="宋体" w:hAnsi="宋体" w:cs="宋体"/>
                <w:color w:val="auto"/>
                <w:sz w:val="24"/>
                <w:szCs w:val="24"/>
                <w:highlight w:val="none"/>
              </w:rPr>
            </w:pPr>
          </w:p>
        </w:tc>
        <w:tc>
          <w:tcPr>
            <w:tcW w:w="1600" w:type="dxa"/>
            <w:tcBorders>
              <w:top w:val="single" w:color="000000" w:sz="4" w:space="0"/>
              <w:left w:val="nil"/>
              <w:bottom w:val="single" w:color="000000" w:sz="4" w:space="0"/>
              <w:right w:val="single" w:color="000000" w:sz="4" w:space="0"/>
            </w:tcBorders>
            <w:noWrap w:val="0"/>
            <w:vAlign w:val="center"/>
          </w:tcPr>
          <w:p w14:paraId="1D997DEF">
            <w:pPr>
              <w:spacing w:line="360" w:lineRule="auto"/>
              <w:jc w:val="center"/>
              <w:rPr>
                <w:rFonts w:hint="eastAsia" w:ascii="宋体" w:hAnsi="宋体" w:cs="宋体"/>
                <w:color w:val="auto"/>
                <w:sz w:val="24"/>
                <w:szCs w:val="24"/>
                <w:highlight w:val="none"/>
              </w:rPr>
            </w:pPr>
          </w:p>
        </w:tc>
        <w:tc>
          <w:tcPr>
            <w:tcW w:w="1331" w:type="dxa"/>
            <w:tcBorders>
              <w:top w:val="single" w:color="000000" w:sz="4" w:space="0"/>
              <w:left w:val="nil"/>
              <w:bottom w:val="single" w:color="000000" w:sz="4" w:space="0"/>
              <w:right w:val="single" w:color="000000" w:sz="4" w:space="0"/>
            </w:tcBorders>
            <w:noWrap w:val="0"/>
            <w:vAlign w:val="center"/>
          </w:tcPr>
          <w:p w14:paraId="3DC4B843">
            <w:pPr>
              <w:spacing w:line="360" w:lineRule="auto"/>
              <w:jc w:val="center"/>
              <w:rPr>
                <w:rFonts w:hint="eastAsia" w:ascii="宋体" w:hAnsi="宋体" w:cs="宋体"/>
                <w:color w:val="auto"/>
                <w:sz w:val="24"/>
                <w:szCs w:val="24"/>
                <w:highlight w:val="none"/>
              </w:rPr>
            </w:pPr>
          </w:p>
        </w:tc>
        <w:tc>
          <w:tcPr>
            <w:tcW w:w="1253" w:type="dxa"/>
            <w:tcBorders>
              <w:top w:val="single" w:color="000000" w:sz="4" w:space="0"/>
              <w:left w:val="nil"/>
              <w:bottom w:val="single" w:color="000000" w:sz="4" w:space="0"/>
              <w:right w:val="single" w:color="000000" w:sz="4" w:space="0"/>
            </w:tcBorders>
            <w:noWrap w:val="0"/>
            <w:vAlign w:val="center"/>
          </w:tcPr>
          <w:p w14:paraId="56D475E4">
            <w:pPr>
              <w:spacing w:line="360" w:lineRule="auto"/>
              <w:jc w:val="center"/>
              <w:rPr>
                <w:rFonts w:hint="eastAsia" w:ascii="宋体" w:hAnsi="宋体" w:cs="宋体"/>
                <w:color w:val="auto"/>
                <w:sz w:val="24"/>
                <w:szCs w:val="24"/>
                <w:highlight w:val="none"/>
              </w:rPr>
            </w:pPr>
          </w:p>
        </w:tc>
      </w:tr>
      <w:tr w14:paraId="46E27ADE">
        <w:tblPrEx>
          <w:tblCellMar>
            <w:top w:w="0" w:type="dxa"/>
            <w:left w:w="0" w:type="dxa"/>
            <w:bottom w:w="0" w:type="dxa"/>
            <w:right w:w="0" w:type="dxa"/>
          </w:tblCellMar>
        </w:tblPrEx>
        <w:trPr>
          <w:trHeight w:val="454" w:hRule="atLeast"/>
        </w:trPr>
        <w:tc>
          <w:tcPr>
            <w:tcW w:w="753" w:type="dxa"/>
            <w:tcBorders>
              <w:top w:val="single" w:color="000000" w:sz="4" w:space="0"/>
              <w:left w:val="single" w:color="000000" w:sz="4" w:space="0"/>
              <w:bottom w:val="single" w:color="000000" w:sz="4" w:space="0"/>
              <w:right w:val="single" w:color="000000" w:sz="4" w:space="0"/>
            </w:tcBorders>
            <w:noWrap w:val="0"/>
            <w:vAlign w:val="center"/>
          </w:tcPr>
          <w:p w14:paraId="2DFA0F35">
            <w:pPr>
              <w:spacing w:line="360" w:lineRule="auto"/>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w:t>
            </w:r>
          </w:p>
        </w:tc>
        <w:tc>
          <w:tcPr>
            <w:tcW w:w="1804" w:type="dxa"/>
            <w:tcBorders>
              <w:top w:val="single" w:color="000000" w:sz="4" w:space="0"/>
              <w:left w:val="nil"/>
              <w:bottom w:val="single" w:color="000000" w:sz="4" w:space="0"/>
              <w:right w:val="single" w:color="000000" w:sz="4" w:space="0"/>
            </w:tcBorders>
            <w:noWrap w:val="0"/>
            <w:vAlign w:val="center"/>
          </w:tcPr>
          <w:p w14:paraId="5E17EC6C">
            <w:pPr>
              <w:spacing w:line="360" w:lineRule="auto"/>
              <w:jc w:val="center"/>
              <w:rPr>
                <w:rFonts w:hint="eastAsia" w:ascii="宋体" w:hAnsi="宋体" w:cs="宋体"/>
                <w:color w:val="auto"/>
                <w:sz w:val="24"/>
                <w:szCs w:val="24"/>
                <w:highlight w:val="none"/>
              </w:rPr>
            </w:pPr>
          </w:p>
        </w:tc>
        <w:tc>
          <w:tcPr>
            <w:tcW w:w="1472" w:type="dxa"/>
            <w:tcBorders>
              <w:top w:val="single" w:color="000000" w:sz="4" w:space="0"/>
              <w:left w:val="nil"/>
              <w:bottom w:val="single" w:color="000000" w:sz="4" w:space="0"/>
              <w:right w:val="single" w:color="000000" w:sz="4" w:space="0"/>
            </w:tcBorders>
            <w:noWrap w:val="0"/>
            <w:vAlign w:val="center"/>
          </w:tcPr>
          <w:p w14:paraId="599CAB74">
            <w:pPr>
              <w:spacing w:line="360" w:lineRule="auto"/>
              <w:jc w:val="center"/>
              <w:rPr>
                <w:rFonts w:hint="eastAsia" w:ascii="宋体" w:hAnsi="宋体" w:cs="宋体"/>
                <w:color w:val="auto"/>
                <w:sz w:val="24"/>
                <w:szCs w:val="24"/>
                <w:highlight w:val="none"/>
              </w:rPr>
            </w:pPr>
          </w:p>
        </w:tc>
        <w:tc>
          <w:tcPr>
            <w:tcW w:w="1600" w:type="dxa"/>
            <w:tcBorders>
              <w:top w:val="single" w:color="000000" w:sz="4" w:space="0"/>
              <w:left w:val="nil"/>
              <w:bottom w:val="single" w:color="000000" w:sz="4" w:space="0"/>
              <w:right w:val="single" w:color="000000" w:sz="4" w:space="0"/>
            </w:tcBorders>
            <w:noWrap w:val="0"/>
            <w:vAlign w:val="center"/>
          </w:tcPr>
          <w:p w14:paraId="44049A8E">
            <w:pPr>
              <w:spacing w:line="360" w:lineRule="auto"/>
              <w:jc w:val="center"/>
              <w:rPr>
                <w:rFonts w:hint="eastAsia" w:ascii="宋体" w:hAnsi="宋体" w:cs="宋体"/>
                <w:color w:val="auto"/>
                <w:sz w:val="24"/>
                <w:szCs w:val="24"/>
                <w:highlight w:val="none"/>
              </w:rPr>
            </w:pPr>
          </w:p>
        </w:tc>
        <w:tc>
          <w:tcPr>
            <w:tcW w:w="1331" w:type="dxa"/>
            <w:tcBorders>
              <w:top w:val="single" w:color="000000" w:sz="4" w:space="0"/>
              <w:left w:val="nil"/>
              <w:bottom w:val="single" w:color="000000" w:sz="4" w:space="0"/>
              <w:right w:val="single" w:color="000000" w:sz="4" w:space="0"/>
            </w:tcBorders>
            <w:noWrap w:val="0"/>
            <w:vAlign w:val="center"/>
          </w:tcPr>
          <w:p w14:paraId="7CF8B440">
            <w:pPr>
              <w:spacing w:line="360" w:lineRule="auto"/>
              <w:jc w:val="center"/>
              <w:rPr>
                <w:rFonts w:hint="eastAsia" w:ascii="宋体" w:hAnsi="宋体" w:cs="宋体"/>
                <w:color w:val="auto"/>
                <w:sz w:val="24"/>
                <w:szCs w:val="24"/>
                <w:highlight w:val="none"/>
              </w:rPr>
            </w:pPr>
          </w:p>
        </w:tc>
        <w:tc>
          <w:tcPr>
            <w:tcW w:w="1253" w:type="dxa"/>
            <w:tcBorders>
              <w:top w:val="single" w:color="000000" w:sz="4" w:space="0"/>
              <w:left w:val="nil"/>
              <w:bottom w:val="single" w:color="000000" w:sz="4" w:space="0"/>
              <w:right w:val="single" w:color="000000" w:sz="4" w:space="0"/>
            </w:tcBorders>
            <w:noWrap w:val="0"/>
            <w:vAlign w:val="center"/>
          </w:tcPr>
          <w:p w14:paraId="2DA6D0CE">
            <w:pPr>
              <w:spacing w:line="360" w:lineRule="auto"/>
              <w:jc w:val="center"/>
              <w:rPr>
                <w:rFonts w:hint="eastAsia" w:ascii="宋体" w:hAnsi="宋体" w:cs="宋体"/>
                <w:color w:val="auto"/>
                <w:sz w:val="24"/>
                <w:szCs w:val="24"/>
                <w:highlight w:val="none"/>
              </w:rPr>
            </w:pPr>
          </w:p>
        </w:tc>
      </w:tr>
    </w:tbl>
    <w:p w14:paraId="0EB6622D">
      <w:pPr>
        <w:spacing w:line="360" w:lineRule="auto"/>
        <w:rPr>
          <w:rFonts w:hint="eastAsia" w:ascii="宋体" w:hAnsi="宋体" w:cs="宋体"/>
          <w:color w:val="auto"/>
          <w:sz w:val="24"/>
          <w:szCs w:val="24"/>
          <w:highlight w:val="none"/>
        </w:rPr>
      </w:pPr>
    </w:p>
    <w:p w14:paraId="1AD4A09D">
      <w:pPr>
        <w:spacing w:line="360" w:lineRule="auto"/>
        <w:rPr>
          <w:rFonts w:hint="eastAsia" w:ascii="宋体" w:hAnsi="宋体" w:cs="宋体"/>
          <w:color w:val="auto"/>
          <w:sz w:val="24"/>
          <w:szCs w:val="24"/>
          <w:highlight w:val="none"/>
        </w:rPr>
      </w:pPr>
    </w:p>
    <w:p w14:paraId="688279DF">
      <w:pPr>
        <w:pStyle w:val="40"/>
        <w:ind w:firstLine="420"/>
        <w:rPr>
          <w:color w:val="auto"/>
          <w:highlight w:val="none"/>
        </w:rPr>
      </w:pPr>
    </w:p>
    <w:p w14:paraId="42731685">
      <w:pPr>
        <w:spacing w:before="25" w:after="25" w:line="360" w:lineRule="auto"/>
        <w:ind w:firstLine="480"/>
        <w:rPr>
          <w:rFonts w:hint="eastAsia" w:ascii="宋体" w:hAnsi="宋体" w:cs="宋体"/>
          <w:color w:val="auto"/>
          <w:sz w:val="24"/>
          <w:szCs w:val="24"/>
          <w:highlight w:val="none"/>
        </w:rPr>
      </w:pPr>
    </w:p>
    <w:p w14:paraId="0C083CB1">
      <w:pPr>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投标单位：（单位盖章）</w:t>
      </w:r>
    </w:p>
    <w:p w14:paraId="750B5D43">
      <w:pPr>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法定代表人或代理人：（签字或盖章）</w:t>
      </w:r>
    </w:p>
    <w:p w14:paraId="7CE9F283">
      <w:pPr>
        <w:spacing w:line="360" w:lineRule="auto"/>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日期：    年     月    日</w:t>
      </w:r>
    </w:p>
    <w:p w14:paraId="1DF0307A">
      <w:pPr>
        <w:spacing w:line="360" w:lineRule="auto"/>
        <w:jc w:val="center"/>
        <w:rPr>
          <w:rFonts w:hint="eastAsia" w:ascii="宋体" w:hAnsi="宋体"/>
          <w:color w:val="auto"/>
          <w:sz w:val="24"/>
          <w:highlight w:val="none"/>
        </w:rPr>
      </w:pPr>
    </w:p>
    <w:p w14:paraId="1B8FBFDB">
      <w:pPr>
        <w:spacing w:line="360" w:lineRule="auto"/>
        <w:jc w:val="center"/>
        <w:rPr>
          <w:rFonts w:hint="eastAsia" w:ascii="宋体" w:hAnsi="宋体"/>
          <w:color w:val="auto"/>
          <w:sz w:val="24"/>
          <w:highlight w:val="none"/>
        </w:rPr>
      </w:pPr>
    </w:p>
    <w:p w14:paraId="14085223">
      <w:pPr>
        <w:spacing w:line="360" w:lineRule="auto"/>
        <w:jc w:val="center"/>
        <w:rPr>
          <w:rFonts w:hint="eastAsia" w:ascii="宋体" w:hAnsi="宋体"/>
          <w:color w:val="auto"/>
          <w:sz w:val="24"/>
          <w:highlight w:val="none"/>
        </w:rPr>
      </w:pPr>
    </w:p>
    <w:p w14:paraId="1CC4FC96">
      <w:pPr>
        <w:spacing w:line="360" w:lineRule="auto"/>
        <w:jc w:val="center"/>
        <w:rPr>
          <w:rFonts w:hint="eastAsia" w:ascii="宋体" w:hAnsi="宋体"/>
          <w:color w:val="auto"/>
          <w:sz w:val="24"/>
          <w:highlight w:val="none"/>
        </w:rPr>
      </w:pPr>
    </w:p>
    <w:p w14:paraId="546AAE8B">
      <w:pPr>
        <w:spacing w:line="360" w:lineRule="auto"/>
        <w:jc w:val="left"/>
        <w:rPr>
          <w:rFonts w:hint="eastAsia" w:ascii="宋体" w:hAnsi="宋体"/>
          <w:color w:val="auto"/>
          <w:sz w:val="24"/>
          <w:highlight w:val="none"/>
        </w:rPr>
      </w:pPr>
    </w:p>
    <w:p w14:paraId="509F2B26">
      <w:pPr>
        <w:spacing w:line="360" w:lineRule="auto"/>
        <w:jc w:val="left"/>
        <w:rPr>
          <w:rFonts w:hint="eastAsia" w:ascii="宋体" w:hAnsi="宋体"/>
          <w:color w:val="auto"/>
          <w:sz w:val="24"/>
          <w:highlight w:val="none"/>
        </w:rPr>
      </w:pPr>
    </w:p>
    <w:p w14:paraId="512D37F7">
      <w:pPr>
        <w:spacing w:line="360" w:lineRule="auto"/>
        <w:rPr>
          <w:rFonts w:hint="eastAsia" w:ascii="宋体" w:hAnsi="宋体"/>
          <w:color w:val="auto"/>
          <w:sz w:val="28"/>
          <w:szCs w:val="28"/>
          <w:highlight w:val="none"/>
        </w:rPr>
      </w:pPr>
    </w:p>
    <w:p w14:paraId="5E9B35C7">
      <w:pPr>
        <w:rPr>
          <w:rFonts w:hint="eastAsia" w:ascii="宋体" w:hAnsi="宋体"/>
          <w:color w:val="auto"/>
          <w:sz w:val="28"/>
          <w:szCs w:val="28"/>
          <w:highlight w:val="none"/>
        </w:rPr>
      </w:pPr>
      <w:r>
        <w:rPr>
          <w:rFonts w:hint="eastAsia" w:ascii="宋体" w:hAnsi="宋体"/>
          <w:color w:val="auto"/>
          <w:sz w:val="28"/>
          <w:szCs w:val="28"/>
          <w:highlight w:val="none"/>
        </w:rPr>
        <w:br w:type="page" w:clear="all"/>
      </w:r>
    </w:p>
    <w:p w14:paraId="7019F962">
      <w:pPr>
        <w:spacing w:line="360" w:lineRule="auto"/>
        <w:rPr>
          <w:rFonts w:hint="eastAsia" w:ascii="宋体" w:hAnsi="宋体"/>
          <w:color w:val="auto"/>
          <w:sz w:val="28"/>
          <w:szCs w:val="28"/>
          <w:highlight w:val="none"/>
        </w:rPr>
      </w:pPr>
      <w:r>
        <w:rPr>
          <w:rFonts w:hint="eastAsia" w:ascii="宋体" w:hAnsi="宋体"/>
          <w:color w:val="auto"/>
          <w:sz w:val="28"/>
          <w:szCs w:val="28"/>
          <w:highlight w:val="none"/>
          <w:lang w:val="en-US" w:eastAsia="zh-CN"/>
        </w:rPr>
        <w:t>9</w:t>
      </w:r>
      <w:r>
        <w:rPr>
          <w:rFonts w:hint="eastAsia" w:ascii="宋体" w:hAnsi="宋体"/>
          <w:color w:val="auto"/>
          <w:sz w:val="28"/>
          <w:szCs w:val="28"/>
          <w:highlight w:val="none"/>
        </w:rPr>
        <w:t>、有关资格证明文件</w:t>
      </w:r>
    </w:p>
    <w:p w14:paraId="05C28226">
      <w:pPr>
        <w:spacing w:line="360" w:lineRule="auto"/>
        <w:rPr>
          <w:rFonts w:hint="eastAsia" w:ascii="宋体" w:hAnsi="宋体"/>
          <w:color w:val="auto"/>
          <w:sz w:val="24"/>
          <w:highlight w:val="none"/>
        </w:rPr>
      </w:pPr>
    </w:p>
    <w:p w14:paraId="510A42C4">
      <w:pPr>
        <w:spacing w:line="360" w:lineRule="auto"/>
        <w:jc w:val="center"/>
        <w:rPr>
          <w:rFonts w:hint="eastAsia" w:ascii="宋体" w:hAnsi="宋体"/>
          <w:color w:val="auto"/>
          <w:sz w:val="24"/>
          <w:highlight w:val="none"/>
        </w:rPr>
      </w:pPr>
      <w:r>
        <w:rPr>
          <w:rFonts w:hint="eastAsia" w:ascii="宋体" w:hAnsi="宋体"/>
          <w:color w:val="auto"/>
          <w:sz w:val="24"/>
          <w:highlight w:val="none"/>
        </w:rPr>
        <w:t>关于资格文件的声明函</w:t>
      </w:r>
    </w:p>
    <w:p w14:paraId="793E700B">
      <w:pPr>
        <w:spacing w:line="360" w:lineRule="auto"/>
        <w:ind w:firstLine="420"/>
        <w:jc w:val="center"/>
        <w:rPr>
          <w:rFonts w:hint="eastAsia" w:ascii="宋体" w:hAnsi="宋体"/>
          <w:color w:val="auto"/>
          <w:sz w:val="24"/>
          <w:highlight w:val="none"/>
        </w:rPr>
      </w:pPr>
    </w:p>
    <w:p w14:paraId="2FA12593">
      <w:pPr>
        <w:spacing w:line="360" w:lineRule="auto"/>
        <w:jc w:val="left"/>
        <w:rPr>
          <w:rFonts w:hint="eastAsia" w:ascii="宋体" w:hAnsi="宋体"/>
          <w:color w:val="auto"/>
          <w:sz w:val="24"/>
          <w:highlight w:val="none"/>
        </w:rPr>
      </w:pPr>
      <w:r>
        <w:rPr>
          <w:rFonts w:hint="eastAsia" w:ascii="宋体" w:hAnsi="宋体"/>
          <w:color w:val="auto"/>
          <w:sz w:val="24"/>
          <w:highlight w:val="none"/>
          <w:u w:val="single"/>
        </w:rPr>
        <w:t xml:space="preserve">  苏州时代招投标有限公司  </w:t>
      </w:r>
      <w:r>
        <w:rPr>
          <w:rFonts w:hint="eastAsia" w:ascii="宋体" w:hAnsi="宋体"/>
          <w:color w:val="auto"/>
          <w:sz w:val="24"/>
          <w:highlight w:val="none"/>
        </w:rPr>
        <w:t>：</w:t>
      </w:r>
    </w:p>
    <w:p w14:paraId="64E21F43">
      <w:pPr>
        <w:spacing w:line="360" w:lineRule="auto"/>
        <w:ind w:firstLine="420"/>
        <w:jc w:val="left"/>
        <w:rPr>
          <w:rFonts w:hint="eastAsia" w:ascii="宋体" w:hAnsi="宋体"/>
          <w:color w:val="auto"/>
          <w:sz w:val="24"/>
          <w:highlight w:val="none"/>
        </w:rPr>
      </w:pPr>
      <w:r>
        <w:rPr>
          <w:rFonts w:hint="eastAsia" w:ascii="宋体" w:hAnsi="宋体"/>
          <w:color w:val="auto"/>
          <w:sz w:val="24"/>
          <w:highlight w:val="none"/>
        </w:rPr>
        <w:t>本公司愿就由贵公司组织实施的编号为</w:t>
      </w:r>
      <w:r>
        <w:rPr>
          <w:rFonts w:hint="eastAsia" w:ascii="宋体" w:hAnsi="宋体"/>
          <w:color w:val="auto"/>
          <w:sz w:val="24"/>
          <w:highlight w:val="none"/>
          <w:u w:val="single"/>
        </w:rPr>
        <w:t>（招标编号）</w:t>
      </w:r>
      <w:r>
        <w:rPr>
          <w:rFonts w:hint="eastAsia" w:ascii="宋体" w:hAnsi="宋体"/>
          <w:color w:val="auto"/>
          <w:sz w:val="24"/>
          <w:highlight w:val="none"/>
        </w:rPr>
        <w:t>号的招标活动进行投标。本公司所提交的投标文件中所有关于投标资格的文件、证明和陈述均是真实的、准确的。若与真实情况不符，本公司愿意承担由此而产生的一切后果。</w:t>
      </w:r>
    </w:p>
    <w:p w14:paraId="16E4EB74">
      <w:pPr>
        <w:spacing w:line="360" w:lineRule="auto"/>
        <w:ind w:firstLine="420"/>
        <w:jc w:val="left"/>
        <w:rPr>
          <w:rFonts w:hint="eastAsia" w:ascii="宋体" w:hAnsi="宋体"/>
          <w:color w:val="auto"/>
          <w:sz w:val="24"/>
          <w:highlight w:val="none"/>
        </w:rPr>
      </w:pPr>
      <w:r>
        <w:rPr>
          <w:rFonts w:hint="eastAsia" w:ascii="宋体" w:hAnsi="宋体"/>
          <w:color w:val="auto"/>
          <w:sz w:val="24"/>
          <w:highlight w:val="none"/>
        </w:rPr>
        <w:tab/>
      </w:r>
    </w:p>
    <w:p w14:paraId="69C0B2B7">
      <w:pPr>
        <w:spacing w:line="360" w:lineRule="auto"/>
        <w:ind w:firstLine="4260"/>
        <w:jc w:val="left"/>
        <w:rPr>
          <w:rFonts w:hint="eastAsia" w:ascii="宋体" w:hAnsi="宋体"/>
          <w:color w:val="auto"/>
          <w:sz w:val="24"/>
          <w:highlight w:val="none"/>
        </w:rPr>
      </w:pPr>
    </w:p>
    <w:p w14:paraId="057CF24D">
      <w:pPr>
        <w:spacing w:line="360" w:lineRule="auto"/>
        <w:ind w:firstLine="4260"/>
        <w:jc w:val="left"/>
        <w:rPr>
          <w:rFonts w:hint="eastAsia" w:ascii="宋体" w:hAnsi="宋体"/>
          <w:color w:val="auto"/>
          <w:sz w:val="24"/>
          <w:highlight w:val="none"/>
        </w:rPr>
      </w:pPr>
    </w:p>
    <w:p w14:paraId="6A2B65D7">
      <w:pPr>
        <w:spacing w:line="360" w:lineRule="auto"/>
        <w:ind w:firstLine="4260"/>
        <w:jc w:val="left"/>
        <w:rPr>
          <w:rFonts w:hint="eastAsia" w:ascii="宋体" w:hAnsi="宋体"/>
          <w:color w:val="auto"/>
          <w:sz w:val="24"/>
          <w:highlight w:val="none"/>
        </w:rPr>
      </w:pPr>
      <w:r>
        <w:rPr>
          <w:rFonts w:hint="eastAsia" w:ascii="宋体" w:hAnsi="宋体"/>
          <w:color w:val="auto"/>
          <w:sz w:val="24"/>
          <w:highlight w:val="none"/>
        </w:rPr>
        <w:t>投标单位（盖公章）：</w:t>
      </w:r>
    </w:p>
    <w:p w14:paraId="1FC7B711">
      <w:pPr>
        <w:spacing w:line="360" w:lineRule="auto"/>
        <w:ind w:firstLine="420"/>
        <w:jc w:val="left"/>
        <w:rPr>
          <w:rFonts w:hint="eastAsia" w:ascii="宋体" w:hAnsi="宋体"/>
          <w:color w:val="auto"/>
          <w:sz w:val="24"/>
          <w:highlight w:val="none"/>
        </w:rPr>
      </w:pPr>
      <w:r>
        <w:rPr>
          <w:rFonts w:hint="eastAsia" w:ascii="宋体" w:hAnsi="宋体"/>
          <w:color w:val="auto"/>
          <w:sz w:val="24"/>
          <w:highlight w:val="none"/>
        </w:rPr>
        <w:tab/>
      </w:r>
      <w:r>
        <w:rPr>
          <w:rFonts w:hint="eastAsia" w:ascii="宋体" w:hAnsi="宋体"/>
          <w:color w:val="auto"/>
          <w:sz w:val="24"/>
          <w:highlight w:val="none"/>
        </w:rPr>
        <w:tab/>
      </w:r>
      <w:r>
        <w:rPr>
          <w:rFonts w:hint="eastAsia" w:ascii="宋体" w:hAnsi="宋体"/>
          <w:color w:val="auto"/>
          <w:sz w:val="24"/>
          <w:highlight w:val="none"/>
        </w:rPr>
        <w:tab/>
      </w:r>
      <w:r>
        <w:rPr>
          <w:rFonts w:hint="eastAsia" w:ascii="宋体" w:hAnsi="宋体"/>
          <w:color w:val="auto"/>
          <w:sz w:val="24"/>
          <w:highlight w:val="none"/>
        </w:rPr>
        <w:tab/>
      </w:r>
      <w:r>
        <w:rPr>
          <w:rFonts w:hint="eastAsia" w:ascii="宋体" w:hAnsi="宋体"/>
          <w:color w:val="auto"/>
          <w:sz w:val="24"/>
          <w:highlight w:val="none"/>
        </w:rPr>
        <w:t xml:space="preserve">  法定代表人或被授权人（签字或盖章）：</w:t>
      </w:r>
    </w:p>
    <w:p w14:paraId="1C5CDCD6">
      <w:pPr>
        <w:spacing w:line="360" w:lineRule="auto"/>
        <w:ind w:firstLine="425"/>
        <w:jc w:val="center"/>
        <w:rPr>
          <w:rFonts w:hint="eastAsia" w:ascii="宋体" w:hAnsi="宋体"/>
          <w:color w:val="auto"/>
          <w:sz w:val="24"/>
          <w:highlight w:val="none"/>
        </w:rPr>
      </w:pPr>
      <w:r>
        <w:rPr>
          <w:rFonts w:hint="eastAsia" w:ascii="宋体" w:hAnsi="宋体"/>
          <w:color w:val="auto"/>
          <w:sz w:val="24"/>
          <w:highlight w:val="none"/>
        </w:rPr>
        <w:t xml:space="preserve">                               年 </w:t>
      </w:r>
      <w:r>
        <w:rPr>
          <w:rFonts w:hint="eastAsia" w:ascii="宋体" w:hAnsi="宋体"/>
          <w:color w:val="auto"/>
          <w:sz w:val="24"/>
          <w:highlight w:val="none"/>
        </w:rPr>
        <w:tab/>
      </w:r>
      <w:r>
        <w:rPr>
          <w:rFonts w:hint="eastAsia" w:ascii="宋体" w:hAnsi="宋体"/>
          <w:color w:val="auto"/>
          <w:sz w:val="24"/>
          <w:highlight w:val="none"/>
        </w:rPr>
        <w:t xml:space="preserve">   月   </w:t>
      </w:r>
      <w:r>
        <w:rPr>
          <w:rFonts w:hint="eastAsia" w:ascii="宋体" w:hAnsi="宋体"/>
          <w:color w:val="auto"/>
          <w:sz w:val="24"/>
          <w:highlight w:val="none"/>
        </w:rPr>
        <w:tab/>
      </w:r>
      <w:r>
        <w:rPr>
          <w:rFonts w:hint="eastAsia" w:ascii="宋体" w:hAnsi="宋体"/>
          <w:color w:val="auto"/>
          <w:sz w:val="24"/>
          <w:highlight w:val="none"/>
        </w:rPr>
        <w:t>日</w:t>
      </w:r>
    </w:p>
    <w:p w14:paraId="77EAD6F9">
      <w:pPr>
        <w:spacing w:line="360" w:lineRule="auto"/>
        <w:jc w:val="left"/>
        <w:rPr>
          <w:rFonts w:hint="eastAsia" w:ascii="宋体" w:hAnsi="宋体"/>
          <w:color w:val="auto"/>
          <w:sz w:val="24"/>
          <w:highlight w:val="none"/>
        </w:rPr>
      </w:pPr>
    </w:p>
    <w:p w14:paraId="1C8AB4DD">
      <w:pPr>
        <w:spacing w:line="360" w:lineRule="auto"/>
        <w:jc w:val="left"/>
        <w:rPr>
          <w:rFonts w:hint="eastAsia" w:ascii="宋体" w:hAnsi="宋体"/>
          <w:color w:val="auto"/>
          <w:sz w:val="24"/>
          <w:highlight w:val="none"/>
        </w:rPr>
      </w:pPr>
    </w:p>
    <w:p w14:paraId="5BB81DFE">
      <w:pPr>
        <w:spacing w:line="360" w:lineRule="auto"/>
        <w:jc w:val="left"/>
        <w:rPr>
          <w:rFonts w:hint="eastAsia" w:ascii="宋体" w:hAnsi="宋体"/>
          <w:color w:val="auto"/>
          <w:sz w:val="24"/>
          <w:highlight w:val="none"/>
        </w:rPr>
      </w:pPr>
    </w:p>
    <w:p w14:paraId="3F7CA74D">
      <w:pPr>
        <w:spacing w:line="360" w:lineRule="auto"/>
        <w:jc w:val="left"/>
        <w:rPr>
          <w:rFonts w:hint="eastAsia" w:ascii="宋体" w:hAnsi="宋体"/>
          <w:color w:val="auto"/>
          <w:sz w:val="24"/>
          <w:highlight w:val="none"/>
        </w:rPr>
      </w:pPr>
    </w:p>
    <w:p w14:paraId="51F00B09">
      <w:pPr>
        <w:spacing w:line="360" w:lineRule="auto"/>
        <w:jc w:val="left"/>
        <w:rPr>
          <w:rFonts w:hint="eastAsia" w:ascii="宋体" w:hAnsi="宋体"/>
          <w:color w:val="auto"/>
          <w:sz w:val="24"/>
          <w:highlight w:val="none"/>
        </w:rPr>
      </w:pPr>
    </w:p>
    <w:p w14:paraId="7EC19A61">
      <w:pPr>
        <w:spacing w:line="360" w:lineRule="auto"/>
        <w:jc w:val="left"/>
        <w:rPr>
          <w:rFonts w:hint="eastAsia" w:ascii="宋体" w:hAnsi="宋体"/>
          <w:color w:val="auto"/>
          <w:sz w:val="24"/>
          <w:highlight w:val="none"/>
        </w:rPr>
      </w:pPr>
    </w:p>
    <w:p w14:paraId="617CFE0D">
      <w:pPr>
        <w:spacing w:line="360" w:lineRule="auto"/>
        <w:jc w:val="left"/>
        <w:rPr>
          <w:rFonts w:hint="eastAsia" w:ascii="宋体" w:hAnsi="宋体"/>
          <w:color w:val="auto"/>
          <w:sz w:val="24"/>
          <w:highlight w:val="none"/>
        </w:rPr>
      </w:pPr>
    </w:p>
    <w:p w14:paraId="190647A2">
      <w:pPr>
        <w:spacing w:line="360" w:lineRule="auto"/>
        <w:jc w:val="left"/>
        <w:rPr>
          <w:rFonts w:hint="eastAsia" w:ascii="宋体" w:hAnsi="宋体"/>
          <w:color w:val="auto"/>
          <w:sz w:val="28"/>
          <w:szCs w:val="28"/>
          <w:highlight w:val="none"/>
        </w:rPr>
      </w:pPr>
    </w:p>
    <w:p w14:paraId="63FF728A">
      <w:pPr>
        <w:spacing w:line="360" w:lineRule="auto"/>
        <w:jc w:val="left"/>
        <w:rPr>
          <w:rFonts w:hint="eastAsia" w:ascii="宋体" w:hAnsi="宋体"/>
          <w:color w:val="auto"/>
          <w:sz w:val="28"/>
          <w:szCs w:val="28"/>
          <w:highlight w:val="none"/>
        </w:rPr>
      </w:pPr>
      <w:r>
        <w:rPr>
          <w:rFonts w:hint="eastAsia" w:ascii="宋体" w:hAnsi="宋体"/>
          <w:color w:val="auto"/>
          <w:sz w:val="28"/>
          <w:szCs w:val="28"/>
          <w:highlight w:val="none"/>
        </w:rPr>
        <w:br w:type="column"/>
      </w:r>
      <w:r>
        <w:rPr>
          <w:rFonts w:hint="eastAsia" w:ascii="宋体" w:hAnsi="宋体"/>
          <w:color w:val="auto"/>
          <w:sz w:val="28"/>
          <w:szCs w:val="28"/>
          <w:highlight w:val="none"/>
          <w:lang w:val="en-US" w:eastAsia="zh-CN"/>
        </w:rPr>
        <w:t>10</w:t>
      </w:r>
      <w:r>
        <w:rPr>
          <w:rFonts w:hint="eastAsia" w:ascii="宋体" w:hAnsi="宋体"/>
          <w:color w:val="auto"/>
          <w:sz w:val="28"/>
          <w:szCs w:val="28"/>
          <w:highlight w:val="none"/>
        </w:rPr>
        <w:t>、中小企业声明函</w:t>
      </w:r>
    </w:p>
    <w:p w14:paraId="7C60C65A">
      <w:pPr>
        <w:spacing w:line="360" w:lineRule="auto"/>
        <w:jc w:val="center"/>
        <w:rPr>
          <w:rFonts w:hint="eastAsia" w:ascii="宋体" w:hAnsi="宋体"/>
          <w:color w:val="auto"/>
          <w:sz w:val="28"/>
          <w:szCs w:val="28"/>
          <w:highlight w:val="none"/>
        </w:rPr>
      </w:pPr>
      <w:r>
        <w:rPr>
          <w:rFonts w:hint="eastAsia" w:ascii="宋体" w:hAnsi="宋体"/>
          <w:color w:val="auto"/>
          <w:sz w:val="28"/>
          <w:szCs w:val="28"/>
          <w:highlight w:val="none"/>
        </w:rPr>
        <w:t>中小企业声明函</w:t>
      </w:r>
    </w:p>
    <w:p w14:paraId="32180402">
      <w:pPr>
        <w:pStyle w:val="41"/>
        <w:spacing w:line="360" w:lineRule="auto"/>
        <w:ind w:firstLine="640"/>
        <w:rPr>
          <w:rFonts w:hint="eastAsia" w:ascii="宋体" w:hAnsi="宋体"/>
          <w:color w:val="auto"/>
          <w:sz w:val="24"/>
          <w:szCs w:val="24"/>
          <w:highlight w:val="none"/>
        </w:rPr>
      </w:pPr>
      <w:r>
        <w:rPr>
          <w:rFonts w:hint="eastAsia" w:ascii="宋体" w:hAnsi="宋体"/>
          <w:color w:val="auto"/>
          <w:spacing w:val="-2"/>
          <w:sz w:val="24"/>
          <w:szCs w:val="24"/>
          <w:highlight w:val="none"/>
        </w:rPr>
        <w:t>本公司</w:t>
      </w:r>
      <w:r>
        <w:rPr>
          <w:rFonts w:hint="eastAsia" w:ascii="宋体" w:hAnsi="宋体"/>
          <w:color w:val="auto"/>
          <w:sz w:val="24"/>
          <w:szCs w:val="24"/>
          <w:highlight w:val="none"/>
        </w:rPr>
        <w:t>（联合体</w:t>
      </w:r>
      <w:r>
        <w:rPr>
          <w:rFonts w:hint="eastAsia" w:ascii="宋体" w:hAnsi="宋体"/>
          <w:color w:val="auto"/>
          <w:spacing w:val="-5"/>
          <w:sz w:val="24"/>
          <w:szCs w:val="24"/>
          <w:highlight w:val="none"/>
        </w:rPr>
        <w:t>）</w:t>
      </w:r>
      <w:r>
        <w:rPr>
          <w:rFonts w:hint="eastAsia" w:ascii="宋体" w:hAnsi="宋体"/>
          <w:color w:val="auto"/>
          <w:spacing w:val="-2"/>
          <w:sz w:val="24"/>
          <w:szCs w:val="24"/>
          <w:highlight w:val="none"/>
        </w:rPr>
        <w:t>郑重声明，根据</w:t>
      </w:r>
      <w:r>
        <w:rPr>
          <w:rFonts w:hint="eastAsia" w:ascii="宋体" w:hAnsi="宋体"/>
          <w:color w:val="auto"/>
          <w:sz w:val="24"/>
          <w:highlight w:val="none"/>
        </w:rPr>
        <w:t>《关于印发〈苏州市政府采购促进中小企业发展实施意见〉的通知》（苏财购</w:t>
      </w:r>
      <w:r>
        <w:rPr>
          <w:rFonts w:hint="eastAsia" w:ascii="宋体" w:hAnsi="宋体"/>
          <w:color w:val="auto"/>
          <w:sz w:val="24"/>
          <w:highlight w:val="none"/>
          <w:lang w:eastAsia="zh-CN"/>
        </w:rPr>
        <w:t>〔2022〕16号</w:t>
      </w:r>
      <w:r>
        <w:rPr>
          <w:rFonts w:hint="eastAsia" w:ascii="宋体" w:hAnsi="宋体"/>
          <w:color w:val="auto"/>
          <w:sz w:val="24"/>
          <w:highlight w:val="none"/>
        </w:rPr>
        <w:t>）</w:t>
      </w:r>
      <w:r>
        <w:rPr>
          <w:rFonts w:hint="eastAsia" w:ascii="宋体" w:hAnsi="宋体"/>
          <w:color w:val="auto"/>
          <w:sz w:val="24"/>
          <w:szCs w:val="24"/>
          <w:highlight w:val="none"/>
        </w:rPr>
        <w:t>的规定，本公司（联合体）</w:t>
      </w:r>
      <w:r>
        <w:rPr>
          <w:rFonts w:hint="eastAsia" w:ascii="宋体" w:hAnsi="宋体"/>
          <w:color w:val="auto"/>
          <w:spacing w:val="-8"/>
          <w:sz w:val="24"/>
          <w:szCs w:val="24"/>
          <w:highlight w:val="none"/>
        </w:rPr>
        <w:t>参</w:t>
      </w:r>
      <w:r>
        <w:rPr>
          <w:rFonts w:hint="eastAsia" w:ascii="宋体" w:hAnsi="宋体"/>
          <w:color w:val="auto"/>
          <w:spacing w:val="-2"/>
          <w:sz w:val="24"/>
          <w:szCs w:val="24"/>
          <w:highlight w:val="none"/>
        </w:rPr>
        <w:t>加</w:t>
      </w:r>
      <w:r>
        <w:rPr>
          <w:rFonts w:hint="eastAsia" w:ascii="宋体" w:hAnsi="宋体"/>
          <w:color w:val="auto"/>
          <w:spacing w:val="-2"/>
          <w:sz w:val="24"/>
          <w:szCs w:val="24"/>
          <w:highlight w:val="none"/>
          <w:u w:val="single"/>
        </w:rPr>
        <w:t>（单位名称）</w:t>
      </w:r>
      <w:r>
        <w:rPr>
          <w:rFonts w:hint="eastAsia" w:ascii="宋体" w:hAnsi="宋体"/>
          <w:color w:val="auto"/>
          <w:spacing w:val="-2"/>
          <w:sz w:val="24"/>
          <w:szCs w:val="24"/>
          <w:highlight w:val="none"/>
        </w:rPr>
        <w:t>的</w:t>
      </w:r>
      <w:r>
        <w:rPr>
          <w:rFonts w:hint="eastAsia" w:ascii="宋体" w:hAnsi="宋体"/>
          <w:color w:val="auto"/>
          <w:spacing w:val="-2"/>
          <w:sz w:val="24"/>
          <w:szCs w:val="24"/>
          <w:highlight w:val="none"/>
          <w:u w:val="single"/>
        </w:rPr>
        <w:t>（项目名称）</w:t>
      </w:r>
      <w:r>
        <w:rPr>
          <w:rFonts w:hint="eastAsia" w:ascii="宋体" w:hAnsi="宋体"/>
          <w:color w:val="auto"/>
          <w:spacing w:val="-2"/>
          <w:sz w:val="24"/>
          <w:szCs w:val="24"/>
          <w:highlight w:val="none"/>
        </w:rPr>
        <w:t>采购活</w:t>
      </w:r>
      <w:r>
        <w:rPr>
          <w:rFonts w:hint="eastAsia" w:ascii="宋体" w:hAnsi="宋体"/>
          <w:color w:val="auto"/>
          <w:spacing w:val="-1"/>
          <w:sz w:val="24"/>
          <w:szCs w:val="24"/>
          <w:highlight w:val="none"/>
        </w:rPr>
        <w:t>动，</w:t>
      </w:r>
      <w:r>
        <w:rPr>
          <w:rFonts w:hint="eastAsia" w:ascii="宋体" w:hAnsi="宋体"/>
          <w:color w:val="auto"/>
          <w:spacing w:val="-2"/>
          <w:sz w:val="24"/>
          <w:szCs w:val="24"/>
          <w:highlight w:val="none"/>
        </w:rPr>
        <w:t>服务全部由符合政策要求的中小企业制造。相关企业（含联合体中的中小企业、签订分包</w:t>
      </w:r>
      <w:r>
        <w:rPr>
          <w:rFonts w:hint="eastAsia" w:ascii="宋体" w:hAnsi="宋体"/>
          <w:color w:val="auto"/>
          <w:sz w:val="24"/>
          <w:szCs w:val="24"/>
          <w:highlight w:val="none"/>
        </w:rPr>
        <w:t>意向协议的中小企业） 的具体情况如下：</w:t>
      </w:r>
    </w:p>
    <w:p w14:paraId="7214E2CB">
      <w:pPr>
        <w:spacing w:line="360" w:lineRule="auto"/>
        <w:ind w:firstLine="480"/>
        <w:rPr>
          <w:rFonts w:hint="eastAsia" w:ascii="宋体" w:hAnsi="宋体" w:cs="宋体"/>
          <w:color w:val="auto"/>
          <w:sz w:val="24"/>
          <w:szCs w:val="24"/>
          <w:highlight w:val="none"/>
        </w:rPr>
      </w:pPr>
      <w:r>
        <w:rPr>
          <w:rFonts w:hint="eastAsia" w:ascii="宋体" w:hAnsi="宋体" w:cs="宋体"/>
          <w:color w:val="auto"/>
          <w:sz w:val="24"/>
          <w:szCs w:val="24"/>
          <w:highlight w:val="none"/>
        </w:rPr>
        <w:t>1.</w:t>
      </w:r>
      <w:r>
        <w:rPr>
          <w:rFonts w:hint="eastAsia" w:ascii="宋体" w:hAnsi="宋体" w:cs="宋体"/>
          <w:color w:val="auto"/>
          <w:sz w:val="24"/>
          <w:szCs w:val="24"/>
          <w:highlight w:val="none"/>
          <w:u w:val="single"/>
          <w:lang w:val="en-US" w:eastAsia="zh-CN"/>
        </w:rPr>
        <w:t>检验科对外委托外送检测服务</w:t>
      </w:r>
      <w:r>
        <w:rPr>
          <w:rFonts w:ascii="宋体" w:hAnsi="宋体" w:cs="宋体"/>
          <w:color w:val="auto"/>
          <w:sz w:val="24"/>
          <w:szCs w:val="24"/>
          <w:highlight w:val="none"/>
        </w:rPr>
        <w:t>，属于</w:t>
      </w:r>
      <w:r>
        <w:rPr>
          <w:rFonts w:hint="eastAsia" w:ascii="宋体" w:hAnsi="宋体" w:cs="宋体"/>
          <w:color w:val="auto"/>
          <w:sz w:val="24"/>
          <w:szCs w:val="24"/>
          <w:highlight w:val="none"/>
          <w:u w:val="single"/>
        </w:rPr>
        <w:t>其他未列明行业</w:t>
      </w:r>
      <w:r>
        <w:rPr>
          <w:rFonts w:ascii="宋体" w:hAnsi="宋体" w:cs="宋体"/>
          <w:color w:val="auto"/>
          <w:sz w:val="24"/>
          <w:szCs w:val="24"/>
          <w:highlight w:val="none"/>
        </w:rPr>
        <w:t>；承建（承接）企业为</w:t>
      </w:r>
      <w:r>
        <w:rPr>
          <w:rFonts w:hint="eastAsia" w:ascii="宋体" w:hAnsi="宋体" w:cs="宋体"/>
          <w:color w:val="auto"/>
          <w:sz w:val="24"/>
          <w:szCs w:val="24"/>
          <w:highlight w:val="none"/>
          <w:u w:val="single"/>
        </w:rPr>
        <w:t xml:space="preserve">      </w:t>
      </w:r>
      <w:r>
        <w:rPr>
          <w:rFonts w:ascii="宋体" w:hAnsi="宋体" w:cs="宋体"/>
          <w:color w:val="auto"/>
          <w:sz w:val="24"/>
          <w:szCs w:val="24"/>
          <w:highlight w:val="none"/>
          <w:u w:val="single"/>
        </w:rPr>
        <w:t>（企业名称）</w:t>
      </w:r>
      <w:r>
        <w:rPr>
          <w:rFonts w:ascii="宋体" w:hAnsi="宋体" w:cs="宋体"/>
          <w:color w:val="auto"/>
          <w:sz w:val="24"/>
          <w:szCs w:val="24"/>
          <w:highlight w:val="none"/>
        </w:rPr>
        <w:t>，从业人员</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u w:val="single"/>
        </w:rPr>
        <w:t xml:space="preserve">      </w:t>
      </w:r>
      <w:r>
        <w:rPr>
          <w:rFonts w:ascii="宋体" w:hAnsi="宋体" w:cs="宋体"/>
          <w:color w:val="auto"/>
          <w:sz w:val="24"/>
          <w:szCs w:val="24"/>
          <w:highlight w:val="none"/>
        </w:rPr>
        <w:t>人，营业收入为</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u w:val="single"/>
        </w:rPr>
        <w:t xml:space="preserve">      </w:t>
      </w:r>
      <w:r>
        <w:rPr>
          <w:rFonts w:ascii="宋体" w:hAnsi="宋体" w:cs="宋体"/>
          <w:color w:val="auto"/>
          <w:sz w:val="24"/>
          <w:szCs w:val="24"/>
          <w:highlight w:val="none"/>
        </w:rPr>
        <w:t>万元，资产总额为</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u w:val="single"/>
        </w:rPr>
        <w:t xml:space="preserve">     </w:t>
      </w:r>
      <w:r>
        <w:rPr>
          <w:rFonts w:ascii="宋体" w:hAnsi="宋体" w:cs="宋体"/>
          <w:color w:val="auto"/>
          <w:sz w:val="24"/>
          <w:szCs w:val="24"/>
          <w:highlight w:val="none"/>
        </w:rPr>
        <w:t>万元，属于</w:t>
      </w:r>
      <w:r>
        <w:rPr>
          <w:rFonts w:hint="eastAsia" w:ascii="宋体" w:hAnsi="宋体" w:cs="宋体"/>
          <w:color w:val="auto"/>
          <w:sz w:val="24"/>
          <w:szCs w:val="24"/>
          <w:highlight w:val="none"/>
          <w:u w:val="single"/>
        </w:rPr>
        <w:t xml:space="preserve">      </w:t>
      </w:r>
      <w:r>
        <w:rPr>
          <w:rFonts w:ascii="宋体" w:hAnsi="宋体" w:cs="宋体"/>
          <w:color w:val="auto"/>
          <w:sz w:val="24"/>
          <w:szCs w:val="24"/>
          <w:highlight w:val="none"/>
          <w:u w:val="single"/>
        </w:rPr>
        <w:t>（中型企业、小型企业、微型企业）</w:t>
      </w:r>
      <w:r>
        <w:rPr>
          <w:rFonts w:ascii="宋体" w:hAnsi="宋体" w:cs="宋体"/>
          <w:color w:val="auto"/>
          <w:sz w:val="24"/>
          <w:szCs w:val="24"/>
          <w:highlight w:val="none"/>
        </w:rPr>
        <w:t xml:space="preserve">； </w:t>
      </w:r>
    </w:p>
    <w:p w14:paraId="109A0DB8">
      <w:pPr>
        <w:pStyle w:val="41"/>
        <w:spacing w:after="0"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2.</w:t>
      </w:r>
      <w:r>
        <w:rPr>
          <w:rFonts w:ascii="宋体" w:hAnsi="宋体" w:cs="宋体"/>
          <w:color w:val="auto"/>
          <w:sz w:val="24"/>
          <w:szCs w:val="24"/>
          <w:highlight w:val="none"/>
          <w:u w:val="single"/>
        </w:rPr>
        <w:t>（标的名称）</w:t>
      </w:r>
      <w:r>
        <w:rPr>
          <w:rFonts w:ascii="宋体" w:hAnsi="宋体" w:cs="宋体"/>
          <w:color w:val="auto"/>
          <w:sz w:val="24"/>
          <w:szCs w:val="24"/>
          <w:highlight w:val="none"/>
        </w:rPr>
        <w:t>，属于</w:t>
      </w:r>
      <w:r>
        <w:rPr>
          <w:rFonts w:ascii="宋体" w:hAnsi="宋体" w:cs="宋体"/>
          <w:color w:val="auto"/>
          <w:sz w:val="24"/>
          <w:szCs w:val="24"/>
          <w:highlight w:val="none"/>
          <w:u w:val="single"/>
        </w:rPr>
        <w:t>（采购文件中明确的所属行业）</w:t>
      </w:r>
      <w:r>
        <w:rPr>
          <w:rFonts w:ascii="宋体" w:hAnsi="宋体" w:cs="宋体"/>
          <w:color w:val="auto"/>
          <w:sz w:val="24"/>
          <w:szCs w:val="24"/>
          <w:highlight w:val="none"/>
        </w:rPr>
        <w:t>； 承建（承接）企业为</w:t>
      </w:r>
      <w:r>
        <w:rPr>
          <w:rFonts w:hint="eastAsia" w:ascii="宋体" w:hAnsi="宋体" w:cs="宋体"/>
          <w:color w:val="auto"/>
          <w:sz w:val="24"/>
          <w:szCs w:val="24"/>
          <w:highlight w:val="none"/>
          <w:u w:val="single"/>
        </w:rPr>
        <w:t xml:space="preserve">      </w:t>
      </w:r>
      <w:r>
        <w:rPr>
          <w:rFonts w:ascii="宋体" w:hAnsi="宋体" w:cs="宋体"/>
          <w:color w:val="auto"/>
          <w:sz w:val="24"/>
          <w:szCs w:val="24"/>
          <w:highlight w:val="none"/>
          <w:u w:val="single"/>
        </w:rPr>
        <w:t>（企业名称）</w:t>
      </w:r>
      <w:r>
        <w:rPr>
          <w:rFonts w:ascii="宋体" w:hAnsi="宋体" w:cs="宋体"/>
          <w:color w:val="auto"/>
          <w:sz w:val="24"/>
          <w:szCs w:val="24"/>
          <w:highlight w:val="none"/>
        </w:rPr>
        <w:t>，从业人员</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u w:val="single"/>
        </w:rPr>
        <w:t xml:space="preserve">      </w:t>
      </w:r>
      <w:r>
        <w:rPr>
          <w:rFonts w:ascii="宋体" w:hAnsi="宋体" w:cs="宋体"/>
          <w:color w:val="auto"/>
          <w:sz w:val="24"/>
          <w:szCs w:val="24"/>
          <w:highlight w:val="none"/>
        </w:rPr>
        <w:t>人，营业收入为</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u w:val="single"/>
        </w:rPr>
        <w:t xml:space="preserve">      </w:t>
      </w:r>
      <w:r>
        <w:rPr>
          <w:rFonts w:ascii="宋体" w:hAnsi="宋体" w:cs="宋体"/>
          <w:color w:val="auto"/>
          <w:sz w:val="24"/>
          <w:szCs w:val="24"/>
          <w:highlight w:val="none"/>
        </w:rPr>
        <w:t>万元，资产总额为</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u w:val="single"/>
        </w:rPr>
        <w:t xml:space="preserve">     </w:t>
      </w:r>
      <w:r>
        <w:rPr>
          <w:rFonts w:ascii="宋体" w:hAnsi="宋体" w:cs="宋体"/>
          <w:color w:val="auto"/>
          <w:sz w:val="24"/>
          <w:szCs w:val="24"/>
          <w:highlight w:val="none"/>
        </w:rPr>
        <w:t>万元，属于</w:t>
      </w:r>
      <w:r>
        <w:rPr>
          <w:rFonts w:hint="eastAsia" w:ascii="宋体" w:hAnsi="宋体" w:cs="宋体"/>
          <w:color w:val="auto"/>
          <w:sz w:val="24"/>
          <w:szCs w:val="24"/>
          <w:highlight w:val="none"/>
          <w:u w:val="single"/>
        </w:rPr>
        <w:t xml:space="preserve">    </w:t>
      </w:r>
      <w:r>
        <w:rPr>
          <w:rFonts w:ascii="宋体" w:hAnsi="宋体" w:cs="宋体"/>
          <w:color w:val="auto"/>
          <w:sz w:val="24"/>
          <w:szCs w:val="24"/>
          <w:highlight w:val="none"/>
          <w:u w:val="single"/>
        </w:rPr>
        <w:t>（中型企业、小型企业、微型企业）</w:t>
      </w:r>
      <w:r>
        <w:rPr>
          <w:rFonts w:ascii="宋体" w:hAnsi="宋体" w:cs="宋体"/>
          <w:color w:val="auto"/>
          <w:sz w:val="24"/>
          <w:szCs w:val="24"/>
          <w:highlight w:val="none"/>
        </w:rPr>
        <w:t xml:space="preserve">； </w:t>
      </w:r>
    </w:p>
    <w:p w14:paraId="3DCB2F46">
      <w:pPr>
        <w:pStyle w:val="41"/>
        <w:spacing w:after="0" w:line="360" w:lineRule="auto"/>
        <w:ind w:firstLine="472"/>
        <w:rPr>
          <w:rFonts w:hint="eastAsia" w:ascii="宋体" w:hAnsi="宋体"/>
          <w:color w:val="auto"/>
          <w:spacing w:val="-2"/>
          <w:sz w:val="24"/>
          <w:szCs w:val="24"/>
          <w:highlight w:val="none"/>
        </w:rPr>
      </w:pPr>
      <w:r>
        <w:rPr>
          <w:rFonts w:hint="eastAsia" w:ascii="宋体" w:hAnsi="宋体"/>
          <w:color w:val="auto"/>
          <w:spacing w:val="-2"/>
          <w:sz w:val="24"/>
          <w:szCs w:val="24"/>
          <w:highlight w:val="none"/>
        </w:rPr>
        <w:t xml:space="preserve">  ……</w:t>
      </w:r>
    </w:p>
    <w:p w14:paraId="7D733A65">
      <w:pPr>
        <w:pStyle w:val="41"/>
        <w:spacing w:after="0" w:line="360" w:lineRule="auto"/>
        <w:ind w:firstLine="645"/>
        <w:rPr>
          <w:rFonts w:hint="eastAsia" w:ascii="宋体" w:hAnsi="宋体"/>
          <w:color w:val="auto"/>
          <w:sz w:val="24"/>
          <w:szCs w:val="24"/>
          <w:highlight w:val="none"/>
        </w:rPr>
      </w:pPr>
      <w:r>
        <w:rPr>
          <w:rFonts w:hint="eastAsia" w:ascii="宋体" w:hAnsi="宋体"/>
          <w:color w:val="auto"/>
          <w:spacing w:val="-3"/>
          <w:sz w:val="24"/>
          <w:szCs w:val="24"/>
          <w:highlight w:val="none"/>
        </w:rPr>
        <w:t>以上企业，不属于大企业的分支机构，不存在控股股东</w:t>
      </w:r>
      <w:r>
        <w:rPr>
          <w:rFonts w:hint="eastAsia" w:ascii="宋体" w:hAnsi="宋体"/>
          <w:color w:val="auto"/>
          <w:spacing w:val="-5"/>
          <w:sz w:val="24"/>
          <w:szCs w:val="24"/>
          <w:highlight w:val="none"/>
        </w:rPr>
        <w:t>为大企业的情形，也不存在与大企业的负责人为同一人的情形。</w:t>
      </w:r>
    </w:p>
    <w:p w14:paraId="43017C8A">
      <w:pPr>
        <w:pStyle w:val="41"/>
        <w:spacing w:after="0" w:line="360" w:lineRule="auto"/>
        <w:ind w:firstLine="645"/>
        <w:rPr>
          <w:rFonts w:hint="eastAsia" w:ascii="宋体" w:hAnsi="宋体"/>
          <w:color w:val="auto"/>
          <w:sz w:val="24"/>
          <w:szCs w:val="24"/>
          <w:highlight w:val="none"/>
        </w:rPr>
      </w:pPr>
      <w:r>
        <w:rPr>
          <w:rFonts w:hint="eastAsia" w:ascii="宋体" w:hAnsi="宋体"/>
          <w:color w:val="auto"/>
          <w:sz w:val="24"/>
          <w:szCs w:val="24"/>
          <w:highlight w:val="none"/>
        </w:rPr>
        <w:t>本企业对上述声明内容的真实性负责。如有虚假，将依法承担相应责任</w:t>
      </w:r>
      <w:r>
        <w:rPr>
          <w:rFonts w:ascii="宋体" w:hAnsi="宋体" w:cs="宋体"/>
          <w:color w:val="auto"/>
          <w:sz w:val="24"/>
          <w:szCs w:val="24"/>
          <w:highlight w:val="none"/>
        </w:rPr>
        <w:t>。</w:t>
      </w:r>
    </w:p>
    <w:p w14:paraId="4D9E51DB">
      <w:pPr>
        <w:pStyle w:val="200"/>
        <w:spacing w:after="0" w:line="360" w:lineRule="auto"/>
        <w:ind w:firstLine="240"/>
        <w:rPr>
          <w:color w:val="auto"/>
          <w:sz w:val="24"/>
          <w:szCs w:val="24"/>
          <w:highlight w:val="none"/>
        </w:rPr>
      </w:pPr>
    </w:p>
    <w:p w14:paraId="706CD18E">
      <w:pPr>
        <w:spacing w:line="360" w:lineRule="auto"/>
        <w:jc w:val="right"/>
        <w:rPr>
          <w:rFonts w:hint="eastAsia" w:ascii="宋体" w:hAnsi="宋体"/>
          <w:color w:val="auto"/>
          <w:sz w:val="24"/>
          <w:szCs w:val="24"/>
          <w:highlight w:val="none"/>
        </w:rPr>
      </w:pPr>
      <w:r>
        <w:rPr>
          <w:rFonts w:hint="eastAsia" w:ascii="宋体" w:hAnsi="宋体"/>
          <w:color w:val="auto"/>
          <w:sz w:val="24"/>
          <w:szCs w:val="24"/>
          <w:highlight w:val="none"/>
        </w:rPr>
        <w:t>投标单位：（盖章）</w:t>
      </w:r>
    </w:p>
    <w:p w14:paraId="556B89C4">
      <w:pPr>
        <w:spacing w:line="360" w:lineRule="auto"/>
        <w:jc w:val="center"/>
        <w:rPr>
          <w:rFonts w:hint="eastAsia" w:ascii="宋体" w:hAnsi="宋体"/>
          <w:color w:val="auto"/>
          <w:sz w:val="24"/>
          <w:szCs w:val="24"/>
          <w:highlight w:val="none"/>
        </w:rPr>
      </w:pPr>
      <w:r>
        <w:rPr>
          <w:rFonts w:hint="eastAsia" w:ascii="宋体" w:hAnsi="宋体"/>
          <w:color w:val="auto"/>
          <w:sz w:val="24"/>
          <w:szCs w:val="24"/>
          <w:highlight w:val="none"/>
        </w:rPr>
        <w:t xml:space="preserve">                                                    日    期：</w:t>
      </w:r>
    </w:p>
    <w:p w14:paraId="59FCC59A">
      <w:pPr>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备注：1.从业人员、营业收入、资产总额填报上一年度数据，无上一年度数据的新成立企业可不填报。</w:t>
      </w:r>
    </w:p>
    <w:p w14:paraId="7FA8398E">
      <w:pPr>
        <w:keepLines w:val="0"/>
        <w:pageBreakBefore w:val="0"/>
        <w:widowControl w:val="0"/>
        <w:kinsoku/>
        <w:wordWrap/>
        <w:overflowPunct/>
        <w:topLinePunct w:val="0"/>
        <w:autoSpaceDE/>
        <w:autoSpaceDN/>
        <w:bidi w:val="0"/>
        <w:adjustRightInd/>
        <w:snapToGrid/>
        <w:spacing w:line="360" w:lineRule="exact"/>
        <w:ind w:firstLine="720"/>
        <w:jc w:val="left"/>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2.在服务采购项目中，服务由中小企业承接，即提供服务的人员为中小企业依照《中华人民共和国劳动合同法》订立劳动合同的从业人员。服务类项目中供应商若使用退休人员，将不享受相应扶持政策。</w:t>
      </w:r>
    </w:p>
    <w:p w14:paraId="689F8B5A">
      <w:pPr>
        <w:pStyle w:val="201"/>
        <w:keepLines w:val="0"/>
        <w:pageBreakBefore w:val="0"/>
        <w:widowControl w:val="0"/>
        <w:kinsoku/>
        <w:wordWrap/>
        <w:overflowPunct/>
        <w:topLinePunct w:val="0"/>
        <w:autoSpaceDE/>
        <w:autoSpaceDN/>
        <w:bidi w:val="0"/>
        <w:adjustRightInd/>
        <w:snapToGrid/>
        <w:spacing w:line="360" w:lineRule="exact"/>
        <w:ind w:firstLine="600"/>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3.《中小企业声明函》中所填的行业应与本采购标的对应的中小企业划分标准所属行业一致，不一致的不可享受相应政策优惠。本采购标的对应的中小企业划分标准所属行业，以招标文件规定为准。</w:t>
      </w:r>
    </w:p>
    <w:p w14:paraId="08DAD043">
      <w:pPr>
        <w:pStyle w:val="201"/>
        <w:keepLines w:val="0"/>
        <w:pageBreakBefore w:val="0"/>
        <w:widowControl w:val="0"/>
        <w:kinsoku/>
        <w:wordWrap/>
        <w:overflowPunct/>
        <w:topLinePunct w:val="0"/>
        <w:autoSpaceDE/>
        <w:autoSpaceDN/>
        <w:bidi w:val="0"/>
        <w:adjustRightInd/>
        <w:snapToGrid/>
        <w:spacing w:line="360" w:lineRule="exact"/>
        <w:ind w:firstLine="600"/>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4.如未对（中型企业、小型企业、微型企业）进行勾选，视同非中小微企业，不可享受相应扶持政策。</w:t>
      </w:r>
    </w:p>
    <w:p w14:paraId="0F7E1980">
      <w:pPr>
        <w:pStyle w:val="201"/>
        <w:keepLines w:val="0"/>
        <w:pageBreakBefore w:val="0"/>
        <w:widowControl w:val="0"/>
        <w:kinsoku/>
        <w:wordWrap/>
        <w:overflowPunct/>
        <w:topLinePunct w:val="0"/>
        <w:autoSpaceDE/>
        <w:autoSpaceDN/>
        <w:bidi w:val="0"/>
        <w:adjustRightInd/>
        <w:snapToGrid/>
        <w:spacing w:line="360" w:lineRule="exact"/>
        <w:ind w:firstLine="600"/>
        <w:textAlignment w:val="auto"/>
        <w:rPr>
          <w:rFonts w:ascii="宋体" w:hAnsi="宋体"/>
          <w:b/>
          <w:color w:val="auto"/>
          <w:sz w:val="24"/>
          <w:szCs w:val="24"/>
          <w:highlight w:val="none"/>
        </w:rPr>
      </w:pPr>
      <w:r>
        <w:rPr>
          <w:rFonts w:hint="eastAsia" w:ascii="宋体" w:hAnsi="宋体" w:eastAsia="宋体" w:cs="宋体"/>
          <w:b/>
          <w:bCs/>
          <w:color w:val="auto"/>
          <w:sz w:val="24"/>
          <w:szCs w:val="24"/>
          <w:highlight w:val="none"/>
        </w:rPr>
        <w:t>5.中标单位为中小企业的，《中小企业声明函》将随中标结果同时公告。</w:t>
      </w:r>
    </w:p>
    <w:p w14:paraId="69F49FE5">
      <w:pPr>
        <w:rPr>
          <w:rFonts w:hint="eastAsia" w:ascii="宋体" w:hAnsi="宋体"/>
          <w:b/>
          <w:color w:val="auto"/>
          <w:sz w:val="24"/>
          <w:szCs w:val="24"/>
          <w:highlight w:val="none"/>
        </w:rPr>
      </w:pPr>
      <w:r>
        <w:rPr>
          <w:rFonts w:hint="eastAsia" w:ascii="宋体" w:hAnsi="宋体"/>
          <w:b/>
          <w:color w:val="auto"/>
          <w:sz w:val="24"/>
          <w:szCs w:val="24"/>
          <w:highlight w:val="none"/>
        </w:rPr>
        <w:br w:type="page"/>
      </w:r>
    </w:p>
    <w:p w14:paraId="626967FA">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b/>
          <w:color w:val="auto"/>
          <w:sz w:val="24"/>
          <w:szCs w:val="24"/>
          <w:highlight w:val="none"/>
        </w:rPr>
      </w:pPr>
      <w:r>
        <w:rPr>
          <w:rFonts w:hint="eastAsia" w:ascii="宋体" w:hAnsi="宋体"/>
          <w:b/>
          <w:color w:val="auto"/>
          <w:sz w:val="24"/>
          <w:szCs w:val="24"/>
          <w:highlight w:val="none"/>
        </w:rPr>
        <w:t>附：中小企业划型标准规定</w:t>
      </w:r>
    </w:p>
    <w:p w14:paraId="2EC095BC">
      <w:pPr>
        <w:spacing w:line="276" w:lineRule="auto"/>
        <w:ind w:firstLine="402"/>
        <w:rPr>
          <w:rFonts w:hint="eastAsia" w:ascii="宋体" w:hAnsi="宋体"/>
          <w:color w:val="auto"/>
          <w:sz w:val="24"/>
          <w:szCs w:val="24"/>
          <w:highlight w:val="none"/>
        </w:rPr>
      </w:pPr>
      <w:r>
        <w:rPr>
          <w:rFonts w:hint="eastAsia" w:ascii="宋体" w:hAnsi="宋体"/>
          <w:b/>
          <w:color w:val="auto"/>
          <w:sz w:val="24"/>
          <w:szCs w:val="24"/>
          <w:highlight w:val="none"/>
        </w:rPr>
        <w:t>（一）农、林、牧、渔业。</w:t>
      </w:r>
      <w:r>
        <w:rPr>
          <w:rFonts w:hint="eastAsia" w:ascii="宋体" w:hAnsi="宋体"/>
          <w:color w:val="auto"/>
          <w:sz w:val="24"/>
          <w:szCs w:val="24"/>
          <w:highlight w:val="none"/>
        </w:rPr>
        <w:t>营业收入20000万元以下的为中小微型企业。其中，营业收入500万元及以上的为中型企业，营业收入50万元及以上的为小型企业，营业收入50万元以下的为微型企业。</w:t>
      </w:r>
    </w:p>
    <w:p w14:paraId="4DEBE73E">
      <w:pPr>
        <w:spacing w:line="276" w:lineRule="auto"/>
        <w:ind w:firstLine="402"/>
        <w:rPr>
          <w:rFonts w:hint="eastAsia" w:ascii="宋体" w:hAnsi="宋体"/>
          <w:color w:val="auto"/>
          <w:sz w:val="24"/>
          <w:szCs w:val="24"/>
          <w:highlight w:val="none"/>
        </w:rPr>
      </w:pPr>
      <w:r>
        <w:rPr>
          <w:rFonts w:hint="eastAsia" w:ascii="宋体" w:hAnsi="宋体"/>
          <w:b/>
          <w:color w:val="auto"/>
          <w:sz w:val="24"/>
          <w:szCs w:val="24"/>
          <w:highlight w:val="none"/>
        </w:rPr>
        <w:t>（二）工业。</w:t>
      </w:r>
      <w:r>
        <w:rPr>
          <w:rFonts w:hint="eastAsia" w:ascii="宋体" w:hAnsi="宋体"/>
          <w:color w:val="auto"/>
          <w:sz w:val="24"/>
          <w:szCs w:val="24"/>
          <w:highlight w:val="none"/>
        </w:rPr>
        <w:t>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p>
    <w:p w14:paraId="6F93CF40">
      <w:pPr>
        <w:spacing w:line="276" w:lineRule="auto"/>
        <w:ind w:firstLine="402"/>
        <w:rPr>
          <w:rFonts w:hint="eastAsia" w:ascii="宋体" w:hAnsi="宋体"/>
          <w:color w:val="auto"/>
          <w:sz w:val="24"/>
          <w:szCs w:val="24"/>
          <w:highlight w:val="none"/>
        </w:rPr>
      </w:pPr>
      <w:r>
        <w:rPr>
          <w:rFonts w:hint="eastAsia" w:ascii="宋体" w:hAnsi="宋体"/>
          <w:b/>
          <w:color w:val="auto"/>
          <w:sz w:val="24"/>
          <w:szCs w:val="24"/>
          <w:highlight w:val="none"/>
        </w:rPr>
        <w:t>（三）建筑业。</w:t>
      </w:r>
      <w:r>
        <w:rPr>
          <w:rFonts w:hint="eastAsia" w:ascii="宋体" w:hAnsi="宋体"/>
          <w:color w:val="auto"/>
          <w:sz w:val="24"/>
          <w:szCs w:val="24"/>
          <w:highlight w:val="none"/>
        </w:rPr>
        <w:t>营业收入80000万元以下或资产总额80000万元以下的为中小微型企业。其中，营业收入6000万元及以上，且资产总额5000万元及以上的为中型企业；营业收入300万元及以上，且资产总额300万元及以上的为小型企业；营业收入300万元以下或资产总额300万元以下的为微型企业。</w:t>
      </w:r>
    </w:p>
    <w:p w14:paraId="122B1A14">
      <w:pPr>
        <w:spacing w:line="276" w:lineRule="auto"/>
        <w:ind w:firstLine="402"/>
        <w:rPr>
          <w:rFonts w:hint="eastAsia" w:ascii="宋体" w:hAnsi="宋体"/>
          <w:color w:val="auto"/>
          <w:sz w:val="24"/>
          <w:szCs w:val="24"/>
          <w:highlight w:val="none"/>
        </w:rPr>
      </w:pPr>
      <w:r>
        <w:rPr>
          <w:rFonts w:hint="eastAsia" w:ascii="宋体" w:hAnsi="宋体"/>
          <w:b/>
          <w:color w:val="auto"/>
          <w:sz w:val="24"/>
          <w:szCs w:val="24"/>
          <w:highlight w:val="none"/>
        </w:rPr>
        <w:t>（四）批发业。</w:t>
      </w:r>
      <w:r>
        <w:rPr>
          <w:rFonts w:hint="eastAsia" w:ascii="宋体" w:hAnsi="宋体"/>
          <w:color w:val="auto"/>
          <w:sz w:val="24"/>
          <w:szCs w:val="24"/>
          <w:highlight w:val="none"/>
        </w:rPr>
        <w:t>从业人员200人以下或营业收入40000万元以下的为中小微型企业。其中，从业人员20人及以上，且营业收入5000万元及以上的为中型企业；从业人员5人及以上，且营业收入1000万元及以上的为小型企业；从业人员5人以下或营业收入1000万元以下的为微型企业。</w:t>
      </w:r>
    </w:p>
    <w:p w14:paraId="00FAFD7C">
      <w:pPr>
        <w:spacing w:line="276" w:lineRule="auto"/>
        <w:ind w:firstLine="402"/>
        <w:rPr>
          <w:rFonts w:hint="eastAsia" w:ascii="宋体" w:hAnsi="宋体"/>
          <w:color w:val="auto"/>
          <w:sz w:val="24"/>
          <w:szCs w:val="24"/>
          <w:highlight w:val="none"/>
        </w:rPr>
      </w:pPr>
      <w:r>
        <w:rPr>
          <w:rFonts w:hint="eastAsia" w:ascii="宋体" w:hAnsi="宋体"/>
          <w:b/>
          <w:color w:val="auto"/>
          <w:sz w:val="24"/>
          <w:szCs w:val="24"/>
          <w:highlight w:val="none"/>
        </w:rPr>
        <w:t>（五）零售业。</w:t>
      </w:r>
      <w:r>
        <w:rPr>
          <w:rFonts w:hint="eastAsia" w:ascii="宋体" w:hAnsi="宋体"/>
          <w:color w:val="auto"/>
          <w:sz w:val="24"/>
          <w:szCs w:val="24"/>
          <w:highlight w:val="none"/>
        </w:rPr>
        <w:t>从业人员300人以下或营业收入20000万元以下的为中小微型企业。其中，从业人员50人及以上，且营业收入500万元及以上的为中型企业；从业人员10人及以上，且营业收入100万元及以上的为小型企业；从业人员10人以下或营业收入100万元以下的为微型企业。</w:t>
      </w:r>
    </w:p>
    <w:p w14:paraId="1984D2E9">
      <w:pPr>
        <w:spacing w:line="276" w:lineRule="auto"/>
        <w:ind w:firstLine="402"/>
        <w:rPr>
          <w:rFonts w:hint="eastAsia" w:ascii="宋体" w:hAnsi="宋体"/>
          <w:color w:val="auto"/>
          <w:sz w:val="24"/>
          <w:szCs w:val="24"/>
          <w:highlight w:val="none"/>
        </w:rPr>
      </w:pPr>
      <w:r>
        <w:rPr>
          <w:rFonts w:hint="eastAsia" w:ascii="宋体" w:hAnsi="宋体"/>
          <w:b/>
          <w:color w:val="auto"/>
          <w:sz w:val="24"/>
          <w:szCs w:val="24"/>
          <w:highlight w:val="none"/>
        </w:rPr>
        <w:t>（六）交通运输业。</w:t>
      </w:r>
      <w:r>
        <w:rPr>
          <w:rFonts w:hint="eastAsia" w:ascii="宋体" w:hAnsi="宋体"/>
          <w:color w:val="auto"/>
          <w:sz w:val="24"/>
          <w:szCs w:val="24"/>
          <w:highlight w:val="none"/>
        </w:rPr>
        <w:t>从业人员1000人以下或营业收入30000万元以下的为中小微型企业。其中，从业人员300人及以上，且营业收入3000万元及以上的为中型企业；从业人员20人及以上，且营业收入200万元及以上的为小型企业；从业人员20人以下或营业收入200万元以下的为微型企业。</w:t>
      </w:r>
    </w:p>
    <w:p w14:paraId="3AC64648">
      <w:pPr>
        <w:spacing w:line="276" w:lineRule="auto"/>
        <w:ind w:firstLine="402"/>
        <w:rPr>
          <w:rFonts w:hint="eastAsia" w:ascii="宋体" w:hAnsi="宋体"/>
          <w:color w:val="auto"/>
          <w:sz w:val="24"/>
          <w:szCs w:val="24"/>
          <w:highlight w:val="none"/>
        </w:rPr>
      </w:pPr>
      <w:r>
        <w:rPr>
          <w:rFonts w:hint="eastAsia" w:ascii="宋体" w:hAnsi="宋体"/>
          <w:b/>
          <w:color w:val="auto"/>
          <w:sz w:val="24"/>
          <w:szCs w:val="24"/>
          <w:highlight w:val="none"/>
        </w:rPr>
        <w:t>（七）仓储业。</w:t>
      </w:r>
      <w:r>
        <w:rPr>
          <w:rFonts w:hint="eastAsia" w:ascii="宋体" w:hAnsi="宋体"/>
          <w:color w:val="auto"/>
          <w:sz w:val="24"/>
          <w:szCs w:val="24"/>
          <w:highlight w:val="none"/>
        </w:rPr>
        <w:t>从业人员200人以下或营业收入30000万元以下的为中小微型企业。其中，从业人员100人及以上，且营业收入1000万元及以上的为中型企业；从业人员20人及以上，且营业收入100万元及以上的为小型企业；从业人员20人以下或营业收入100万元以下的为微型企业。</w:t>
      </w:r>
    </w:p>
    <w:p w14:paraId="1C241169">
      <w:pPr>
        <w:spacing w:line="276" w:lineRule="auto"/>
        <w:ind w:firstLine="402"/>
        <w:rPr>
          <w:rFonts w:hint="eastAsia" w:ascii="宋体" w:hAnsi="宋体"/>
          <w:color w:val="auto"/>
          <w:sz w:val="24"/>
          <w:szCs w:val="24"/>
          <w:highlight w:val="none"/>
        </w:rPr>
      </w:pPr>
      <w:r>
        <w:rPr>
          <w:rFonts w:hint="eastAsia" w:ascii="宋体" w:hAnsi="宋体"/>
          <w:b/>
          <w:color w:val="auto"/>
          <w:sz w:val="24"/>
          <w:szCs w:val="24"/>
          <w:highlight w:val="none"/>
        </w:rPr>
        <w:t>（八）邮政业。</w:t>
      </w:r>
      <w:r>
        <w:rPr>
          <w:rFonts w:hint="eastAsia" w:ascii="宋体" w:hAnsi="宋体"/>
          <w:color w:val="auto"/>
          <w:sz w:val="24"/>
          <w:szCs w:val="24"/>
          <w:highlight w:val="none"/>
        </w:rPr>
        <w:t>从业人员1000人以下或营业收入30000万元以下的为中小微型企业。其中，从业人员300人及以上，且营业收入2000万元及以上的为中型企业；从业人员20人及以上，且营业收入100万元及以上的为小型企业；从业人员20人以下或营业收入100万元以下的为微型企业。</w:t>
      </w:r>
    </w:p>
    <w:p w14:paraId="14165AE5">
      <w:pPr>
        <w:spacing w:line="276" w:lineRule="auto"/>
        <w:ind w:firstLine="402"/>
        <w:rPr>
          <w:rFonts w:hint="eastAsia" w:ascii="宋体" w:hAnsi="宋体"/>
          <w:color w:val="auto"/>
          <w:sz w:val="24"/>
          <w:szCs w:val="24"/>
          <w:highlight w:val="none"/>
        </w:rPr>
      </w:pPr>
      <w:r>
        <w:rPr>
          <w:rFonts w:hint="eastAsia" w:ascii="宋体" w:hAnsi="宋体"/>
          <w:b/>
          <w:color w:val="auto"/>
          <w:sz w:val="24"/>
          <w:szCs w:val="24"/>
          <w:highlight w:val="none"/>
        </w:rPr>
        <w:t>（九）住宿业。</w:t>
      </w:r>
      <w:r>
        <w:rPr>
          <w:rFonts w:hint="eastAsia" w:ascii="宋体" w:hAnsi="宋体"/>
          <w:color w:val="auto"/>
          <w:sz w:val="24"/>
          <w:szCs w:val="24"/>
          <w:highlight w:val="none"/>
        </w:rPr>
        <w:t>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119E0C95">
      <w:pPr>
        <w:spacing w:line="276" w:lineRule="auto"/>
        <w:ind w:firstLine="402"/>
        <w:rPr>
          <w:rFonts w:hint="eastAsia" w:ascii="宋体" w:hAnsi="宋体"/>
          <w:color w:val="auto"/>
          <w:sz w:val="24"/>
          <w:szCs w:val="24"/>
          <w:highlight w:val="none"/>
        </w:rPr>
      </w:pPr>
      <w:r>
        <w:rPr>
          <w:rFonts w:hint="eastAsia" w:ascii="宋体" w:hAnsi="宋体"/>
          <w:b/>
          <w:color w:val="auto"/>
          <w:sz w:val="24"/>
          <w:szCs w:val="24"/>
          <w:highlight w:val="none"/>
        </w:rPr>
        <w:t>（十）餐饮业。</w:t>
      </w:r>
      <w:r>
        <w:rPr>
          <w:rFonts w:hint="eastAsia" w:ascii="宋体" w:hAnsi="宋体"/>
          <w:color w:val="auto"/>
          <w:sz w:val="24"/>
          <w:szCs w:val="24"/>
          <w:highlight w:val="none"/>
        </w:rPr>
        <w:t>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5F6ABE70">
      <w:pPr>
        <w:spacing w:line="276" w:lineRule="auto"/>
        <w:ind w:firstLine="402"/>
        <w:rPr>
          <w:rFonts w:hint="eastAsia" w:ascii="宋体" w:hAnsi="宋体"/>
          <w:color w:val="auto"/>
          <w:sz w:val="24"/>
          <w:szCs w:val="24"/>
          <w:highlight w:val="none"/>
        </w:rPr>
      </w:pPr>
      <w:r>
        <w:rPr>
          <w:rFonts w:hint="eastAsia" w:ascii="宋体" w:hAnsi="宋体"/>
          <w:b/>
          <w:color w:val="auto"/>
          <w:sz w:val="24"/>
          <w:szCs w:val="24"/>
          <w:highlight w:val="none"/>
        </w:rPr>
        <w:t>（十一）信息传输业。</w:t>
      </w:r>
      <w:r>
        <w:rPr>
          <w:rFonts w:hint="eastAsia" w:ascii="宋体" w:hAnsi="宋体"/>
          <w:color w:val="auto"/>
          <w:sz w:val="24"/>
          <w:szCs w:val="24"/>
          <w:highlight w:val="none"/>
        </w:rPr>
        <w:t>从业人员2000人以下或营业收入100000万元以下的为中小微型企业。其中，从业人员100人及以上，且营业收入1000万元及以上的为中型企业；从业人员10人及以上，且营业收入100万元及以上的为小型企业；从业人员10人以下或营业收入100万元以下的为微型企业。</w:t>
      </w:r>
    </w:p>
    <w:p w14:paraId="51B17304">
      <w:pPr>
        <w:spacing w:line="276" w:lineRule="auto"/>
        <w:ind w:firstLine="402"/>
        <w:rPr>
          <w:rFonts w:hint="eastAsia" w:ascii="宋体" w:hAnsi="宋体"/>
          <w:color w:val="auto"/>
          <w:sz w:val="24"/>
          <w:szCs w:val="24"/>
          <w:highlight w:val="none"/>
        </w:rPr>
      </w:pPr>
      <w:r>
        <w:rPr>
          <w:rFonts w:hint="eastAsia" w:ascii="宋体" w:hAnsi="宋体"/>
          <w:b/>
          <w:color w:val="auto"/>
          <w:sz w:val="24"/>
          <w:szCs w:val="24"/>
          <w:highlight w:val="none"/>
        </w:rPr>
        <w:t>（十二）软件和信息技术服务业。</w:t>
      </w:r>
      <w:r>
        <w:rPr>
          <w:rFonts w:hint="eastAsia" w:ascii="宋体" w:hAnsi="宋体"/>
          <w:color w:val="auto"/>
          <w:sz w:val="24"/>
          <w:szCs w:val="24"/>
          <w:highlight w:val="none"/>
        </w:rPr>
        <w:t>从业人员300人以下或营业收入10000万元以下的为中小微型企业。其中，从业人员100人及以上，且营业收入1000万元及以上的为中型企业；从业人员10人及以上，且营业收入50万元及以上的为小型企业；从业人员10人以下或营业收入50万元以下的为微型企业。</w:t>
      </w:r>
    </w:p>
    <w:p w14:paraId="757ADAD4">
      <w:pPr>
        <w:spacing w:line="276" w:lineRule="auto"/>
        <w:ind w:firstLine="402"/>
        <w:rPr>
          <w:rFonts w:hint="eastAsia" w:ascii="宋体" w:hAnsi="宋体"/>
          <w:color w:val="auto"/>
          <w:sz w:val="24"/>
          <w:szCs w:val="24"/>
          <w:highlight w:val="none"/>
        </w:rPr>
      </w:pPr>
      <w:r>
        <w:rPr>
          <w:rFonts w:hint="eastAsia" w:ascii="宋体" w:hAnsi="宋体"/>
          <w:b/>
          <w:color w:val="auto"/>
          <w:sz w:val="24"/>
          <w:szCs w:val="24"/>
          <w:highlight w:val="none"/>
        </w:rPr>
        <w:t>（十三）房地产开发经营。</w:t>
      </w:r>
      <w:r>
        <w:rPr>
          <w:rFonts w:hint="eastAsia" w:ascii="宋体" w:hAnsi="宋体"/>
          <w:color w:val="auto"/>
          <w:sz w:val="24"/>
          <w:szCs w:val="24"/>
          <w:highlight w:val="none"/>
        </w:rPr>
        <w:t>营业收入200000万元以下或资产总额10000万元以下的为中小微型企业。其中，营业收入1000万元及以上，且资产总额5000万元及以上的为中型企业；营业收入100万元及以上，且资产总额2000万元及以上的为小型企业；营业收入100万元以下或资产总额2000万元以下的为微型企业。</w:t>
      </w:r>
    </w:p>
    <w:p w14:paraId="50C7F692">
      <w:pPr>
        <w:spacing w:line="276" w:lineRule="auto"/>
        <w:ind w:firstLine="402"/>
        <w:rPr>
          <w:rFonts w:hint="eastAsia" w:ascii="宋体" w:hAnsi="宋体"/>
          <w:color w:val="auto"/>
          <w:sz w:val="24"/>
          <w:szCs w:val="24"/>
          <w:highlight w:val="none"/>
        </w:rPr>
      </w:pPr>
      <w:r>
        <w:rPr>
          <w:rFonts w:hint="eastAsia" w:ascii="宋体" w:hAnsi="宋体"/>
          <w:b/>
          <w:color w:val="auto"/>
          <w:sz w:val="24"/>
          <w:szCs w:val="24"/>
          <w:highlight w:val="none"/>
        </w:rPr>
        <w:t>（十四）物业管理。</w:t>
      </w:r>
      <w:r>
        <w:rPr>
          <w:rFonts w:hint="eastAsia" w:ascii="宋体" w:hAnsi="宋体"/>
          <w:color w:val="auto"/>
          <w:sz w:val="24"/>
          <w:szCs w:val="24"/>
          <w:highlight w:val="none"/>
        </w:rPr>
        <w:t>从业人员1000人以下或营业收入5000万元以下的为中小微型企业。其中，从业人员</w:t>
      </w:r>
    </w:p>
    <w:p w14:paraId="099FED4C">
      <w:pPr>
        <w:spacing w:line="276" w:lineRule="auto"/>
        <w:rPr>
          <w:rFonts w:hint="eastAsia" w:ascii="宋体" w:hAnsi="宋体"/>
          <w:color w:val="auto"/>
          <w:sz w:val="24"/>
          <w:szCs w:val="24"/>
          <w:highlight w:val="none"/>
        </w:rPr>
      </w:pPr>
      <w:r>
        <w:rPr>
          <w:rFonts w:hint="eastAsia" w:ascii="宋体" w:hAnsi="宋体"/>
          <w:color w:val="auto"/>
          <w:sz w:val="24"/>
          <w:szCs w:val="24"/>
          <w:highlight w:val="none"/>
        </w:rPr>
        <w:t>300人及以上，且营业收入1000万元及以上的为中型企业；从业人员100人及以上，且营业收入500万元及以上的为小型企业；从业人员100人以下或营业收入500万元以下的为微型企业。</w:t>
      </w:r>
    </w:p>
    <w:p w14:paraId="3658BC0F">
      <w:pPr>
        <w:spacing w:line="276" w:lineRule="auto"/>
        <w:ind w:firstLine="402"/>
        <w:rPr>
          <w:rFonts w:hint="eastAsia" w:ascii="宋体" w:hAnsi="宋体"/>
          <w:color w:val="auto"/>
          <w:sz w:val="24"/>
          <w:szCs w:val="24"/>
          <w:highlight w:val="none"/>
        </w:rPr>
      </w:pPr>
      <w:r>
        <w:rPr>
          <w:rFonts w:hint="eastAsia" w:ascii="宋体" w:hAnsi="宋体"/>
          <w:b/>
          <w:color w:val="auto"/>
          <w:sz w:val="24"/>
          <w:szCs w:val="24"/>
          <w:highlight w:val="none"/>
        </w:rPr>
        <w:t>（十五）租赁和商务服务业。</w:t>
      </w:r>
      <w:r>
        <w:rPr>
          <w:rFonts w:hint="eastAsia" w:ascii="宋体" w:hAnsi="宋体"/>
          <w:color w:val="auto"/>
          <w:sz w:val="24"/>
          <w:szCs w:val="24"/>
          <w:highlight w:val="none"/>
        </w:rPr>
        <w:t>从业人员300人以下或资产总额120000万元以下的为中小微型企业。其中，从业人员100人及以上，且资产总额8000万元及以上的为中型企业；从业人员10人及以上，且资产总额100万元及以上的为小型企业；从业人员10人以下或资产总额100万元以下的为微型企业。</w:t>
      </w:r>
    </w:p>
    <w:p w14:paraId="397E6541">
      <w:pPr>
        <w:spacing w:line="276" w:lineRule="auto"/>
        <w:ind w:firstLine="402"/>
        <w:rPr>
          <w:rFonts w:hint="eastAsia" w:ascii="宋体" w:hAnsi="宋体"/>
          <w:color w:val="auto"/>
          <w:sz w:val="24"/>
          <w:szCs w:val="24"/>
          <w:highlight w:val="none"/>
        </w:rPr>
      </w:pPr>
      <w:r>
        <w:rPr>
          <w:rFonts w:hint="eastAsia" w:ascii="宋体" w:hAnsi="宋体"/>
          <w:b/>
          <w:color w:val="auto"/>
          <w:sz w:val="24"/>
          <w:szCs w:val="24"/>
          <w:highlight w:val="none"/>
        </w:rPr>
        <w:t>（十六）其他未列明行业。</w:t>
      </w:r>
      <w:r>
        <w:rPr>
          <w:rFonts w:hint="eastAsia" w:ascii="宋体" w:hAnsi="宋体"/>
          <w:color w:val="auto"/>
          <w:sz w:val="24"/>
          <w:szCs w:val="24"/>
          <w:highlight w:val="none"/>
        </w:rPr>
        <w:t>从业人员300人以下的为中小微型企业。其中，从业人员100人及以上的为中型企业；从业人员10人及以上的为小型企业；从业人员10人以下的为微型企业。</w:t>
      </w:r>
    </w:p>
    <w:p w14:paraId="7B071E66">
      <w:pPr>
        <w:spacing w:line="360" w:lineRule="auto"/>
        <w:ind w:left="-42" w:right="357"/>
        <w:rPr>
          <w:rFonts w:hint="eastAsia" w:ascii="宋体" w:hAnsi="宋体"/>
          <w:b/>
          <w:color w:val="auto"/>
          <w:highlight w:val="none"/>
        </w:rPr>
      </w:pPr>
    </w:p>
    <w:p w14:paraId="206B00B1">
      <w:pPr>
        <w:spacing w:line="360" w:lineRule="auto"/>
        <w:jc w:val="center"/>
        <w:rPr>
          <w:rFonts w:hint="eastAsia" w:ascii="宋体" w:hAnsi="宋体"/>
          <w:bCs/>
          <w:color w:val="auto"/>
          <w:sz w:val="52"/>
          <w:szCs w:val="52"/>
          <w:highlight w:val="none"/>
        </w:rPr>
      </w:pPr>
    </w:p>
    <w:p w14:paraId="747ED36E">
      <w:pPr>
        <w:spacing w:line="360" w:lineRule="auto"/>
        <w:rPr>
          <w:rFonts w:hint="eastAsia" w:ascii="宋体" w:hAnsi="宋体"/>
          <w:color w:val="auto"/>
          <w:sz w:val="28"/>
          <w:szCs w:val="28"/>
          <w:highlight w:val="none"/>
        </w:rPr>
      </w:pPr>
    </w:p>
    <w:p w14:paraId="465668C3">
      <w:pPr>
        <w:spacing w:line="360" w:lineRule="auto"/>
        <w:rPr>
          <w:rFonts w:hint="eastAsia" w:ascii="宋体" w:hAnsi="宋体"/>
          <w:color w:val="auto"/>
          <w:sz w:val="28"/>
          <w:szCs w:val="28"/>
          <w:highlight w:val="none"/>
        </w:rPr>
      </w:pPr>
      <w:r>
        <w:rPr>
          <w:rFonts w:hint="eastAsia" w:ascii="宋体" w:hAnsi="宋体"/>
          <w:color w:val="auto"/>
          <w:sz w:val="28"/>
          <w:szCs w:val="28"/>
          <w:highlight w:val="none"/>
        </w:rPr>
        <w:br w:type="page" w:clear="all"/>
      </w:r>
      <w:r>
        <w:rPr>
          <w:rFonts w:hint="eastAsia" w:ascii="宋体" w:hAnsi="宋体"/>
          <w:color w:val="auto"/>
          <w:sz w:val="28"/>
          <w:szCs w:val="28"/>
          <w:highlight w:val="none"/>
          <w:lang w:val="en-US" w:eastAsia="zh-CN"/>
        </w:rPr>
        <w:t>11</w:t>
      </w:r>
      <w:r>
        <w:rPr>
          <w:rFonts w:hint="eastAsia" w:ascii="宋体" w:hAnsi="宋体"/>
          <w:color w:val="auto"/>
          <w:sz w:val="28"/>
          <w:szCs w:val="28"/>
          <w:highlight w:val="none"/>
        </w:rPr>
        <w:t>、残疾人福利性单位声明函</w:t>
      </w:r>
    </w:p>
    <w:p w14:paraId="35DF0F22">
      <w:pPr>
        <w:spacing w:line="360" w:lineRule="auto"/>
        <w:jc w:val="center"/>
        <w:rPr>
          <w:rFonts w:hint="eastAsia" w:ascii="宋体" w:hAnsi="宋体"/>
          <w:color w:val="auto"/>
          <w:sz w:val="24"/>
          <w:szCs w:val="24"/>
          <w:highlight w:val="none"/>
        </w:rPr>
      </w:pPr>
      <w:r>
        <w:rPr>
          <w:rFonts w:hint="eastAsia" w:ascii="宋体" w:hAnsi="宋体"/>
          <w:color w:val="auto"/>
          <w:sz w:val="24"/>
          <w:szCs w:val="24"/>
          <w:highlight w:val="none"/>
        </w:rPr>
        <w:t>残疾人福利性单位声明函</w:t>
      </w:r>
    </w:p>
    <w:p w14:paraId="4784FE5C">
      <w:pPr>
        <w:spacing w:line="360" w:lineRule="auto"/>
        <w:ind w:firstLine="480"/>
        <w:rPr>
          <w:rFonts w:hint="eastAsia" w:ascii="宋体" w:hAnsi="宋体"/>
          <w:color w:val="auto"/>
          <w:sz w:val="24"/>
          <w:szCs w:val="24"/>
          <w:highlight w:val="none"/>
        </w:rPr>
      </w:pPr>
      <w:r>
        <w:rPr>
          <w:rFonts w:hint="eastAsia" w:ascii="宋体" w:hAnsi="宋体"/>
          <w:color w:val="auto"/>
          <w:sz w:val="24"/>
          <w:szCs w:val="24"/>
          <w:highlight w:val="none"/>
        </w:rPr>
        <w:t>本单位郑重声明，根据《财政部、民政部、中国残疾人联合会关于促进残疾人就业政府采购政策的通知》（财库〔2017〕141号）的规定，本单位为符合条件的残疾人福利性单位，且本单位参加</w:t>
      </w:r>
      <w:r>
        <w:rPr>
          <w:rFonts w:hint="eastAsia" w:ascii="宋体" w:hAnsi="宋体"/>
          <w:color w:val="auto"/>
          <w:sz w:val="24"/>
          <w:szCs w:val="24"/>
          <w:highlight w:val="none"/>
          <w:u w:val="single"/>
        </w:rPr>
        <w:t>苏州时代招投标有限公司</w:t>
      </w:r>
      <w:r>
        <w:rPr>
          <w:rFonts w:hint="eastAsia" w:ascii="宋体" w:hAnsi="宋体"/>
          <w:color w:val="auto"/>
          <w:sz w:val="24"/>
          <w:szCs w:val="24"/>
          <w:highlight w:val="none"/>
        </w:rPr>
        <w:t>单位的</w:t>
      </w:r>
      <w:r>
        <w:rPr>
          <w:rFonts w:hint="eastAsia" w:ascii="宋体" w:hAnsi="宋体"/>
          <w:color w:val="auto"/>
          <w:sz w:val="24"/>
          <w:szCs w:val="24"/>
          <w:highlight w:val="none"/>
          <w:u w:val="single"/>
        </w:rPr>
        <w:t>（采购编号及项目名称）</w:t>
      </w:r>
      <w:r>
        <w:rPr>
          <w:rFonts w:hint="eastAsia" w:ascii="宋体" w:hAnsi="宋体"/>
          <w:color w:val="auto"/>
          <w:sz w:val="24"/>
          <w:szCs w:val="24"/>
          <w:highlight w:val="none"/>
        </w:rPr>
        <w:t>项目采购活动提供本单位制造的货物（由本单位承担工程/提供服务），或者提供其他残疾人福利性单位制造的货物（不包括使用非残疾人福利性单位注册商标的货物）。</w:t>
      </w:r>
    </w:p>
    <w:p w14:paraId="1FEFEC08">
      <w:pPr>
        <w:spacing w:line="360" w:lineRule="auto"/>
        <w:ind w:firstLine="480"/>
        <w:rPr>
          <w:rFonts w:hint="eastAsia" w:ascii="宋体" w:hAnsi="宋体"/>
          <w:color w:val="auto"/>
          <w:sz w:val="24"/>
          <w:szCs w:val="24"/>
          <w:highlight w:val="none"/>
        </w:rPr>
      </w:pPr>
      <w:r>
        <w:rPr>
          <w:rFonts w:hint="eastAsia" w:ascii="宋体" w:hAnsi="宋体"/>
          <w:color w:val="auto"/>
          <w:sz w:val="24"/>
          <w:szCs w:val="24"/>
          <w:highlight w:val="none"/>
        </w:rPr>
        <w:t>本单位对上述声明的真实性负责。如有虚假，将依法承担相应责任。</w:t>
      </w:r>
    </w:p>
    <w:p w14:paraId="2E57CFCD">
      <w:pPr>
        <w:spacing w:line="360" w:lineRule="auto"/>
        <w:rPr>
          <w:rFonts w:hint="eastAsia" w:ascii="宋体" w:hAnsi="宋体"/>
          <w:color w:val="auto"/>
          <w:sz w:val="24"/>
          <w:szCs w:val="24"/>
          <w:highlight w:val="none"/>
        </w:rPr>
      </w:pPr>
    </w:p>
    <w:p w14:paraId="195222E2">
      <w:pPr>
        <w:spacing w:line="360" w:lineRule="auto"/>
        <w:rPr>
          <w:rFonts w:hint="eastAsia" w:ascii="宋体" w:hAnsi="宋体"/>
          <w:color w:val="auto"/>
          <w:sz w:val="24"/>
          <w:szCs w:val="24"/>
          <w:highlight w:val="none"/>
        </w:rPr>
      </w:pPr>
      <w:r>
        <w:rPr>
          <w:rFonts w:hint="eastAsia" w:ascii="宋体" w:hAnsi="宋体"/>
          <w:color w:val="auto"/>
          <w:sz w:val="24"/>
          <w:szCs w:val="24"/>
          <w:highlight w:val="none"/>
        </w:rPr>
        <w:t xml:space="preserve">                                        单位名称（盖章）：</w:t>
      </w:r>
    </w:p>
    <w:p w14:paraId="4B1E20AB">
      <w:pPr>
        <w:spacing w:line="360" w:lineRule="auto"/>
        <w:jc w:val="center"/>
        <w:outlineLvl w:val="0"/>
        <w:rPr>
          <w:rFonts w:hint="eastAsia" w:ascii="宋体" w:hAnsi="宋体" w:cs="宋体"/>
          <w:bCs/>
          <w:color w:val="auto"/>
          <w:sz w:val="24"/>
          <w:szCs w:val="24"/>
          <w:highlight w:val="none"/>
        </w:rPr>
      </w:pPr>
      <w:r>
        <w:rPr>
          <w:rFonts w:hint="eastAsia" w:ascii="宋体" w:hAnsi="宋体"/>
          <w:color w:val="auto"/>
          <w:sz w:val="24"/>
          <w:szCs w:val="24"/>
          <w:highlight w:val="none"/>
        </w:rPr>
        <w:t xml:space="preserve">                                       日  期：</w:t>
      </w:r>
    </w:p>
    <w:p w14:paraId="354C43F4">
      <w:pPr>
        <w:pStyle w:val="197"/>
        <w:spacing w:after="0" w:line="360" w:lineRule="auto"/>
        <w:ind w:left="0" w:firstLine="0"/>
        <w:rPr>
          <w:rFonts w:hint="eastAsia" w:ascii="宋体" w:hAnsi="宋体"/>
          <w:bCs/>
          <w:color w:val="auto"/>
          <w:sz w:val="24"/>
          <w:szCs w:val="24"/>
          <w:highlight w:val="none"/>
        </w:rPr>
      </w:pPr>
    </w:p>
    <w:p w14:paraId="22956C73">
      <w:pPr>
        <w:pStyle w:val="197"/>
        <w:ind w:left="0" w:firstLine="0"/>
        <w:rPr>
          <w:rFonts w:hint="eastAsia" w:ascii="宋体" w:hAnsi="宋体" w:cs="Arial"/>
          <w:bCs/>
          <w:color w:val="auto"/>
          <w:sz w:val="24"/>
          <w:szCs w:val="24"/>
          <w:highlight w:val="none"/>
          <w:shd w:val="clear" w:color="auto" w:fill="FFFFFF"/>
        </w:rPr>
      </w:pPr>
      <w:r>
        <w:rPr>
          <w:rFonts w:hint="eastAsia" w:ascii="宋体" w:hAnsi="宋体"/>
          <w:bCs/>
          <w:color w:val="auto"/>
          <w:sz w:val="24"/>
          <w:szCs w:val="24"/>
          <w:highlight w:val="none"/>
          <w:lang w:val="zh-CN"/>
        </w:rPr>
        <w:t>备注：1.</w:t>
      </w:r>
      <w:r>
        <w:rPr>
          <w:rFonts w:hint="eastAsia" w:ascii="宋体" w:hAnsi="宋体" w:cs="Arial"/>
          <w:bCs/>
          <w:color w:val="auto"/>
          <w:sz w:val="24"/>
          <w:szCs w:val="24"/>
          <w:highlight w:val="none"/>
          <w:shd w:val="clear" w:color="auto" w:fill="FFFFFF"/>
        </w:rPr>
        <w:t>享受政府采购支持政策的残疾人福利性单位应当同时满足以下条件：</w:t>
      </w:r>
    </w:p>
    <w:p w14:paraId="392D401F">
      <w:pPr>
        <w:pStyle w:val="197"/>
        <w:ind w:left="0" w:firstLine="400"/>
        <w:rPr>
          <w:rFonts w:hint="eastAsia" w:ascii="宋体" w:hAnsi="宋体" w:cs="Arial"/>
          <w:bCs/>
          <w:color w:val="auto"/>
          <w:sz w:val="24"/>
          <w:szCs w:val="24"/>
          <w:highlight w:val="none"/>
          <w:shd w:val="clear" w:color="auto" w:fill="FFFFFF"/>
        </w:rPr>
      </w:pPr>
      <w:r>
        <w:rPr>
          <w:rFonts w:hint="eastAsia" w:ascii="宋体" w:hAnsi="宋体"/>
          <w:bCs/>
          <w:color w:val="auto"/>
          <w:sz w:val="24"/>
          <w:szCs w:val="24"/>
          <w:highlight w:val="none"/>
          <w:lang w:val="zh-CN"/>
        </w:rPr>
        <w:fldChar w:fldCharType="begin"/>
      </w:r>
      <w:r>
        <w:rPr>
          <w:rFonts w:hint="eastAsia" w:ascii="宋体" w:hAnsi="宋体"/>
          <w:bCs/>
          <w:color w:val="auto"/>
          <w:sz w:val="24"/>
          <w:szCs w:val="24"/>
          <w:highlight w:val="none"/>
          <w:lang w:val="zh-CN"/>
        </w:rPr>
        <w:instrText xml:space="preserve"> = 1 \* GB3 </w:instrText>
      </w:r>
      <w:r>
        <w:rPr>
          <w:rFonts w:hint="eastAsia" w:ascii="宋体" w:hAnsi="宋体"/>
          <w:bCs/>
          <w:color w:val="auto"/>
          <w:sz w:val="24"/>
          <w:szCs w:val="24"/>
          <w:highlight w:val="none"/>
          <w:lang w:val="zh-CN"/>
        </w:rPr>
        <w:fldChar w:fldCharType="separate"/>
      </w:r>
      <w:r>
        <w:rPr>
          <w:rFonts w:hint="eastAsia" w:ascii="宋体" w:hAnsi="宋体"/>
          <w:bCs/>
          <w:color w:val="auto"/>
          <w:sz w:val="24"/>
          <w:szCs w:val="24"/>
          <w:highlight w:val="none"/>
          <w:lang w:val="zh-CN"/>
        </w:rPr>
        <w:t>①</w:t>
      </w:r>
      <w:r>
        <w:rPr>
          <w:rFonts w:hint="eastAsia" w:ascii="宋体" w:hAnsi="宋体"/>
          <w:bCs/>
          <w:color w:val="auto"/>
          <w:sz w:val="24"/>
          <w:szCs w:val="24"/>
          <w:highlight w:val="none"/>
          <w:lang w:val="zh-CN"/>
        </w:rPr>
        <w:fldChar w:fldCharType="end"/>
      </w:r>
      <w:r>
        <w:rPr>
          <w:rFonts w:hint="eastAsia" w:ascii="宋体" w:hAnsi="宋体"/>
          <w:bCs/>
          <w:color w:val="auto"/>
          <w:sz w:val="24"/>
          <w:szCs w:val="24"/>
          <w:highlight w:val="none"/>
          <w:lang w:val="zh-CN"/>
        </w:rPr>
        <w:t>安置的残疾人占本单位在职职工人数的比例不低于25%（含25%），并且安置的残疾人人数不少于10人（含10人）；</w:t>
      </w:r>
    </w:p>
    <w:p w14:paraId="25E4A203">
      <w:pPr>
        <w:pStyle w:val="197"/>
        <w:ind w:left="0" w:firstLine="400"/>
        <w:rPr>
          <w:rFonts w:hint="eastAsia" w:ascii="宋体" w:hAnsi="宋体"/>
          <w:bCs/>
          <w:color w:val="auto"/>
          <w:sz w:val="24"/>
          <w:szCs w:val="24"/>
          <w:highlight w:val="none"/>
        </w:rPr>
      </w:pPr>
      <w:r>
        <w:rPr>
          <w:rFonts w:hint="eastAsia" w:ascii="宋体" w:hAnsi="宋体"/>
          <w:bCs/>
          <w:color w:val="auto"/>
          <w:sz w:val="24"/>
          <w:szCs w:val="24"/>
          <w:highlight w:val="none"/>
          <w:lang w:val="zh-CN"/>
        </w:rPr>
        <w:fldChar w:fldCharType="begin"/>
      </w:r>
      <w:r>
        <w:rPr>
          <w:rFonts w:hint="eastAsia" w:ascii="宋体" w:hAnsi="宋体"/>
          <w:bCs/>
          <w:color w:val="auto"/>
          <w:sz w:val="24"/>
          <w:szCs w:val="24"/>
          <w:highlight w:val="none"/>
          <w:lang w:val="zh-CN"/>
        </w:rPr>
        <w:instrText xml:space="preserve"> = 2 \* GB3 </w:instrText>
      </w:r>
      <w:r>
        <w:rPr>
          <w:rFonts w:hint="eastAsia" w:ascii="宋体" w:hAnsi="宋体"/>
          <w:bCs/>
          <w:color w:val="auto"/>
          <w:sz w:val="24"/>
          <w:szCs w:val="24"/>
          <w:highlight w:val="none"/>
          <w:lang w:val="zh-CN"/>
        </w:rPr>
        <w:fldChar w:fldCharType="separate"/>
      </w:r>
      <w:r>
        <w:rPr>
          <w:rFonts w:hint="eastAsia" w:ascii="宋体" w:hAnsi="宋体"/>
          <w:bCs/>
          <w:color w:val="auto"/>
          <w:sz w:val="24"/>
          <w:szCs w:val="24"/>
          <w:highlight w:val="none"/>
          <w:lang w:val="zh-CN"/>
        </w:rPr>
        <w:t>②</w:t>
      </w:r>
      <w:r>
        <w:rPr>
          <w:rFonts w:hint="eastAsia" w:ascii="宋体" w:hAnsi="宋体"/>
          <w:bCs/>
          <w:color w:val="auto"/>
          <w:sz w:val="24"/>
          <w:szCs w:val="24"/>
          <w:highlight w:val="none"/>
          <w:lang w:val="zh-CN"/>
        </w:rPr>
        <w:fldChar w:fldCharType="end"/>
      </w:r>
      <w:r>
        <w:rPr>
          <w:rFonts w:hint="eastAsia" w:ascii="宋体" w:hAnsi="宋体"/>
          <w:bCs/>
          <w:color w:val="auto"/>
          <w:sz w:val="24"/>
          <w:szCs w:val="24"/>
          <w:highlight w:val="none"/>
          <w:lang w:val="zh-CN"/>
        </w:rPr>
        <w:t>依法与安置的每位残疾人签订了一年以上（含一年）的劳动合同或服务协议；</w:t>
      </w:r>
    </w:p>
    <w:p w14:paraId="6B8C353E">
      <w:pPr>
        <w:pStyle w:val="197"/>
        <w:ind w:left="0" w:firstLine="400"/>
        <w:rPr>
          <w:rFonts w:hint="eastAsia" w:ascii="宋体" w:hAnsi="宋体"/>
          <w:bCs/>
          <w:color w:val="auto"/>
          <w:sz w:val="24"/>
          <w:szCs w:val="24"/>
          <w:highlight w:val="none"/>
        </w:rPr>
      </w:pPr>
      <w:r>
        <w:rPr>
          <w:rFonts w:hint="eastAsia" w:ascii="宋体" w:hAnsi="宋体"/>
          <w:bCs/>
          <w:color w:val="auto"/>
          <w:sz w:val="24"/>
          <w:szCs w:val="24"/>
          <w:highlight w:val="none"/>
          <w:lang w:val="zh-CN"/>
        </w:rPr>
        <w:fldChar w:fldCharType="begin"/>
      </w:r>
      <w:r>
        <w:rPr>
          <w:rFonts w:hint="eastAsia" w:ascii="宋体" w:hAnsi="宋体"/>
          <w:bCs/>
          <w:color w:val="auto"/>
          <w:sz w:val="24"/>
          <w:szCs w:val="24"/>
          <w:highlight w:val="none"/>
          <w:lang w:val="zh-CN"/>
        </w:rPr>
        <w:instrText xml:space="preserve"> = 3 \* GB3 </w:instrText>
      </w:r>
      <w:r>
        <w:rPr>
          <w:rFonts w:hint="eastAsia" w:ascii="宋体" w:hAnsi="宋体"/>
          <w:bCs/>
          <w:color w:val="auto"/>
          <w:sz w:val="24"/>
          <w:szCs w:val="24"/>
          <w:highlight w:val="none"/>
          <w:lang w:val="zh-CN"/>
        </w:rPr>
        <w:fldChar w:fldCharType="separate"/>
      </w:r>
      <w:r>
        <w:rPr>
          <w:rFonts w:hint="eastAsia" w:ascii="宋体" w:hAnsi="宋体"/>
          <w:bCs/>
          <w:color w:val="auto"/>
          <w:sz w:val="24"/>
          <w:szCs w:val="24"/>
          <w:highlight w:val="none"/>
          <w:lang w:val="zh-CN"/>
        </w:rPr>
        <w:t>③</w:t>
      </w:r>
      <w:r>
        <w:rPr>
          <w:rFonts w:hint="eastAsia" w:ascii="宋体" w:hAnsi="宋体"/>
          <w:bCs/>
          <w:color w:val="auto"/>
          <w:sz w:val="24"/>
          <w:szCs w:val="24"/>
          <w:highlight w:val="none"/>
          <w:lang w:val="zh-CN"/>
        </w:rPr>
        <w:fldChar w:fldCharType="end"/>
      </w:r>
      <w:r>
        <w:rPr>
          <w:rFonts w:hint="eastAsia" w:ascii="宋体" w:hAnsi="宋体"/>
          <w:bCs/>
          <w:color w:val="auto"/>
          <w:sz w:val="24"/>
          <w:szCs w:val="24"/>
          <w:highlight w:val="none"/>
          <w:lang w:val="zh-CN"/>
        </w:rPr>
        <w:t>为安置的每位残疾人按月足额缴纳了基本养老保险、基本医疗保险、失业保险、工伤保险和生育保险等社会保险费；</w:t>
      </w:r>
    </w:p>
    <w:p w14:paraId="6524F35D">
      <w:pPr>
        <w:pStyle w:val="197"/>
        <w:ind w:left="0" w:firstLine="400"/>
        <w:rPr>
          <w:rFonts w:hint="eastAsia" w:ascii="宋体" w:hAnsi="宋体"/>
          <w:bCs/>
          <w:color w:val="auto"/>
          <w:sz w:val="24"/>
          <w:szCs w:val="24"/>
          <w:highlight w:val="none"/>
        </w:rPr>
      </w:pPr>
      <w:r>
        <w:rPr>
          <w:rFonts w:hint="eastAsia" w:ascii="宋体" w:hAnsi="宋体"/>
          <w:bCs/>
          <w:color w:val="auto"/>
          <w:sz w:val="24"/>
          <w:szCs w:val="24"/>
          <w:highlight w:val="none"/>
          <w:lang w:val="zh-CN"/>
        </w:rPr>
        <w:fldChar w:fldCharType="begin"/>
      </w:r>
      <w:r>
        <w:rPr>
          <w:rFonts w:hint="eastAsia" w:ascii="宋体" w:hAnsi="宋体"/>
          <w:bCs/>
          <w:color w:val="auto"/>
          <w:sz w:val="24"/>
          <w:szCs w:val="24"/>
          <w:highlight w:val="none"/>
          <w:lang w:val="zh-CN"/>
        </w:rPr>
        <w:instrText xml:space="preserve"> = 4 \* GB3 </w:instrText>
      </w:r>
      <w:r>
        <w:rPr>
          <w:rFonts w:hint="eastAsia" w:ascii="宋体" w:hAnsi="宋体"/>
          <w:bCs/>
          <w:color w:val="auto"/>
          <w:sz w:val="24"/>
          <w:szCs w:val="24"/>
          <w:highlight w:val="none"/>
          <w:lang w:val="zh-CN"/>
        </w:rPr>
        <w:fldChar w:fldCharType="separate"/>
      </w:r>
      <w:r>
        <w:rPr>
          <w:rFonts w:hint="eastAsia" w:ascii="宋体" w:hAnsi="宋体"/>
          <w:bCs/>
          <w:color w:val="auto"/>
          <w:sz w:val="24"/>
          <w:szCs w:val="24"/>
          <w:highlight w:val="none"/>
          <w:lang w:val="zh-CN"/>
        </w:rPr>
        <w:t>④</w:t>
      </w:r>
      <w:r>
        <w:rPr>
          <w:rFonts w:hint="eastAsia" w:ascii="宋体" w:hAnsi="宋体"/>
          <w:bCs/>
          <w:color w:val="auto"/>
          <w:sz w:val="24"/>
          <w:szCs w:val="24"/>
          <w:highlight w:val="none"/>
          <w:lang w:val="zh-CN"/>
        </w:rPr>
        <w:fldChar w:fldCharType="end"/>
      </w:r>
      <w:r>
        <w:rPr>
          <w:rFonts w:hint="eastAsia" w:ascii="宋体" w:hAnsi="宋体"/>
          <w:bCs/>
          <w:color w:val="auto"/>
          <w:sz w:val="24"/>
          <w:szCs w:val="24"/>
          <w:highlight w:val="none"/>
          <w:lang w:val="zh-CN"/>
        </w:rPr>
        <w:t>通过银行等金融机构向安置的每位残疾人，按月支付了不低于单位所在区县适用的经省级人民政府批准的月最低工资标准的工资；</w:t>
      </w:r>
    </w:p>
    <w:p w14:paraId="20DDF140">
      <w:pPr>
        <w:pStyle w:val="197"/>
        <w:ind w:left="0" w:firstLine="400"/>
        <w:rPr>
          <w:rFonts w:hint="eastAsia" w:ascii="宋体" w:hAnsi="宋体"/>
          <w:bCs/>
          <w:color w:val="auto"/>
          <w:sz w:val="24"/>
          <w:szCs w:val="24"/>
          <w:highlight w:val="none"/>
        </w:rPr>
      </w:pPr>
      <w:r>
        <w:rPr>
          <w:rFonts w:hint="eastAsia" w:ascii="宋体" w:hAnsi="宋体"/>
          <w:bCs/>
          <w:color w:val="auto"/>
          <w:sz w:val="24"/>
          <w:szCs w:val="24"/>
          <w:highlight w:val="none"/>
          <w:lang w:val="zh-CN"/>
        </w:rPr>
        <w:fldChar w:fldCharType="begin"/>
      </w:r>
      <w:r>
        <w:rPr>
          <w:rFonts w:hint="eastAsia" w:ascii="宋体" w:hAnsi="宋体"/>
          <w:bCs/>
          <w:color w:val="auto"/>
          <w:sz w:val="24"/>
          <w:szCs w:val="24"/>
          <w:highlight w:val="none"/>
          <w:lang w:val="zh-CN"/>
        </w:rPr>
        <w:instrText xml:space="preserve"> = 5 \* GB3 </w:instrText>
      </w:r>
      <w:r>
        <w:rPr>
          <w:rFonts w:hint="eastAsia" w:ascii="宋体" w:hAnsi="宋体"/>
          <w:bCs/>
          <w:color w:val="auto"/>
          <w:sz w:val="24"/>
          <w:szCs w:val="24"/>
          <w:highlight w:val="none"/>
          <w:lang w:val="zh-CN"/>
        </w:rPr>
        <w:fldChar w:fldCharType="separate"/>
      </w:r>
      <w:r>
        <w:rPr>
          <w:rFonts w:hint="eastAsia" w:ascii="宋体" w:hAnsi="宋体"/>
          <w:bCs/>
          <w:color w:val="auto"/>
          <w:sz w:val="24"/>
          <w:szCs w:val="24"/>
          <w:highlight w:val="none"/>
          <w:lang w:val="zh-CN"/>
        </w:rPr>
        <w:t>⑤</w:t>
      </w:r>
      <w:r>
        <w:rPr>
          <w:rFonts w:hint="eastAsia" w:ascii="宋体" w:hAnsi="宋体"/>
          <w:bCs/>
          <w:color w:val="auto"/>
          <w:sz w:val="24"/>
          <w:szCs w:val="24"/>
          <w:highlight w:val="none"/>
          <w:lang w:val="zh-CN"/>
        </w:rPr>
        <w:fldChar w:fldCharType="end"/>
      </w:r>
      <w:r>
        <w:rPr>
          <w:rFonts w:hint="eastAsia" w:ascii="宋体" w:hAnsi="宋体"/>
          <w:bCs/>
          <w:color w:val="auto"/>
          <w:sz w:val="24"/>
          <w:szCs w:val="24"/>
          <w:highlight w:val="none"/>
          <w:lang w:val="zh-CN"/>
        </w:rPr>
        <w:t>提供本单位制造的货物、承担的工程或者服务（以下简称产品），或者提供其他残疾人福利性单位制造的货物（不包括使用非残疾人福利性单位注册商标的货物）。</w:t>
      </w:r>
    </w:p>
    <w:p w14:paraId="29A9B114">
      <w:pPr>
        <w:pStyle w:val="197"/>
        <w:ind w:left="0" w:firstLine="400"/>
        <w:rPr>
          <w:rFonts w:hint="eastAsia" w:ascii="宋体" w:hAnsi="宋体"/>
          <w:bCs/>
          <w:color w:val="auto"/>
          <w:sz w:val="24"/>
          <w:szCs w:val="24"/>
          <w:highlight w:val="none"/>
        </w:rPr>
      </w:pPr>
      <w:r>
        <w:rPr>
          <w:rFonts w:hint="eastAsia" w:ascii="宋体" w:hAnsi="宋体"/>
          <w:bCs/>
          <w:color w:val="auto"/>
          <w:sz w:val="24"/>
          <w:szCs w:val="24"/>
          <w:highlight w:val="none"/>
          <w:lang w:val="zh-CN"/>
        </w:rPr>
        <w:t>前款所称残疾人是指法定劳动年龄内，持有《中华人民共和国残疾人证》或者《中华人民共和国残疾军人证（1至8级）》的自然人，包括具有劳动条件和劳动意愿的精神残疾人。在职职工人数是指与残疾人福利性单位建立劳动关系并依法签订劳动合同或者服务协议的雇员人数。</w:t>
      </w:r>
    </w:p>
    <w:p w14:paraId="652675EE">
      <w:pPr>
        <w:pStyle w:val="197"/>
        <w:ind w:left="0" w:firstLine="402"/>
        <w:rPr>
          <w:rFonts w:hint="eastAsia" w:ascii="宋体" w:hAnsi="宋体"/>
          <w:bCs/>
          <w:color w:val="auto"/>
          <w:sz w:val="24"/>
          <w:szCs w:val="24"/>
          <w:highlight w:val="none"/>
        </w:rPr>
      </w:pPr>
      <w:r>
        <w:rPr>
          <w:rFonts w:hint="eastAsia" w:ascii="宋体" w:hAnsi="宋体"/>
          <w:bCs/>
          <w:color w:val="auto"/>
          <w:sz w:val="24"/>
          <w:szCs w:val="24"/>
          <w:highlight w:val="none"/>
          <w:lang w:val="zh-CN"/>
        </w:rPr>
        <w:t>2.中标单位为残疾人福利性单位的，《残疾人福利性单位声明函》将随中标结果同时公告。</w:t>
      </w:r>
    </w:p>
    <w:p w14:paraId="46F0D5E7">
      <w:pPr>
        <w:pStyle w:val="197"/>
        <w:ind w:left="0" w:firstLine="402"/>
        <w:rPr>
          <w:rFonts w:hint="eastAsia" w:ascii="宋体" w:hAnsi="宋体"/>
          <w:bCs/>
          <w:color w:val="auto"/>
          <w:sz w:val="24"/>
          <w:szCs w:val="24"/>
          <w:highlight w:val="none"/>
        </w:rPr>
      </w:pPr>
      <w:r>
        <w:rPr>
          <w:rFonts w:hint="eastAsia" w:ascii="宋体" w:hAnsi="宋体"/>
          <w:bCs/>
          <w:color w:val="auto"/>
          <w:sz w:val="24"/>
          <w:szCs w:val="24"/>
          <w:highlight w:val="none"/>
          <w:lang w:val="zh-CN"/>
        </w:rPr>
        <w:t>3.供应商提供的《残疾人福利性单位声明函》与事实不符的，依照《中华人民共和国政府采购法》第七十七条第一款的规定追究法律责任。</w:t>
      </w:r>
    </w:p>
    <w:p w14:paraId="334C0C61">
      <w:pPr>
        <w:spacing w:line="360" w:lineRule="auto"/>
        <w:rPr>
          <w:rFonts w:hint="eastAsia" w:ascii="宋体" w:hAnsi="宋体" w:cs="宋体"/>
          <w:color w:val="auto"/>
          <w:highlight w:val="none"/>
        </w:rPr>
      </w:pPr>
      <w:r>
        <w:rPr>
          <w:rFonts w:hint="eastAsia" w:ascii="宋体" w:hAnsi="宋体" w:cs="宋体"/>
          <w:color w:val="auto"/>
          <w:highlight w:val="none"/>
        </w:rPr>
        <w:br w:type="page" w:clear="all"/>
      </w:r>
      <w:r>
        <w:rPr>
          <w:rFonts w:hint="eastAsia" w:ascii="宋体" w:hAnsi="宋体"/>
          <w:color w:val="auto"/>
          <w:sz w:val="28"/>
          <w:szCs w:val="28"/>
          <w:highlight w:val="none"/>
          <w:lang w:val="en-US" w:eastAsia="zh-CN"/>
        </w:rPr>
        <w:t>12</w:t>
      </w:r>
      <w:r>
        <w:rPr>
          <w:rFonts w:hint="eastAsia" w:ascii="宋体" w:hAnsi="宋体"/>
          <w:color w:val="auto"/>
          <w:sz w:val="28"/>
          <w:szCs w:val="28"/>
          <w:highlight w:val="none"/>
        </w:rPr>
        <w:t>、供应商情况表</w:t>
      </w:r>
    </w:p>
    <w:p w14:paraId="082314AD">
      <w:pPr>
        <w:spacing w:line="360" w:lineRule="auto"/>
        <w:jc w:val="center"/>
        <w:rPr>
          <w:rFonts w:eastAsia="黑体"/>
          <w:b/>
          <w:bCs/>
          <w:color w:val="auto"/>
          <w:spacing w:val="20"/>
          <w:sz w:val="32"/>
          <w:szCs w:val="32"/>
          <w:highlight w:val="none"/>
        </w:rPr>
      </w:pPr>
      <w:r>
        <w:rPr>
          <w:rFonts w:hint="eastAsia" w:eastAsia="黑体"/>
          <w:b/>
          <w:bCs/>
          <w:color w:val="auto"/>
          <w:spacing w:val="20"/>
          <w:sz w:val="32"/>
          <w:szCs w:val="32"/>
          <w:highlight w:val="none"/>
        </w:rPr>
        <w:t>供应商情况表</w:t>
      </w:r>
    </w:p>
    <w:p w14:paraId="132046A3">
      <w:pPr>
        <w:spacing w:line="360" w:lineRule="auto"/>
        <w:jc w:val="right"/>
        <w:rPr>
          <w:color w:val="auto"/>
          <w:spacing w:val="20"/>
          <w:sz w:val="24"/>
          <w:highlight w:val="none"/>
        </w:rPr>
      </w:pPr>
      <w:r>
        <w:rPr>
          <w:rFonts w:hint="eastAsia"/>
          <w:color w:val="auto"/>
          <w:spacing w:val="20"/>
          <w:sz w:val="24"/>
          <w:highlight w:val="none"/>
        </w:rPr>
        <w:t>年   月   日</w:t>
      </w:r>
    </w:p>
    <w:tbl>
      <w:tblPr>
        <w:tblStyle w:val="33"/>
        <w:tblW w:w="8487" w:type="dxa"/>
        <w:tblInd w:w="1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76"/>
        <w:gridCol w:w="590"/>
        <w:gridCol w:w="390"/>
        <w:gridCol w:w="696"/>
        <w:gridCol w:w="972"/>
        <w:gridCol w:w="530"/>
        <w:gridCol w:w="831"/>
        <w:gridCol w:w="1275"/>
        <w:gridCol w:w="896"/>
        <w:gridCol w:w="212"/>
        <w:gridCol w:w="1319"/>
      </w:tblGrid>
      <w:tr w14:paraId="0C4A35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21" w:hRule="atLeast"/>
        </w:trPr>
        <w:tc>
          <w:tcPr>
            <w:tcW w:w="1756" w:type="dxa"/>
            <w:gridSpan w:val="3"/>
            <w:noWrap/>
            <w:vAlign w:val="center"/>
          </w:tcPr>
          <w:p w14:paraId="4C5570BB">
            <w:pPr>
              <w:spacing w:line="360" w:lineRule="auto"/>
              <w:jc w:val="center"/>
              <w:rPr>
                <w:rFonts w:hint="eastAsia" w:ascii="宋体" w:hAnsi="宋体" w:cs="宋体"/>
                <w:color w:val="auto"/>
                <w:spacing w:val="20"/>
                <w:sz w:val="24"/>
                <w:highlight w:val="none"/>
              </w:rPr>
            </w:pPr>
            <w:r>
              <w:rPr>
                <w:rFonts w:hint="eastAsia" w:ascii="宋体" w:hAnsi="宋体" w:cs="宋体"/>
                <w:color w:val="auto"/>
                <w:spacing w:val="20"/>
                <w:sz w:val="24"/>
                <w:highlight w:val="none"/>
              </w:rPr>
              <w:t>单位名称</w:t>
            </w:r>
          </w:p>
          <w:p w14:paraId="4E573114">
            <w:pPr>
              <w:spacing w:line="360" w:lineRule="auto"/>
              <w:jc w:val="center"/>
              <w:rPr>
                <w:rFonts w:hint="eastAsia" w:ascii="宋体" w:hAnsi="宋体" w:cs="宋体"/>
                <w:color w:val="auto"/>
                <w:spacing w:val="20"/>
                <w:sz w:val="24"/>
                <w:highlight w:val="none"/>
              </w:rPr>
            </w:pPr>
            <w:r>
              <w:rPr>
                <w:rFonts w:hint="eastAsia" w:ascii="宋体" w:hAnsi="宋体" w:cs="宋体"/>
                <w:color w:val="auto"/>
                <w:spacing w:val="20"/>
                <w:sz w:val="24"/>
                <w:highlight w:val="none"/>
              </w:rPr>
              <w:t>（盖章）</w:t>
            </w:r>
          </w:p>
        </w:tc>
        <w:tc>
          <w:tcPr>
            <w:tcW w:w="1668" w:type="dxa"/>
            <w:gridSpan w:val="2"/>
            <w:noWrap/>
            <w:vAlign w:val="center"/>
          </w:tcPr>
          <w:p w14:paraId="18E86BCD">
            <w:pPr>
              <w:spacing w:line="360" w:lineRule="auto"/>
              <w:jc w:val="center"/>
              <w:rPr>
                <w:rFonts w:hint="eastAsia" w:ascii="宋体" w:hAnsi="宋体" w:cs="宋体"/>
                <w:color w:val="auto"/>
                <w:spacing w:val="20"/>
                <w:sz w:val="24"/>
                <w:highlight w:val="none"/>
              </w:rPr>
            </w:pPr>
          </w:p>
        </w:tc>
        <w:tc>
          <w:tcPr>
            <w:tcW w:w="1361" w:type="dxa"/>
            <w:gridSpan w:val="2"/>
            <w:noWrap/>
            <w:vAlign w:val="center"/>
          </w:tcPr>
          <w:p w14:paraId="0D6DCA13">
            <w:pPr>
              <w:spacing w:line="360" w:lineRule="auto"/>
              <w:jc w:val="center"/>
              <w:rPr>
                <w:rFonts w:hint="eastAsia" w:ascii="宋体" w:hAnsi="宋体" w:cs="宋体"/>
                <w:color w:val="auto"/>
                <w:spacing w:val="20"/>
                <w:sz w:val="24"/>
                <w:highlight w:val="none"/>
              </w:rPr>
            </w:pPr>
            <w:r>
              <w:rPr>
                <w:rFonts w:hint="eastAsia" w:ascii="宋体" w:hAnsi="宋体" w:cs="宋体"/>
                <w:color w:val="auto"/>
                <w:spacing w:val="20"/>
                <w:sz w:val="24"/>
                <w:highlight w:val="none"/>
              </w:rPr>
              <w:t>注册号</w:t>
            </w:r>
          </w:p>
        </w:tc>
        <w:tc>
          <w:tcPr>
            <w:tcW w:w="1275" w:type="dxa"/>
            <w:noWrap/>
            <w:vAlign w:val="center"/>
          </w:tcPr>
          <w:p w14:paraId="55128474">
            <w:pPr>
              <w:spacing w:line="360" w:lineRule="auto"/>
              <w:jc w:val="center"/>
              <w:rPr>
                <w:rFonts w:hint="eastAsia" w:ascii="宋体" w:hAnsi="宋体" w:cs="宋体"/>
                <w:color w:val="auto"/>
                <w:spacing w:val="20"/>
                <w:sz w:val="24"/>
                <w:highlight w:val="none"/>
              </w:rPr>
            </w:pPr>
          </w:p>
        </w:tc>
        <w:tc>
          <w:tcPr>
            <w:tcW w:w="1108" w:type="dxa"/>
            <w:gridSpan w:val="2"/>
            <w:noWrap/>
            <w:vAlign w:val="center"/>
          </w:tcPr>
          <w:p w14:paraId="5B03371C">
            <w:pPr>
              <w:spacing w:line="360" w:lineRule="auto"/>
              <w:jc w:val="center"/>
              <w:rPr>
                <w:rFonts w:hint="eastAsia" w:ascii="宋体" w:hAnsi="宋体" w:cs="宋体"/>
                <w:color w:val="auto"/>
                <w:spacing w:val="20"/>
                <w:sz w:val="24"/>
                <w:highlight w:val="none"/>
              </w:rPr>
            </w:pPr>
            <w:r>
              <w:rPr>
                <w:rFonts w:hint="eastAsia" w:ascii="宋体" w:hAnsi="宋体" w:cs="宋体"/>
                <w:color w:val="auto"/>
                <w:spacing w:val="20"/>
                <w:sz w:val="24"/>
                <w:highlight w:val="none"/>
              </w:rPr>
              <w:t>电话</w:t>
            </w:r>
          </w:p>
        </w:tc>
        <w:tc>
          <w:tcPr>
            <w:tcW w:w="1319" w:type="dxa"/>
            <w:noWrap/>
            <w:vAlign w:val="center"/>
          </w:tcPr>
          <w:p w14:paraId="18F2C8B0">
            <w:pPr>
              <w:spacing w:line="360" w:lineRule="auto"/>
              <w:jc w:val="center"/>
              <w:rPr>
                <w:rFonts w:hint="eastAsia" w:ascii="宋体" w:hAnsi="宋体" w:cs="宋体"/>
                <w:color w:val="auto"/>
                <w:spacing w:val="20"/>
                <w:sz w:val="24"/>
                <w:highlight w:val="none"/>
              </w:rPr>
            </w:pPr>
          </w:p>
        </w:tc>
      </w:tr>
      <w:tr w14:paraId="6C7623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8" w:hRule="atLeast"/>
        </w:trPr>
        <w:tc>
          <w:tcPr>
            <w:tcW w:w="1756" w:type="dxa"/>
            <w:gridSpan w:val="3"/>
            <w:noWrap/>
            <w:vAlign w:val="center"/>
          </w:tcPr>
          <w:p w14:paraId="30CEAB32">
            <w:pPr>
              <w:spacing w:line="360" w:lineRule="auto"/>
              <w:jc w:val="center"/>
              <w:rPr>
                <w:rFonts w:hint="eastAsia" w:ascii="宋体" w:hAnsi="宋体" w:cs="宋体"/>
                <w:color w:val="auto"/>
                <w:spacing w:val="20"/>
                <w:sz w:val="24"/>
                <w:highlight w:val="none"/>
              </w:rPr>
            </w:pPr>
            <w:r>
              <w:rPr>
                <w:rFonts w:hint="eastAsia" w:ascii="宋体" w:hAnsi="宋体" w:cs="宋体"/>
                <w:color w:val="auto"/>
                <w:spacing w:val="20"/>
                <w:sz w:val="24"/>
                <w:highlight w:val="none"/>
              </w:rPr>
              <w:t>企业地址</w:t>
            </w:r>
          </w:p>
        </w:tc>
        <w:tc>
          <w:tcPr>
            <w:tcW w:w="1668" w:type="dxa"/>
            <w:gridSpan w:val="2"/>
            <w:noWrap/>
            <w:vAlign w:val="center"/>
          </w:tcPr>
          <w:p w14:paraId="2F723638">
            <w:pPr>
              <w:spacing w:line="360" w:lineRule="auto"/>
              <w:jc w:val="center"/>
              <w:rPr>
                <w:rFonts w:hint="eastAsia" w:ascii="宋体" w:hAnsi="宋体" w:cs="宋体"/>
                <w:color w:val="auto"/>
                <w:spacing w:val="20"/>
                <w:sz w:val="24"/>
                <w:highlight w:val="none"/>
              </w:rPr>
            </w:pPr>
          </w:p>
        </w:tc>
        <w:tc>
          <w:tcPr>
            <w:tcW w:w="1361" w:type="dxa"/>
            <w:gridSpan w:val="2"/>
            <w:noWrap/>
            <w:vAlign w:val="center"/>
          </w:tcPr>
          <w:p w14:paraId="75859F0F">
            <w:pPr>
              <w:spacing w:line="360" w:lineRule="auto"/>
              <w:jc w:val="center"/>
              <w:rPr>
                <w:rFonts w:hint="eastAsia" w:ascii="宋体" w:hAnsi="宋体" w:cs="宋体"/>
                <w:color w:val="auto"/>
                <w:spacing w:val="20"/>
                <w:sz w:val="24"/>
                <w:highlight w:val="none"/>
              </w:rPr>
            </w:pPr>
            <w:r>
              <w:rPr>
                <w:rFonts w:hint="eastAsia" w:ascii="宋体" w:hAnsi="宋体" w:cs="宋体"/>
                <w:color w:val="auto"/>
                <w:spacing w:val="20"/>
                <w:sz w:val="24"/>
                <w:highlight w:val="none"/>
              </w:rPr>
              <w:t>注册资金</w:t>
            </w:r>
          </w:p>
        </w:tc>
        <w:tc>
          <w:tcPr>
            <w:tcW w:w="1275" w:type="dxa"/>
            <w:noWrap/>
            <w:vAlign w:val="center"/>
          </w:tcPr>
          <w:p w14:paraId="692AEE77">
            <w:pPr>
              <w:spacing w:line="360" w:lineRule="auto"/>
              <w:jc w:val="center"/>
              <w:rPr>
                <w:rFonts w:hint="eastAsia" w:ascii="宋体" w:hAnsi="宋体" w:cs="宋体"/>
                <w:color w:val="auto"/>
                <w:spacing w:val="20"/>
                <w:sz w:val="24"/>
                <w:highlight w:val="none"/>
              </w:rPr>
            </w:pPr>
          </w:p>
        </w:tc>
        <w:tc>
          <w:tcPr>
            <w:tcW w:w="1108" w:type="dxa"/>
            <w:gridSpan w:val="2"/>
            <w:noWrap/>
            <w:vAlign w:val="center"/>
          </w:tcPr>
          <w:p w14:paraId="48A266B2">
            <w:pPr>
              <w:spacing w:line="360" w:lineRule="auto"/>
              <w:jc w:val="center"/>
              <w:rPr>
                <w:rFonts w:hint="eastAsia" w:ascii="宋体" w:hAnsi="宋体" w:cs="宋体"/>
                <w:color w:val="auto"/>
                <w:spacing w:val="20"/>
                <w:sz w:val="24"/>
                <w:highlight w:val="none"/>
              </w:rPr>
            </w:pPr>
            <w:r>
              <w:rPr>
                <w:rFonts w:hint="eastAsia" w:ascii="宋体" w:hAnsi="宋体" w:cs="宋体"/>
                <w:color w:val="auto"/>
                <w:spacing w:val="20"/>
                <w:sz w:val="24"/>
                <w:highlight w:val="none"/>
              </w:rPr>
              <w:t>传真</w:t>
            </w:r>
          </w:p>
        </w:tc>
        <w:tc>
          <w:tcPr>
            <w:tcW w:w="1319" w:type="dxa"/>
            <w:noWrap/>
            <w:vAlign w:val="center"/>
          </w:tcPr>
          <w:p w14:paraId="03E98415">
            <w:pPr>
              <w:spacing w:line="360" w:lineRule="auto"/>
              <w:jc w:val="center"/>
              <w:rPr>
                <w:rFonts w:hint="eastAsia" w:ascii="宋体" w:hAnsi="宋体" w:cs="宋体"/>
                <w:color w:val="auto"/>
                <w:spacing w:val="20"/>
                <w:sz w:val="24"/>
                <w:highlight w:val="none"/>
              </w:rPr>
            </w:pPr>
          </w:p>
        </w:tc>
      </w:tr>
      <w:tr w14:paraId="6AAA61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90" w:hRule="atLeast"/>
        </w:trPr>
        <w:tc>
          <w:tcPr>
            <w:tcW w:w="1756" w:type="dxa"/>
            <w:gridSpan w:val="3"/>
            <w:noWrap/>
            <w:vAlign w:val="center"/>
          </w:tcPr>
          <w:p w14:paraId="3FCD71A7">
            <w:pPr>
              <w:spacing w:line="360" w:lineRule="auto"/>
              <w:jc w:val="center"/>
              <w:rPr>
                <w:rFonts w:hint="eastAsia" w:ascii="宋体" w:hAnsi="宋体" w:cs="宋体"/>
                <w:color w:val="auto"/>
                <w:spacing w:val="20"/>
                <w:sz w:val="24"/>
                <w:highlight w:val="none"/>
              </w:rPr>
            </w:pPr>
            <w:r>
              <w:rPr>
                <w:rFonts w:hint="eastAsia" w:ascii="宋体" w:hAnsi="宋体" w:cs="宋体"/>
                <w:color w:val="auto"/>
                <w:spacing w:val="20"/>
                <w:sz w:val="24"/>
                <w:highlight w:val="none"/>
              </w:rPr>
              <w:t>一、单位简历及机构</w:t>
            </w:r>
          </w:p>
        </w:tc>
        <w:tc>
          <w:tcPr>
            <w:tcW w:w="6731" w:type="dxa"/>
            <w:gridSpan w:val="8"/>
            <w:noWrap/>
            <w:vAlign w:val="center"/>
          </w:tcPr>
          <w:p w14:paraId="3CE8F93C">
            <w:pPr>
              <w:spacing w:line="360" w:lineRule="auto"/>
              <w:jc w:val="center"/>
              <w:rPr>
                <w:rFonts w:hint="eastAsia" w:ascii="宋体" w:hAnsi="宋体" w:cs="宋体"/>
                <w:color w:val="auto"/>
                <w:spacing w:val="20"/>
                <w:sz w:val="24"/>
                <w:highlight w:val="none"/>
              </w:rPr>
            </w:pPr>
          </w:p>
        </w:tc>
      </w:tr>
      <w:tr w14:paraId="203E7C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59" w:hRule="atLeast"/>
        </w:trPr>
        <w:tc>
          <w:tcPr>
            <w:tcW w:w="1756" w:type="dxa"/>
            <w:gridSpan w:val="3"/>
            <w:noWrap/>
            <w:vAlign w:val="center"/>
          </w:tcPr>
          <w:p w14:paraId="027BDB3F">
            <w:pPr>
              <w:spacing w:line="360" w:lineRule="auto"/>
              <w:jc w:val="center"/>
              <w:rPr>
                <w:rFonts w:hint="eastAsia" w:ascii="宋体" w:hAnsi="宋体" w:cs="宋体"/>
                <w:color w:val="auto"/>
                <w:spacing w:val="20"/>
                <w:sz w:val="24"/>
                <w:highlight w:val="none"/>
              </w:rPr>
            </w:pPr>
            <w:r>
              <w:rPr>
                <w:rFonts w:hint="eastAsia" w:ascii="宋体" w:hAnsi="宋体" w:cs="宋体"/>
                <w:color w:val="auto"/>
                <w:spacing w:val="20"/>
                <w:sz w:val="24"/>
                <w:highlight w:val="none"/>
              </w:rPr>
              <w:t>二、单位优势及特长</w:t>
            </w:r>
          </w:p>
        </w:tc>
        <w:tc>
          <w:tcPr>
            <w:tcW w:w="6731" w:type="dxa"/>
            <w:gridSpan w:val="8"/>
            <w:noWrap/>
            <w:vAlign w:val="center"/>
          </w:tcPr>
          <w:p w14:paraId="2FE65C69">
            <w:pPr>
              <w:spacing w:line="360" w:lineRule="auto"/>
              <w:jc w:val="center"/>
              <w:rPr>
                <w:rFonts w:hint="eastAsia" w:ascii="宋体" w:hAnsi="宋体" w:cs="宋体"/>
                <w:color w:val="auto"/>
                <w:spacing w:val="20"/>
                <w:sz w:val="24"/>
                <w:highlight w:val="none"/>
              </w:rPr>
            </w:pPr>
          </w:p>
        </w:tc>
      </w:tr>
      <w:tr w14:paraId="32BF7D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919" w:hRule="atLeast"/>
        </w:trPr>
        <w:tc>
          <w:tcPr>
            <w:tcW w:w="776" w:type="dxa"/>
            <w:vMerge w:val="restart"/>
            <w:noWrap/>
            <w:vAlign w:val="center"/>
          </w:tcPr>
          <w:p w14:paraId="3AC0D24E">
            <w:pPr>
              <w:spacing w:line="360" w:lineRule="auto"/>
              <w:jc w:val="center"/>
              <w:rPr>
                <w:rFonts w:hint="eastAsia" w:ascii="宋体" w:hAnsi="宋体" w:cs="宋体"/>
                <w:color w:val="auto"/>
                <w:spacing w:val="20"/>
                <w:sz w:val="24"/>
                <w:highlight w:val="none"/>
              </w:rPr>
            </w:pPr>
            <w:r>
              <w:rPr>
                <w:rFonts w:hint="eastAsia" w:ascii="宋体" w:hAnsi="宋体" w:cs="宋体"/>
                <w:color w:val="auto"/>
                <w:spacing w:val="20"/>
                <w:sz w:val="24"/>
                <w:highlight w:val="none"/>
              </w:rPr>
              <w:t>三、单</w:t>
            </w:r>
          </w:p>
          <w:p w14:paraId="189B32AC">
            <w:pPr>
              <w:spacing w:line="360" w:lineRule="auto"/>
              <w:jc w:val="center"/>
              <w:rPr>
                <w:rFonts w:hint="eastAsia" w:ascii="宋体" w:hAnsi="宋体" w:cs="宋体"/>
                <w:color w:val="auto"/>
                <w:spacing w:val="20"/>
                <w:sz w:val="24"/>
                <w:highlight w:val="none"/>
              </w:rPr>
            </w:pPr>
            <w:r>
              <w:rPr>
                <w:rFonts w:hint="eastAsia" w:ascii="宋体" w:hAnsi="宋体" w:cs="宋体"/>
                <w:color w:val="auto"/>
                <w:spacing w:val="20"/>
                <w:sz w:val="24"/>
                <w:highlight w:val="none"/>
              </w:rPr>
              <w:t>位</w:t>
            </w:r>
          </w:p>
          <w:p w14:paraId="56F8B32F">
            <w:pPr>
              <w:spacing w:line="360" w:lineRule="auto"/>
              <w:jc w:val="center"/>
              <w:rPr>
                <w:rFonts w:hint="eastAsia" w:ascii="宋体" w:hAnsi="宋体" w:cs="宋体"/>
                <w:color w:val="auto"/>
                <w:spacing w:val="20"/>
                <w:sz w:val="24"/>
                <w:highlight w:val="none"/>
              </w:rPr>
            </w:pPr>
            <w:r>
              <w:rPr>
                <w:rFonts w:hint="eastAsia" w:ascii="宋体" w:hAnsi="宋体" w:cs="宋体"/>
                <w:color w:val="auto"/>
                <w:spacing w:val="20"/>
                <w:sz w:val="24"/>
                <w:highlight w:val="none"/>
              </w:rPr>
              <w:t>概</w:t>
            </w:r>
          </w:p>
          <w:p w14:paraId="4AD5ECBA">
            <w:pPr>
              <w:spacing w:line="360" w:lineRule="auto"/>
              <w:jc w:val="center"/>
              <w:rPr>
                <w:rFonts w:hint="eastAsia" w:ascii="宋体" w:hAnsi="宋体" w:cs="宋体"/>
                <w:color w:val="auto"/>
                <w:spacing w:val="20"/>
                <w:sz w:val="24"/>
                <w:highlight w:val="none"/>
              </w:rPr>
            </w:pPr>
            <w:r>
              <w:rPr>
                <w:rFonts w:hint="eastAsia" w:ascii="宋体" w:hAnsi="宋体" w:cs="宋体"/>
                <w:color w:val="auto"/>
                <w:spacing w:val="20"/>
                <w:sz w:val="24"/>
                <w:highlight w:val="none"/>
              </w:rPr>
              <w:t>况</w:t>
            </w:r>
          </w:p>
        </w:tc>
        <w:tc>
          <w:tcPr>
            <w:tcW w:w="1676" w:type="dxa"/>
            <w:gridSpan w:val="3"/>
            <w:noWrap/>
            <w:vAlign w:val="center"/>
          </w:tcPr>
          <w:p w14:paraId="3B5CD19A">
            <w:pPr>
              <w:spacing w:line="360" w:lineRule="auto"/>
              <w:jc w:val="center"/>
              <w:rPr>
                <w:rFonts w:hint="eastAsia" w:ascii="宋体" w:hAnsi="宋体" w:cs="宋体"/>
                <w:color w:val="auto"/>
                <w:spacing w:val="20"/>
                <w:sz w:val="24"/>
                <w:highlight w:val="none"/>
              </w:rPr>
            </w:pPr>
            <w:r>
              <w:rPr>
                <w:rFonts w:hint="eastAsia" w:ascii="宋体" w:hAnsi="宋体" w:cs="宋体"/>
                <w:color w:val="auto"/>
                <w:spacing w:val="20"/>
                <w:sz w:val="24"/>
                <w:highlight w:val="none"/>
              </w:rPr>
              <w:t>职工总数</w:t>
            </w:r>
          </w:p>
        </w:tc>
        <w:tc>
          <w:tcPr>
            <w:tcW w:w="1502" w:type="dxa"/>
            <w:gridSpan w:val="2"/>
            <w:noWrap/>
            <w:vAlign w:val="center"/>
          </w:tcPr>
          <w:p w14:paraId="09AB5B0A">
            <w:pPr>
              <w:spacing w:line="360" w:lineRule="auto"/>
              <w:jc w:val="center"/>
              <w:rPr>
                <w:rFonts w:hint="eastAsia" w:ascii="宋体" w:hAnsi="宋体" w:cs="宋体"/>
                <w:color w:val="auto"/>
                <w:spacing w:val="20"/>
                <w:sz w:val="24"/>
                <w:highlight w:val="none"/>
              </w:rPr>
            </w:pPr>
          </w:p>
        </w:tc>
        <w:tc>
          <w:tcPr>
            <w:tcW w:w="3002" w:type="dxa"/>
            <w:gridSpan w:val="3"/>
            <w:noWrap/>
            <w:vAlign w:val="center"/>
          </w:tcPr>
          <w:p w14:paraId="5391176A">
            <w:pPr>
              <w:spacing w:line="360" w:lineRule="auto"/>
              <w:jc w:val="center"/>
              <w:rPr>
                <w:rFonts w:hint="eastAsia" w:ascii="宋体" w:hAnsi="宋体" w:cs="宋体"/>
                <w:color w:val="auto"/>
                <w:spacing w:val="20"/>
                <w:sz w:val="24"/>
                <w:highlight w:val="none"/>
              </w:rPr>
            </w:pPr>
            <w:r>
              <w:rPr>
                <w:rFonts w:hint="eastAsia" w:ascii="宋体" w:hAnsi="宋体" w:cs="宋体"/>
                <w:color w:val="auto"/>
                <w:spacing w:val="20"/>
                <w:sz w:val="24"/>
                <w:highlight w:val="none"/>
              </w:rPr>
              <w:t>其中：中级职称人员</w:t>
            </w:r>
          </w:p>
        </w:tc>
        <w:tc>
          <w:tcPr>
            <w:tcW w:w="1531" w:type="dxa"/>
            <w:gridSpan w:val="2"/>
            <w:noWrap/>
            <w:vAlign w:val="center"/>
          </w:tcPr>
          <w:p w14:paraId="3CDB697D">
            <w:pPr>
              <w:spacing w:line="360" w:lineRule="auto"/>
              <w:jc w:val="center"/>
              <w:rPr>
                <w:rFonts w:hint="eastAsia" w:ascii="宋体" w:hAnsi="宋体" w:cs="宋体"/>
                <w:color w:val="auto"/>
                <w:spacing w:val="20"/>
                <w:sz w:val="24"/>
                <w:highlight w:val="none"/>
              </w:rPr>
            </w:pPr>
          </w:p>
        </w:tc>
      </w:tr>
      <w:tr w14:paraId="6AAB5F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931" w:hRule="atLeast"/>
        </w:trPr>
        <w:tc>
          <w:tcPr>
            <w:tcW w:w="776" w:type="dxa"/>
            <w:vMerge w:val="continue"/>
            <w:noWrap/>
            <w:vAlign w:val="center"/>
          </w:tcPr>
          <w:p w14:paraId="30FB6A01">
            <w:pPr>
              <w:widowControl/>
              <w:jc w:val="left"/>
              <w:rPr>
                <w:rFonts w:hint="eastAsia" w:ascii="宋体" w:hAnsi="宋体" w:cs="宋体"/>
                <w:color w:val="auto"/>
                <w:spacing w:val="20"/>
                <w:sz w:val="24"/>
                <w:highlight w:val="none"/>
              </w:rPr>
            </w:pPr>
          </w:p>
        </w:tc>
        <w:tc>
          <w:tcPr>
            <w:tcW w:w="7711" w:type="dxa"/>
            <w:gridSpan w:val="10"/>
            <w:noWrap/>
            <w:vAlign w:val="center"/>
          </w:tcPr>
          <w:p w14:paraId="7D1AAB89">
            <w:pPr>
              <w:spacing w:line="360" w:lineRule="auto"/>
              <w:rPr>
                <w:rFonts w:hint="eastAsia" w:ascii="宋体" w:hAnsi="宋体" w:cs="宋体"/>
                <w:color w:val="auto"/>
                <w:spacing w:val="20"/>
                <w:sz w:val="24"/>
                <w:highlight w:val="none"/>
              </w:rPr>
            </w:pPr>
            <w:r>
              <w:rPr>
                <w:rFonts w:hint="eastAsia" w:ascii="宋体" w:hAnsi="宋体" w:cs="宋体"/>
                <w:color w:val="auto"/>
                <w:spacing w:val="20"/>
                <w:sz w:val="24"/>
                <w:highlight w:val="none"/>
              </w:rPr>
              <w:t>资产总计：  万元；资产净值： 万元；股东权益：   万元</w:t>
            </w:r>
          </w:p>
        </w:tc>
      </w:tr>
      <w:tr w14:paraId="21A3EB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930" w:hRule="atLeast"/>
        </w:trPr>
        <w:tc>
          <w:tcPr>
            <w:tcW w:w="776" w:type="dxa"/>
            <w:vMerge w:val="continue"/>
            <w:noWrap/>
            <w:vAlign w:val="center"/>
          </w:tcPr>
          <w:p w14:paraId="6C57C9EC">
            <w:pPr>
              <w:widowControl/>
              <w:jc w:val="left"/>
              <w:rPr>
                <w:rFonts w:hint="eastAsia" w:ascii="宋体" w:hAnsi="宋体" w:cs="宋体"/>
                <w:color w:val="auto"/>
                <w:spacing w:val="20"/>
                <w:sz w:val="24"/>
                <w:highlight w:val="none"/>
              </w:rPr>
            </w:pPr>
          </w:p>
        </w:tc>
        <w:tc>
          <w:tcPr>
            <w:tcW w:w="7711" w:type="dxa"/>
            <w:gridSpan w:val="10"/>
            <w:noWrap/>
            <w:vAlign w:val="center"/>
          </w:tcPr>
          <w:p w14:paraId="161EDEEB">
            <w:pPr>
              <w:spacing w:line="360" w:lineRule="auto"/>
              <w:rPr>
                <w:rFonts w:hint="eastAsia" w:ascii="宋体" w:hAnsi="宋体" w:cs="宋体"/>
                <w:color w:val="auto"/>
                <w:spacing w:val="20"/>
                <w:sz w:val="24"/>
                <w:highlight w:val="none"/>
              </w:rPr>
            </w:pPr>
            <w:r>
              <w:rPr>
                <w:rFonts w:hint="eastAsia" w:ascii="宋体" w:hAnsi="宋体" w:cs="宋体"/>
                <w:color w:val="auto"/>
                <w:spacing w:val="20"/>
                <w:sz w:val="24"/>
                <w:highlight w:val="none"/>
              </w:rPr>
              <w:t>营业面积（含厂房面积）：   M</w:t>
            </w:r>
            <w:r>
              <w:rPr>
                <w:rFonts w:hint="eastAsia" w:ascii="宋体" w:hAnsi="宋体" w:cs="宋体"/>
                <w:color w:val="auto"/>
                <w:spacing w:val="20"/>
                <w:sz w:val="24"/>
                <w:highlight w:val="none"/>
                <w:vertAlign w:val="superscript"/>
              </w:rPr>
              <w:t>2</w:t>
            </w:r>
            <w:r>
              <w:rPr>
                <w:rFonts w:hint="eastAsia" w:ascii="宋体" w:hAnsi="宋体" w:cs="宋体"/>
                <w:color w:val="auto"/>
                <w:spacing w:val="20"/>
                <w:sz w:val="24"/>
                <w:highlight w:val="none"/>
              </w:rPr>
              <w:t>，产权：  M</w:t>
            </w:r>
            <w:r>
              <w:rPr>
                <w:rFonts w:hint="eastAsia" w:ascii="宋体" w:hAnsi="宋体" w:cs="宋体"/>
                <w:color w:val="auto"/>
                <w:spacing w:val="20"/>
                <w:sz w:val="24"/>
                <w:highlight w:val="none"/>
                <w:vertAlign w:val="superscript"/>
              </w:rPr>
              <w:t>2</w:t>
            </w:r>
            <w:r>
              <w:rPr>
                <w:rFonts w:hint="eastAsia" w:ascii="宋体" w:hAnsi="宋体" w:cs="宋体"/>
                <w:color w:val="auto"/>
                <w:spacing w:val="20"/>
                <w:sz w:val="24"/>
                <w:highlight w:val="none"/>
              </w:rPr>
              <w:t>，租：   M</w:t>
            </w:r>
            <w:r>
              <w:rPr>
                <w:rFonts w:hint="eastAsia" w:ascii="宋体" w:hAnsi="宋体" w:cs="宋体"/>
                <w:color w:val="auto"/>
                <w:spacing w:val="20"/>
                <w:sz w:val="24"/>
                <w:highlight w:val="none"/>
                <w:vertAlign w:val="superscript"/>
              </w:rPr>
              <w:t>2</w:t>
            </w:r>
          </w:p>
        </w:tc>
      </w:tr>
      <w:tr w14:paraId="3C93B0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736" w:hRule="atLeast"/>
        </w:trPr>
        <w:tc>
          <w:tcPr>
            <w:tcW w:w="776" w:type="dxa"/>
            <w:vMerge w:val="continue"/>
            <w:noWrap/>
            <w:vAlign w:val="center"/>
          </w:tcPr>
          <w:p w14:paraId="30391B54">
            <w:pPr>
              <w:widowControl/>
              <w:jc w:val="left"/>
              <w:rPr>
                <w:rFonts w:hint="eastAsia" w:ascii="宋体" w:hAnsi="宋体" w:cs="宋体"/>
                <w:color w:val="auto"/>
                <w:spacing w:val="20"/>
                <w:sz w:val="24"/>
                <w:highlight w:val="none"/>
              </w:rPr>
            </w:pPr>
          </w:p>
        </w:tc>
        <w:tc>
          <w:tcPr>
            <w:tcW w:w="7711" w:type="dxa"/>
            <w:gridSpan w:val="10"/>
            <w:noWrap/>
            <w:vAlign w:val="center"/>
          </w:tcPr>
          <w:p w14:paraId="1970A9C3">
            <w:pPr>
              <w:spacing w:line="360" w:lineRule="auto"/>
              <w:rPr>
                <w:rFonts w:hint="eastAsia" w:ascii="宋体" w:hAnsi="宋体" w:cs="宋体"/>
                <w:color w:val="auto"/>
                <w:spacing w:val="20"/>
                <w:sz w:val="24"/>
                <w:highlight w:val="none"/>
              </w:rPr>
            </w:pPr>
            <w:r>
              <w:rPr>
                <w:rFonts w:hint="eastAsia" w:ascii="宋体" w:hAnsi="宋体" w:cs="宋体"/>
                <w:color w:val="auto"/>
                <w:spacing w:val="20"/>
                <w:sz w:val="24"/>
                <w:highlight w:val="none"/>
              </w:rPr>
              <w:t>销（零）售额：    年     万元；     年：      万元</w:t>
            </w:r>
          </w:p>
        </w:tc>
      </w:tr>
      <w:tr w14:paraId="0041BC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90" w:hRule="atLeast"/>
        </w:trPr>
        <w:tc>
          <w:tcPr>
            <w:tcW w:w="776" w:type="dxa"/>
            <w:vMerge w:val="continue"/>
            <w:noWrap/>
            <w:vAlign w:val="center"/>
          </w:tcPr>
          <w:p w14:paraId="00A00E72">
            <w:pPr>
              <w:widowControl/>
              <w:jc w:val="left"/>
              <w:rPr>
                <w:rFonts w:hint="eastAsia" w:ascii="宋体" w:hAnsi="宋体" w:cs="宋体"/>
                <w:color w:val="auto"/>
                <w:spacing w:val="20"/>
                <w:sz w:val="24"/>
                <w:highlight w:val="none"/>
              </w:rPr>
            </w:pPr>
          </w:p>
        </w:tc>
        <w:tc>
          <w:tcPr>
            <w:tcW w:w="7711" w:type="dxa"/>
            <w:gridSpan w:val="10"/>
            <w:noWrap/>
            <w:vAlign w:val="center"/>
          </w:tcPr>
          <w:p w14:paraId="3D5E4B9F">
            <w:pPr>
              <w:spacing w:line="360" w:lineRule="auto"/>
              <w:rPr>
                <w:rFonts w:hint="eastAsia" w:ascii="宋体" w:hAnsi="宋体" w:cs="宋体"/>
                <w:color w:val="auto"/>
                <w:spacing w:val="20"/>
                <w:sz w:val="24"/>
                <w:highlight w:val="none"/>
              </w:rPr>
            </w:pPr>
            <w:r>
              <w:rPr>
                <w:rFonts w:hint="eastAsia" w:ascii="宋体" w:hAnsi="宋体" w:cs="宋体"/>
                <w:color w:val="auto"/>
                <w:spacing w:val="20"/>
                <w:sz w:val="24"/>
                <w:highlight w:val="none"/>
              </w:rPr>
              <w:t>实现利润：    年        万元；      年：     万元</w:t>
            </w:r>
          </w:p>
        </w:tc>
      </w:tr>
      <w:tr w14:paraId="7C296A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935" w:hRule="atLeast"/>
        </w:trPr>
        <w:tc>
          <w:tcPr>
            <w:tcW w:w="776" w:type="dxa"/>
            <w:vMerge w:val="continue"/>
            <w:noWrap/>
            <w:vAlign w:val="center"/>
          </w:tcPr>
          <w:p w14:paraId="59F3E75C">
            <w:pPr>
              <w:widowControl/>
              <w:jc w:val="left"/>
              <w:rPr>
                <w:rFonts w:hint="eastAsia" w:ascii="宋体" w:hAnsi="宋体" w:cs="宋体"/>
                <w:color w:val="auto"/>
                <w:spacing w:val="20"/>
                <w:sz w:val="24"/>
                <w:highlight w:val="none"/>
              </w:rPr>
            </w:pPr>
          </w:p>
        </w:tc>
        <w:tc>
          <w:tcPr>
            <w:tcW w:w="590" w:type="dxa"/>
            <w:vMerge w:val="restart"/>
            <w:noWrap/>
            <w:vAlign w:val="center"/>
          </w:tcPr>
          <w:p w14:paraId="7D354568">
            <w:pPr>
              <w:spacing w:line="360" w:lineRule="auto"/>
              <w:jc w:val="center"/>
              <w:rPr>
                <w:rFonts w:hint="eastAsia" w:ascii="宋体" w:hAnsi="宋体" w:cs="宋体"/>
                <w:color w:val="auto"/>
                <w:spacing w:val="20"/>
                <w:sz w:val="24"/>
                <w:highlight w:val="none"/>
              </w:rPr>
            </w:pPr>
            <w:r>
              <w:rPr>
                <w:rFonts w:hint="eastAsia" w:ascii="宋体" w:hAnsi="宋体" w:cs="宋体"/>
                <w:color w:val="auto"/>
                <w:spacing w:val="20"/>
                <w:sz w:val="24"/>
                <w:highlight w:val="none"/>
              </w:rPr>
              <w:t>主</w:t>
            </w:r>
          </w:p>
          <w:p w14:paraId="0ADDD1A3">
            <w:pPr>
              <w:spacing w:line="360" w:lineRule="auto"/>
              <w:jc w:val="center"/>
              <w:rPr>
                <w:rFonts w:hint="eastAsia" w:ascii="宋体" w:hAnsi="宋体" w:cs="宋体"/>
                <w:color w:val="auto"/>
                <w:spacing w:val="20"/>
                <w:sz w:val="24"/>
                <w:highlight w:val="none"/>
              </w:rPr>
            </w:pPr>
            <w:r>
              <w:rPr>
                <w:rFonts w:hint="eastAsia" w:ascii="宋体" w:hAnsi="宋体" w:cs="宋体"/>
                <w:color w:val="auto"/>
                <w:spacing w:val="20"/>
                <w:sz w:val="24"/>
                <w:highlight w:val="none"/>
              </w:rPr>
              <w:t>要</w:t>
            </w:r>
          </w:p>
          <w:p w14:paraId="20D8D9E0">
            <w:pPr>
              <w:spacing w:line="360" w:lineRule="auto"/>
              <w:jc w:val="center"/>
              <w:rPr>
                <w:rFonts w:hint="eastAsia" w:ascii="宋体" w:hAnsi="宋体" w:cs="宋体"/>
                <w:color w:val="auto"/>
                <w:spacing w:val="20"/>
                <w:sz w:val="24"/>
                <w:highlight w:val="none"/>
              </w:rPr>
            </w:pPr>
            <w:r>
              <w:rPr>
                <w:rFonts w:hint="eastAsia" w:ascii="宋体" w:hAnsi="宋体" w:cs="宋体"/>
                <w:color w:val="auto"/>
                <w:spacing w:val="20"/>
                <w:sz w:val="24"/>
                <w:highlight w:val="none"/>
              </w:rPr>
              <w:t>业务</w:t>
            </w:r>
          </w:p>
        </w:tc>
        <w:tc>
          <w:tcPr>
            <w:tcW w:w="7121" w:type="dxa"/>
            <w:gridSpan w:val="9"/>
            <w:noWrap/>
            <w:vAlign w:val="center"/>
          </w:tcPr>
          <w:p w14:paraId="0A940AC2">
            <w:pPr>
              <w:spacing w:line="360" w:lineRule="auto"/>
              <w:rPr>
                <w:rFonts w:hint="eastAsia" w:ascii="宋体" w:hAnsi="宋体" w:cs="宋体"/>
                <w:color w:val="auto"/>
                <w:spacing w:val="20"/>
                <w:sz w:val="24"/>
                <w:highlight w:val="none"/>
              </w:rPr>
            </w:pPr>
          </w:p>
        </w:tc>
      </w:tr>
      <w:tr w14:paraId="2FDFF5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001" w:hRule="atLeast"/>
        </w:trPr>
        <w:tc>
          <w:tcPr>
            <w:tcW w:w="776" w:type="dxa"/>
            <w:vMerge w:val="continue"/>
            <w:noWrap/>
            <w:vAlign w:val="center"/>
          </w:tcPr>
          <w:p w14:paraId="510A1586">
            <w:pPr>
              <w:widowControl/>
              <w:jc w:val="left"/>
              <w:rPr>
                <w:rFonts w:hint="eastAsia" w:ascii="宋体" w:hAnsi="宋体" w:cs="宋体"/>
                <w:color w:val="auto"/>
                <w:spacing w:val="20"/>
                <w:sz w:val="24"/>
                <w:highlight w:val="none"/>
              </w:rPr>
            </w:pPr>
          </w:p>
        </w:tc>
        <w:tc>
          <w:tcPr>
            <w:tcW w:w="590" w:type="dxa"/>
            <w:vMerge w:val="continue"/>
            <w:noWrap/>
            <w:vAlign w:val="center"/>
          </w:tcPr>
          <w:p w14:paraId="05176D05">
            <w:pPr>
              <w:widowControl/>
              <w:jc w:val="left"/>
              <w:rPr>
                <w:rFonts w:hint="eastAsia" w:ascii="宋体" w:hAnsi="宋体" w:cs="宋体"/>
                <w:color w:val="auto"/>
                <w:spacing w:val="20"/>
                <w:sz w:val="24"/>
                <w:highlight w:val="none"/>
              </w:rPr>
            </w:pPr>
          </w:p>
        </w:tc>
        <w:tc>
          <w:tcPr>
            <w:tcW w:w="7121" w:type="dxa"/>
            <w:gridSpan w:val="9"/>
            <w:noWrap/>
            <w:vAlign w:val="center"/>
          </w:tcPr>
          <w:p w14:paraId="6A4AD395">
            <w:pPr>
              <w:spacing w:line="360" w:lineRule="auto"/>
              <w:rPr>
                <w:rFonts w:hint="eastAsia" w:ascii="宋体" w:hAnsi="宋体" w:cs="宋体"/>
                <w:color w:val="auto"/>
                <w:spacing w:val="20"/>
                <w:sz w:val="24"/>
                <w:highlight w:val="none"/>
              </w:rPr>
            </w:pPr>
          </w:p>
        </w:tc>
      </w:tr>
      <w:tr w14:paraId="426161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051" w:hRule="atLeast"/>
        </w:trPr>
        <w:tc>
          <w:tcPr>
            <w:tcW w:w="776" w:type="dxa"/>
            <w:vMerge w:val="continue"/>
            <w:noWrap/>
            <w:vAlign w:val="center"/>
          </w:tcPr>
          <w:p w14:paraId="19BE867D">
            <w:pPr>
              <w:widowControl/>
              <w:jc w:val="left"/>
              <w:rPr>
                <w:rFonts w:hint="eastAsia" w:ascii="宋体" w:hAnsi="宋体" w:cs="宋体"/>
                <w:color w:val="auto"/>
                <w:spacing w:val="20"/>
                <w:sz w:val="24"/>
                <w:highlight w:val="none"/>
              </w:rPr>
            </w:pPr>
          </w:p>
        </w:tc>
        <w:tc>
          <w:tcPr>
            <w:tcW w:w="590" w:type="dxa"/>
            <w:vMerge w:val="continue"/>
            <w:noWrap/>
            <w:vAlign w:val="center"/>
          </w:tcPr>
          <w:p w14:paraId="66F5D9AA">
            <w:pPr>
              <w:widowControl/>
              <w:jc w:val="left"/>
              <w:rPr>
                <w:rFonts w:hint="eastAsia" w:ascii="宋体" w:hAnsi="宋体" w:cs="宋体"/>
                <w:color w:val="auto"/>
                <w:spacing w:val="20"/>
                <w:sz w:val="24"/>
                <w:highlight w:val="none"/>
              </w:rPr>
            </w:pPr>
          </w:p>
        </w:tc>
        <w:tc>
          <w:tcPr>
            <w:tcW w:w="7121" w:type="dxa"/>
            <w:gridSpan w:val="9"/>
            <w:noWrap/>
            <w:vAlign w:val="center"/>
          </w:tcPr>
          <w:p w14:paraId="7413B92C">
            <w:pPr>
              <w:spacing w:line="360" w:lineRule="auto"/>
              <w:rPr>
                <w:rFonts w:hint="eastAsia" w:ascii="宋体" w:hAnsi="宋体" w:cs="宋体"/>
                <w:color w:val="auto"/>
                <w:spacing w:val="20"/>
                <w:sz w:val="24"/>
                <w:highlight w:val="none"/>
              </w:rPr>
            </w:pPr>
          </w:p>
        </w:tc>
      </w:tr>
    </w:tbl>
    <w:p w14:paraId="33BB2C0E">
      <w:pPr>
        <w:spacing w:before="240" w:after="60"/>
        <w:jc w:val="center"/>
        <w:outlineLvl w:val="0"/>
        <w:rPr>
          <w:rFonts w:hint="eastAsia" w:ascii="宋体" w:hAnsi="宋体" w:cs="宋体"/>
          <w:color w:val="auto"/>
          <w:highlight w:val="none"/>
        </w:rPr>
        <w:sectPr>
          <w:footerReference r:id="rId7" w:type="default"/>
          <w:pgSz w:w="11906" w:h="16838"/>
          <w:pgMar w:top="1440" w:right="1803" w:bottom="1440" w:left="1803" w:header="851" w:footer="992" w:gutter="0"/>
          <w:cols w:space="1701" w:num="1"/>
          <w:docGrid w:linePitch="360" w:charSpace="0"/>
        </w:sectPr>
      </w:pPr>
      <w:r>
        <w:rPr>
          <w:rFonts w:hint="eastAsia" w:ascii="宋体" w:hAnsi="宋体" w:cs="宋体"/>
          <w:color w:val="auto"/>
          <w:highlight w:val="none"/>
        </w:rPr>
        <w:br w:type="page" w:clear="all"/>
      </w:r>
    </w:p>
    <w:p w14:paraId="59D3514F">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0"/>
        <w:rPr>
          <w:rFonts w:hint="eastAsia" w:ascii="宋体" w:hAnsi="宋体" w:cs="宋体"/>
          <w:bCs/>
          <w:color w:val="auto"/>
          <w:sz w:val="44"/>
          <w:highlight w:val="none"/>
        </w:rPr>
      </w:pPr>
      <w:r>
        <w:rPr>
          <w:rFonts w:hint="eastAsia" w:ascii="宋体" w:hAnsi="宋体" w:cs="宋体"/>
          <w:bCs/>
          <w:color w:val="auto"/>
          <w:sz w:val="44"/>
          <w:highlight w:val="none"/>
        </w:rPr>
        <w:t>第四章 招标书</w:t>
      </w:r>
    </w:p>
    <w:p w14:paraId="1A57B097">
      <w:pPr>
        <w:spacing w:line="360" w:lineRule="auto"/>
        <w:ind w:firstLine="480"/>
        <w:rPr>
          <w:rFonts w:hint="eastAsia" w:ascii="宋体" w:hAnsi="宋体" w:cs="宋体"/>
          <w:color w:val="auto"/>
          <w:sz w:val="24"/>
          <w:highlight w:val="none"/>
        </w:rPr>
      </w:pPr>
      <w:r>
        <w:rPr>
          <w:rFonts w:hint="eastAsia" w:ascii="宋体" w:hAnsi="宋体" w:cs="宋体"/>
          <w:color w:val="auto"/>
          <w:sz w:val="24"/>
          <w:szCs w:val="24"/>
          <w:highlight w:val="none"/>
          <w:lang w:eastAsia="zh-CN"/>
        </w:rPr>
        <w:t>苏州时代招投标有限公司受</w:t>
      </w:r>
      <w:r>
        <w:rPr>
          <w:rFonts w:hint="eastAsia" w:ascii="宋体" w:hAnsi="宋体" w:cs="宋体"/>
          <w:color w:val="auto"/>
          <w:sz w:val="24"/>
          <w:szCs w:val="24"/>
          <w:highlight w:val="none"/>
          <w:lang w:val="en-US" w:eastAsia="zh-CN"/>
        </w:rPr>
        <w:t>苏州市立医院的委托，就其检验科对外委托外送检测服务项目的政府采购进行国内</w:t>
      </w:r>
      <w:r>
        <w:rPr>
          <w:rFonts w:hint="eastAsia" w:ascii="宋体" w:hAnsi="宋体" w:cs="宋体"/>
          <w:color w:val="auto"/>
          <w:sz w:val="24"/>
          <w:szCs w:val="24"/>
          <w:highlight w:val="none"/>
          <w:lang w:eastAsia="zh-CN"/>
        </w:rPr>
        <w:t>公开招标。欢迎有资格的</w:t>
      </w:r>
      <w:r>
        <w:rPr>
          <w:rFonts w:hint="eastAsia" w:ascii="宋体" w:hAnsi="宋体" w:cs="宋体"/>
          <w:color w:val="auto"/>
          <w:sz w:val="24"/>
          <w:highlight w:val="none"/>
        </w:rPr>
        <w:t>投标人前来参加投标。本次招标具体情况如下：</w:t>
      </w:r>
    </w:p>
    <w:p w14:paraId="08AB502D">
      <w:pPr>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一、招标编号：</w:t>
      </w:r>
      <w:r>
        <w:rPr>
          <w:rFonts w:hint="eastAsia" w:ascii="宋体" w:hAnsi="宋体" w:cs="宋体"/>
          <w:color w:val="auto"/>
          <w:sz w:val="24"/>
          <w:szCs w:val="24"/>
          <w:highlight w:val="none"/>
          <w:lang w:eastAsia="zh-CN"/>
        </w:rPr>
        <w:t>JSZC-320500-SZSD-G2026-0023</w:t>
      </w:r>
      <w:r>
        <w:rPr>
          <w:rFonts w:hint="default" w:ascii="宋体" w:hAnsi="宋体" w:cs="宋体"/>
          <w:color w:val="auto"/>
          <w:sz w:val="24"/>
          <w:szCs w:val="24"/>
          <w:highlight w:val="none"/>
          <w:lang w:eastAsia="zh-CN"/>
        </w:rPr>
        <w:t xml:space="preserve"> </w:t>
      </w:r>
      <w:r>
        <w:rPr>
          <w:rFonts w:hint="eastAsia" w:ascii="宋体" w:hAnsi="宋体" w:cs="宋体"/>
          <w:color w:val="auto"/>
          <w:sz w:val="24"/>
          <w:szCs w:val="24"/>
          <w:highlight w:val="none"/>
          <w:lang w:eastAsia="zh-CN"/>
        </w:rPr>
        <w:t xml:space="preserve"> </w:t>
      </w:r>
      <w:r>
        <w:rPr>
          <w:rFonts w:hint="eastAsia" w:ascii="宋体" w:hAnsi="宋体" w:cs="宋体"/>
          <w:color w:val="auto"/>
          <w:sz w:val="24"/>
          <w:szCs w:val="24"/>
          <w:highlight w:val="none"/>
        </w:rPr>
        <w:t xml:space="preserve">  </w:t>
      </w:r>
    </w:p>
    <w:p w14:paraId="42B14BD1">
      <w:pPr>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二、招标内容：</w:t>
      </w:r>
      <w:r>
        <w:rPr>
          <w:rFonts w:hint="eastAsia" w:ascii="宋体" w:hAnsi="宋体" w:cs="宋体"/>
          <w:color w:val="auto"/>
          <w:sz w:val="24"/>
          <w:szCs w:val="24"/>
          <w:highlight w:val="none"/>
          <w:lang w:val="en-US" w:eastAsia="zh-CN"/>
        </w:rPr>
        <w:t>检验科对外委托外送检测服务</w:t>
      </w:r>
    </w:p>
    <w:p w14:paraId="7EBB3FC0">
      <w:pPr>
        <w:spacing w:line="360" w:lineRule="auto"/>
        <w:jc w:val="left"/>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三、</w:t>
      </w:r>
      <w:r>
        <w:rPr>
          <w:rFonts w:hint="eastAsia" w:ascii="宋体" w:hAnsi="宋体" w:cs="宋体"/>
          <w:color w:val="auto"/>
          <w:sz w:val="24"/>
          <w:szCs w:val="24"/>
          <w:highlight w:val="none"/>
        </w:rPr>
        <w:t>预算金额：</w:t>
      </w:r>
      <w:r>
        <w:rPr>
          <w:rFonts w:hint="eastAsia" w:ascii="宋体" w:hAnsi="宋体" w:cs="宋体"/>
          <w:color w:val="auto"/>
          <w:sz w:val="24"/>
          <w:szCs w:val="24"/>
          <w:highlight w:val="none"/>
          <w:lang w:val="en-US" w:eastAsia="zh-CN"/>
        </w:rPr>
        <w:t>叁佰柒拾伍万元整（¥3750000.00）</w:t>
      </w:r>
    </w:p>
    <w:p w14:paraId="6E6BD4A9">
      <w:pPr>
        <w:spacing w:line="360" w:lineRule="auto"/>
        <w:ind w:firstLine="48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最高限价：</w:t>
      </w:r>
      <w:r>
        <w:rPr>
          <w:rFonts w:hint="eastAsia" w:ascii="宋体" w:hAnsi="宋体" w:cs="宋体"/>
          <w:color w:val="auto"/>
          <w:sz w:val="24"/>
          <w:szCs w:val="24"/>
          <w:highlight w:val="none"/>
          <w:lang w:val="en-US" w:eastAsia="zh-CN"/>
        </w:rPr>
        <w:t>叁佰柒拾伍万元整（¥3750000.00）</w:t>
      </w:r>
    </w:p>
    <w:p w14:paraId="3E0E5C23">
      <w:pPr>
        <w:spacing w:line="360" w:lineRule="auto"/>
        <w:jc w:val="left"/>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四、采购内容及要求：</w:t>
      </w:r>
    </w:p>
    <w:p w14:paraId="3504BFB8">
      <w:pPr>
        <w:numPr>
          <w:ilvl w:val="0"/>
          <w:numId w:val="0"/>
        </w:numPr>
        <w:spacing w:line="360" w:lineRule="auto"/>
        <w:rPr>
          <w:rFonts w:hint="eastAsia" w:ascii="宋体" w:hAnsi="宋体" w:eastAsia="宋体" w:cs="宋体"/>
          <w:b w:val="0"/>
          <w:bCs w:val="0"/>
          <w:color w:val="auto"/>
          <w:sz w:val="24"/>
          <w:szCs w:val="24"/>
          <w:highlight w:val="none"/>
          <w:lang w:val="en-US" w:eastAsia="zh-CN" w:bidi="ar-SA"/>
        </w:rPr>
      </w:pPr>
      <w:r>
        <w:rPr>
          <w:rFonts w:hint="eastAsia" w:ascii="宋体" w:hAnsi="宋体" w:cs="宋体"/>
          <w:b w:val="0"/>
          <w:bCs w:val="0"/>
          <w:color w:val="auto"/>
          <w:sz w:val="24"/>
          <w:szCs w:val="24"/>
          <w:highlight w:val="none"/>
          <w:lang w:val="en-US" w:eastAsia="zh-CN" w:bidi="ar-SA"/>
        </w:rPr>
        <w:t>（一）</w:t>
      </w:r>
      <w:r>
        <w:rPr>
          <w:rFonts w:hint="eastAsia" w:ascii="宋体" w:hAnsi="宋体"/>
          <w:bCs/>
          <w:color w:val="auto"/>
          <w:sz w:val="24"/>
          <w:highlight w:val="none"/>
          <w:lang w:eastAsia="zh-CN"/>
        </w:rPr>
        <w:t>项目概述</w:t>
      </w:r>
      <w:r>
        <w:rPr>
          <w:rFonts w:hint="eastAsia" w:ascii="宋体" w:hAnsi="宋体"/>
          <w:bCs/>
          <w:color w:val="auto"/>
          <w:sz w:val="24"/>
          <w:highlight w:val="none"/>
        </w:rPr>
        <w:t>：</w:t>
      </w:r>
      <w:r>
        <w:rPr>
          <w:rFonts w:hint="eastAsia" w:ascii="宋体" w:hAnsi="宋体" w:cs="宋体"/>
          <w:color w:val="auto"/>
          <w:sz w:val="24"/>
          <w:highlight w:val="none"/>
          <w:lang w:eastAsia="zh-CN"/>
        </w:rPr>
        <w:t>根据</w:t>
      </w:r>
      <w:r>
        <w:rPr>
          <w:rFonts w:hint="eastAsia" w:ascii="宋体" w:hAnsi="宋体" w:cs="宋体"/>
          <w:color w:val="auto"/>
          <w:sz w:val="24"/>
          <w:highlight w:val="none"/>
        </w:rPr>
        <w:t>医疗质量管理</w:t>
      </w:r>
      <w:r>
        <w:rPr>
          <w:rFonts w:hint="eastAsia" w:ascii="宋体" w:hAnsi="宋体" w:cs="宋体"/>
          <w:color w:val="auto"/>
          <w:sz w:val="24"/>
          <w:highlight w:val="none"/>
          <w:lang w:eastAsia="zh-CN"/>
        </w:rPr>
        <w:t>相关</w:t>
      </w:r>
      <w:r>
        <w:rPr>
          <w:rFonts w:hint="eastAsia" w:ascii="宋体" w:hAnsi="宋体" w:cs="宋体"/>
          <w:color w:val="auto"/>
          <w:sz w:val="24"/>
          <w:highlight w:val="none"/>
          <w:lang w:val="en-US" w:eastAsia="zh-CN"/>
        </w:rPr>
        <w:t>规范及本院</w:t>
      </w:r>
      <w:r>
        <w:rPr>
          <w:rFonts w:hint="eastAsia" w:ascii="宋体" w:hAnsi="宋体" w:cs="宋体"/>
          <w:color w:val="auto"/>
          <w:sz w:val="24"/>
          <w:highlight w:val="none"/>
        </w:rPr>
        <w:t>实际</w:t>
      </w:r>
      <w:r>
        <w:rPr>
          <w:rFonts w:hint="eastAsia" w:ascii="宋体" w:hAnsi="宋体" w:cs="宋体"/>
          <w:color w:val="auto"/>
          <w:sz w:val="24"/>
          <w:highlight w:val="none"/>
          <w:lang w:val="en-US" w:eastAsia="zh-CN"/>
        </w:rPr>
        <w:t>业务</w:t>
      </w:r>
      <w:r>
        <w:rPr>
          <w:rFonts w:hint="eastAsia" w:ascii="宋体" w:hAnsi="宋体" w:cs="宋体"/>
          <w:color w:val="auto"/>
          <w:sz w:val="24"/>
          <w:highlight w:val="none"/>
        </w:rPr>
        <w:t>需</w:t>
      </w:r>
      <w:r>
        <w:rPr>
          <w:rFonts w:hint="eastAsia" w:ascii="宋体" w:hAnsi="宋体" w:cs="宋体"/>
          <w:color w:val="auto"/>
          <w:sz w:val="24"/>
          <w:highlight w:val="none"/>
          <w:lang w:val="en-US" w:eastAsia="zh-CN"/>
        </w:rPr>
        <w:t>要</w:t>
      </w:r>
      <w:r>
        <w:rPr>
          <w:rFonts w:hint="eastAsia" w:ascii="宋体" w:hAnsi="宋体" w:cs="宋体"/>
          <w:color w:val="auto"/>
          <w:sz w:val="24"/>
          <w:highlight w:val="none"/>
        </w:rPr>
        <w:t>，</w:t>
      </w:r>
      <w:r>
        <w:rPr>
          <w:rFonts w:hint="eastAsia" w:ascii="宋体" w:hAnsi="宋体" w:cs="宋体"/>
          <w:color w:val="auto"/>
          <w:sz w:val="24"/>
          <w:highlight w:val="none"/>
          <w:lang w:eastAsia="zh-CN"/>
        </w:rPr>
        <w:t>拟将</w:t>
      </w:r>
      <w:r>
        <w:rPr>
          <w:rFonts w:hint="eastAsia" w:ascii="宋体" w:hAnsi="宋体" w:cs="宋体"/>
          <w:color w:val="auto"/>
          <w:sz w:val="24"/>
          <w:highlight w:val="none"/>
          <w:lang w:val="en-US" w:eastAsia="zh-CN"/>
        </w:rPr>
        <w:t>院内不具备</w:t>
      </w:r>
      <w:r>
        <w:rPr>
          <w:rFonts w:hint="eastAsia" w:ascii="宋体" w:hAnsi="宋体" w:cs="宋体"/>
          <w:color w:val="auto"/>
          <w:sz w:val="24"/>
          <w:highlight w:val="none"/>
        </w:rPr>
        <w:t>检测能力的检验</w:t>
      </w:r>
      <w:r>
        <w:rPr>
          <w:rFonts w:hint="eastAsia" w:ascii="宋体" w:hAnsi="宋体" w:cs="宋体"/>
          <w:color w:val="auto"/>
          <w:sz w:val="24"/>
          <w:highlight w:val="none"/>
          <w:lang w:val="en-US" w:eastAsia="zh-CN"/>
        </w:rPr>
        <w:t>检测</w:t>
      </w:r>
      <w:r>
        <w:rPr>
          <w:rFonts w:hint="eastAsia" w:ascii="宋体" w:hAnsi="宋体" w:cs="宋体"/>
          <w:color w:val="auto"/>
          <w:sz w:val="24"/>
          <w:highlight w:val="none"/>
        </w:rPr>
        <w:t>项目</w:t>
      </w:r>
      <w:r>
        <w:rPr>
          <w:rFonts w:hint="eastAsia" w:ascii="宋体" w:hAnsi="宋体" w:cs="宋体"/>
          <w:color w:val="auto"/>
          <w:sz w:val="24"/>
          <w:highlight w:val="none"/>
          <w:lang w:eastAsia="zh-CN"/>
        </w:rPr>
        <w:t>，</w:t>
      </w:r>
      <w:r>
        <w:rPr>
          <w:rFonts w:hint="eastAsia" w:ascii="宋体" w:hAnsi="宋体" w:cs="宋体"/>
          <w:color w:val="auto"/>
          <w:sz w:val="24"/>
          <w:highlight w:val="none"/>
          <w:lang w:val="en-US" w:eastAsia="zh-CN"/>
        </w:rPr>
        <w:t>委托具备资质的</w:t>
      </w:r>
      <w:r>
        <w:rPr>
          <w:rFonts w:hint="eastAsia" w:ascii="宋体" w:hAnsi="宋体" w:cs="宋体"/>
          <w:color w:val="auto"/>
          <w:sz w:val="24"/>
          <w:highlight w:val="none"/>
        </w:rPr>
        <w:t>第三方检测机构</w:t>
      </w:r>
      <w:r>
        <w:rPr>
          <w:rFonts w:hint="eastAsia" w:ascii="宋体" w:hAnsi="宋体" w:cs="宋体"/>
          <w:color w:val="auto"/>
          <w:sz w:val="24"/>
          <w:highlight w:val="none"/>
          <w:lang w:val="en-US" w:eastAsia="zh-CN"/>
        </w:rPr>
        <w:t>承接</w:t>
      </w:r>
      <w:r>
        <w:rPr>
          <w:rFonts w:hint="eastAsia" w:ascii="宋体" w:hAnsi="宋体" w:cs="宋体"/>
          <w:color w:val="auto"/>
          <w:sz w:val="24"/>
          <w:highlight w:val="none"/>
        </w:rPr>
        <w:t>检测</w:t>
      </w:r>
      <w:r>
        <w:rPr>
          <w:rFonts w:hint="eastAsia" w:ascii="宋体" w:hAnsi="宋体" w:cs="宋体"/>
          <w:color w:val="auto"/>
          <w:sz w:val="24"/>
          <w:highlight w:val="none"/>
          <w:lang w:val="en-US" w:eastAsia="zh-CN"/>
        </w:rPr>
        <w:t>服务；并配备</w:t>
      </w:r>
      <w:r>
        <w:rPr>
          <w:rFonts w:hint="eastAsia" w:ascii="宋体" w:hAnsi="宋体" w:cs="宋体"/>
          <w:color w:val="auto"/>
          <w:sz w:val="24"/>
          <w:szCs w:val="24"/>
          <w:highlight w:val="none"/>
        </w:rPr>
        <w:t>专人、专</w:t>
      </w:r>
      <w:r>
        <w:rPr>
          <w:rFonts w:hint="eastAsia" w:ascii="宋体" w:hAnsi="宋体" w:cs="宋体"/>
          <w:color w:val="auto"/>
          <w:sz w:val="24"/>
          <w:szCs w:val="24"/>
          <w:highlight w:val="none"/>
          <w:lang w:val="en-US" w:eastAsia="zh-CN"/>
        </w:rPr>
        <w:t>用</w:t>
      </w:r>
      <w:r>
        <w:rPr>
          <w:rFonts w:hint="eastAsia" w:ascii="宋体" w:hAnsi="宋体" w:cs="宋体"/>
          <w:color w:val="auto"/>
          <w:sz w:val="24"/>
          <w:szCs w:val="24"/>
          <w:highlight w:val="none"/>
        </w:rPr>
        <w:t>车</w:t>
      </w:r>
      <w:r>
        <w:rPr>
          <w:rFonts w:hint="eastAsia" w:ascii="宋体" w:hAnsi="宋体" w:cs="宋体"/>
          <w:color w:val="auto"/>
          <w:sz w:val="24"/>
          <w:szCs w:val="24"/>
          <w:highlight w:val="none"/>
          <w:lang w:val="en-US" w:eastAsia="zh-CN"/>
        </w:rPr>
        <w:t>辆，承担</w:t>
      </w:r>
      <w:r>
        <w:rPr>
          <w:rFonts w:hint="eastAsia" w:ascii="宋体" w:hAnsi="宋体" w:cs="宋体"/>
          <w:color w:val="auto"/>
          <w:sz w:val="24"/>
          <w:szCs w:val="24"/>
          <w:highlight w:val="none"/>
        </w:rPr>
        <w:t>医联体单位</w:t>
      </w:r>
      <w:r>
        <w:rPr>
          <w:rFonts w:hint="eastAsia" w:ascii="宋体" w:hAnsi="宋体" w:cs="宋体"/>
          <w:color w:val="auto"/>
          <w:sz w:val="24"/>
          <w:szCs w:val="24"/>
          <w:highlight w:val="none"/>
          <w:lang w:val="en-US" w:eastAsia="zh-CN"/>
        </w:rPr>
        <w:t>及检测机构</w:t>
      </w:r>
      <w:r>
        <w:rPr>
          <w:rFonts w:hint="eastAsia" w:ascii="宋体" w:hAnsi="宋体" w:cs="宋体"/>
          <w:color w:val="auto"/>
          <w:sz w:val="24"/>
          <w:szCs w:val="24"/>
          <w:highlight w:val="none"/>
        </w:rPr>
        <w:t>间</w:t>
      </w:r>
      <w:r>
        <w:rPr>
          <w:rFonts w:hint="eastAsia" w:ascii="宋体" w:hAnsi="宋体" w:cs="宋体"/>
          <w:color w:val="auto"/>
          <w:sz w:val="24"/>
          <w:szCs w:val="24"/>
          <w:highlight w:val="none"/>
          <w:lang w:val="en-US" w:eastAsia="zh-CN"/>
        </w:rPr>
        <w:t>的</w:t>
      </w:r>
      <w:r>
        <w:rPr>
          <w:rFonts w:hint="eastAsia" w:ascii="宋体" w:hAnsi="宋体" w:cs="宋体"/>
          <w:color w:val="auto"/>
          <w:sz w:val="24"/>
          <w:szCs w:val="24"/>
          <w:highlight w:val="none"/>
        </w:rPr>
        <w:t>样本</w:t>
      </w:r>
      <w:r>
        <w:rPr>
          <w:rFonts w:hint="eastAsia" w:ascii="宋体" w:hAnsi="宋体" w:cs="宋体"/>
          <w:color w:val="auto"/>
          <w:sz w:val="24"/>
          <w:szCs w:val="24"/>
          <w:highlight w:val="none"/>
          <w:lang w:val="en-US" w:eastAsia="zh-CN"/>
        </w:rPr>
        <w:t>归</w:t>
      </w:r>
      <w:r>
        <w:rPr>
          <w:rFonts w:hint="eastAsia" w:ascii="宋体" w:hAnsi="宋体" w:cs="宋体"/>
          <w:color w:val="auto"/>
          <w:sz w:val="24"/>
          <w:szCs w:val="24"/>
          <w:highlight w:val="none"/>
        </w:rPr>
        <w:t>集</w:t>
      </w:r>
      <w:r>
        <w:rPr>
          <w:rFonts w:hint="eastAsia" w:ascii="宋体" w:hAnsi="宋体" w:cs="宋体"/>
          <w:color w:val="auto"/>
          <w:sz w:val="24"/>
          <w:szCs w:val="24"/>
          <w:highlight w:val="none"/>
          <w:lang w:val="en-US" w:eastAsia="zh-CN"/>
        </w:rPr>
        <w:t>与</w:t>
      </w:r>
      <w:r>
        <w:rPr>
          <w:rFonts w:hint="eastAsia" w:ascii="宋体" w:hAnsi="宋体" w:cs="宋体"/>
          <w:color w:val="auto"/>
          <w:sz w:val="24"/>
          <w:szCs w:val="24"/>
          <w:highlight w:val="none"/>
        </w:rPr>
        <w:t>转运</w:t>
      </w:r>
      <w:r>
        <w:rPr>
          <w:rFonts w:hint="eastAsia" w:ascii="宋体" w:hAnsi="宋体" w:cs="宋体"/>
          <w:color w:val="auto"/>
          <w:sz w:val="24"/>
          <w:szCs w:val="24"/>
          <w:highlight w:val="none"/>
          <w:lang w:val="en-US" w:eastAsia="zh-CN"/>
        </w:rPr>
        <w:t>服务</w:t>
      </w:r>
      <w:r>
        <w:rPr>
          <w:rFonts w:hint="eastAsia" w:ascii="宋体" w:hAnsi="宋体" w:cs="宋体"/>
          <w:b w:val="0"/>
          <w:bCs w:val="0"/>
          <w:color w:val="auto"/>
          <w:sz w:val="24"/>
          <w:szCs w:val="24"/>
          <w:highlight w:val="none"/>
          <w:lang w:eastAsia="zh-CN"/>
        </w:rPr>
        <w:t>。</w:t>
      </w:r>
    </w:p>
    <w:p w14:paraId="0423804D">
      <w:pPr>
        <w:numPr>
          <w:ilvl w:val="0"/>
          <w:numId w:val="0"/>
        </w:numPr>
        <w:spacing w:line="360" w:lineRule="auto"/>
        <w:rPr>
          <w:rFonts w:hint="eastAsia" w:ascii="宋体" w:hAnsi="宋体" w:cs="宋体"/>
          <w:b w:val="0"/>
          <w:bCs w:val="0"/>
          <w:color w:val="auto"/>
          <w:sz w:val="24"/>
          <w:szCs w:val="24"/>
          <w:highlight w:val="none"/>
        </w:rPr>
      </w:pPr>
      <w:r>
        <w:rPr>
          <w:rFonts w:hint="eastAsia" w:ascii="宋体" w:hAnsi="宋体"/>
          <w:bCs/>
          <w:color w:val="auto"/>
          <w:sz w:val="24"/>
          <w:highlight w:val="none"/>
          <w:lang w:eastAsia="zh-CN"/>
        </w:rPr>
        <w:t>（</w:t>
      </w:r>
      <w:r>
        <w:rPr>
          <w:rFonts w:hint="eastAsia" w:ascii="宋体" w:hAnsi="宋体"/>
          <w:bCs/>
          <w:color w:val="auto"/>
          <w:sz w:val="24"/>
          <w:highlight w:val="none"/>
          <w:lang w:val="en-US" w:eastAsia="zh-CN"/>
        </w:rPr>
        <w:t>二）</w:t>
      </w:r>
      <w:r>
        <w:rPr>
          <w:rFonts w:hint="eastAsia" w:ascii="宋体" w:hAnsi="宋体"/>
          <w:bCs/>
          <w:color w:val="auto"/>
          <w:sz w:val="24"/>
          <w:highlight w:val="none"/>
          <w:lang w:eastAsia="zh-CN"/>
        </w:rPr>
        <w:t>检测内容</w:t>
      </w:r>
      <w:r>
        <w:rPr>
          <w:rFonts w:hint="eastAsia" w:ascii="宋体" w:hAnsi="宋体" w:cs="宋体"/>
          <w:b w:val="0"/>
          <w:bCs w:val="0"/>
          <w:color w:val="auto"/>
          <w:sz w:val="24"/>
          <w:szCs w:val="24"/>
          <w:highlight w:val="none"/>
        </w:rPr>
        <w:t>：</w:t>
      </w:r>
    </w:p>
    <w:p w14:paraId="6332CB53">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eastAsia="宋体" w:cs="宋体"/>
          <w:b/>
          <w:bCs/>
          <w:color w:val="auto"/>
          <w:sz w:val="24"/>
          <w:szCs w:val="24"/>
          <w:highlight w:val="none"/>
          <w:lang w:val="en-US" w:eastAsia="zh-CN"/>
        </w:rPr>
      </w:pPr>
      <w:r>
        <w:rPr>
          <w:rFonts w:hint="eastAsia" w:ascii="宋体" w:hAnsi="宋体" w:cs="宋体"/>
          <w:b/>
          <w:bCs/>
          <w:color w:val="auto"/>
          <w:sz w:val="24"/>
          <w:szCs w:val="24"/>
          <w:highlight w:val="none"/>
          <w:lang w:val="en-US" w:eastAsia="zh-CN"/>
        </w:rPr>
        <w:t>1、普检项目</w:t>
      </w:r>
    </w:p>
    <w:tbl>
      <w:tblPr>
        <w:tblStyle w:val="33"/>
        <w:tblW w:w="5019" w:type="pct"/>
        <w:tblInd w:w="-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70"/>
        <w:gridCol w:w="3209"/>
        <w:gridCol w:w="1230"/>
        <w:gridCol w:w="1440"/>
        <w:gridCol w:w="1800"/>
      </w:tblGrid>
      <w:tr w14:paraId="32B56F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870" w:type="dxa"/>
            <w:noWrap w:val="0"/>
            <w:vAlign w:val="center"/>
          </w:tcPr>
          <w:p w14:paraId="3F376056">
            <w:pPr>
              <w:widowControl/>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序号</w:t>
            </w:r>
          </w:p>
        </w:tc>
        <w:tc>
          <w:tcPr>
            <w:tcW w:w="3210" w:type="dxa"/>
            <w:noWrap w:val="0"/>
            <w:vAlign w:val="center"/>
          </w:tcPr>
          <w:p w14:paraId="62F7383E">
            <w:pPr>
              <w:widowControl/>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检测内容</w:t>
            </w:r>
          </w:p>
        </w:tc>
        <w:tc>
          <w:tcPr>
            <w:tcW w:w="1230" w:type="dxa"/>
            <w:noWrap w:val="0"/>
            <w:vAlign w:val="center"/>
          </w:tcPr>
          <w:p w14:paraId="00BFA1C7">
            <w:pPr>
              <w:widowControl/>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年检测量（次）</w:t>
            </w:r>
          </w:p>
        </w:tc>
        <w:tc>
          <w:tcPr>
            <w:tcW w:w="1440" w:type="dxa"/>
            <w:noWrap w:val="0"/>
            <w:vAlign w:val="center"/>
          </w:tcPr>
          <w:p w14:paraId="7A3D009F">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收费标准</w:t>
            </w:r>
          </w:p>
          <w:p w14:paraId="4137BDD4">
            <w:pPr>
              <w:widowControl/>
              <w:jc w:val="center"/>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（元/次）</w:t>
            </w:r>
          </w:p>
        </w:tc>
        <w:tc>
          <w:tcPr>
            <w:tcW w:w="1800" w:type="dxa"/>
            <w:noWrap w:val="0"/>
            <w:vAlign w:val="center"/>
          </w:tcPr>
          <w:p w14:paraId="3AF7A226">
            <w:pPr>
              <w:widowControl/>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报告周期</w:t>
            </w:r>
          </w:p>
        </w:tc>
      </w:tr>
      <w:tr w14:paraId="0B6CEC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870" w:type="dxa"/>
            <w:noWrap w:val="0"/>
            <w:vAlign w:val="center"/>
          </w:tcPr>
          <w:p w14:paraId="780AD3ED">
            <w:pPr>
              <w:widowControl/>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1</w:t>
            </w:r>
          </w:p>
        </w:tc>
        <w:tc>
          <w:tcPr>
            <w:tcW w:w="3210" w:type="dxa"/>
            <w:noWrap w:val="0"/>
            <w:vAlign w:val="center"/>
          </w:tcPr>
          <w:p w14:paraId="688A9B15">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17﹣羟皮质类固醇</w:t>
            </w:r>
          </w:p>
        </w:tc>
        <w:tc>
          <w:tcPr>
            <w:tcW w:w="1230" w:type="dxa"/>
            <w:noWrap w:val="0"/>
            <w:vAlign w:val="center"/>
          </w:tcPr>
          <w:p w14:paraId="4C61C001">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5</w:t>
            </w:r>
          </w:p>
        </w:tc>
        <w:tc>
          <w:tcPr>
            <w:tcW w:w="1440" w:type="dxa"/>
            <w:noWrap w:val="0"/>
            <w:vAlign w:val="center"/>
          </w:tcPr>
          <w:p w14:paraId="7DBE460B">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60</w:t>
            </w:r>
          </w:p>
        </w:tc>
        <w:tc>
          <w:tcPr>
            <w:tcW w:w="1800" w:type="dxa"/>
            <w:noWrap w:val="0"/>
            <w:vAlign w:val="center"/>
          </w:tcPr>
          <w:p w14:paraId="7C1FFAB6">
            <w:pPr>
              <w:jc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2</w:t>
            </w:r>
            <w:r>
              <w:rPr>
                <w:rFonts w:hint="eastAsia" w:ascii="宋体" w:hAnsi="宋体" w:eastAsia="宋体" w:cs="宋体"/>
                <w:color w:val="auto"/>
                <w:sz w:val="24"/>
                <w:szCs w:val="24"/>
                <w:highlight w:val="none"/>
                <w:lang w:val="en-US" w:eastAsia="zh-CN"/>
              </w:rPr>
              <w:t>个工作日</w:t>
            </w:r>
          </w:p>
        </w:tc>
      </w:tr>
      <w:tr w14:paraId="32B83E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870" w:type="dxa"/>
            <w:noWrap w:val="0"/>
            <w:vAlign w:val="center"/>
          </w:tcPr>
          <w:p w14:paraId="1F6DE5A1">
            <w:pPr>
              <w:widowControl/>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2</w:t>
            </w:r>
          </w:p>
        </w:tc>
        <w:tc>
          <w:tcPr>
            <w:tcW w:w="3210" w:type="dxa"/>
            <w:noWrap w:val="0"/>
            <w:vAlign w:val="center"/>
          </w:tcPr>
          <w:p w14:paraId="5AA864A9">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17﹣酮类固醇</w:t>
            </w:r>
          </w:p>
        </w:tc>
        <w:tc>
          <w:tcPr>
            <w:tcW w:w="1230" w:type="dxa"/>
            <w:noWrap w:val="0"/>
            <w:vAlign w:val="center"/>
          </w:tcPr>
          <w:p w14:paraId="120530F0">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5</w:t>
            </w:r>
          </w:p>
        </w:tc>
        <w:tc>
          <w:tcPr>
            <w:tcW w:w="1440" w:type="dxa"/>
            <w:noWrap w:val="0"/>
            <w:vAlign w:val="center"/>
          </w:tcPr>
          <w:p w14:paraId="5EAA9CEE">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60</w:t>
            </w:r>
          </w:p>
        </w:tc>
        <w:tc>
          <w:tcPr>
            <w:tcW w:w="1800" w:type="dxa"/>
            <w:noWrap w:val="0"/>
            <w:vAlign w:val="center"/>
          </w:tcPr>
          <w:p w14:paraId="20656D5F">
            <w:pPr>
              <w:widowControl/>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2</w:t>
            </w:r>
            <w:r>
              <w:rPr>
                <w:rFonts w:hint="eastAsia" w:ascii="宋体" w:hAnsi="宋体" w:eastAsia="宋体" w:cs="宋体"/>
                <w:color w:val="auto"/>
                <w:sz w:val="24"/>
                <w:szCs w:val="24"/>
                <w:highlight w:val="none"/>
                <w:lang w:val="en-US" w:eastAsia="zh-CN"/>
              </w:rPr>
              <w:t>个工作日</w:t>
            </w:r>
          </w:p>
        </w:tc>
      </w:tr>
      <w:tr w14:paraId="1CCCD6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870" w:type="dxa"/>
            <w:noWrap w:val="0"/>
            <w:vAlign w:val="center"/>
          </w:tcPr>
          <w:p w14:paraId="260CD5EC">
            <w:pPr>
              <w:widowControl/>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3</w:t>
            </w:r>
          </w:p>
        </w:tc>
        <w:tc>
          <w:tcPr>
            <w:tcW w:w="3210" w:type="dxa"/>
            <w:noWrap w:val="0"/>
            <w:vAlign w:val="center"/>
          </w:tcPr>
          <w:p w14:paraId="5F5AB4D5">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百日咳杆菌IgM抗体</w:t>
            </w:r>
          </w:p>
        </w:tc>
        <w:tc>
          <w:tcPr>
            <w:tcW w:w="1230" w:type="dxa"/>
            <w:noWrap w:val="0"/>
            <w:vAlign w:val="center"/>
          </w:tcPr>
          <w:p w14:paraId="5B612A32">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10</w:t>
            </w:r>
          </w:p>
        </w:tc>
        <w:tc>
          <w:tcPr>
            <w:tcW w:w="1440" w:type="dxa"/>
            <w:noWrap w:val="0"/>
            <w:vAlign w:val="center"/>
          </w:tcPr>
          <w:p w14:paraId="08032967">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25</w:t>
            </w:r>
          </w:p>
        </w:tc>
        <w:tc>
          <w:tcPr>
            <w:tcW w:w="1800" w:type="dxa"/>
            <w:noWrap w:val="0"/>
            <w:vAlign w:val="center"/>
          </w:tcPr>
          <w:p w14:paraId="2D14380B">
            <w:pPr>
              <w:widowControl/>
              <w:jc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1</w:t>
            </w:r>
            <w:r>
              <w:rPr>
                <w:rFonts w:hint="eastAsia" w:ascii="宋体" w:hAnsi="宋体" w:eastAsia="宋体" w:cs="宋体"/>
                <w:color w:val="auto"/>
                <w:sz w:val="24"/>
                <w:szCs w:val="24"/>
                <w:highlight w:val="none"/>
                <w:lang w:val="en-US" w:eastAsia="zh-CN"/>
              </w:rPr>
              <w:t>个工作日</w:t>
            </w:r>
          </w:p>
        </w:tc>
      </w:tr>
      <w:tr w14:paraId="62E1A6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870" w:type="dxa"/>
            <w:noWrap w:val="0"/>
            <w:vAlign w:val="center"/>
          </w:tcPr>
          <w:p w14:paraId="50BA5F20">
            <w:pPr>
              <w:widowControl/>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4</w:t>
            </w:r>
          </w:p>
        </w:tc>
        <w:tc>
          <w:tcPr>
            <w:tcW w:w="3210" w:type="dxa"/>
            <w:noWrap w:val="0"/>
            <w:vAlign w:val="center"/>
          </w:tcPr>
          <w:p w14:paraId="60F61335">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曲霉菌抗体（烟曲霉、曲霉菌IgG/IgM)</w:t>
            </w:r>
          </w:p>
        </w:tc>
        <w:tc>
          <w:tcPr>
            <w:tcW w:w="1230" w:type="dxa"/>
            <w:noWrap w:val="0"/>
            <w:vAlign w:val="center"/>
          </w:tcPr>
          <w:p w14:paraId="52571B72">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250</w:t>
            </w:r>
          </w:p>
        </w:tc>
        <w:tc>
          <w:tcPr>
            <w:tcW w:w="1440" w:type="dxa"/>
            <w:noWrap w:val="0"/>
            <w:vAlign w:val="center"/>
          </w:tcPr>
          <w:p w14:paraId="2459928E">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330</w:t>
            </w:r>
          </w:p>
        </w:tc>
        <w:tc>
          <w:tcPr>
            <w:tcW w:w="1800" w:type="dxa"/>
            <w:noWrap w:val="0"/>
            <w:vAlign w:val="center"/>
          </w:tcPr>
          <w:p w14:paraId="3CADD037">
            <w:pPr>
              <w:widowControl/>
              <w:jc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2-3</w:t>
            </w:r>
            <w:r>
              <w:rPr>
                <w:rFonts w:hint="eastAsia" w:ascii="宋体" w:hAnsi="宋体" w:eastAsia="宋体" w:cs="宋体"/>
                <w:color w:val="auto"/>
                <w:sz w:val="24"/>
                <w:szCs w:val="24"/>
                <w:highlight w:val="none"/>
                <w:lang w:val="en-US" w:eastAsia="zh-CN"/>
              </w:rPr>
              <w:t>个工作日</w:t>
            </w:r>
          </w:p>
        </w:tc>
      </w:tr>
      <w:tr w14:paraId="56A1C7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870" w:type="dxa"/>
            <w:noWrap w:val="0"/>
            <w:vAlign w:val="center"/>
          </w:tcPr>
          <w:p w14:paraId="428B5A91">
            <w:pPr>
              <w:widowControl/>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5</w:t>
            </w:r>
          </w:p>
        </w:tc>
        <w:tc>
          <w:tcPr>
            <w:tcW w:w="3210" w:type="dxa"/>
            <w:noWrap w:val="0"/>
            <w:vAlign w:val="center"/>
          </w:tcPr>
          <w:p w14:paraId="78792283">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水痘﹣带状疱疹病毒抗体IgM/IgG</w:t>
            </w:r>
          </w:p>
        </w:tc>
        <w:tc>
          <w:tcPr>
            <w:tcW w:w="1230" w:type="dxa"/>
            <w:noWrap w:val="0"/>
            <w:vAlign w:val="center"/>
          </w:tcPr>
          <w:p w14:paraId="161835CC">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50</w:t>
            </w:r>
          </w:p>
        </w:tc>
        <w:tc>
          <w:tcPr>
            <w:tcW w:w="1440" w:type="dxa"/>
            <w:noWrap w:val="0"/>
            <w:vAlign w:val="center"/>
          </w:tcPr>
          <w:p w14:paraId="25EAA326">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40</w:t>
            </w:r>
          </w:p>
        </w:tc>
        <w:tc>
          <w:tcPr>
            <w:tcW w:w="1800" w:type="dxa"/>
            <w:noWrap w:val="0"/>
            <w:vAlign w:val="center"/>
          </w:tcPr>
          <w:p w14:paraId="5487AD4F">
            <w:pPr>
              <w:widowControl/>
              <w:jc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2</w:t>
            </w:r>
            <w:r>
              <w:rPr>
                <w:rFonts w:hint="eastAsia" w:ascii="宋体" w:hAnsi="宋体" w:eastAsia="宋体" w:cs="宋体"/>
                <w:color w:val="auto"/>
                <w:sz w:val="24"/>
                <w:szCs w:val="24"/>
                <w:highlight w:val="none"/>
                <w:lang w:val="en-US" w:eastAsia="zh-CN"/>
              </w:rPr>
              <w:t>个工作日</w:t>
            </w:r>
          </w:p>
        </w:tc>
      </w:tr>
      <w:tr w14:paraId="3CA3E4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870" w:type="dxa"/>
            <w:noWrap w:val="0"/>
            <w:vAlign w:val="center"/>
          </w:tcPr>
          <w:p w14:paraId="714601A8">
            <w:pPr>
              <w:widowControl/>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6</w:t>
            </w:r>
          </w:p>
        </w:tc>
        <w:tc>
          <w:tcPr>
            <w:tcW w:w="3210" w:type="dxa"/>
            <w:noWrap w:val="0"/>
            <w:vAlign w:val="center"/>
          </w:tcPr>
          <w:p w14:paraId="601E4FFF">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恶性肿瘤特异生长因子</w:t>
            </w:r>
          </w:p>
        </w:tc>
        <w:tc>
          <w:tcPr>
            <w:tcW w:w="1230" w:type="dxa"/>
            <w:noWrap w:val="0"/>
            <w:vAlign w:val="center"/>
          </w:tcPr>
          <w:p w14:paraId="35A88E63">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600</w:t>
            </w:r>
          </w:p>
        </w:tc>
        <w:tc>
          <w:tcPr>
            <w:tcW w:w="1440" w:type="dxa"/>
            <w:noWrap w:val="0"/>
            <w:vAlign w:val="center"/>
          </w:tcPr>
          <w:p w14:paraId="54FE3F8F">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50</w:t>
            </w:r>
          </w:p>
        </w:tc>
        <w:tc>
          <w:tcPr>
            <w:tcW w:w="1800" w:type="dxa"/>
            <w:shd w:val="clear" w:color="auto" w:fill="auto"/>
            <w:noWrap w:val="0"/>
            <w:vAlign w:val="center"/>
          </w:tcPr>
          <w:p w14:paraId="5282EE38">
            <w:pPr>
              <w:widowControl/>
              <w:jc w:val="center"/>
              <w:rPr>
                <w:rFonts w:hint="eastAsia" w:ascii="宋体" w:hAnsi="宋体" w:eastAsia="宋体" w:cs="宋体"/>
                <w:color w:val="auto"/>
                <w:sz w:val="24"/>
                <w:szCs w:val="24"/>
                <w:highlight w:val="none"/>
                <w:lang w:val="en-US" w:eastAsia="zh-CN" w:bidi="ar-SA"/>
              </w:rPr>
            </w:pPr>
            <w:r>
              <w:rPr>
                <w:rFonts w:hint="eastAsia" w:ascii="宋体" w:hAnsi="宋体" w:cs="宋体"/>
                <w:color w:val="auto"/>
                <w:sz w:val="24"/>
                <w:szCs w:val="24"/>
                <w:highlight w:val="none"/>
                <w:lang w:val="en-US" w:eastAsia="zh-CN"/>
              </w:rPr>
              <w:t>1</w:t>
            </w:r>
            <w:r>
              <w:rPr>
                <w:rFonts w:hint="eastAsia" w:ascii="宋体" w:hAnsi="宋体" w:eastAsia="宋体" w:cs="宋体"/>
                <w:color w:val="auto"/>
                <w:sz w:val="24"/>
                <w:szCs w:val="24"/>
                <w:highlight w:val="none"/>
                <w:lang w:val="en-US" w:eastAsia="zh-CN"/>
              </w:rPr>
              <w:t>个工作日</w:t>
            </w:r>
          </w:p>
        </w:tc>
      </w:tr>
      <w:tr w14:paraId="1355C8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870" w:type="dxa"/>
            <w:noWrap w:val="0"/>
            <w:vAlign w:val="center"/>
          </w:tcPr>
          <w:p w14:paraId="22EB0C50">
            <w:pPr>
              <w:widowControl/>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7</w:t>
            </w:r>
          </w:p>
        </w:tc>
        <w:tc>
          <w:tcPr>
            <w:tcW w:w="3210" w:type="dxa"/>
            <w:noWrap w:val="0"/>
            <w:vAlign w:val="center"/>
          </w:tcPr>
          <w:p w14:paraId="3FCB71F0">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弓形虫（TOX-DNA）定性</w:t>
            </w:r>
          </w:p>
        </w:tc>
        <w:tc>
          <w:tcPr>
            <w:tcW w:w="1230" w:type="dxa"/>
            <w:noWrap w:val="0"/>
            <w:vAlign w:val="center"/>
          </w:tcPr>
          <w:p w14:paraId="2CAAB8A1">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5</w:t>
            </w:r>
          </w:p>
        </w:tc>
        <w:tc>
          <w:tcPr>
            <w:tcW w:w="1440" w:type="dxa"/>
            <w:noWrap w:val="0"/>
            <w:vAlign w:val="center"/>
          </w:tcPr>
          <w:p w14:paraId="0D60EA97">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50</w:t>
            </w:r>
          </w:p>
        </w:tc>
        <w:tc>
          <w:tcPr>
            <w:tcW w:w="1800" w:type="dxa"/>
            <w:noWrap w:val="0"/>
            <w:vAlign w:val="center"/>
          </w:tcPr>
          <w:p w14:paraId="473ED470">
            <w:pPr>
              <w:widowControl/>
              <w:jc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2</w:t>
            </w:r>
            <w:r>
              <w:rPr>
                <w:rFonts w:hint="eastAsia" w:ascii="宋体" w:hAnsi="宋体" w:eastAsia="宋体" w:cs="宋体"/>
                <w:color w:val="auto"/>
                <w:sz w:val="24"/>
                <w:szCs w:val="24"/>
                <w:highlight w:val="none"/>
                <w:lang w:val="en-US" w:eastAsia="zh-CN"/>
              </w:rPr>
              <w:t>个工作日</w:t>
            </w:r>
          </w:p>
        </w:tc>
      </w:tr>
      <w:tr w14:paraId="57FE11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870" w:type="dxa"/>
            <w:noWrap w:val="0"/>
            <w:vAlign w:val="center"/>
          </w:tcPr>
          <w:p w14:paraId="4425EEE6">
            <w:pPr>
              <w:widowControl/>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8</w:t>
            </w:r>
          </w:p>
        </w:tc>
        <w:tc>
          <w:tcPr>
            <w:tcW w:w="3210" w:type="dxa"/>
            <w:noWrap w:val="0"/>
            <w:vAlign w:val="center"/>
          </w:tcPr>
          <w:p w14:paraId="7CDC80E1">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巨细胞病毒（CMV-DNA）</w:t>
            </w:r>
          </w:p>
          <w:p w14:paraId="5E56E079">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定量</w:t>
            </w:r>
          </w:p>
        </w:tc>
        <w:tc>
          <w:tcPr>
            <w:tcW w:w="1230" w:type="dxa"/>
            <w:noWrap w:val="0"/>
            <w:vAlign w:val="center"/>
          </w:tcPr>
          <w:p w14:paraId="1407D210">
            <w:pPr>
              <w:widowControl/>
              <w:jc w:val="center"/>
              <w:rPr>
                <w:rFonts w:hint="eastAsia"/>
                <w:color w:val="auto"/>
                <w:highlight w:val="none"/>
                <w:lang w:val="en-US" w:eastAsia="zh-CN"/>
              </w:rPr>
            </w:pPr>
            <w:r>
              <w:rPr>
                <w:rFonts w:hint="eastAsia" w:ascii="宋体" w:hAnsi="宋体" w:cs="宋体"/>
                <w:color w:val="auto"/>
                <w:sz w:val="24"/>
                <w:szCs w:val="24"/>
                <w:highlight w:val="none"/>
                <w:lang w:val="en-US" w:eastAsia="zh-CN"/>
              </w:rPr>
              <w:t>5</w:t>
            </w:r>
          </w:p>
        </w:tc>
        <w:tc>
          <w:tcPr>
            <w:tcW w:w="1440" w:type="dxa"/>
            <w:noWrap w:val="0"/>
            <w:vAlign w:val="center"/>
          </w:tcPr>
          <w:p w14:paraId="319C8CA0">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150</w:t>
            </w:r>
          </w:p>
        </w:tc>
        <w:tc>
          <w:tcPr>
            <w:tcW w:w="1800" w:type="dxa"/>
            <w:noWrap w:val="0"/>
            <w:vAlign w:val="center"/>
          </w:tcPr>
          <w:p w14:paraId="7FED42CD">
            <w:pPr>
              <w:widowControl/>
              <w:jc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2</w:t>
            </w:r>
            <w:r>
              <w:rPr>
                <w:rFonts w:hint="eastAsia" w:ascii="宋体" w:hAnsi="宋体" w:eastAsia="宋体" w:cs="宋体"/>
                <w:color w:val="auto"/>
                <w:sz w:val="24"/>
                <w:szCs w:val="24"/>
                <w:highlight w:val="none"/>
                <w:lang w:val="en-US" w:eastAsia="zh-CN"/>
              </w:rPr>
              <w:t>个工作日</w:t>
            </w:r>
          </w:p>
        </w:tc>
      </w:tr>
      <w:tr w14:paraId="30B689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870" w:type="dxa"/>
            <w:noWrap w:val="0"/>
            <w:vAlign w:val="center"/>
          </w:tcPr>
          <w:p w14:paraId="0AF58553">
            <w:pPr>
              <w:widowControl/>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9</w:t>
            </w:r>
          </w:p>
        </w:tc>
        <w:tc>
          <w:tcPr>
            <w:tcW w:w="3210" w:type="dxa"/>
            <w:noWrap w:val="0"/>
            <w:vAlign w:val="center"/>
          </w:tcPr>
          <w:p w14:paraId="7661B995">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EB病毒（EB DNA）定量</w:t>
            </w:r>
          </w:p>
        </w:tc>
        <w:tc>
          <w:tcPr>
            <w:tcW w:w="1230" w:type="dxa"/>
            <w:noWrap w:val="0"/>
            <w:vAlign w:val="center"/>
          </w:tcPr>
          <w:p w14:paraId="17F682E6">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5</w:t>
            </w:r>
          </w:p>
        </w:tc>
        <w:tc>
          <w:tcPr>
            <w:tcW w:w="1440" w:type="dxa"/>
            <w:noWrap w:val="0"/>
            <w:vAlign w:val="center"/>
          </w:tcPr>
          <w:p w14:paraId="53300973">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150</w:t>
            </w:r>
          </w:p>
        </w:tc>
        <w:tc>
          <w:tcPr>
            <w:tcW w:w="1800" w:type="dxa"/>
            <w:noWrap w:val="0"/>
            <w:vAlign w:val="center"/>
          </w:tcPr>
          <w:p w14:paraId="1EC4D239">
            <w:pPr>
              <w:widowControl/>
              <w:jc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2</w:t>
            </w:r>
            <w:r>
              <w:rPr>
                <w:rFonts w:hint="eastAsia" w:ascii="宋体" w:hAnsi="宋体" w:eastAsia="宋体" w:cs="宋体"/>
                <w:color w:val="auto"/>
                <w:sz w:val="24"/>
                <w:szCs w:val="24"/>
                <w:highlight w:val="none"/>
                <w:lang w:val="en-US" w:eastAsia="zh-CN"/>
              </w:rPr>
              <w:t>个工作日</w:t>
            </w:r>
          </w:p>
        </w:tc>
      </w:tr>
      <w:tr w14:paraId="0B24EA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870" w:type="dxa"/>
            <w:noWrap w:val="0"/>
            <w:vAlign w:val="center"/>
          </w:tcPr>
          <w:p w14:paraId="179E7BC9">
            <w:pPr>
              <w:widowControl/>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10</w:t>
            </w:r>
          </w:p>
        </w:tc>
        <w:tc>
          <w:tcPr>
            <w:tcW w:w="3210" w:type="dxa"/>
            <w:noWrap w:val="0"/>
            <w:vAlign w:val="center"/>
          </w:tcPr>
          <w:p w14:paraId="6FCEB143">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丙型肝炎病毒（HCV-RNA）定量</w:t>
            </w:r>
          </w:p>
        </w:tc>
        <w:tc>
          <w:tcPr>
            <w:tcW w:w="1230" w:type="dxa"/>
            <w:noWrap w:val="0"/>
            <w:vAlign w:val="center"/>
          </w:tcPr>
          <w:p w14:paraId="2FCB31BE">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400</w:t>
            </w:r>
          </w:p>
        </w:tc>
        <w:tc>
          <w:tcPr>
            <w:tcW w:w="1440" w:type="dxa"/>
            <w:noWrap w:val="0"/>
            <w:vAlign w:val="center"/>
          </w:tcPr>
          <w:p w14:paraId="3723483D">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55</w:t>
            </w:r>
          </w:p>
        </w:tc>
        <w:tc>
          <w:tcPr>
            <w:tcW w:w="1800" w:type="dxa"/>
            <w:noWrap w:val="0"/>
            <w:vAlign w:val="center"/>
          </w:tcPr>
          <w:p w14:paraId="7D3C1841">
            <w:pPr>
              <w:widowControl/>
              <w:jc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3</w:t>
            </w:r>
            <w:r>
              <w:rPr>
                <w:rFonts w:hint="eastAsia" w:ascii="宋体" w:hAnsi="宋体" w:eastAsia="宋体" w:cs="宋体"/>
                <w:color w:val="auto"/>
                <w:sz w:val="24"/>
                <w:szCs w:val="24"/>
                <w:highlight w:val="none"/>
                <w:lang w:val="en-US" w:eastAsia="zh-CN"/>
              </w:rPr>
              <w:t>个工作日</w:t>
            </w:r>
          </w:p>
        </w:tc>
      </w:tr>
      <w:tr w14:paraId="0F99E3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870" w:type="dxa"/>
            <w:noWrap w:val="0"/>
            <w:vAlign w:val="center"/>
          </w:tcPr>
          <w:p w14:paraId="65564481">
            <w:pPr>
              <w:widowControl/>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11</w:t>
            </w:r>
          </w:p>
        </w:tc>
        <w:tc>
          <w:tcPr>
            <w:tcW w:w="3210" w:type="dxa"/>
            <w:noWrap w:val="0"/>
            <w:vAlign w:val="center"/>
          </w:tcPr>
          <w:p w14:paraId="37ED3B0E">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肝纤三项（层粘连蛋白、透明质酸璃、IV型胶）</w:t>
            </w:r>
          </w:p>
        </w:tc>
        <w:tc>
          <w:tcPr>
            <w:tcW w:w="1230" w:type="dxa"/>
            <w:noWrap w:val="0"/>
            <w:vAlign w:val="center"/>
          </w:tcPr>
          <w:p w14:paraId="2B04F889">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20</w:t>
            </w:r>
          </w:p>
        </w:tc>
        <w:tc>
          <w:tcPr>
            <w:tcW w:w="1440" w:type="dxa"/>
            <w:noWrap w:val="0"/>
            <w:vAlign w:val="center"/>
          </w:tcPr>
          <w:p w14:paraId="439CDCF2">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90</w:t>
            </w:r>
          </w:p>
        </w:tc>
        <w:tc>
          <w:tcPr>
            <w:tcW w:w="1800" w:type="dxa"/>
            <w:noWrap w:val="0"/>
            <w:vAlign w:val="center"/>
          </w:tcPr>
          <w:p w14:paraId="38D216FA">
            <w:pPr>
              <w:widowControl/>
              <w:jc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2</w:t>
            </w:r>
            <w:r>
              <w:rPr>
                <w:rFonts w:hint="eastAsia" w:ascii="宋体" w:hAnsi="宋体" w:eastAsia="宋体" w:cs="宋体"/>
                <w:color w:val="auto"/>
                <w:sz w:val="24"/>
                <w:szCs w:val="24"/>
                <w:highlight w:val="none"/>
                <w:lang w:val="en-US" w:eastAsia="zh-CN"/>
              </w:rPr>
              <w:t>个工作日</w:t>
            </w:r>
          </w:p>
        </w:tc>
      </w:tr>
      <w:tr w14:paraId="4E094D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870" w:type="dxa"/>
            <w:noWrap w:val="0"/>
            <w:vAlign w:val="center"/>
          </w:tcPr>
          <w:p w14:paraId="213D02AA">
            <w:pPr>
              <w:widowControl/>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12</w:t>
            </w:r>
          </w:p>
        </w:tc>
        <w:tc>
          <w:tcPr>
            <w:tcW w:w="3210" w:type="dxa"/>
            <w:noWrap w:val="0"/>
            <w:vAlign w:val="center"/>
          </w:tcPr>
          <w:p w14:paraId="3F448C0C">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呼吸道病原体1gM抗体（包括嗜肺军团菌血清1型、肺炎支原体、Q热立克次体、肺炎衣原体、腺病毒、呼吸道合胞病毒、甲型流感病毒、乙型流感病毒和副流感病毒1、2和3型等9项）</w:t>
            </w:r>
          </w:p>
        </w:tc>
        <w:tc>
          <w:tcPr>
            <w:tcW w:w="1230" w:type="dxa"/>
            <w:noWrap w:val="0"/>
            <w:vAlign w:val="center"/>
          </w:tcPr>
          <w:p w14:paraId="2585D89A">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80</w:t>
            </w:r>
          </w:p>
        </w:tc>
        <w:tc>
          <w:tcPr>
            <w:tcW w:w="1440" w:type="dxa"/>
            <w:noWrap w:val="0"/>
            <w:vAlign w:val="center"/>
          </w:tcPr>
          <w:p w14:paraId="17521433">
            <w:pPr>
              <w:widowControl/>
              <w:jc w:val="center"/>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390</w:t>
            </w:r>
          </w:p>
        </w:tc>
        <w:tc>
          <w:tcPr>
            <w:tcW w:w="1800" w:type="dxa"/>
            <w:noWrap w:val="0"/>
            <w:vAlign w:val="center"/>
          </w:tcPr>
          <w:p w14:paraId="11C3F9F4">
            <w:pPr>
              <w:widowControl/>
              <w:jc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1个工作日</w:t>
            </w:r>
          </w:p>
        </w:tc>
      </w:tr>
      <w:tr w14:paraId="66FAB6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870" w:type="dxa"/>
            <w:noWrap w:val="0"/>
            <w:vAlign w:val="center"/>
          </w:tcPr>
          <w:p w14:paraId="5C1DD389">
            <w:pPr>
              <w:widowControl/>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13</w:t>
            </w:r>
          </w:p>
        </w:tc>
        <w:tc>
          <w:tcPr>
            <w:tcW w:w="3210" w:type="dxa"/>
            <w:noWrap w:val="0"/>
            <w:vAlign w:val="center"/>
          </w:tcPr>
          <w:p w14:paraId="7B329A1F">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抗β2糖蛋白1抗体（IgA、IgM、IgG）定量</w:t>
            </w:r>
          </w:p>
        </w:tc>
        <w:tc>
          <w:tcPr>
            <w:tcW w:w="1230" w:type="dxa"/>
            <w:noWrap w:val="0"/>
            <w:vAlign w:val="center"/>
          </w:tcPr>
          <w:p w14:paraId="44C5094A">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40</w:t>
            </w:r>
          </w:p>
        </w:tc>
        <w:tc>
          <w:tcPr>
            <w:tcW w:w="1440" w:type="dxa"/>
            <w:noWrap w:val="0"/>
            <w:vAlign w:val="center"/>
          </w:tcPr>
          <w:p w14:paraId="2B4057E3">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240</w:t>
            </w:r>
          </w:p>
        </w:tc>
        <w:tc>
          <w:tcPr>
            <w:tcW w:w="1800" w:type="dxa"/>
            <w:shd w:val="clear" w:color="auto" w:fill="auto"/>
            <w:noWrap w:val="0"/>
            <w:vAlign w:val="center"/>
          </w:tcPr>
          <w:p w14:paraId="35F9DDC0">
            <w:pPr>
              <w:widowControl/>
              <w:jc w:val="center"/>
              <w:rPr>
                <w:rFonts w:hint="eastAsia" w:ascii="宋体" w:hAnsi="宋体" w:eastAsia="宋体" w:cs="宋体"/>
                <w:color w:val="auto"/>
                <w:sz w:val="24"/>
                <w:szCs w:val="24"/>
                <w:highlight w:val="none"/>
                <w:lang w:val="en-US" w:eastAsia="zh-CN" w:bidi="ar-SA"/>
              </w:rPr>
            </w:pPr>
            <w:r>
              <w:rPr>
                <w:rFonts w:hint="eastAsia" w:ascii="宋体" w:hAnsi="宋体" w:cs="宋体"/>
                <w:color w:val="auto"/>
                <w:sz w:val="24"/>
                <w:szCs w:val="24"/>
                <w:highlight w:val="none"/>
                <w:lang w:val="en-US" w:eastAsia="zh-CN"/>
              </w:rPr>
              <w:t>1</w:t>
            </w:r>
            <w:r>
              <w:rPr>
                <w:rFonts w:hint="eastAsia" w:ascii="宋体" w:hAnsi="宋体" w:eastAsia="宋体" w:cs="宋体"/>
                <w:color w:val="auto"/>
                <w:sz w:val="24"/>
                <w:szCs w:val="24"/>
                <w:highlight w:val="none"/>
                <w:lang w:val="en-US" w:eastAsia="zh-CN"/>
              </w:rPr>
              <w:t>个工作日</w:t>
            </w:r>
          </w:p>
        </w:tc>
      </w:tr>
      <w:tr w14:paraId="7C59F5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870" w:type="dxa"/>
            <w:noWrap w:val="0"/>
            <w:vAlign w:val="center"/>
          </w:tcPr>
          <w:p w14:paraId="1C815FCD">
            <w:pPr>
              <w:widowControl/>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14</w:t>
            </w:r>
          </w:p>
        </w:tc>
        <w:tc>
          <w:tcPr>
            <w:tcW w:w="3210" w:type="dxa"/>
            <w:noWrap w:val="0"/>
            <w:vAlign w:val="center"/>
          </w:tcPr>
          <w:p w14:paraId="7490E283">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可溶性生长刺激表达基因2蛋白</w:t>
            </w:r>
          </w:p>
        </w:tc>
        <w:tc>
          <w:tcPr>
            <w:tcW w:w="1230" w:type="dxa"/>
            <w:noWrap w:val="0"/>
            <w:vAlign w:val="center"/>
          </w:tcPr>
          <w:p w14:paraId="3E2CE2C3">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10</w:t>
            </w:r>
          </w:p>
        </w:tc>
        <w:tc>
          <w:tcPr>
            <w:tcW w:w="1440" w:type="dxa"/>
            <w:noWrap w:val="0"/>
            <w:vAlign w:val="center"/>
          </w:tcPr>
          <w:p w14:paraId="72383D6A">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260</w:t>
            </w:r>
          </w:p>
        </w:tc>
        <w:tc>
          <w:tcPr>
            <w:tcW w:w="1800" w:type="dxa"/>
            <w:shd w:val="clear" w:color="auto" w:fill="auto"/>
            <w:noWrap w:val="0"/>
            <w:vAlign w:val="center"/>
          </w:tcPr>
          <w:p w14:paraId="54F5ADAE">
            <w:pPr>
              <w:widowControl/>
              <w:jc w:val="center"/>
              <w:rPr>
                <w:rFonts w:hint="eastAsia" w:ascii="宋体" w:hAnsi="宋体" w:eastAsia="宋体" w:cs="宋体"/>
                <w:color w:val="auto"/>
                <w:sz w:val="24"/>
                <w:szCs w:val="24"/>
                <w:highlight w:val="none"/>
                <w:lang w:val="en-US" w:eastAsia="zh-CN" w:bidi="ar-SA"/>
              </w:rPr>
            </w:pPr>
            <w:r>
              <w:rPr>
                <w:rFonts w:hint="eastAsia" w:ascii="宋体" w:hAnsi="宋体" w:cs="宋体"/>
                <w:color w:val="auto"/>
                <w:sz w:val="24"/>
                <w:szCs w:val="24"/>
                <w:highlight w:val="none"/>
                <w:lang w:val="en-US" w:eastAsia="zh-CN"/>
              </w:rPr>
              <w:t>1</w:t>
            </w:r>
            <w:r>
              <w:rPr>
                <w:rFonts w:hint="eastAsia" w:ascii="宋体" w:hAnsi="宋体" w:eastAsia="宋体" w:cs="宋体"/>
                <w:color w:val="auto"/>
                <w:sz w:val="24"/>
                <w:szCs w:val="24"/>
                <w:highlight w:val="none"/>
                <w:lang w:val="en-US" w:eastAsia="zh-CN"/>
              </w:rPr>
              <w:t>个工作日</w:t>
            </w:r>
          </w:p>
        </w:tc>
      </w:tr>
      <w:tr w14:paraId="4CAC0A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870" w:type="dxa"/>
            <w:noWrap w:val="0"/>
            <w:vAlign w:val="center"/>
          </w:tcPr>
          <w:p w14:paraId="6EDFA70B">
            <w:pPr>
              <w:widowControl/>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15</w:t>
            </w:r>
          </w:p>
        </w:tc>
        <w:tc>
          <w:tcPr>
            <w:tcW w:w="3210" w:type="dxa"/>
            <w:noWrap w:val="0"/>
            <w:vAlign w:val="center"/>
          </w:tcPr>
          <w:p w14:paraId="1AE4D06F">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尿N﹣乙酰﹣β-D﹣葡萄糖苷醇（NAG)</w:t>
            </w:r>
          </w:p>
        </w:tc>
        <w:tc>
          <w:tcPr>
            <w:tcW w:w="1230" w:type="dxa"/>
            <w:noWrap w:val="0"/>
            <w:vAlign w:val="center"/>
          </w:tcPr>
          <w:p w14:paraId="22D15092">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10</w:t>
            </w:r>
          </w:p>
        </w:tc>
        <w:tc>
          <w:tcPr>
            <w:tcW w:w="1440" w:type="dxa"/>
            <w:noWrap w:val="0"/>
            <w:vAlign w:val="center"/>
          </w:tcPr>
          <w:p w14:paraId="603BFC20">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5</w:t>
            </w:r>
          </w:p>
        </w:tc>
        <w:tc>
          <w:tcPr>
            <w:tcW w:w="1800" w:type="dxa"/>
            <w:noWrap w:val="0"/>
            <w:vAlign w:val="center"/>
          </w:tcPr>
          <w:p w14:paraId="1444E98F">
            <w:pPr>
              <w:widowControl/>
              <w:jc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2个工作日</w:t>
            </w:r>
          </w:p>
        </w:tc>
      </w:tr>
      <w:tr w14:paraId="269CCA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870" w:type="dxa"/>
            <w:noWrap w:val="0"/>
            <w:vAlign w:val="center"/>
          </w:tcPr>
          <w:p w14:paraId="5B33C5A2">
            <w:pPr>
              <w:widowControl/>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16</w:t>
            </w:r>
          </w:p>
        </w:tc>
        <w:tc>
          <w:tcPr>
            <w:tcW w:w="3210" w:type="dxa"/>
            <w:noWrap w:val="0"/>
            <w:vAlign w:val="center"/>
          </w:tcPr>
          <w:p w14:paraId="42F88386">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尿蛋白电泳</w:t>
            </w:r>
          </w:p>
        </w:tc>
        <w:tc>
          <w:tcPr>
            <w:tcW w:w="1230" w:type="dxa"/>
            <w:noWrap w:val="0"/>
            <w:vAlign w:val="center"/>
          </w:tcPr>
          <w:p w14:paraId="2CE25AD4">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30</w:t>
            </w:r>
          </w:p>
        </w:tc>
        <w:tc>
          <w:tcPr>
            <w:tcW w:w="1440" w:type="dxa"/>
            <w:noWrap w:val="0"/>
            <w:vAlign w:val="center"/>
          </w:tcPr>
          <w:p w14:paraId="18003214">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100</w:t>
            </w:r>
          </w:p>
        </w:tc>
        <w:tc>
          <w:tcPr>
            <w:tcW w:w="1800" w:type="dxa"/>
            <w:shd w:val="clear" w:color="auto" w:fill="auto"/>
            <w:noWrap w:val="0"/>
            <w:vAlign w:val="center"/>
          </w:tcPr>
          <w:p w14:paraId="5D99A950">
            <w:pPr>
              <w:widowControl/>
              <w:jc w:val="center"/>
              <w:rPr>
                <w:rFonts w:hint="eastAsia" w:ascii="宋体" w:hAnsi="宋体" w:eastAsia="宋体" w:cs="宋体"/>
                <w:color w:val="auto"/>
                <w:sz w:val="24"/>
                <w:szCs w:val="24"/>
                <w:highlight w:val="none"/>
                <w:lang w:val="en-US" w:eastAsia="zh-CN" w:bidi="ar-SA"/>
              </w:rPr>
            </w:pPr>
            <w:r>
              <w:rPr>
                <w:rFonts w:hint="eastAsia" w:ascii="宋体" w:hAnsi="宋体" w:cs="宋体"/>
                <w:color w:val="auto"/>
                <w:sz w:val="24"/>
                <w:szCs w:val="24"/>
                <w:highlight w:val="none"/>
                <w:lang w:val="en-US" w:eastAsia="zh-CN"/>
              </w:rPr>
              <w:t>3</w:t>
            </w:r>
            <w:r>
              <w:rPr>
                <w:rFonts w:hint="eastAsia" w:ascii="宋体" w:hAnsi="宋体" w:eastAsia="宋体" w:cs="宋体"/>
                <w:color w:val="auto"/>
                <w:sz w:val="24"/>
                <w:szCs w:val="24"/>
                <w:highlight w:val="none"/>
                <w:lang w:val="en-US" w:eastAsia="zh-CN"/>
              </w:rPr>
              <w:t>个工作日</w:t>
            </w:r>
          </w:p>
        </w:tc>
      </w:tr>
      <w:tr w14:paraId="1C762C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870" w:type="dxa"/>
            <w:noWrap w:val="0"/>
            <w:vAlign w:val="center"/>
          </w:tcPr>
          <w:p w14:paraId="1CE0ED59">
            <w:pPr>
              <w:widowControl/>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17</w:t>
            </w:r>
          </w:p>
        </w:tc>
        <w:tc>
          <w:tcPr>
            <w:tcW w:w="3210" w:type="dxa"/>
            <w:noWrap w:val="0"/>
            <w:vAlign w:val="center"/>
          </w:tcPr>
          <w:p w14:paraId="1B35CCFA">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尿香草扁桃酸</w:t>
            </w:r>
          </w:p>
        </w:tc>
        <w:tc>
          <w:tcPr>
            <w:tcW w:w="1230" w:type="dxa"/>
            <w:noWrap w:val="0"/>
            <w:vAlign w:val="center"/>
          </w:tcPr>
          <w:p w14:paraId="140B7608">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20</w:t>
            </w:r>
          </w:p>
        </w:tc>
        <w:tc>
          <w:tcPr>
            <w:tcW w:w="1440" w:type="dxa"/>
            <w:noWrap w:val="0"/>
            <w:vAlign w:val="center"/>
          </w:tcPr>
          <w:p w14:paraId="1C805713">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60</w:t>
            </w:r>
          </w:p>
        </w:tc>
        <w:tc>
          <w:tcPr>
            <w:tcW w:w="1800" w:type="dxa"/>
            <w:noWrap w:val="0"/>
            <w:vAlign w:val="center"/>
          </w:tcPr>
          <w:p w14:paraId="7CEACB56">
            <w:pPr>
              <w:widowControl/>
              <w:jc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2个工作日</w:t>
            </w:r>
          </w:p>
        </w:tc>
      </w:tr>
      <w:tr w14:paraId="2824B0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870" w:type="dxa"/>
            <w:noWrap w:val="0"/>
            <w:vAlign w:val="center"/>
          </w:tcPr>
          <w:p w14:paraId="259EF751">
            <w:pPr>
              <w:widowControl/>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18</w:t>
            </w:r>
          </w:p>
        </w:tc>
        <w:tc>
          <w:tcPr>
            <w:tcW w:w="3210" w:type="dxa"/>
            <w:noWrap w:val="0"/>
            <w:vAlign w:val="center"/>
          </w:tcPr>
          <w:p w14:paraId="491B2507">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24小时尿醛固酮</w:t>
            </w:r>
          </w:p>
        </w:tc>
        <w:tc>
          <w:tcPr>
            <w:tcW w:w="1230" w:type="dxa"/>
            <w:noWrap w:val="0"/>
            <w:vAlign w:val="center"/>
          </w:tcPr>
          <w:p w14:paraId="73C9C663">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5</w:t>
            </w:r>
          </w:p>
        </w:tc>
        <w:tc>
          <w:tcPr>
            <w:tcW w:w="1440" w:type="dxa"/>
            <w:noWrap w:val="0"/>
            <w:vAlign w:val="center"/>
          </w:tcPr>
          <w:p w14:paraId="0A6E9FCC">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40</w:t>
            </w:r>
          </w:p>
        </w:tc>
        <w:tc>
          <w:tcPr>
            <w:tcW w:w="1800" w:type="dxa"/>
            <w:noWrap w:val="0"/>
            <w:vAlign w:val="center"/>
          </w:tcPr>
          <w:p w14:paraId="201AB807">
            <w:pPr>
              <w:widowControl/>
              <w:jc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2个工作日</w:t>
            </w:r>
          </w:p>
        </w:tc>
      </w:tr>
      <w:tr w14:paraId="5313BB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870" w:type="dxa"/>
            <w:noWrap w:val="0"/>
            <w:vAlign w:val="center"/>
          </w:tcPr>
          <w:p w14:paraId="375C9C8A">
            <w:pPr>
              <w:widowControl/>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19</w:t>
            </w:r>
          </w:p>
        </w:tc>
        <w:tc>
          <w:tcPr>
            <w:tcW w:w="3210" w:type="dxa"/>
            <w:noWrap w:val="0"/>
            <w:vAlign w:val="center"/>
          </w:tcPr>
          <w:p w14:paraId="6F9DF25F">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免疫固定电泳</w:t>
            </w:r>
          </w:p>
        </w:tc>
        <w:tc>
          <w:tcPr>
            <w:tcW w:w="1230" w:type="dxa"/>
            <w:noWrap w:val="0"/>
            <w:vAlign w:val="center"/>
          </w:tcPr>
          <w:p w14:paraId="47500910">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500</w:t>
            </w:r>
          </w:p>
        </w:tc>
        <w:tc>
          <w:tcPr>
            <w:tcW w:w="1440" w:type="dxa"/>
            <w:noWrap w:val="0"/>
            <w:vAlign w:val="center"/>
          </w:tcPr>
          <w:p w14:paraId="4B594C2D">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120</w:t>
            </w:r>
          </w:p>
        </w:tc>
        <w:tc>
          <w:tcPr>
            <w:tcW w:w="1800" w:type="dxa"/>
            <w:shd w:val="clear" w:color="auto" w:fill="auto"/>
            <w:noWrap w:val="0"/>
            <w:vAlign w:val="center"/>
          </w:tcPr>
          <w:p w14:paraId="21D68C4E">
            <w:pPr>
              <w:widowControl/>
              <w:jc w:val="center"/>
              <w:rPr>
                <w:rFonts w:hint="eastAsia" w:ascii="宋体" w:hAnsi="宋体" w:eastAsia="宋体" w:cs="宋体"/>
                <w:color w:val="auto"/>
                <w:sz w:val="24"/>
                <w:szCs w:val="24"/>
                <w:highlight w:val="none"/>
                <w:lang w:val="en-US" w:eastAsia="zh-CN" w:bidi="ar-SA"/>
              </w:rPr>
            </w:pPr>
            <w:r>
              <w:rPr>
                <w:rFonts w:hint="eastAsia" w:ascii="宋体" w:hAnsi="宋体" w:cs="宋体"/>
                <w:color w:val="auto"/>
                <w:sz w:val="24"/>
                <w:szCs w:val="24"/>
                <w:highlight w:val="none"/>
                <w:lang w:val="en-US" w:eastAsia="zh-CN"/>
              </w:rPr>
              <w:t>3</w:t>
            </w:r>
            <w:r>
              <w:rPr>
                <w:rFonts w:hint="eastAsia" w:ascii="宋体" w:hAnsi="宋体" w:eastAsia="宋体" w:cs="宋体"/>
                <w:color w:val="auto"/>
                <w:sz w:val="24"/>
                <w:szCs w:val="24"/>
                <w:highlight w:val="none"/>
                <w:lang w:val="en-US" w:eastAsia="zh-CN"/>
              </w:rPr>
              <w:t>个工作日</w:t>
            </w:r>
          </w:p>
        </w:tc>
      </w:tr>
      <w:tr w14:paraId="5EAA1F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870" w:type="dxa"/>
            <w:noWrap w:val="0"/>
            <w:vAlign w:val="center"/>
          </w:tcPr>
          <w:p w14:paraId="6677CF2B">
            <w:pPr>
              <w:widowControl/>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20</w:t>
            </w:r>
          </w:p>
        </w:tc>
        <w:tc>
          <w:tcPr>
            <w:tcW w:w="3210" w:type="dxa"/>
            <w:noWrap w:val="0"/>
            <w:vAlign w:val="center"/>
          </w:tcPr>
          <w:p w14:paraId="0C03C790">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前列腺健康指数（总前列腺抗原、游离前列腺抗原、前列腺抗原同源异构体）</w:t>
            </w:r>
          </w:p>
        </w:tc>
        <w:tc>
          <w:tcPr>
            <w:tcW w:w="1230" w:type="dxa"/>
            <w:noWrap w:val="0"/>
            <w:vAlign w:val="center"/>
          </w:tcPr>
          <w:p w14:paraId="6A59E9BB">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50</w:t>
            </w:r>
          </w:p>
        </w:tc>
        <w:tc>
          <w:tcPr>
            <w:tcW w:w="1440" w:type="dxa"/>
            <w:noWrap w:val="0"/>
            <w:vAlign w:val="center"/>
          </w:tcPr>
          <w:p w14:paraId="2447BE21">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295</w:t>
            </w:r>
          </w:p>
        </w:tc>
        <w:tc>
          <w:tcPr>
            <w:tcW w:w="1800" w:type="dxa"/>
            <w:noWrap w:val="0"/>
            <w:vAlign w:val="center"/>
          </w:tcPr>
          <w:p w14:paraId="3D771BBC">
            <w:pPr>
              <w:widowControl/>
              <w:jc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3个工作日</w:t>
            </w:r>
          </w:p>
        </w:tc>
      </w:tr>
      <w:tr w14:paraId="41D3B8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870" w:type="dxa"/>
            <w:noWrap w:val="0"/>
            <w:vAlign w:val="center"/>
          </w:tcPr>
          <w:p w14:paraId="5CC961EF">
            <w:pPr>
              <w:widowControl/>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21</w:t>
            </w:r>
          </w:p>
        </w:tc>
        <w:tc>
          <w:tcPr>
            <w:tcW w:w="3210" w:type="dxa"/>
            <w:noWrap w:val="0"/>
            <w:vAlign w:val="center"/>
          </w:tcPr>
          <w:p w14:paraId="3A931626">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全血微量元素5项（钙、镁、铜、铁、锌）</w:t>
            </w:r>
          </w:p>
        </w:tc>
        <w:tc>
          <w:tcPr>
            <w:tcW w:w="1230" w:type="dxa"/>
            <w:noWrap w:val="0"/>
            <w:vAlign w:val="center"/>
          </w:tcPr>
          <w:p w14:paraId="46553F37">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800</w:t>
            </w:r>
          </w:p>
        </w:tc>
        <w:tc>
          <w:tcPr>
            <w:tcW w:w="1440" w:type="dxa"/>
            <w:noWrap w:val="0"/>
            <w:vAlign w:val="center"/>
          </w:tcPr>
          <w:p w14:paraId="736FDD90">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135</w:t>
            </w:r>
          </w:p>
        </w:tc>
        <w:tc>
          <w:tcPr>
            <w:tcW w:w="1800" w:type="dxa"/>
            <w:shd w:val="clear" w:color="auto" w:fill="auto"/>
            <w:noWrap w:val="0"/>
            <w:vAlign w:val="center"/>
          </w:tcPr>
          <w:p w14:paraId="0AA3F2D2">
            <w:pPr>
              <w:widowControl/>
              <w:jc w:val="center"/>
              <w:rPr>
                <w:rFonts w:hint="eastAsia" w:ascii="宋体" w:hAnsi="宋体" w:eastAsia="宋体" w:cs="宋体"/>
                <w:color w:val="auto"/>
                <w:sz w:val="24"/>
                <w:szCs w:val="24"/>
                <w:highlight w:val="none"/>
                <w:lang w:val="en-US" w:eastAsia="zh-CN" w:bidi="ar-SA"/>
              </w:rPr>
            </w:pPr>
            <w:r>
              <w:rPr>
                <w:rFonts w:hint="eastAsia" w:ascii="宋体" w:hAnsi="宋体" w:cs="宋体"/>
                <w:color w:val="auto"/>
                <w:sz w:val="24"/>
                <w:szCs w:val="24"/>
                <w:highlight w:val="none"/>
                <w:lang w:val="en-US" w:eastAsia="zh-CN"/>
              </w:rPr>
              <w:t>1</w:t>
            </w:r>
            <w:r>
              <w:rPr>
                <w:rFonts w:hint="eastAsia" w:ascii="宋体" w:hAnsi="宋体" w:eastAsia="宋体" w:cs="宋体"/>
                <w:color w:val="auto"/>
                <w:sz w:val="24"/>
                <w:szCs w:val="24"/>
                <w:highlight w:val="none"/>
                <w:lang w:val="en-US" w:eastAsia="zh-CN"/>
              </w:rPr>
              <w:t>个工作日</w:t>
            </w:r>
          </w:p>
        </w:tc>
      </w:tr>
      <w:tr w14:paraId="21140B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870" w:type="dxa"/>
            <w:noWrap w:val="0"/>
            <w:vAlign w:val="center"/>
          </w:tcPr>
          <w:p w14:paraId="09E449D4">
            <w:pPr>
              <w:widowControl/>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22</w:t>
            </w:r>
          </w:p>
        </w:tc>
        <w:tc>
          <w:tcPr>
            <w:tcW w:w="3210" w:type="dxa"/>
            <w:noWrap w:val="0"/>
            <w:vAlign w:val="center"/>
          </w:tcPr>
          <w:p w14:paraId="08CDA059">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尿碘（I)</w:t>
            </w:r>
          </w:p>
        </w:tc>
        <w:tc>
          <w:tcPr>
            <w:tcW w:w="1230" w:type="dxa"/>
            <w:noWrap w:val="0"/>
            <w:vAlign w:val="center"/>
          </w:tcPr>
          <w:p w14:paraId="21DE1D92">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200</w:t>
            </w:r>
          </w:p>
        </w:tc>
        <w:tc>
          <w:tcPr>
            <w:tcW w:w="1440" w:type="dxa"/>
            <w:noWrap w:val="0"/>
            <w:vAlign w:val="center"/>
          </w:tcPr>
          <w:p w14:paraId="7321B03A">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75</w:t>
            </w:r>
          </w:p>
        </w:tc>
        <w:tc>
          <w:tcPr>
            <w:tcW w:w="1800" w:type="dxa"/>
            <w:noWrap w:val="0"/>
            <w:vAlign w:val="center"/>
          </w:tcPr>
          <w:p w14:paraId="65C43F86">
            <w:pPr>
              <w:widowControl/>
              <w:jc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2</w:t>
            </w:r>
            <w:r>
              <w:rPr>
                <w:rFonts w:hint="eastAsia" w:ascii="宋体" w:hAnsi="宋体" w:eastAsia="宋体" w:cs="宋体"/>
                <w:color w:val="auto"/>
                <w:sz w:val="24"/>
                <w:szCs w:val="24"/>
                <w:highlight w:val="none"/>
                <w:lang w:val="en-US" w:eastAsia="zh-CN"/>
              </w:rPr>
              <w:t>个工作日</w:t>
            </w:r>
          </w:p>
        </w:tc>
      </w:tr>
      <w:tr w14:paraId="55EB61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870" w:type="dxa"/>
            <w:noWrap w:val="0"/>
            <w:vAlign w:val="center"/>
          </w:tcPr>
          <w:p w14:paraId="2F3917B9">
            <w:pPr>
              <w:widowControl/>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23</w:t>
            </w:r>
          </w:p>
        </w:tc>
        <w:tc>
          <w:tcPr>
            <w:tcW w:w="3210" w:type="dxa"/>
            <w:noWrap w:val="0"/>
            <w:vAlign w:val="center"/>
          </w:tcPr>
          <w:p w14:paraId="1EFC7EC9">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转铁蛋白</w:t>
            </w:r>
          </w:p>
        </w:tc>
        <w:tc>
          <w:tcPr>
            <w:tcW w:w="1230" w:type="dxa"/>
            <w:noWrap w:val="0"/>
            <w:vAlign w:val="center"/>
          </w:tcPr>
          <w:p w14:paraId="0771706C">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100</w:t>
            </w:r>
          </w:p>
        </w:tc>
        <w:tc>
          <w:tcPr>
            <w:tcW w:w="1440" w:type="dxa"/>
            <w:noWrap w:val="0"/>
            <w:vAlign w:val="center"/>
          </w:tcPr>
          <w:p w14:paraId="25803551">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20</w:t>
            </w:r>
          </w:p>
        </w:tc>
        <w:tc>
          <w:tcPr>
            <w:tcW w:w="1800" w:type="dxa"/>
            <w:noWrap w:val="0"/>
            <w:vAlign w:val="center"/>
          </w:tcPr>
          <w:p w14:paraId="39114549">
            <w:pPr>
              <w:widowControl/>
              <w:jc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1</w:t>
            </w:r>
            <w:r>
              <w:rPr>
                <w:rFonts w:hint="eastAsia" w:ascii="宋体" w:hAnsi="宋体" w:eastAsia="宋体" w:cs="宋体"/>
                <w:color w:val="auto"/>
                <w:sz w:val="24"/>
                <w:szCs w:val="24"/>
                <w:highlight w:val="none"/>
                <w:lang w:val="en-US" w:eastAsia="zh-CN"/>
              </w:rPr>
              <w:t>个工作日</w:t>
            </w:r>
          </w:p>
        </w:tc>
      </w:tr>
      <w:tr w14:paraId="3BE7C2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870" w:type="dxa"/>
            <w:noWrap w:val="0"/>
            <w:vAlign w:val="center"/>
          </w:tcPr>
          <w:p w14:paraId="3AC76104">
            <w:pPr>
              <w:widowControl/>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24</w:t>
            </w:r>
          </w:p>
        </w:tc>
        <w:tc>
          <w:tcPr>
            <w:tcW w:w="3210" w:type="dxa"/>
            <w:noWrap w:val="0"/>
            <w:vAlign w:val="center"/>
          </w:tcPr>
          <w:p w14:paraId="5C883BFF">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视黄醇结合蛋白</w:t>
            </w:r>
          </w:p>
        </w:tc>
        <w:tc>
          <w:tcPr>
            <w:tcW w:w="1230" w:type="dxa"/>
            <w:noWrap w:val="0"/>
            <w:vAlign w:val="center"/>
          </w:tcPr>
          <w:p w14:paraId="3B7A54E7">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600</w:t>
            </w:r>
          </w:p>
        </w:tc>
        <w:tc>
          <w:tcPr>
            <w:tcW w:w="1440" w:type="dxa"/>
            <w:noWrap w:val="0"/>
            <w:vAlign w:val="center"/>
          </w:tcPr>
          <w:p w14:paraId="6DB926A4">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15</w:t>
            </w:r>
          </w:p>
        </w:tc>
        <w:tc>
          <w:tcPr>
            <w:tcW w:w="1800" w:type="dxa"/>
            <w:shd w:val="clear" w:color="auto" w:fill="auto"/>
            <w:noWrap w:val="0"/>
            <w:vAlign w:val="center"/>
          </w:tcPr>
          <w:p w14:paraId="0984BA18">
            <w:pPr>
              <w:widowControl/>
              <w:jc w:val="center"/>
              <w:rPr>
                <w:rFonts w:hint="eastAsia" w:ascii="宋体" w:hAnsi="宋体" w:eastAsia="宋体" w:cs="宋体"/>
                <w:color w:val="auto"/>
                <w:sz w:val="24"/>
                <w:szCs w:val="24"/>
                <w:highlight w:val="none"/>
                <w:lang w:val="en-US" w:eastAsia="zh-CN" w:bidi="ar-SA"/>
              </w:rPr>
            </w:pPr>
            <w:r>
              <w:rPr>
                <w:rFonts w:hint="eastAsia" w:ascii="宋体" w:hAnsi="宋体" w:cs="宋体"/>
                <w:color w:val="auto"/>
                <w:sz w:val="24"/>
                <w:szCs w:val="24"/>
                <w:highlight w:val="none"/>
                <w:lang w:val="en-US" w:eastAsia="zh-CN"/>
              </w:rPr>
              <w:t>2</w:t>
            </w:r>
            <w:r>
              <w:rPr>
                <w:rFonts w:hint="eastAsia" w:ascii="宋体" w:hAnsi="宋体" w:eastAsia="宋体" w:cs="宋体"/>
                <w:color w:val="auto"/>
                <w:sz w:val="24"/>
                <w:szCs w:val="24"/>
                <w:highlight w:val="none"/>
                <w:lang w:val="en-US" w:eastAsia="zh-CN"/>
              </w:rPr>
              <w:t>个工作日</w:t>
            </w:r>
          </w:p>
        </w:tc>
      </w:tr>
      <w:tr w14:paraId="69BB2F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870" w:type="dxa"/>
            <w:noWrap w:val="0"/>
            <w:vAlign w:val="center"/>
          </w:tcPr>
          <w:p w14:paraId="4E84BCD1">
            <w:pPr>
              <w:widowControl/>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25</w:t>
            </w:r>
          </w:p>
        </w:tc>
        <w:tc>
          <w:tcPr>
            <w:tcW w:w="3210" w:type="dxa"/>
            <w:noWrap w:val="0"/>
            <w:vAlign w:val="center"/>
          </w:tcPr>
          <w:p w14:paraId="7EB132AE">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凝血因子</w:t>
            </w:r>
          </w:p>
        </w:tc>
        <w:tc>
          <w:tcPr>
            <w:tcW w:w="1230" w:type="dxa"/>
            <w:noWrap w:val="0"/>
            <w:vAlign w:val="center"/>
          </w:tcPr>
          <w:p w14:paraId="38B39FCF">
            <w:pPr>
              <w:widowControl/>
              <w:jc w:val="center"/>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300</w:t>
            </w:r>
          </w:p>
        </w:tc>
        <w:tc>
          <w:tcPr>
            <w:tcW w:w="1440" w:type="dxa"/>
            <w:noWrap w:val="0"/>
            <w:vAlign w:val="center"/>
          </w:tcPr>
          <w:p w14:paraId="3621A92C">
            <w:pPr>
              <w:widowControl/>
              <w:jc w:val="center"/>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40</w:t>
            </w:r>
          </w:p>
        </w:tc>
        <w:tc>
          <w:tcPr>
            <w:tcW w:w="1800" w:type="dxa"/>
            <w:noWrap w:val="0"/>
            <w:vAlign w:val="center"/>
          </w:tcPr>
          <w:p w14:paraId="69B70039">
            <w:pPr>
              <w:widowControl/>
              <w:jc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2</w:t>
            </w:r>
            <w:r>
              <w:rPr>
                <w:rFonts w:hint="eastAsia" w:ascii="宋体" w:hAnsi="宋体" w:eastAsia="宋体" w:cs="宋体"/>
                <w:color w:val="auto"/>
                <w:sz w:val="24"/>
                <w:szCs w:val="24"/>
                <w:highlight w:val="none"/>
                <w:lang w:val="en-US" w:eastAsia="zh-CN"/>
              </w:rPr>
              <w:t>个工作日</w:t>
            </w:r>
          </w:p>
        </w:tc>
      </w:tr>
      <w:tr w14:paraId="212F94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870" w:type="dxa"/>
            <w:noWrap w:val="0"/>
            <w:vAlign w:val="center"/>
          </w:tcPr>
          <w:p w14:paraId="0496CBF7">
            <w:pPr>
              <w:widowControl/>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26</w:t>
            </w:r>
          </w:p>
        </w:tc>
        <w:tc>
          <w:tcPr>
            <w:tcW w:w="3210" w:type="dxa"/>
            <w:noWrap w:val="0"/>
            <w:vAlign w:val="center"/>
          </w:tcPr>
          <w:p w14:paraId="14B63B98">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蛋白C＋蛋白S</w:t>
            </w:r>
          </w:p>
        </w:tc>
        <w:tc>
          <w:tcPr>
            <w:tcW w:w="1230" w:type="dxa"/>
            <w:noWrap w:val="0"/>
            <w:vAlign w:val="center"/>
          </w:tcPr>
          <w:p w14:paraId="606D28E1">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1000</w:t>
            </w:r>
          </w:p>
        </w:tc>
        <w:tc>
          <w:tcPr>
            <w:tcW w:w="1440" w:type="dxa"/>
            <w:noWrap w:val="0"/>
            <w:vAlign w:val="center"/>
          </w:tcPr>
          <w:p w14:paraId="49F78FB3">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80</w:t>
            </w:r>
          </w:p>
        </w:tc>
        <w:tc>
          <w:tcPr>
            <w:tcW w:w="1800" w:type="dxa"/>
            <w:noWrap w:val="0"/>
            <w:vAlign w:val="center"/>
          </w:tcPr>
          <w:p w14:paraId="1C515FD8">
            <w:pPr>
              <w:widowControl/>
              <w:jc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1</w:t>
            </w:r>
            <w:r>
              <w:rPr>
                <w:rFonts w:hint="eastAsia" w:ascii="宋体" w:hAnsi="宋体" w:eastAsia="宋体" w:cs="宋体"/>
                <w:color w:val="auto"/>
                <w:sz w:val="24"/>
                <w:szCs w:val="24"/>
                <w:highlight w:val="none"/>
                <w:lang w:val="en-US" w:eastAsia="zh-CN"/>
              </w:rPr>
              <w:t>个工作日</w:t>
            </w:r>
          </w:p>
        </w:tc>
      </w:tr>
      <w:tr w14:paraId="7B60BC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870" w:type="dxa"/>
            <w:noWrap w:val="0"/>
            <w:vAlign w:val="center"/>
          </w:tcPr>
          <w:p w14:paraId="282BA4B7">
            <w:pPr>
              <w:widowControl/>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27</w:t>
            </w:r>
          </w:p>
        </w:tc>
        <w:tc>
          <w:tcPr>
            <w:tcW w:w="3210" w:type="dxa"/>
            <w:noWrap w:val="0"/>
            <w:vAlign w:val="center"/>
          </w:tcPr>
          <w:p w14:paraId="508FD0A6">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肺泡灌洗液T淋巴亚群分析</w:t>
            </w:r>
          </w:p>
        </w:tc>
        <w:tc>
          <w:tcPr>
            <w:tcW w:w="1230" w:type="dxa"/>
            <w:noWrap w:val="0"/>
            <w:vAlign w:val="center"/>
          </w:tcPr>
          <w:p w14:paraId="7FDBCD90">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10</w:t>
            </w:r>
          </w:p>
        </w:tc>
        <w:tc>
          <w:tcPr>
            <w:tcW w:w="1440" w:type="dxa"/>
            <w:noWrap w:val="0"/>
            <w:vAlign w:val="center"/>
          </w:tcPr>
          <w:p w14:paraId="421C071E">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135</w:t>
            </w:r>
          </w:p>
        </w:tc>
        <w:tc>
          <w:tcPr>
            <w:tcW w:w="1800" w:type="dxa"/>
            <w:shd w:val="clear" w:color="auto" w:fill="auto"/>
            <w:noWrap w:val="0"/>
            <w:vAlign w:val="center"/>
          </w:tcPr>
          <w:p w14:paraId="527F88F1">
            <w:pPr>
              <w:widowControl/>
              <w:jc w:val="center"/>
              <w:rPr>
                <w:rFonts w:hint="eastAsia" w:ascii="宋体" w:hAnsi="宋体" w:eastAsia="宋体" w:cs="宋体"/>
                <w:color w:val="auto"/>
                <w:sz w:val="24"/>
                <w:szCs w:val="24"/>
                <w:highlight w:val="none"/>
                <w:lang w:val="en-US" w:eastAsia="zh-CN" w:bidi="ar-SA"/>
              </w:rPr>
            </w:pPr>
            <w:r>
              <w:rPr>
                <w:rFonts w:hint="eastAsia" w:ascii="宋体" w:hAnsi="宋体" w:cs="宋体"/>
                <w:color w:val="auto"/>
                <w:sz w:val="24"/>
                <w:szCs w:val="24"/>
                <w:highlight w:val="none"/>
                <w:lang w:val="en-US" w:eastAsia="zh-CN"/>
              </w:rPr>
              <w:t>3</w:t>
            </w:r>
            <w:r>
              <w:rPr>
                <w:rFonts w:hint="eastAsia" w:ascii="宋体" w:hAnsi="宋体" w:eastAsia="宋体" w:cs="宋体"/>
                <w:color w:val="auto"/>
                <w:sz w:val="24"/>
                <w:szCs w:val="24"/>
                <w:highlight w:val="none"/>
                <w:lang w:val="en-US" w:eastAsia="zh-CN"/>
              </w:rPr>
              <w:t>个工作日</w:t>
            </w:r>
          </w:p>
        </w:tc>
      </w:tr>
      <w:tr w14:paraId="0E3951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870" w:type="dxa"/>
            <w:noWrap w:val="0"/>
            <w:vAlign w:val="center"/>
          </w:tcPr>
          <w:p w14:paraId="581F0F06">
            <w:pPr>
              <w:widowControl/>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28</w:t>
            </w:r>
          </w:p>
        </w:tc>
        <w:tc>
          <w:tcPr>
            <w:tcW w:w="3210" w:type="dxa"/>
            <w:noWrap w:val="0"/>
            <w:vAlign w:val="center"/>
          </w:tcPr>
          <w:p w14:paraId="7502C717">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萎缩性胃炎抗体2项（抗内因子抗体、抗胃壁细胞）</w:t>
            </w:r>
          </w:p>
        </w:tc>
        <w:tc>
          <w:tcPr>
            <w:tcW w:w="1230" w:type="dxa"/>
            <w:noWrap w:val="0"/>
            <w:vAlign w:val="center"/>
          </w:tcPr>
          <w:p w14:paraId="0F815797">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50</w:t>
            </w:r>
          </w:p>
        </w:tc>
        <w:tc>
          <w:tcPr>
            <w:tcW w:w="1440" w:type="dxa"/>
            <w:noWrap w:val="0"/>
            <w:vAlign w:val="center"/>
          </w:tcPr>
          <w:p w14:paraId="6C3D37C6">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105</w:t>
            </w:r>
          </w:p>
        </w:tc>
        <w:tc>
          <w:tcPr>
            <w:tcW w:w="1800" w:type="dxa"/>
            <w:noWrap w:val="0"/>
            <w:vAlign w:val="center"/>
          </w:tcPr>
          <w:p w14:paraId="44938BF4">
            <w:pPr>
              <w:widowControl/>
              <w:jc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3</w:t>
            </w:r>
            <w:r>
              <w:rPr>
                <w:rFonts w:hint="eastAsia" w:ascii="宋体" w:hAnsi="宋体" w:eastAsia="宋体" w:cs="宋体"/>
                <w:color w:val="auto"/>
                <w:sz w:val="24"/>
                <w:szCs w:val="24"/>
                <w:highlight w:val="none"/>
                <w:lang w:val="en-US" w:eastAsia="zh-CN"/>
              </w:rPr>
              <w:t>个工作日</w:t>
            </w:r>
          </w:p>
        </w:tc>
      </w:tr>
      <w:tr w14:paraId="34A6F7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870" w:type="dxa"/>
            <w:noWrap w:val="0"/>
            <w:vAlign w:val="center"/>
          </w:tcPr>
          <w:p w14:paraId="20EA97F5">
            <w:pPr>
              <w:widowControl/>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29</w:t>
            </w:r>
          </w:p>
        </w:tc>
        <w:tc>
          <w:tcPr>
            <w:tcW w:w="3210" w:type="dxa"/>
            <w:noWrap w:val="0"/>
            <w:vAlign w:val="center"/>
          </w:tcPr>
          <w:p w14:paraId="2124EC94">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双氢睾酮</w:t>
            </w:r>
          </w:p>
        </w:tc>
        <w:tc>
          <w:tcPr>
            <w:tcW w:w="1230" w:type="dxa"/>
            <w:noWrap w:val="0"/>
            <w:vAlign w:val="center"/>
          </w:tcPr>
          <w:p w14:paraId="4299F692">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100</w:t>
            </w:r>
          </w:p>
        </w:tc>
        <w:tc>
          <w:tcPr>
            <w:tcW w:w="1440" w:type="dxa"/>
            <w:noWrap w:val="0"/>
            <w:vAlign w:val="center"/>
          </w:tcPr>
          <w:p w14:paraId="24A80CA8">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60</w:t>
            </w:r>
          </w:p>
        </w:tc>
        <w:tc>
          <w:tcPr>
            <w:tcW w:w="1800" w:type="dxa"/>
            <w:noWrap w:val="0"/>
            <w:vAlign w:val="center"/>
          </w:tcPr>
          <w:p w14:paraId="1308D497">
            <w:pPr>
              <w:widowControl/>
              <w:jc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2</w:t>
            </w:r>
            <w:r>
              <w:rPr>
                <w:rFonts w:hint="eastAsia" w:ascii="宋体" w:hAnsi="宋体" w:eastAsia="宋体" w:cs="宋体"/>
                <w:color w:val="auto"/>
                <w:sz w:val="24"/>
                <w:szCs w:val="24"/>
                <w:highlight w:val="none"/>
                <w:lang w:val="en-US" w:eastAsia="zh-CN"/>
              </w:rPr>
              <w:t>个工作日</w:t>
            </w:r>
          </w:p>
        </w:tc>
      </w:tr>
      <w:tr w14:paraId="41D441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870" w:type="dxa"/>
            <w:noWrap w:val="0"/>
            <w:vAlign w:val="center"/>
          </w:tcPr>
          <w:p w14:paraId="42C0983E">
            <w:pPr>
              <w:widowControl/>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30</w:t>
            </w:r>
          </w:p>
        </w:tc>
        <w:tc>
          <w:tcPr>
            <w:tcW w:w="3210" w:type="dxa"/>
            <w:noWrap w:val="0"/>
            <w:vAlign w:val="center"/>
          </w:tcPr>
          <w:p w14:paraId="28A10ADE">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雄烯二酮</w:t>
            </w:r>
          </w:p>
        </w:tc>
        <w:tc>
          <w:tcPr>
            <w:tcW w:w="1230" w:type="dxa"/>
            <w:noWrap w:val="0"/>
            <w:vAlign w:val="center"/>
          </w:tcPr>
          <w:p w14:paraId="77F27C7D">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20</w:t>
            </w:r>
          </w:p>
        </w:tc>
        <w:tc>
          <w:tcPr>
            <w:tcW w:w="1440" w:type="dxa"/>
            <w:noWrap w:val="0"/>
            <w:vAlign w:val="center"/>
          </w:tcPr>
          <w:p w14:paraId="463DF180">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130</w:t>
            </w:r>
          </w:p>
        </w:tc>
        <w:tc>
          <w:tcPr>
            <w:tcW w:w="1800" w:type="dxa"/>
            <w:noWrap w:val="0"/>
            <w:vAlign w:val="center"/>
          </w:tcPr>
          <w:p w14:paraId="59ECF42F">
            <w:pPr>
              <w:widowControl/>
              <w:jc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3</w:t>
            </w:r>
            <w:r>
              <w:rPr>
                <w:rFonts w:hint="eastAsia" w:ascii="宋体" w:hAnsi="宋体" w:eastAsia="宋体" w:cs="宋体"/>
                <w:color w:val="auto"/>
                <w:sz w:val="24"/>
                <w:szCs w:val="24"/>
                <w:highlight w:val="none"/>
                <w:lang w:val="en-US" w:eastAsia="zh-CN"/>
              </w:rPr>
              <w:t>个工作日</w:t>
            </w:r>
          </w:p>
        </w:tc>
      </w:tr>
      <w:tr w14:paraId="1B7FD1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870" w:type="dxa"/>
            <w:noWrap w:val="0"/>
            <w:vAlign w:val="center"/>
          </w:tcPr>
          <w:p w14:paraId="17099F49">
            <w:pPr>
              <w:widowControl/>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31</w:t>
            </w:r>
          </w:p>
        </w:tc>
        <w:tc>
          <w:tcPr>
            <w:tcW w:w="3210" w:type="dxa"/>
            <w:noWrap w:val="0"/>
            <w:vAlign w:val="center"/>
          </w:tcPr>
          <w:p w14:paraId="7A3511E2">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免疫球蛋白G4</w:t>
            </w:r>
          </w:p>
        </w:tc>
        <w:tc>
          <w:tcPr>
            <w:tcW w:w="1230" w:type="dxa"/>
            <w:noWrap w:val="0"/>
            <w:vAlign w:val="center"/>
          </w:tcPr>
          <w:p w14:paraId="5BEFDA6C">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400</w:t>
            </w:r>
          </w:p>
        </w:tc>
        <w:tc>
          <w:tcPr>
            <w:tcW w:w="1440" w:type="dxa"/>
            <w:noWrap w:val="0"/>
            <w:vAlign w:val="center"/>
          </w:tcPr>
          <w:p w14:paraId="4A0BED03">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150</w:t>
            </w:r>
          </w:p>
        </w:tc>
        <w:tc>
          <w:tcPr>
            <w:tcW w:w="1800" w:type="dxa"/>
            <w:noWrap w:val="0"/>
            <w:vAlign w:val="center"/>
          </w:tcPr>
          <w:p w14:paraId="42F9EC6A">
            <w:pPr>
              <w:widowControl/>
              <w:jc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1个工作日</w:t>
            </w:r>
          </w:p>
        </w:tc>
      </w:tr>
      <w:tr w14:paraId="1BEA73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870" w:type="dxa"/>
            <w:noWrap w:val="0"/>
            <w:vAlign w:val="center"/>
          </w:tcPr>
          <w:p w14:paraId="4C3419D1">
            <w:pPr>
              <w:widowControl/>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32</w:t>
            </w:r>
          </w:p>
        </w:tc>
        <w:tc>
          <w:tcPr>
            <w:tcW w:w="3210" w:type="dxa"/>
            <w:noWrap w:val="0"/>
            <w:vAlign w:val="center"/>
          </w:tcPr>
          <w:p w14:paraId="42CA5919">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反三碘甲状腺原氨酸（rT3)</w:t>
            </w:r>
          </w:p>
        </w:tc>
        <w:tc>
          <w:tcPr>
            <w:tcW w:w="1230" w:type="dxa"/>
            <w:noWrap w:val="0"/>
            <w:vAlign w:val="center"/>
          </w:tcPr>
          <w:p w14:paraId="5D95F398">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40</w:t>
            </w:r>
          </w:p>
        </w:tc>
        <w:tc>
          <w:tcPr>
            <w:tcW w:w="1440" w:type="dxa"/>
            <w:noWrap w:val="0"/>
            <w:vAlign w:val="center"/>
          </w:tcPr>
          <w:p w14:paraId="6F8BBD00">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40</w:t>
            </w:r>
          </w:p>
        </w:tc>
        <w:tc>
          <w:tcPr>
            <w:tcW w:w="1800" w:type="dxa"/>
            <w:shd w:val="clear" w:color="auto" w:fill="auto"/>
            <w:noWrap w:val="0"/>
            <w:vAlign w:val="center"/>
          </w:tcPr>
          <w:p w14:paraId="2A35CAB7">
            <w:pPr>
              <w:widowControl/>
              <w:jc w:val="center"/>
              <w:rPr>
                <w:rFonts w:hint="eastAsia" w:ascii="宋体" w:hAnsi="宋体" w:eastAsia="宋体" w:cs="宋体"/>
                <w:color w:val="auto"/>
                <w:sz w:val="24"/>
                <w:szCs w:val="24"/>
                <w:highlight w:val="none"/>
                <w:lang w:val="en-US" w:eastAsia="zh-CN" w:bidi="ar-SA"/>
              </w:rPr>
            </w:pPr>
            <w:r>
              <w:rPr>
                <w:rFonts w:hint="eastAsia" w:ascii="宋体" w:hAnsi="宋体" w:cs="宋体"/>
                <w:color w:val="auto"/>
                <w:sz w:val="24"/>
                <w:szCs w:val="24"/>
                <w:highlight w:val="none"/>
                <w:lang w:val="en-US" w:eastAsia="zh-CN"/>
              </w:rPr>
              <w:t>2</w:t>
            </w:r>
            <w:r>
              <w:rPr>
                <w:rFonts w:hint="eastAsia" w:ascii="宋体" w:hAnsi="宋体" w:eastAsia="宋体" w:cs="宋体"/>
                <w:color w:val="auto"/>
                <w:sz w:val="24"/>
                <w:szCs w:val="24"/>
                <w:highlight w:val="none"/>
                <w:lang w:val="en-US" w:eastAsia="zh-CN"/>
              </w:rPr>
              <w:t>个工作日</w:t>
            </w:r>
          </w:p>
        </w:tc>
      </w:tr>
      <w:tr w14:paraId="71F5AF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870" w:type="dxa"/>
            <w:noWrap w:val="0"/>
            <w:vAlign w:val="center"/>
          </w:tcPr>
          <w:p w14:paraId="242DD248">
            <w:pPr>
              <w:widowControl/>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33</w:t>
            </w:r>
          </w:p>
        </w:tc>
        <w:tc>
          <w:tcPr>
            <w:tcW w:w="3210" w:type="dxa"/>
            <w:noWrap w:val="0"/>
            <w:vAlign w:val="center"/>
          </w:tcPr>
          <w:p w14:paraId="4E23D7C7">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抗甲状腺微粒体抗体</w:t>
            </w:r>
          </w:p>
        </w:tc>
        <w:tc>
          <w:tcPr>
            <w:tcW w:w="1230" w:type="dxa"/>
            <w:noWrap w:val="0"/>
            <w:vAlign w:val="center"/>
          </w:tcPr>
          <w:p w14:paraId="10CB6948">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20</w:t>
            </w:r>
          </w:p>
        </w:tc>
        <w:tc>
          <w:tcPr>
            <w:tcW w:w="1440" w:type="dxa"/>
            <w:noWrap w:val="0"/>
            <w:vAlign w:val="center"/>
          </w:tcPr>
          <w:p w14:paraId="1C563AC2">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35</w:t>
            </w:r>
          </w:p>
        </w:tc>
        <w:tc>
          <w:tcPr>
            <w:tcW w:w="1800" w:type="dxa"/>
            <w:shd w:val="clear" w:color="auto" w:fill="auto"/>
            <w:noWrap w:val="0"/>
            <w:vAlign w:val="center"/>
          </w:tcPr>
          <w:p w14:paraId="0215B52B">
            <w:pPr>
              <w:widowControl/>
              <w:jc w:val="center"/>
              <w:rPr>
                <w:rFonts w:hint="eastAsia" w:ascii="宋体" w:hAnsi="宋体" w:eastAsia="宋体" w:cs="宋体"/>
                <w:color w:val="auto"/>
                <w:sz w:val="24"/>
                <w:szCs w:val="24"/>
                <w:highlight w:val="none"/>
                <w:lang w:val="en-US" w:eastAsia="zh-CN" w:bidi="ar-SA"/>
              </w:rPr>
            </w:pPr>
            <w:r>
              <w:rPr>
                <w:rFonts w:hint="eastAsia" w:ascii="宋体" w:hAnsi="宋体" w:cs="宋体"/>
                <w:color w:val="auto"/>
                <w:sz w:val="24"/>
                <w:szCs w:val="24"/>
                <w:highlight w:val="none"/>
                <w:lang w:val="en-US" w:eastAsia="zh-CN"/>
              </w:rPr>
              <w:t>3</w:t>
            </w:r>
            <w:r>
              <w:rPr>
                <w:rFonts w:hint="eastAsia" w:ascii="宋体" w:hAnsi="宋体" w:eastAsia="宋体" w:cs="宋体"/>
                <w:color w:val="auto"/>
                <w:sz w:val="24"/>
                <w:szCs w:val="24"/>
                <w:highlight w:val="none"/>
                <w:lang w:val="en-US" w:eastAsia="zh-CN"/>
              </w:rPr>
              <w:t>个工作日</w:t>
            </w:r>
          </w:p>
        </w:tc>
      </w:tr>
      <w:tr w14:paraId="29A43F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870" w:type="dxa"/>
            <w:noWrap w:val="0"/>
            <w:vAlign w:val="center"/>
          </w:tcPr>
          <w:p w14:paraId="7847C09D">
            <w:pPr>
              <w:widowControl/>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34</w:t>
            </w:r>
          </w:p>
        </w:tc>
        <w:tc>
          <w:tcPr>
            <w:tcW w:w="3210" w:type="dxa"/>
            <w:noWrap w:val="0"/>
            <w:vAlign w:val="center"/>
          </w:tcPr>
          <w:p w14:paraId="7C93CA5E">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游离脂肪酸</w:t>
            </w:r>
          </w:p>
        </w:tc>
        <w:tc>
          <w:tcPr>
            <w:tcW w:w="1230" w:type="dxa"/>
            <w:noWrap w:val="0"/>
            <w:vAlign w:val="center"/>
          </w:tcPr>
          <w:p w14:paraId="36C69E40">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30</w:t>
            </w:r>
          </w:p>
        </w:tc>
        <w:tc>
          <w:tcPr>
            <w:tcW w:w="1440" w:type="dxa"/>
            <w:noWrap w:val="0"/>
            <w:vAlign w:val="center"/>
          </w:tcPr>
          <w:p w14:paraId="1052141C">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48</w:t>
            </w:r>
          </w:p>
        </w:tc>
        <w:tc>
          <w:tcPr>
            <w:tcW w:w="1800" w:type="dxa"/>
            <w:noWrap w:val="0"/>
            <w:vAlign w:val="center"/>
          </w:tcPr>
          <w:p w14:paraId="7AF6A49E">
            <w:pPr>
              <w:widowControl/>
              <w:jc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3</w:t>
            </w:r>
            <w:r>
              <w:rPr>
                <w:rFonts w:hint="eastAsia" w:ascii="宋体" w:hAnsi="宋体" w:eastAsia="宋体" w:cs="宋体"/>
                <w:color w:val="auto"/>
                <w:sz w:val="24"/>
                <w:szCs w:val="24"/>
                <w:highlight w:val="none"/>
                <w:lang w:val="en-US" w:eastAsia="zh-CN"/>
              </w:rPr>
              <w:t>个工作日</w:t>
            </w:r>
          </w:p>
        </w:tc>
      </w:tr>
      <w:tr w14:paraId="37DB9B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870" w:type="dxa"/>
            <w:noWrap w:val="0"/>
            <w:vAlign w:val="center"/>
          </w:tcPr>
          <w:p w14:paraId="78F2164A">
            <w:pPr>
              <w:widowControl/>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35</w:t>
            </w:r>
          </w:p>
        </w:tc>
        <w:tc>
          <w:tcPr>
            <w:tcW w:w="3210" w:type="dxa"/>
            <w:noWrap w:val="0"/>
            <w:vAlign w:val="center"/>
          </w:tcPr>
          <w:p w14:paraId="74F479A6">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血管紧张素转化酶（ACE)</w:t>
            </w:r>
          </w:p>
        </w:tc>
        <w:tc>
          <w:tcPr>
            <w:tcW w:w="1230" w:type="dxa"/>
            <w:noWrap w:val="0"/>
            <w:vAlign w:val="center"/>
          </w:tcPr>
          <w:p w14:paraId="2FE7CCDC">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30</w:t>
            </w:r>
          </w:p>
        </w:tc>
        <w:tc>
          <w:tcPr>
            <w:tcW w:w="1440" w:type="dxa"/>
            <w:noWrap w:val="0"/>
            <w:vAlign w:val="center"/>
          </w:tcPr>
          <w:p w14:paraId="4B325749">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20</w:t>
            </w:r>
          </w:p>
        </w:tc>
        <w:tc>
          <w:tcPr>
            <w:tcW w:w="1800" w:type="dxa"/>
            <w:noWrap w:val="0"/>
            <w:vAlign w:val="center"/>
          </w:tcPr>
          <w:p w14:paraId="4A134FFE">
            <w:pPr>
              <w:widowControl/>
              <w:jc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2</w:t>
            </w:r>
            <w:r>
              <w:rPr>
                <w:rFonts w:hint="eastAsia" w:ascii="宋体" w:hAnsi="宋体" w:eastAsia="宋体" w:cs="宋体"/>
                <w:color w:val="auto"/>
                <w:sz w:val="24"/>
                <w:szCs w:val="24"/>
                <w:highlight w:val="none"/>
                <w:lang w:val="en-US" w:eastAsia="zh-CN"/>
              </w:rPr>
              <w:t>个工作日</w:t>
            </w:r>
          </w:p>
        </w:tc>
      </w:tr>
      <w:tr w14:paraId="3EDC57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870" w:type="dxa"/>
            <w:noWrap w:val="0"/>
            <w:vAlign w:val="center"/>
          </w:tcPr>
          <w:p w14:paraId="3EA1D88B">
            <w:pPr>
              <w:widowControl/>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36</w:t>
            </w:r>
          </w:p>
        </w:tc>
        <w:tc>
          <w:tcPr>
            <w:tcW w:w="3210" w:type="dxa"/>
            <w:noWrap w:val="0"/>
            <w:vAlign w:val="center"/>
          </w:tcPr>
          <w:p w14:paraId="2F55342D">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脂蛋白相关磷脂酶A2(Lp-PLA2)</w:t>
            </w:r>
          </w:p>
        </w:tc>
        <w:tc>
          <w:tcPr>
            <w:tcW w:w="1230" w:type="dxa"/>
            <w:noWrap w:val="0"/>
            <w:vAlign w:val="center"/>
          </w:tcPr>
          <w:p w14:paraId="0CF03590">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10</w:t>
            </w:r>
          </w:p>
        </w:tc>
        <w:tc>
          <w:tcPr>
            <w:tcW w:w="1440" w:type="dxa"/>
            <w:noWrap w:val="0"/>
            <w:vAlign w:val="center"/>
          </w:tcPr>
          <w:p w14:paraId="4C760601">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150</w:t>
            </w:r>
          </w:p>
        </w:tc>
        <w:tc>
          <w:tcPr>
            <w:tcW w:w="1800" w:type="dxa"/>
            <w:noWrap w:val="0"/>
            <w:vAlign w:val="center"/>
          </w:tcPr>
          <w:p w14:paraId="741EAEF3">
            <w:pPr>
              <w:widowControl/>
              <w:jc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2</w:t>
            </w:r>
            <w:r>
              <w:rPr>
                <w:rFonts w:hint="eastAsia" w:ascii="宋体" w:hAnsi="宋体" w:eastAsia="宋体" w:cs="宋体"/>
                <w:color w:val="auto"/>
                <w:sz w:val="24"/>
                <w:szCs w:val="24"/>
                <w:highlight w:val="none"/>
                <w:lang w:val="en-US" w:eastAsia="zh-CN"/>
              </w:rPr>
              <w:t>个工作日</w:t>
            </w:r>
          </w:p>
        </w:tc>
      </w:tr>
    </w:tbl>
    <w:p w14:paraId="1B91EF10">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eastAsia="宋体" w:cs="宋体"/>
          <w:b/>
          <w:bCs/>
          <w:color w:val="auto"/>
          <w:sz w:val="24"/>
          <w:szCs w:val="24"/>
          <w:highlight w:val="none"/>
          <w:lang w:val="en-US" w:eastAsia="zh-CN"/>
        </w:rPr>
      </w:pPr>
      <w:r>
        <w:rPr>
          <w:rFonts w:hint="eastAsia" w:ascii="宋体" w:hAnsi="宋体" w:cs="宋体"/>
          <w:b/>
          <w:bCs/>
          <w:color w:val="auto"/>
          <w:sz w:val="24"/>
          <w:szCs w:val="24"/>
          <w:highlight w:val="none"/>
          <w:lang w:val="en-US" w:eastAsia="zh-CN"/>
        </w:rPr>
        <w:t>2、特检项目</w:t>
      </w:r>
    </w:p>
    <w:tbl>
      <w:tblPr>
        <w:tblStyle w:val="33"/>
        <w:tblW w:w="5072" w:type="pct"/>
        <w:tblInd w:w="-2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80"/>
        <w:gridCol w:w="3419"/>
        <w:gridCol w:w="1230"/>
        <w:gridCol w:w="1335"/>
        <w:gridCol w:w="1876"/>
      </w:tblGrid>
      <w:tr w14:paraId="1E6129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780" w:type="dxa"/>
            <w:noWrap w:val="0"/>
            <w:vAlign w:val="center"/>
          </w:tcPr>
          <w:p w14:paraId="2B5DBFD0">
            <w:pPr>
              <w:widowControl/>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序号</w:t>
            </w:r>
          </w:p>
        </w:tc>
        <w:tc>
          <w:tcPr>
            <w:tcW w:w="3419" w:type="dxa"/>
            <w:noWrap w:val="0"/>
            <w:vAlign w:val="center"/>
          </w:tcPr>
          <w:p w14:paraId="3E0F2BB4">
            <w:pPr>
              <w:widowControl/>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检测内容</w:t>
            </w:r>
          </w:p>
        </w:tc>
        <w:tc>
          <w:tcPr>
            <w:tcW w:w="1230" w:type="dxa"/>
            <w:noWrap w:val="0"/>
            <w:vAlign w:val="center"/>
          </w:tcPr>
          <w:p w14:paraId="03D41AF7">
            <w:pPr>
              <w:widowControl/>
              <w:jc w:val="center"/>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年检测量（次）</w:t>
            </w:r>
          </w:p>
        </w:tc>
        <w:tc>
          <w:tcPr>
            <w:tcW w:w="1335" w:type="dxa"/>
            <w:noWrap w:val="0"/>
            <w:vAlign w:val="center"/>
          </w:tcPr>
          <w:p w14:paraId="21AE2879">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收费标准</w:t>
            </w:r>
          </w:p>
          <w:p w14:paraId="5E85DC99">
            <w:pPr>
              <w:widowControl/>
              <w:jc w:val="center"/>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（元/次）</w:t>
            </w:r>
          </w:p>
        </w:tc>
        <w:tc>
          <w:tcPr>
            <w:tcW w:w="1876" w:type="dxa"/>
            <w:noWrap w:val="0"/>
            <w:vAlign w:val="center"/>
          </w:tcPr>
          <w:p w14:paraId="68729789">
            <w:pPr>
              <w:widowControl/>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报告周期</w:t>
            </w:r>
          </w:p>
        </w:tc>
      </w:tr>
      <w:tr w14:paraId="3788E8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780" w:type="dxa"/>
            <w:noWrap w:val="0"/>
            <w:vAlign w:val="center"/>
          </w:tcPr>
          <w:p w14:paraId="0E4C0B48">
            <w:pPr>
              <w:widowControl/>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1</w:t>
            </w:r>
          </w:p>
        </w:tc>
        <w:tc>
          <w:tcPr>
            <w:tcW w:w="3419" w:type="dxa"/>
            <w:noWrap w:val="0"/>
            <w:vAlign w:val="center"/>
          </w:tcPr>
          <w:p w14:paraId="144D5794">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低密度脂蛋白亚型分类检测</w:t>
            </w:r>
          </w:p>
        </w:tc>
        <w:tc>
          <w:tcPr>
            <w:tcW w:w="1230" w:type="dxa"/>
            <w:noWrap w:val="0"/>
            <w:vAlign w:val="center"/>
          </w:tcPr>
          <w:p w14:paraId="07EC04ED">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100</w:t>
            </w:r>
          </w:p>
        </w:tc>
        <w:tc>
          <w:tcPr>
            <w:tcW w:w="1335" w:type="dxa"/>
            <w:noWrap w:val="0"/>
            <w:vAlign w:val="center"/>
          </w:tcPr>
          <w:p w14:paraId="6E01B64A">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444</w:t>
            </w:r>
          </w:p>
        </w:tc>
        <w:tc>
          <w:tcPr>
            <w:tcW w:w="1876" w:type="dxa"/>
            <w:shd w:val="clear" w:color="auto" w:fill="auto"/>
            <w:noWrap w:val="0"/>
            <w:vAlign w:val="center"/>
          </w:tcPr>
          <w:p w14:paraId="7B77608B">
            <w:pPr>
              <w:widowControl/>
              <w:jc w:val="center"/>
              <w:rPr>
                <w:rFonts w:hint="eastAsia" w:ascii="宋体" w:hAnsi="宋体" w:eastAsia="宋体" w:cs="宋体"/>
                <w:color w:val="auto"/>
                <w:sz w:val="24"/>
                <w:szCs w:val="24"/>
                <w:highlight w:val="none"/>
                <w:lang w:val="en-US" w:eastAsia="zh-CN" w:bidi="ar-SA"/>
              </w:rPr>
            </w:pPr>
            <w:r>
              <w:rPr>
                <w:rFonts w:hint="eastAsia" w:ascii="宋体" w:hAnsi="宋体" w:cs="宋体"/>
                <w:color w:val="auto"/>
                <w:sz w:val="24"/>
                <w:szCs w:val="24"/>
                <w:highlight w:val="none"/>
                <w:lang w:val="en-US" w:eastAsia="zh-CN"/>
              </w:rPr>
              <w:t>3</w:t>
            </w:r>
            <w:r>
              <w:rPr>
                <w:rFonts w:hint="eastAsia" w:ascii="宋体" w:hAnsi="宋体" w:eastAsia="宋体" w:cs="宋体"/>
                <w:color w:val="auto"/>
                <w:sz w:val="24"/>
                <w:szCs w:val="24"/>
                <w:highlight w:val="none"/>
                <w:lang w:val="en-US" w:eastAsia="zh-CN"/>
              </w:rPr>
              <w:t>个工作日</w:t>
            </w:r>
          </w:p>
        </w:tc>
      </w:tr>
      <w:tr w14:paraId="459CD0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780" w:type="dxa"/>
            <w:noWrap w:val="0"/>
            <w:vAlign w:val="center"/>
          </w:tcPr>
          <w:p w14:paraId="59ACA682">
            <w:pPr>
              <w:widowControl/>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2</w:t>
            </w:r>
          </w:p>
        </w:tc>
        <w:tc>
          <w:tcPr>
            <w:tcW w:w="3419" w:type="dxa"/>
            <w:noWrap w:val="0"/>
            <w:vAlign w:val="center"/>
          </w:tcPr>
          <w:p w14:paraId="50BD2A5E">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抗乙酰胆碱受体抗体</w:t>
            </w:r>
          </w:p>
        </w:tc>
        <w:tc>
          <w:tcPr>
            <w:tcW w:w="1230" w:type="dxa"/>
            <w:noWrap w:val="0"/>
            <w:vAlign w:val="center"/>
          </w:tcPr>
          <w:p w14:paraId="6369CC31">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50</w:t>
            </w:r>
          </w:p>
        </w:tc>
        <w:tc>
          <w:tcPr>
            <w:tcW w:w="1335" w:type="dxa"/>
            <w:noWrap w:val="0"/>
            <w:vAlign w:val="center"/>
          </w:tcPr>
          <w:p w14:paraId="1B44FA85">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400</w:t>
            </w:r>
          </w:p>
        </w:tc>
        <w:tc>
          <w:tcPr>
            <w:tcW w:w="1876" w:type="dxa"/>
            <w:noWrap w:val="0"/>
            <w:vAlign w:val="center"/>
          </w:tcPr>
          <w:p w14:paraId="4F74EF19">
            <w:pPr>
              <w:widowControl/>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2</w:t>
            </w:r>
            <w:r>
              <w:rPr>
                <w:rFonts w:hint="eastAsia" w:ascii="宋体" w:hAnsi="宋体" w:eastAsia="宋体" w:cs="宋体"/>
                <w:color w:val="auto"/>
                <w:sz w:val="24"/>
                <w:szCs w:val="24"/>
                <w:highlight w:val="none"/>
                <w:lang w:val="en-US" w:eastAsia="zh-CN"/>
              </w:rPr>
              <w:t>个工作日</w:t>
            </w:r>
          </w:p>
        </w:tc>
      </w:tr>
      <w:tr w14:paraId="5E2108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780" w:type="dxa"/>
            <w:noWrap w:val="0"/>
            <w:vAlign w:val="center"/>
          </w:tcPr>
          <w:p w14:paraId="60BB6913">
            <w:pPr>
              <w:widowControl/>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3</w:t>
            </w:r>
          </w:p>
        </w:tc>
        <w:tc>
          <w:tcPr>
            <w:tcW w:w="3419" w:type="dxa"/>
            <w:noWrap w:val="0"/>
            <w:vAlign w:val="center"/>
          </w:tcPr>
          <w:p w14:paraId="76512DA4">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抗磷脂酶A2受体 抗体1gG4(PLA2R-1gG4)</w:t>
            </w:r>
          </w:p>
        </w:tc>
        <w:tc>
          <w:tcPr>
            <w:tcW w:w="1230" w:type="dxa"/>
            <w:noWrap w:val="0"/>
            <w:vAlign w:val="center"/>
          </w:tcPr>
          <w:p w14:paraId="22B96D8A">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10</w:t>
            </w:r>
          </w:p>
        </w:tc>
        <w:tc>
          <w:tcPr>
            <w:tcW w:w="1335" w:type="dxa"/>
            <w:noWrap w:val="0"/>
            <w:vAlign w:val="center"/>
          </w:tcPr>
          <w:p w14:paraId="705D0980">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280</w:t>
            </w:r>
          </w:p>
        </w:tc>
        <w:tc>
          <w:tcPr>
            <w:tcW w:w="1876" w:type="dxa"/>
            <w:shd w:val="clear" w:color="auto" w:fill="auto"/>
            <w:noWrap w:val="0"/>
            <w:vAlign w:val="center"/>
          </w:tcPr>
          <w:p w14:paraId="5191D3E0">
            <w:pPr>
              <w:widowControl/>
              <w:jc w:val="center"/>
              <w:rPr>
                <w:rFonts w:hint="eastAsia" w:ascii="宋体" w:hAnsi="宋体" w:eastAsia="宋体" w:cs="宋体"/>
                <w:color w:val="auto"/>
                <w:sz w:val="24"/>
                <w:szCs w:val="24"/>
                <w:highlight w:val="none"/>
                <w:lang w:val="en-US" w:eastAsia="zh-CN" w:bidi="ar-SA"/>
              </w:rPr>
            </w:pPr>
            <w:r>
              <w:rPr>
                <w:rFonts w:hint="eastAsia" w:ascii="宋体" w:hAnsi="宋体" w:cs="宋体"/>
                <w:color w:val="auto"/>
                <w:sz w:val="24"/>
                <w:szCs w:val="24"/>
                <w:highlight w:val="none"/>
                <w:lang w:val="en-US" w:eastAsia="zh-CN"/>
              </w:rPr>
              <w:t>2</w:t>
            </w:r>
            <w:r>
              <w:rPr>
                <w:rFonts w:hint="eastAsia" w:ascii="宋体" w:hAnsi="宋体" w:eastAsia="宋体" w:cs="宋体"/>
                <w:color w:val="auto"/>
                <w:sz w:val="24"/>
                <w:szCs w:val="24"/>
                <w:highlight w:val="none"/>
                <w:lang w:val="en-US" w:eastAsia="zh-CN"/>
              </w:rPr>
              <w:t>个工作日</w:t>
            </w:r>
          </w:p>
        </w:tc>
      </w:tr>
      <w:tr w14:paraId="3E494A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780" w:type="dxa"/>
            <w:noWrap w:val="0"/>
            <w:vAlign w:val="center"/>
          </w:tcPr>
          <w:p w14:paraId="3A6DE4F1">
            <w:pPr>
              <w:widowControl/>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4</w:t>
            </w:r>
          </w:p>
        </w:tc>
        <w:tc>
          <w:tcPr>
            <w:tcW w:w="3419" w:type="dxa"/>
            <w:noWrap w:val="0"/>
            <w:vAlign w:val="center"/>
          </w:tcPr>
          <w:p w14:paraId="59A235C4">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24h尿儿茶酚胺</w:t>
            </w:r>
          </w:p>
        </w:tc>
        <w:tc>
          <w:tcPr>
            <w:tcW w:w="1230" w:type="dxa"/>
            <w:noWrap w:val="0"/>
            <w:vAlign w:val="center"/>
          </w:tcPr>
          <w:p w14:paraId="6F1DD324">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300</w:t>
            </w:r>
          </w:p>
        </w:tc>
        <w:tc>
          <w:tcPr>
            <w:tcW w:w="1335" w:type="dxa"/>
            <w:noWrap w:val="0"/>
            <w:vAlign w:val="center"/>
          </w:tcPr>
          <w:p w14:paraId="5C87FBD5">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360</w:t>
            </w:r>
          </w:p>
        </w:tc>
        <w:tc>
          <w:tcPr>
            <w:tcW w:w="1876" w:type="dxa"/>
            <w:noWrap w:val="0"/>
            <w:vAlign w:val="center"/>
          </w:tcPr>
          <w:p w14:paraId="203E4908">
            <w:pPr>
              <w:widowControl/>
              <w:jc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3</w:t>
            </w:r>
            <w:r>
              <w:rPr>
                <w:rFonts w:hint="eastAsia" w:ascii="宋体" w:hAnsi="宋体" w:eastAsia="宋体" w:cs="宋体"/>
                <w:color w:val="auto"/>
                <w:sz w:val="24"/>
                <w:szCs w:val="24"/>
                <w:highlight w:val="none"/>
                <w:lang w:val="en-US" w:eastAsia="zh-CN"/>
              </w:rPr>
              <w:t>个工作日</w:t>
            </w:r>
          </w:p>
        </w:tc>
      </w:tr>
      <w:tr w14:paraId="77DC85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780" w:type="dxa"/>
            <w:noWrap w:val="0"/>
            <w:vAlign w:val="center"/>
          </w:tcPr>
          <w:p w14:paraId="54E5415B">
            <w:pPr>
              <w:widowControl/>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5</w:t>
            </w:r>
          </w:p>
        </w:tc>
        <w:tc>
          <w:tcPr>
            <w:tcW w:w="3419" w:type="dxa"/>
            <w:noWrap w:val="0"/>
            <w:vAlign w:val="center"/>
          </w:tcPr>
          <w:p w14:paraId="41A02943">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阿司匹林抵抗相关基因检测</w:t>
            </w:r>
          </w:p>
        </w:tc>
        <w:tc>
          <w:tcPr>
            <w:tcW w:w="1230" w:type="dxa"/>
            <w:noWrap w:val="0"/>
            <w:vAlign w:val="center"/>
          </w:tcPr>
          <w:p w14:paraId="599D570E">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10</w:t>
            </w:r>
          </w:p>
        </w:tc>
        <w:tc>
          <w:tcPr>
            <w:tcW w:w="1335" w:type="dxa"/>
            <w:noWrap w:val="0"/>
            <w:vAlign w:val="center"/>
          </w:tcPr>
          <w:p w14:paraId="409A9006">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800</w:t>
            </w:r>
          </w:p>
        </w:tc>
        <w:tc>
          <w:tcPr>
            <w:tcW w:w="1876" w:type="dxa"/>
            <w:noWrap w:val="0"/>
            <w:vAlign w:val="center"/>
          </w:tcPr>
          <w:p w14:paraId="6957867A">
            <w:pPr>
              <w:widowControl/>
              <w:jc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5</w:t>
            </w:r>
            <w:r>
              <w:rPr>
                <w:rFonts w:hint="eastAsia" w:ascii="宋体" w:hAnsi="宋体" w:eastAsia="宋体" w:cs="宋体"/>
                <w:color w:val="auto"/>
                <w:sz w:val="24"/>
                <w:szCs w:val="24"/>
                <w:highlight w:val="none"/>
                <w:lang w:val="en-US" w:eastAsia="zh-CN"/>
              </w:rPr>
              <w:t>个工作日</w:t>
            </w:r>
          </w:p>
        </w:tc>
      </w:tr>
      <w:tr w14:paraId="2CDB10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780" w:type="dxa"/>
            <w:noWrap w:val="0"/>
            <w:vAlign w:val="center"/>
          </w:tcPr>
          <w:p w14:paraId="3222DD18">
            <w:pPr>
              <w:widowControl/>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6</w:t>
            </w:r>
          </w:p>
        </w:tc>
        <w:tc>
          <w:tcPr>
            <w:tcW w:w="3419" w:type="dxa"/>
            <w:noWrap w:val="0"/>
            <w:vAlign w:val="center"/>
          </w:tcPr>
          <w:p w14:paraId="42AE4245">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叶酸代谢能力基因检测</w:t>
            </w:r>
          </w:p>
        </w:tc>
        <w:tc>
          <w:tcPr>
            <w:tcW w:w="1230" w:type="dxa"/>
            <w:noWrap w:val="0"/>
            <w:vAlign w:val="center"/>
          </w:tcPr>
          <w:p w14:paraId="3F56F741">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30</w:t>
            </w:r>
          </w:p>
        </w:tc>
        <w:tc>
          <w:tcPr>
            <w:tcW w:w="1335" w:type="dxa"/>
            <w:noWrap w:val="0"/>
            <w:vAlign w:val="center"/>
          </w:tcPr>
          <w:p w14:paraId="5B470BFD">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300</w:t>
            </w:r>
          </w:p>
        </w:tc>
        <w:tc>
          <w:tcPr>
            <w:tcW w:w="1876" w:type="dxa"/>
            <w:shd w:val="clear" w:color="auto" w:fill="auto"/>
            <w:noWrap w:val="0"/>
            <w:vAlign w:val="center"/>
          </w:tcPr>
          <w:p w14:paraId="54354C8C">
            <w:pPr>
              <w:widowControl/>
              <w:jc w:val="center"/>
              <w:rPr>
                <w:rFonts w:hint="eastAsia" w:ascii="宋体" w:hAnsi="宋体" w:eastAsia="宋体" w:cs="宋体"/>
                <w:color w:val="auto"/>
                <w:sz w:val="24"/>
                <w:szCs w:val="24"/>
                <w:highlight w:val="none"/>
                <w:lang w:val="en-US" w:eastAsia="zh-CN" w:bidi="ar-SA"/>
              </w:rPr>
            </w:pPr>
            <w:r>
              <w:rPr>
                <w:rFonts w:hint="eastAsia" w:ascii="宋体" w:hAnsi="宋体" w:cs="宋体"/>
                <w:color w:val="auto"/>
                <w:sz w:val="24"/>
                <w:szCs w:val="24"/>
                <w:highlight w:val="none"/>
                <w:lang w:val="en-US" w:eastAsia="zh-CN"/>
              </w:rPr>
              <w:t>5</w:t>
            </w:r>
            <w:r>
              <w:rPr>
                <w:rFonts w:hint="eastAsia" w:ascii="宋体" w:hAnsi="宋体" w:eastAsia="宋体" w:cs="宋体"/>
                <w:color w:val="auto"/>
                <w:sz w:val="24"/>
                <w:szCs w:val="24"/>
                <w:highlight w:val="none"/>
                <w:lang w:val="en-US" w:eastAsia="zh-CN"/>
              </w:rPr>
              <w:t>个工作日</w:t>
            </w:r>
          </w:p>
        </w:tc>
      </w:tr>
      <w:tr w14:paraId="673063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780" w:type="dxa"/>
            <w:noWrap w:val="0"/>
            <w:vAlign w:val="center"/>
          </w:tcPr>
          <w:p w14:paraId="227FD148">
            <w:pPr>
              <w:widowControl/>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7</w:t>
            </w:r>
          </w:p>
        </w:tc>
        <w:tc>
          <w:tcPr>
            <w:tcW w:w="3419" w:type="dxa"/>
            <w:noWrap w:val="0"/>
            <w:vAlign w:val="center"/>
          </w:tcPr>
          <w:p w14:paraId="62C79A4D">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氯呲格雷安全用药基因检测</w:t>
            </w:r>
          </w:p>
        </w:tc>
        <w:tc>
          <w:tcPr>
            <w:tcW w:w="1230" w:type="dxa"/>
            <w:noWrap w:val="0"/>
            <w:vAlign w:val="center"/>
          </w:tcPr>
          <w:p w14:paraId="5F88F437">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100</w:t>
            </w:r>
          </w:p>
        </w:tc>
        <w:tc>
          <w:tcPr>
            <w:tcW w:w="1335" w:type="dxa"/>
            <w:noWrap w:val="0"/>
            <w:vAlign w:val="center"/>
          </w:tcPr>
          <w:p w14:paraId="0D367054">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600</w:t>
            </w:r>
          </w:p>
        </w:tc>
        <w:tc>
          <w:tcPr>
            <w:tcW w:w="1876" w:type="dxa"/>
            <w:shd w:val="clear" w:color="auto" w:fill="auto"/>
            <w:noWrap w:val="0"/>
            <w:vAlign w:val="center"/>
          </w:tcPr>
          <w:p w14:paraId="5434F393">
            <w:pPr>
              <w:widowControl/>
              <w:jc w:val="center"/>
              <w:rPr>
                <w:rFonts w:hint="eastAsia" w:ascii="宋体" w:hAnsi="宋体" w:eastAsia="宋体" w:cs="宋体"/>
                <w:color w:val="auto"/>
                <w:sz w:val="24"/>
                <w:szCs w:val="24"/>
                <w:highlight w:val="none"/>
                <w:lang w:val="en-US" w:eastAsia="zh-CN" w:bidi="ar-SA"/>
              </w:rPr>
            </w:pPr>
            <w:r>
              <w:rPr>
                <w:rFonts w:hint="eastAsia" w:ascii="宋体" w:hAnsi="宋体" w:cs="宋体"/>
                <w:color w:val="auto"/>
                <w:sz w:val="24"/>
                <w:szCs w:val="24"/>
                <w:highlight w:val="none"/>
                <w:lang w:val="en-US" w:eastAsia="zh-CN"/>
              </w:rPr>
              <w:t>4</w:t>
            </w:r>
            <w:r>
              <w:rPr>
                <w:rFonts w:hint="eastAsia" w:ascii="宋体" w:hAnsi="宋体" w:eastAsia="宋体" w:cs="宋体"/>
                <w:color w:val="auto"/>
                <w:sz w:val="24"/>
                <w:szCs w:val="24"/>
                <w:highlight w:val="none"/>
                <w:lang w:val="en-US" w:eastAsia="zh-CN"/>
              </w:rPr>
              <w:t>个工作日</w:t>
            </w:r>
          </w:p>
        </w:tc>
      </w:tr>
      <w:tr w14:paraId="0DCAF2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780" w:type="dxa"/>
            <w:noWrap w:val="0"/>
            <w:vAlign w:val="center"/>
          </w:tcPr>
          <w:p w14:paraId="59AB70CF">
            <w:pPr>
              <w:widowControl/>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8</w:t>
            </w:r>
          </w:p>
        </w:tc>
        <w:tc>
          <w:tcPr>
            <w:tcW w:w="3419" w:type="dxa"/>
            <w:noWrap w:val="0"/>
            <w:vAlign w:val="center"/>
          </w:tcPr>
          <w:p w14:paraId="56537354">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kern w:val="0"/>
                <w:sz w:val="24"/>
                <w:szCs w:val="24"/>
                <w:highlight w:val="none"/>
                <w:lang w:bidi="ar"/>
              </w:rPr>
              <w:t>巯</w:t>
            </w:r>
            <w:r>
              <w:rPr>
                <w:rFonts w:hint="eastAsia" w:ascii="宋体" w:hAnsi="宋体" w:cs="宋体"/>
                <w:color w:val="auto"/>
                <w:sz w:val="24"/>
                <w:szCs w:val="24"/>
                <w:highlight w:val="none"/>
                <w:lang w:val="en-US" w:eastAsia="zh-CN"/>
              </w:rPr>
              <w:t>嘌呤类药物安全用药基因</w:t>
            </w:r>
          </w:p>
          <w:p w14:paraId="340A6E41">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检测</w:t>
            </w:r>
          </w:p>
        </w:tc>
        <w:tc>
          <w:tcPr>
            <w:tcW w:w="1230" w:type="dxa"/>
            <w:noWrap w:val="0"/>
            <w:vAlign w:val="center"/>
          </w:tcPr>
          <w:p w14:paraId="66254904">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5</w:t>
            </w:r>
          </w:p>
        </w:tc>
        <w:tc>
          <w:tcPr>
            <w:tcW w:w="1335" w:type="dxa"/>
            <w:noWrap w:val="0"/>
            <w:vAlign w:val="center"/>
          </w:tcPr>
          <w:p w14:paraId="586ADC64">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800</w:t>
            </w:r>
          </w:p>
        </w:tc>
        <w:tc>
          <w:tcPr>
            <w:tcW w:w="1876" w:type="dxa"/>
            <w:noWrap w:val="0"/>
            <w:vAlign w:val="center"/>
          </w:tcPr>
          <w:p w14:paraId="0F385566">
            <w:pPr>
              <w:widowControl/>
              <w:jc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5-7个工作日</w:t>
            </w:r>
          </w:p>
        </w:tc>
      </w:tr>
      <w:tr w14:paraId="430584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780" w:type="dxa"/>
            <w:noWrap w:val="0"/>
            <w:vAlign w:val="center"/>
          </w:tcPr>
          <w:p w14:paraId="5B9A49B4">
            <w:pPr>
              <w:widowControl/>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9</w:t>
            </w:r>
          </w:p>
        </w:tc>
        <w:tc>
          <w:tcPr>
            <w:tcW w:w="3419" w:type="dxa"/>
            <w:noWrap w:val="0"/>
            <w:vAlign w:val="center"/>
          </w:tcPr>
          <w:p w14:paraId="603AE059">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H型高血压基因检测</w:t>
            </w:r>
          </w:p>
        </w:tc>
        <w:tc>
          <w:tcPr>
            <w:tcW w:w="1230" w:type="dxa"/>
            <w:noWrap w:val="0"/>
            <w:vAlign w:val="center"/>
          </w:tcPr>
          <w:p w14:paraId="77378B42">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5</w:t>
            </w:r>
          </w:p>
        </w:tc>
        <w:tc>
          <w:tcPr>
            <w:tcW w:w="1335" w:type="dxa"/>
            <w:noWrap w:val="0"/>
            <w:vAlign w:val="center"/>
          </w:tcPr>
          <w:p w14:paraId="101C423D">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300</w:t>
            </w:r>
          </w:p>
        </w:tc>
        <w:tc>
          <w:tcPr>
            <w:tcW w:w="1876" w:type="dxa"/>
            <w:shd w:val="clear" w:color="auto" w:fill="auto"/>
            <w:noWrap w:val="0"/>
            <w:vAlign w:val="center"/>
          </w:tcPr>
          <w:p w14:paraId="037E9E9B">
            <w:pPr>
              <w:widowControl/>
              <w:jc w:val="center"/>
              <w:rPr>
                <w:rFonts w:hint="eastAsia" w:ascii="宋体" w:hAnsi="宋体" w:eastAsia="宋体" w:cs="宋体"/>
                <w:color w:val="auto"/>
                <w:sz w:val="24"/>
                <w:szCs w:val="24"/>
                <w:highlight w:val="none"/>
                <w:lang w:val="en-US" w:eastAsia="zh-CN" w:bidi="ar-SA"/>
              </w:rPr>
            </w:pPr>
            <w:r>
              <w:rPr>
                <w:rFonts w:hint="eastAsia" w:ascii="宋体" w:hAnsi="宋体" w:cs="宋体"/>
                <w:color w:val="auto"/>
                <w:sz w:val="24"/>
                <w:szCs w:val="24"/>
                <w:highlight w:val="none"/>
                <w:lang w:val="en-US" w:eastAsia="zh-CN"/>
              </w:rPr>
              <w:t>5</w:t>
            </w:r>
            <w:r>
              <w:rPr>
                <w:rFonts w:hint="eastAsia" w:ascii="宋体" w:hAnsi="宋体" w:eastAsia="宋体" w:cs="宋体"/>
                <w:color w:val="auto"/>
                <w:sz w:val="24"/>
                <w:szCs w:val="24"/>
                <w:highlight w:val="none"/>
                <w:lang w:val="en-US" w:eastAsia="zh-CN"/>
              </w:rPr>
              <w:t>个工作日</w:t>
            </w:r>
          </w:p>
        </w:tc>
      </w:tr>
      <w:tr w14:paraId="6DAB3F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780" w:type="dxa"/>
            <w:noWrap w:val="0"/>
            <w:vAlign w:val="center"/>
          </w:tcPr>
          <w:p w14:paraId="2B17091C">
            <w:pPr>
              <w:widowControl/>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10</w:t>
            </w:r>
          </w:p>
        </w:tc>
        <w:tc>
          <w:tcPr>
            <w:tcW w:w="3419" w:type="dxa"/>
            <w:noWrap w:val="0"/>
            <w:vAlign w:val="center"/>
          </w:tcPr>
          <w:p w14:paraId="22C63701">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HLA-B*1502基因检测</w:t>
            </w:r>
          </w:p>
        </w:tc>
        <w:tc>
          <w:tcPr>
            <w:tcW w:w="1230" w:type="dxa"/>
            <w:noWrap w:val="0"/>
            <w:vAlign w:val="center"/>
          </w:tcPr>
          <w:p w14:paraId="168ABA1A">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5</w:t>
            </w:r>
          </w:p>
        </w:tc>
        <w:tc>
          <w:tcPr>
            <w:tcW w:w="1335" w:type="dxa"/>
            <w:noWrap w:val="0"/>
            <w:vAlign w:val="center"/>
          </w:tcPr>
          <w:p w14:paraId="2E7B8F27">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300</w:t>
            </w:r>
          </w:p>
        </w:tc>
        <w:tc>
          <w:tcPr>
            <w:tcW w:w="1876" w:type="dxa"/>
            <w:shd w:val="clear" w:color="auto" w:fill="auto"/>
            <w:noWrap w:val="0"/>
            <w:vAlign w:val="center"/>
          </w:tcPr>
          <w:p w14:paraId="3216E18D">
            <w:pPr>
              <w:widowControl/>
              <w:jc w:val="center"/>
              <w:rPr>
                <w:rFonts w:hint="eastAsia" w:ascii="宋体" w:hAnsi="宋体" w:eastAsia="宋体" w:cs="宋体"/>
                <w:color w:val="auto"/>
                <w:sz w:val="24"/>
                <w:szCs w:val="24"/>
                <w:highlight w:val="none"/>
                <w:lang w:val="en-US" w:eastAsia="zh-CN" w:bidi="ar-SA"/>
              </w:rPr>
            </w:pPr>
            <w:r>
              <w:rPr>
                <w:rFonts w:hint="eastAsia" w:ascii="宋体" w:hAnsi="宋体" w:cs="宋体"/>
                <w:color w:val="auto"/>
                <w:sz w:val="24"/>
                <w:szCs w:val="24"/>
                <w:highlight w:val="none"/>
                <w:lang w:val="en-US" w:eastAsia="zh-CN"/>
              </w:rPr>
              <w:t>5</w:t>
            </w:r>
            <w:r>
              <w:rPr>
                <w:rFonts w:hint="eastAsia" w:ascii="宋体" w:hAnsi="宋体" w:eastAsia="宋体" w:cs="宋体"/>
                <w:color w:val="auto"/>
                <w:sz w:val="24"/>
                <w:szCs w:val="24"/>
                <w:highlight w:val="none"/>
                <w:lang w:val="en-US" w:eastAsia="zh-CN"/>
              </w:rPr>
              <w:t>个工作日</w:t>
            </w:r>
          </w:p>
        </w:tc>
      </w:tr>
      <w:tr w14:paraId="691374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780" w:type="dxa"/>
            <w:noWrap w:val="0"/>
            <w:vAlign w:val="center"/>
          </w:tcPr>
          <w:p w14:paraId="6A94FA65">
            <w:pPr>
              <w:widowControl/>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11</w:t>
            </w:r>
          </w:p>
        </w:tc>
        <w:tc>
          <w:tcPr>
            <w:tcW w:w="3419" w:type="dxa"/>
            <w:noWrap w:val="0"/>
            <w:vAlign w:val="center"/>
          </w:tcPr>
          <w:p w14:paraId="597C4219">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抗感染类安全用药基因检测</w:t>
            </w:r>
          </w:p>
        </w:tc>
        <w:tc>
          <w:tcPr>
            <w:tcW w:w="1230" w:type="dxa"/>
            <w:noWrap w:val="0"/>
            <w:vAlign w:val="center"/>
          </w:tcPr>
          <w:p w14:paraId="6950E9BC">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5</w:t>
            </w:r>
          </w:p>
        </w:tc>
        <w:tc>
          <w:tcPr>
            <w:tcW w:w="1335" w:type="dxa"/>
            <w:noWrap w:val="0"/>
            <w:vAlign w:val="center"/>
          </w:tcPr>
          <w:p w14:paraId="11A0ACEB">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2000</w:t>
            </w:r>
          </w:p>
        </w:tc>
        <w:tc>
          <w:tcPr>
            <w:tcW w:w="1876" w:type="dxa"/>
            <w:shd w:val="clear" w:color="auto" w:fill="auto"/>
            <w:noWrap w:val="0"/>
            <w:vAlign w:val="center"/>
          </w:tcPr>
          <w:p w14:paraId="13E35191">
            <w:pPr>
              <w:widowControl/>
              <w:jc w:val="center"/>
              <w:rPr>
                <w:rFonts w:hint="eastAsia" w:ascii="宋体" w:hAnsi="宋体" w:eastAsia="宋体" w:cs="宋体"/>
                <w:color w:val="auto"/>
                <w:sz w:val="24"/>
                <w:szCs w:val="24"/>
                <w:highlight w:val="none"/>
                <w:lang w:val="en-US" w:eastAsia="zh-CN" w:bidi="ar-SA"/>
              </w:rPr>
            </w:pPr>
            <w:r>
              <w:rPr>
                <w:rFonts w:hint="eastAsia" w:ascii="宋体" w:hAnsi="宋体" w:cs="宋体"/>
                <w:color w:val="auto"/>
                <w:sz w:val="24"/>
                <w:szCs w:val="24"/>
                <w:highlight w:val="none"/>
                <w:lang w:val="en-US" w:eastAsia="zh-CN"/>
              </w:rPr>
              <w:t>7</w:t>
            </w:r>
            <w:r>
              <w:rPr>
                <w:rFonts w:hint="eastAsia" w:ascii="宋体" w:hAnsi="宋体" w:eastAsia="宋体" w:cs="宋体"/>
                <w:color w:val="auto"/>
                <w:sz w:val="24"/>
                <w:szCs w:val="24"/>
                <w:highlight w:val="none"/>
                <w:lang w:val="en-US" w:eastAsia="zh-CN"/>
              </w:rPr>
              <w:t>个工作日</w:t>
            </w:r>
          </w:p>
        </w:tc>
      </w:tr>
      <w:tr w14:paraId="166FB9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780" w:type="dxa"/>
            <w:noWrap w:val="0"/>
            <w:vAlign w:val="center"/>
          </w:tcPr>
          <w:p w14:paraId="2F848BE3">
            <w:pPr>
              <w:widowControl/>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12</w:t>
            </w:r>
          </w:p>
        </w:tc>
        <w:tc>
          <w:tcPr>
            <w:tcW w:w="3419" w:type="dxa"/>
            <w:noWrap w:val="0"/>
            <w:vAlign w:val="center"/>
          </w:tcPr>
          <w:p w14:paraId="33C57F85">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前列腺小体外泄蛋白</w:t>
            </w:r>
          </w:p>
        </w:tc>
        <w:tc>
          <w:tcPr>
            <w:tcW w:w="1230" w:type="dxa"/>
            <w:noWrap w:val="0"/>
            <w:vAlign w:val="center"/>
          </w:tcPr>
          <w:p w14:paraId="0D747BEF">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2000</w:t>
            </w:r>
          </w:p>
        </w:tc>
        <w:tc>
          <w:tcPr>
            <w:tcW w:w="1335" w:type="dxa"/>
            <w:noWrap w:val="0"/>
            <w:vAlign w:val="center"/>
          </w:tcPr>
          <w:p w14:paraId="605FF5C6">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190</w:t>
            </w:r>
          </w:p>
        </w:tc>
        <w:tc>
          <w:tcPr>
            <w:tcW w:w="1876" w:type="dxa"/>
            <w:shd w:val="clear" w:color="auto" w:fill="auto"/>
            <w:noWrap w:val="0"/>
            <w:vAlign w:val="center"/>
          </w:tcPr>
          <w:p w14:paraId="4FFC9745">
            <w:pPr>
              <w:widowControl/>
              <w:jc w:val="center"/>
              <w:rPr>
                <w:rFonts w:hint="eastAsia" w:ascii="宋体" w:hAnsi="宋体" w:eastAsia="宋体" w:cs="宋体"/>
                <w:color w:val="auto"/>
                <w:sz w:val="24"/>
                <w:szCs w:val="24"/>
                <w:highlight w:val="none"/>
                <w:lang w:val="en-US" w:eastAsia="zh-CN" w:bidi="ar-SA"/>
              </w:rPr>
            </w:pPr>
            <w:r>
              <w:rPr>
                <w:rFonts w:hint="eastAsia" w:ascii="宋体" w:hAnsi="宋体" w:cs="宋体"/>
                <w:color w:val="auto"/>
                <w:sz w:val="24"/>
                <w:szCs w:val="24"/>
                <w:highlight w:val="none"/>
                <w:lang w:val="en-US" w:eastAsia="zh-CN"/>
              </w:rPr>
              <w:t>1</w:t>
            </w:r>
            <w:r>
              <w:rPr>
                <w:rFonts w:hint="eastAsia" w:ascii="宋体" w:hAnsi="宋体" w:eastAsia="宋体" w:cs="宋体"/>
                <w:color w:val="auto"/>
                <w:sz w:val="24"/>
                <w:szCs w:val="24"/>
                <w:highlight w:val="none"/>
                <w:lang w:val="en-US" w:eastAsia="zh-CN"/>
              </w:rPr>
              <w:t>个工作日</w:t>
            </w:r>
          </w:p>
        </w:tc>
      </w:tr>
      <w:tr w14:paraId="0B48B3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780" w:type="dxa"/>
            <w:noWrap w:val="0"/>
            <w:vAlign w:val="center"/>
          </w:tcPr>
          <w:p w14:paraId="13B95E63">
            <w:pPr>
              <w:widowControl/>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13</w:t>
            </w:r>
          </w:p>
        </w:tc>
        <w:tc>
          <w:tcPr>
            <w:tcW w:w="3419" w:type="dxa"/>
            <w:noWrap w:val="0"/>
            <w:vAlign w:val="center"/>
          </w:tcPr>
          <w:p w14:paraId="1DF65E87">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脑脊液免疫定量及蛋白分析</w:t>
            </w:r>
          </w:p>
        </w:tc>
        <w:tc>
          <w:tcPr>
            <w:tcW w:w="1230" w:type="dxa"/>
            <w:noWrap w:val="0"/>
            <w:vAlign w:val="center"/>
          </w:tcPr>
          <w:p w14:paraId="17575BA3">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5</w:t>
            </w:r>
          </w:p>
        </w:tc>
        <w:tc>
          <w:tcPr>
            <w:tcW w:w="1335" w:type="dxa"/>
            <w:noWrap w:val="0"/>
            <w:vAlign w:val="center"/>
          </w:tcPr>
          <w:p w14:paraId="28D603E8">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638</w:t>
            </w:r>
          </w:p>
        </w:tc>
        <w:tc>
          <w:tcPr>
            <w:tcW w:w="1876" w:type="dxa"/>
            <w:shd w:val="clear" w:color="auto" w:fill="auto"/>
            <w:noWrap w:val="0"/>
            <w:vAlign w:val="center"/>
          </w:tcPr>
          <w:p w14:paraId="77BAA2C3">
            <w:pPr>
              <w:widowControl/>
              <w:jc w:val="center"/>
              <w:rPr>
                <w:rFonts w:hint="eastAsia" w:ascii="宋体" w:hAnsi="宋体" w:eastAsia="宋体" w:cs="宋体"/>
                <w:color w:val="auto"/>
                <w:sz w:val="24"/>
                <w:szCs w:val="24"/>
                <w:highlight w:val="none"/>
                <w:lang w:val="en-US" w:eastAsia="zh-CN" w:bidi="ar-SA"/>
              </w:rPr>
            </w:pPr>
            <w:r>
              <w:rPr>
                <w:rFonts w:hint="eastAsia" w:ascii="宋体" w:hAnsi="宋体" w:cs="宋体"/>
                <w:color w:val="auto"/>
                <w:sz w:val="24"/>
                <w:szCs w:val="24"/>
                <w:highlight w:val="none"/>
                <w:lang w:val="en-US" w:eastAsia="zh-CN"/>
              </w:rPr>
              <w:t>3</w:t>
            </w:r>
            <w:r>
              <w:rPr>
                <w:rFonts w:hint="eastAsia" w:ascii="宋体" w:hAnsi="宋体" w:eastAsia="宋体" w:cs="宋体"/>
                <w:color w:val="auto"/>
                <w:sz w:val="24"/>
                <w:szCs w:val="24"/>
                <w:highlight w:val="none"/>
                <w:lang w:val="en-US" w:eastAsia="zh-CN"/>
              </w:rPr>
              <w:t>个工作日</w:t>
            </w:r>
          </w:p>
        </w:tc>
      </w:tr>
      <w:tr w14:paraId="0C7924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780" w:type="dxa"/>
            <w:noWrap w:val="0"/>
            <w:vAlign w:val="center"/>
          </w:tcPr>
          <w:p w14:paraId="5DCB4141">
            <w:pPr>
              <w:widowControl/>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14</w:t>
            </w:r>
          </w:p>
        </w:tc>
        <w:tc>
          <w:tcPr>
            <w:tcW w:w="3419" w:type="dxa"/>
            <w:noWrap w:val="0"/>
            <w:vAlign w:val="center"/>
          </w:tcPr>
          <w:p w14:paraId="7CC0D440">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外周血染色体核型分析</w:t>
            </w:r>
          </w:p>
        </w:tc>
        <w:tc>
          <w:tcPr>
            <w:tcW w:w="1230" w:type="dxa"/>
            <w:noWrap w:val="0"/>
            <w:vAlign w:val="center"/>
          </w:tcPr>
          <w:p w14:paraId="304C1A1C">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300</w:t>
            </w:r>
          </w:p>
        </w:tc>
        <w:tc>
          <w:tcPr>
            <w:tcW w:w="1335" w:type="dxa"/>
            <w:noWrap w:val="0"/>
            <w:vAlign w:val="center"/>
          </w:tcPr>
          <w:p w14:paraId="4F92678F">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330</w:t>
            </w:r>
          </w:p>
        </w:tc>
        <w:tc>
          <w:tcPr>
            <w:tcW w:w="1876" w:type="dxa"/>
            <w:noWrap w:val="0"/>
            <w:vAlign w:val="center"/>
          </w:tcPr>
          <w:p w14:paraId="314E9AAB">
            <w:pPr>
              <w:widowControl/>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21个工作日</w:t>
            </w:r>
          </w:p>
        </w:tc>
      </w:tr>
      <w:tr w14:paraId="6E2A37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780" w:type="dxa"/>
            <w:noWrap w:val="0"/>
            <w:vAlign w:val="center"/>
          </w:tcPr>
          <w:p w14:paraId="5C91E129">
            <w:pPr>
              <w:widowControl/>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15</w:t>
            </w:r>
          </w:p>
        </w:tc>
        <w:tc>
          <w:tcPr>
            <w:tcW w:w="3419" w:type="dxa"/>
            <w:noWrap w:val="0"/>
            <w:vAlign w:val="center"/>
          </w:tcPr>
          <w:p w14:paraId="5A344EB7">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心血管安全用药基因检测</w:t>
            </w:r>
          </w:p>
        </w:tc>
        <w:tc>
          <w:tcPr>
            <w:tcW w:w="1230" w:type="dxa"/>
            <w:noWrap w:val="0"/>
            <w:vAlign w:val="center"/>
          </w:tcPr>
          <w:p w14:paraId="4197C154">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50</w:t>
            </w:r>
          </w:p>
        </w:tc>
        <w:tc>
          <w:tcPr>
            <w:tcW w:w="1335" w:type="dxa"/>
            <w:noWrap w:val="0"/>
            <w:vAlign w:val="center"/>
          </w:tcPr>
          <w:p w14:paraId="0A4BE8D3">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1200</w:t>
            </w:r>
          </w:p>
        </w:tc>
        <w:tc>
          <w:tcPr>
            <w:tcW w:w="1876" w:type="dxa"/>
            <w:noWrap w:val="0"/>
            <w:vAlign w:val="center"/>
          </w:tcPr>
          <w:p w14:paraId="2FB1A728">
            <w:pPr>
              <w:widowControl/>
              <w:jc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7</w:t>
            </w:r>
            <w:r>
              <w:rPr>
                <w:rFonts w:hint="eastAsia" w:ascii="宋体" w:hAnsi="宋体" w:eastAsia="宋体" w:cs="宋体"/>
                <w:color w:val="auto"/>
                <w:sz w:val="24"/>
                <w:szCs w:val="24"/>
                <w:highlight w:val="none"/>
                <w:lang w:val="en-US" w:eastAsia="zh-CN"/>
              </w:rPr>
              <w:t>个工作日</w:t>
            </w:r>
          </w:p>
        </w:tc>
      </w:tr>
      <w:tr w14:paraId="725588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780" w:type="dxa"/>
            <w:noWrap w:val="0"/>
            <w:vAlign w:val="center"/>
          </w:tcPr>
          <w:p w14:paraId="652E14DE">
            <w:pPr>
              <w:widowControl/>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16</w:t>
            </w:r>
          </w:p>
        </w:tc>
        <w:tc>
          <w:tcPr>
            <w:tcW w:w="3419" w:type="dxa"/>
            <w:noWrap w:val="0"/>
            <w:vAlign w:val="center"/>
          </w:tcPr>
          <w:p w14:paraId="2145D0DB">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中枢神经系统脱髓鞘抗体谱</w:t>
            </w:r>
          </w:p>
        </w:tc>
        <w:tc>
          <w:tcPr>
            <w:tcW w:w="1230" w:type="dxa"/>
            <w:noWrap w:val="0"/>
            <w:vAlign w:val="center"/>
          </w:tcPr>
          <w:p w14:paraId="11C5A5E5">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10</w:t>
            </w:r>
          </w:p>
        </w:tc>
        <w:tc>
          <w:tcPr>
            <w:tcW w:w="1335" w:type="dxa"/>
            <w:noWrap w:val="0"/>
            <w:vAlign w:val="center"/>
          </w:tcPr>
          <w:p w14:paraId="4B8AD4E5">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800</w:t>
            </w:r>
          </w:p>
        </w:tc>
        <w:tc>
          <w:tcPr>
            <w:tcW w:w="1876" w:type="dxa"/>
            <w:noWrap w:val="0"/>
            <w:vAlign w:val="center"/>
          </w:tcPr>
          <w:p w14:paraId="2625C663">
            <w:pPr>
              <w:widowControl/>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1个工作日</w:t>
            </w:r>
          </w:p>
        </w:tc>
      </w:tr>
      <w:tr w14:paraId="2DC59A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780" w:type="dxa"/>
            <w:noWrap w:val="0"/>
            <w:vAlign w:val="center"/>
          </w:tcPr>
          <w:p w14:paraId="5FEE700B">
            <w:pPr>
              <w:widowControl/>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17</w:t>
            </w:r>
          </w:p>
        </w:tc>
        <w:tc>
          <w:tcPr>
            <w:tcW w:w="3419" w:type="dxa"/>
            <w:noWrap w:val="0"/>
            <w:vAlign w:val="center"/>
          </w:tcPr>
          <w:p w14:paraId="5D5914C1">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副瘤综合征抗体谱</w:t>
            </w:r>
          </w:p>
        </w:tc>
        <w:tc>
          <w:tcPr>
            <w:tcW w:w="1230" w:type="dxa"/>
            <w:noWrap w:val="0"/>
            <w:vAlign w:val="center"/>
          </w:tcPr>
          <w:p w14:paraId="218C5DD8">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40</w:t>
            </w:r>
          </w:p>
        </w:tc>
        <w:tc>
          <w:tcPr>
            <w:tcW w:w="1335" w:type="dxa"/>
            <w:noWrap w:val="0"/>
            <w:vAlign w:val="center"/>
          </w:tcPr>
          <w:p w14:paraId="24876DAF">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1600</w:t>
            </w:r>
          </w:p>
        </w:tc>
        <w:tc>
          <w:tcPr>
            <w:tcW w:w="1876" w:type="dxa"/>
            <w:shd w:val="clear" w:color="auto" w:fill="auto"/>
            <w:noWrap w:val="0"/>
            <w:vAlign w:val="center"/>
          </w:tcPr>
          <w:p w14:paraId="17635521">
            <w:pPr>
              <w:widowControl/>
              <w:jc w:val="center"/>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rPr>
              <w:t>1个工作日</w:t>
            </w:r>
          </w:p>
        </w:tc>
      </w:tr>
      <w:tr w14:paraId="6840FA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780" w:type="dxa"/>
            <w:noWrap w:val="0"/>
            <w:vAlign w:val="center"/>
          </w:tcPr>
          <w:p w14:paraId="6880DFAE">
            <w:pPr>
              <w:widowControl/>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18</w:t>
            </w:r>
          </w:p>
        </w:tc>
        <w:tc>
          <w:tcPr>
            <w:tcW w:w="3419" w:type="dxa"/>
            <w:noWrap w:val="0"/>
            <w:vAlign w:val="center"/>
          </w:tcPr>
          <w:p w14:paraId="456DC991">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肌炎相关抗体谱</w:t>
            </w:r>
          </w:p>
        </w:tc>
        <w:tc>
          <w:tcPr>
            <w:tcW w:w="1230" w:type="dxa"/>
            <w:noWrap w:val="0"/>
            <w:vAlign w:val="center"/>
          </w:tcPr>
          <w:p w14:paraId="033780B5">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50</w:t>
            </w:r>
          </w:p>
        </w:tc>
        <w:tc>
          <w:tcPr>
            <w:tcW w:w="1335" w:type="dxa"/>
            <w:noWrap w:val="0"/>
            <w:vAlign w:val="center"/>
          </w:tcPr>
          <w:p w14:paraId="4B2192E2">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1500</w:t>
            </w:r>
          </w:p>
        </w:tc>
        <w:tc>
          <w:tcPr>
            <w:tcW w:w="1876" w:type="dxa"/>
            <w:noWrap w:val="0"/>
            <w:vAlign w:val="center"/>
          </w:tcPr>
          <w:p w14:paraId="45D6799E">
            <w:pPr>
              <w:widowControl/>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2个工作日</w:t>
            </w:r>
          </w:p>
        </w:tc>
      </w:tr>
      <w:tr w14:paraId="66FCCC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780" w:type="dxa"/>
            <w:noWrap w:val="0"/>
            <w:vAlign w:val="center"/>
          </w:tcPr>
          <w:p w14:paraId="0CEBDB6C">
            <w:pPr>
              <w:widowControl/>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19</w:t>
            </w:r>
          </w:p>
        </w:tc>
        <w:tc>
          <w:tcPr>
            <w:tcW w:w="3419" w:type="dxa"/>
            <w:noWrap w:val="0"/>
            <w:vAlign w:val="center"/>
          </w:tcPr>
          <w:p w14:paraId="0A9C016B">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自身免疫性脑炎抗体谱</w:t>
            </w:r>
          </w:p>
        </w:tc>
        <w:tc>
          <w:tcPr>
            <w:tcW w:w="1230" w:type="dxa"/>
            <w:noWrap w:val="0"/>
            <w:vAlign w:val="center"/>
          </w:tcPr>
          <w:p w14:paraId="01D050A2">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40</w:t>
            </w:r>
          </w:p>
        </w:tc>
        <w:tc>
          <w:tcPr>
            <w:tcW w:w="1335" w:type="dxa"/>
            <w:noWrap w:val="0"/>
            <w:vAlign w:val="center"/>
          </w:tcPr>
          <w:p w14:paraId="3B4AE359">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900</w:t>
            </w:r>
          </w:p>
        </w:tc>
        <w:tc>
          <w:tcPr>
            <w:tcW w:w="1876" w:type="dxa"/>
            <w:noWrap w:val="0"/>
            <w:vAlign w:val="center"/>
          </w:tcPr>
          <w:p w14:paraId="32C35BD2">
            <w:pPr>
              <w:widowControl/>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1个工作日</w:t>
            </w:r>
          </w:p>
        </w:tc>
      </w:tr>
      <w:tr w14:paraId="6953A8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780" w:type="dxa"/>
            <w:noWrap w:val="0"/>
            <w:vAlign w:val="center"/>
          </w:tcPr>
          <w:p w14:paraId="69EA64CF">
            <w:pPr>
              <w:widowControl/>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20</w:t>
            </w:r>
          </w:p>
        </w:tc>
        <w:tc>
          <w:tcPr>
            <w:tcW w:w="3419" w:type="dxa"/>
            <w:noWrap w:val="0"/>
            <w:vAlign w:val="center"/>
          </w:tcPr>
          <w:p w14:paraId="5C77BDA7">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自身免疫性周围神经病抗体谱</w:t>
            </w:r>
          </w:p>
        </w:tc>
        <w:tc>
          <w:tcPr>
            <w:tcW w:w="1230" w:type="dxa"/>
            <w:noWrap w:val="0"/>
            <w:vAlign w:val="center"/>
          </w:tcPr>
          <w:p w14:paraId="1012A02B">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30</w:t>
            </w:r>
          </w:p>
        </w:tc>
        <w:tc>
          <w:tcPr>
            <w:tcW w:w="1335" w:type="dxa"/>
            <w:noWrap w:val="0"/>
            <w:vAlign w:val="center"/>
          </w:tcPr>
          <w:p w14:paraId="6BB836FA">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1200</w:t>
            </w:r>
          </w:p>
        </w:tc>
        <w:tc>
          <w:tcPr>
            <w:tcW w:w="1876" w:type="dxa"/>
            <w:noWrap w:val="0"/>
            <w:vAlign w:val="center"/>
          </w:tcPr>
          <w:p w14:paraId="7C58071B">
            <w:pPr>
              <w:widowControl/>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1个工作日</w:t>
            </w:r>
          </w:p>
        </w:tc>
      </w:tr>
      <w:tr w14:paraId="0CB069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780" w:type="dxa"/>
            <w:noWrap w:val="0"/>
            <w:vAlign w:val="center"/>
          </w:tcPr>
          <w:p w14:paraId="23727526">
            <w:pPr>
              <w:widowControl/>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21</w:t>
            </w:r>
          </w:p>
        </w:tc>
        <w:tc>
          <w:tcPr>
            <w:tcW w:w="3419" w:type="dxa"/>
            <w:noWrap w:val="0"/>
            <w:vAlign w:val="center"/>
          </w:tcPr>
          <w:p w14:paraId="6D51CD5A">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Treg淋巴细胞亚群检测</w:t>
            </w:r>
          </w:p>
        </w:tc>
        <w:tc>
          <w:tcPr>
            <w:tcW w:w="1230" w:type="dxa"/>
            <w:noWrap w:val="0"/>
            <w:vAlign w:val="center"/>
          </w:tcPr>
          <w:p w14:paraId="21088DBD">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3000</w:t>
            </w:r>
          </w:p>
        </w:tc>
        <w:tc>
          <w:tcPr>
            <w:tcW w:w="1335" w:type="dxa"/>
            <w:noWrap w:val="0"/>
            <w:vAlign w:val="center"/>
          </w:tcPr>
          <w:p w14:paraId="058A5C2F">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225</w:t>
            </w:r>
          </w:p>
        </w:tc>
        <w:tc>
          <w:tcPr>
            <w:tcW w:w="1876" w:type="dxa"/>
            <w:shd w:val="clear" w:color="auto" w:fill="auto"/>
            <w:noWrap w:val="0"/>
            <w:vAlign w:val="center"/>
          </w:tcPr>
          <w:p w14:paraId="026A30AD">
            <w:pPr>
              <w:widowControl/>
              <w:jc w:val="center"/>
              <w:rPr>
                <w:rFonts w:hint="eastAsia" w:ascii="宋体" w:hAnsi="宋体" w:eastAsia="宋体" w:cs="宋体"/>
                <w:color w:val="auto"/>
                <w:sz w:val="24"/>
                <w:szCs w:val="24"/>
                <w:highlight w:val="none"/>
                <w:lang w:val="en-US" w:eastAsia="zh-CN" w:bidi="ar-SA"/>
              </w:rPr>
            </w:pPr>
            <w:r>
              <w:rPr>
                <w:rFonts w:hint="eastAsia" w:ascii="宋体" w:hAnsi="宋体" w:cs="宋体"/>
                <w:color w:val="auto"/>
                <w:sz w:val="24"/>
                <w:szCs w:val="24"/>
                <w:highlight w:val="none"/>
                <w:lang w:val="en-US" w:eastAsia="zh-CN"/>
              </w:rPr>
              <w:t>3</w:t>
            </w:r>
            <w:r>
              <w:rPr>
                <w:rFonts w:hint="eastAsia" w:ascii="宋体" w:hAnsi="宋体" w:eastAsia="宋体" w:cs="宋体"/>
                <w:color w:val="auto"/>
                <w:sz w:val="24"/>
                <w:szCs w:val="24"/>
                <w:highlight w:val="none"/>
                <w:lang w:val="en-US" w:eastAsia="zh-CN"/>
              </w:rPr>
              <w:t>个工作日</w:t>
            </w:r>
          </w:p>
        </w:tc>
      </w:tr>
      <w:tr w14:paraId="0FE585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780" w:type="dxa"/>
            <w:noWrap w:val="0"/>
            <w:vAlign w:val="center"/>
          </w:tcPr>
          <w:p w14:paraId="389AB34F">
            <w:pPr>
              <w:widowControl/>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22</w:t>
            </w:r>
          </w:p>
        </w:tc>
        <w:tc>
          <w:tcPr>
            <w:tcW w:w="3419" w:type="dxa"/>
            <w:noWrap w:val="0"/>
            <w:vAlign w:val="center"/>
          </w:tcPr>
          <w:p w14:paraId="74A4D9CE">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外周血CD19/CD20绝对计数</w:t>
            </w:r>
          </w:p>
          <w:p w14:paraId="71CAF634">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检测</w:t>
            </w:r>
          </w:p>
        </w:tc>
        <w:tc>
          <w:tcPr>
            <w:tcW w:w="1230" w:type="dxa"/>
            <w:noWrap w:val="0"/>
            <w:vAlign w:val="center"/>
          </w:tcPr>
          <w:p w14:paraId="0BC4763F">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100</w:t>
            </w:r>
          </w:p>
        </w:tc>
        <w:tc>
          <w:tcPr>
            <w:tcW w:w="1335" w:type="dxa"/>
            <w:noWrap w:val="0"/>
            <w:vAlign w:val="center"/>
          </w:tcPr>
          <w:p w14:paraId="1696224E">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180</w:t>
            </w:r>
          </w:p>
        </w:tc>
        <w:tc>
          <w:tcPr>
            <w:tcW w:w="1876" w:type="dxa"/>
            <w:noWrap w:val="0"/>
            <w:vAlign w:val="center"/>
          </w:tcPr>
          <w:p w14:paraId="55F6FA09">
            <w:pPr>
              <w:widowControl/>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1个工作日</w:t>
            </w:r>
          </w:p>
        </w:tc>
      </w:tr>
      <w:tr w14:paraId="6FA2CF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780" w:type="dxa"/>
            <w:noWrap w:val="0"/>
            <w:vAlign w:val="center"/>
          </w:tcPr>
          <w:p w14:paraId="70FB5667">
            <w:pPr>
              <w:widowControl/>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23</w:t>
            </w:r>
          </w:p>
        </w:tc>
        <w:tc>
          <w:tcPr>
            <w:tcW w:w="3419" w:type="dxa"/>
            <w:noWrap w:val="0"/>
            <w:vAlign w:val="center"/>
          </w:tcPr>
          <w:p w14:paraId="44C05C98">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T细胞耗竭及线粒体功能障碍检测</w:t>
            </w:r>
          </w:p>
        </w:tc>
        <w:tc>
          <w:tcPr>
            <w:tcW w:w="1230" w:type="dxa"/>
            <w:noWrap w:val="0"/>
            <w:vAlign w:val="center"/>
          </w:tcPr>
          <w:p w14:paraId="02E23AE1">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5000</w:t>
            </w:r>
          </w:p>
        </w:tc>
        <w:tc>
          <w:tcPr>
            <w:tcW w:w="1335" w:type="dxa"/>
            <w:noWrap w:val="0"/>
            <w:vAlign w:val="center"/>
          </w:tcPr>
          <w:p w14:paraId="6D2CFFCD">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260</w:t>
            </w:r>
          </w:p>
        </w:tc>
        <w:tc>
          <w:tcPr>
            <w:tcW w:w="1876" w:type="dxa"/>
            <w:noWrap w:val="0"/>
            <w:vAlign w:val="center"/>
          </w:tcPr>
          <w:p w14:paraId="1D7B2566">
            <w:pPr>
              <w:widowControl/>
              <w:jc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3</w:t>
            </w:r>
            <w:r>
              <w:rPr>
                <w:rFonts w:hint="eastAsia" w:ascii="宋体" w:hAnsi="宋体" w:eastAsia="宋体" w:cs="宋体"/>
                <w:color w:val="auto"/>
                <w:sz w:val="24"/>
                <w:szCs w:val="24"/>
                <w:highlight w:val="none"/>
                <w:lang w:val="en-US" w:eastAsia="zh-CN"/>
              </w:rPr>
              <w:t>个工作日</w:t>
            </w:r>
          </w:p>
        </w:tc>
      </w:tr>
      <w:tr w14:paraId="76EA5A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780" w:type="dxa"/>
            <w:noWrap w:val="0"/>
            <w:vAlign w:val="center"/>
          </w:tcPr>
          <w:p w14:paraId="0E80EF56">
            <w:pPr>
              <w:widowControl/>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24</w:t>
            </w:r>
          </w:p>
        </w:tc>
        <w:tc>
          <w:tcPr>
            <w:tcW w:w="3419" w:type="dxa"/>
            <w:noWrap w:val="0"/>
            <w:vAlign w:val="center"/>
          </w:tcPr>
          <w:p w14:paraId="4B4E9BE3">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T细胞活化及线粒体功能障碍检测</w:t>
            </w:r>
          </w:p>
        </w:tc>
        <w:tc>
          <w:tcPr>
            <w:tcW w:w="1230" w:type="dxa"/>
            <w:noWrap w:val="0"/>
            <w:vAlign w:val="center"/>
          </w:tcPr>
          <w:p w14:paraId="3D17C5CA">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100</w:t>
            </w:r>
          </w:p>
        </w:tc>
        <w:tc>
          <w:tcPr>
            <w:tcW w:w="1335" w:type="dxa"/>
            <w:noWrap w:val="0"/>
            <w:vAlign w:val="center"/>
          </w:tcPr>
          <w:p w14:paraId="7DE916A1">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260</w:t>
            </w:r>
          </w:p>
        </w:tc>
        <w:tc>
          <w:tcPr>
            <w:tcW w:w="1876" w:type="dxa"/>
            <w:noWrap w:val="0"/>
            <w:vAlign w:val="center"/>
          </w:tcPr>
          <w:p w14:paraId="14E877FC">
            <w:pPr>
              <w:widowControl/>
              <w:jc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3</w:t>
            </w:r>
            <w:r>
              <w:rPr>
                <w:rFonts w:hint="eastAsia" w:ascii="宋体" w:hAnsi="宋体" w:eastAsia="宋体" w:cs="宋体"/>
                <w:color w:val="auto"/>
                <w:sz w:val="24"/>
                <w:szCs w:val="24"/>
                <w:highlight w:val="none"/>
                <w:lang w:val="en-US" w:eastAsia="zh-CN"/>
              </w:rPr>
              <w:t>个工作日</w:t>
            </w:r>
          </w:p>
        </w:tc>
      </w:tr>
      <w:tr w14:paraId="505A45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780" w:type="dxa"/>
            <w:noWrap w:val="0"/>
            <w:vAlign w:val="center"/>
          </w:tcPr>
          <w:p w14:paraId="748BDCA5">
            <w:pPr>
              <w:widowControl/>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25</w:t>
            </w:r>
          </w:p>
        </w:tc>
        <w:tc>
          <w:tcPr>
            <w:tcW w:w="3419" w:type="dxa"/>
            <w:noWrap w:val="0"/>
            <w:vAlign w:val="center"/>
          </w:tcPr>
          <w:p w14:paraId="6694C67F">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透析水化学污染物22项</w:t>
            </w:r>
          </w:p>
        </w:tc>
        <w:tc>
          <w:tcPr>
            <w:tcW w:w="1230" w:type="dxa"/>
            <w:noWrap w:val="0"/>
            <w:vAlign w:val="center"/>
          </w:tcPr>
          <w:p w14:paraId="47358E81">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10</w:t>
            </w:r>
          </w:p>
        </w:tc>
        <w:tc>
          <w:tcPr>
            <w:tcW w:w="1335" w:type="dxa"/>
            <w:noWrap w:val="0"/>
            <w:vAlign w:val="center"/>
          </w:tcPr>
          <w:p w14:paraId="7338B933">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3360</w:t>
            </w:r>
          </w:p>
        </w:tc>
        <w:tc>
          <w:tcPr>
            <w:tcW w:w="1876" w:type="dxa"/>
            <w:noWrap w:val="0"/>
            <w:vAlign w:val="center"/>
          </w:tcPr>
          <w:p w14:paraId="41EDCB8B">
            <w:pPr>
              <w:widowControl/>
              <w:jc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7个工作日</w:t>
            </w:r>
          </w:p>
        </w:tc>
      </w:tr>
      <w:tr w14:paraId="66FEA1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780" w:type="dxa"/>
            <w:noWrap w:val="0"/>
            <w:vAlign w:val="center"/>
          </w:tcPr>
          <w:p w14:paraId="1EF775BB">
            <w:pPr>
              <w:widowControl/>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26</w:t>
            </w:r>
          </w:p>
        </w:tc>
        <w:tc>
          <w:tcPr>
            <w:tcW w:w="3419" w:type="dxa"/>
            <w:noWrap w:val="0"/>
            <w:vAlign w:val="center"/>
          </w:tcPr>
          <w:p w14:paraId="0410DDBE">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深贫筛查项目（包含G6PD、血红蛋白电泳、红细胞脆性实验、游离血红蛋白、触珠蛋白、直接抗人球蛋白、间接抗人球蛋白、酸化甘油溶血试验、蔗糖溶血试验、异丙酮试验等）</w:t>
            </w:r>
          </w:p>
        </w:tc>
        <w:tc>
          <w:tcPr>
            <w:tcW w:w="1230" w:type="dxa"/>
            <w:noWrap w:val="0"/>
            <w:vAlign w:val="center"/>
          </w:tcPr>
          <w:p w14:paraId="69C57011">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40</w:t>
            </w:r>
          </w:p>
        </w:tc>
        <w:tc>
          <w:tcPr>
            <w:tcW w:w="1335" w:type="dxa"/>
            <w:noWrap w:val="0"/>
            <w:vAlign w:val="center"/>
          </w:tcPr>
          <w:p w14:paraId="00F1AC08">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400</w:t>
            </w:r>
          </w:p>
        </w:tc>
        <w:tc>
          <w:tcPr>
            <w:tcW w:w="1876" w:type="dxa"/>
            <w:noWrap w:val="0"/>
            <w:vAlign w:val="center"/>
          </w:tcPr>
          <w:p w14:paraId="7E3CA10C">
            <w:pPr>
              <w:widowControl/>
              <w:jc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2-3个工作日</w:t>
            </w:r>
          </w:p>
        </w:tc>
      </w:tr>
      <w:tr w14:paraId="63A678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780" w:type="dxa"/>
            <w:noWrap w:val="0"/>
            <w:vAlign w:val="center"/>
          </w:tcPr>
          <w:p w14:paraId="0DE0C949">
            <w:pPr>
              <w:widowControl/>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27</w:t>
            </w:r>
          </w:p>
        </w:tc>
        <w:tc>
          <w:tcPr>
            <w:tcW w:w="3419" w:type="dxa"/>
            <w:noWrap w:val="0"/>
            <w:vAlign w:val="center"/>
          </w:tcPr>
          <w:p w14:paraId="46722D5A">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APOE基因检测</w:t>
            </w:r>
          </w:p>
        </w:tc>
        <w:tc>
          <w:tcPr>
            <w:tcW w:w="1230" w:type="dxa"/>
            <w:noWrap w:val="0"/>
            <w:vAlign w:val="center"/>
          </w:tcPr>
          <w:p w14:paraId="4745352B">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20</w:t>
            </w:r>
          </w:p>
        </w:tc>
        <w:tc>
          <w:tcPr>
            <w:tcW w:w="1335" w:type="dxa"/>
            <w:noWrap w:val="0"/>
            <w:vAlign w:val="center"/>
          </w:tcPr>
          <w:p w14:paraId="2BFA0317">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400</w:t>
            </w:r>
          </w:p>
        </w:tc>
        <w:tc>
          <w:tcPr>
            <w:tcW w:w="1876" w:type="dxa"/>
            <w:noWrap w:val="0"/>
            <w:vAlign w:val="center"/>
          </w:tcPr>
          <w:p w14:paraId="4B3B4AC3">
            <w:pPr>
              <w:widowControl/>
              <w:jc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4个工作日</w:t>
            </w:r>
          </w:p>
        </w:tc>
      </w:tr>
      <w:tr w14:paraId="3BBC4A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780" w:type="dxa"/>
            <w:noWrap w:val="0"/>
            <w:vAlign w:val="center"/>
          </w:tcPr>
          <w:p w14:paraId="2B050C60">
            <w:pPr>
              <w:widowControl/>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28</w:t>
            </w:r>
          </w:p>
        </w:tc>
        <w:tc>
          <w:tcPr>
            <w:tcW w:w="3419" w:type="dxa"/>
            <w:noWrap w:val="0"/>
            <w:vAlign w:val="center"/>
          </w:tcPr>
          <w:p w14:paraId="7F41CAF8">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遗传性脑白质营养不良相关基因检测</w:t>
            </w:r>
          </w:p>
        </w:tc>
        <w:tc>
          <w:tcPr>
            <w:tcW w:w="1230" w:type="dxa"/>
            <w:noWrap w:val="0"/>
            <w:vAlign w:val="center"/>
          </w:tcPr>
          <w:p w14:paraId="7E83C2C4">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5</w:t>
            </w:r>
          </w:p>
        </w:tc>
        <w:tc>
          <w:tcPr>
            <w:tcW w:w="1335" w:type="dxa"/>
            <w:noWrap w:val="0"/>
            <w:vAlign w:val="center"/>
          </w:tcPr>
          <w:p w14:paraId="608F28FD">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4200</w:t>
            </w:r>
          </w:p>
        </w:tc>
        <w:tc>
          <w:tcPr>
            <w:tcW w:w="1876" w:type="dxa"/>
            <w:noWrap w:val="0"/>
            <w:vAlign w:val="center"/>
          </w:tcPr>
          <w:p w14:paraId="3DF8CB93">
            <w:pPr>
              <w:widowControl/>
              <w:jc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20-30个工作日</w:t>
            </w:r>
          </w:p>
        </w:tc>
      </w:tr>
      <w:tr w14:paraId="45C349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780" w:type="dxa"/>
            <w:noWrap w:val="0"/>
            <w:vAlign w:val="center"/>
          </w:tcPr>
          <w:p w14:paraId="3DD4A2FF">
            <w:pPr>
              <w:widowControl/>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29</w:t>
            </w:r>
          </w:p>
        </w:tc>
        <w:tc>
          <w:tcPr>
            <w:tcW w:w="3419" w:type="dxa"/>
            <w:noWrap w:val="0"/>
            <w:vAlign w:val="center"/>
          </w:tcPr>
          <w:p w14:paraId="2B46F1B7">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遗传性神经肌肉病基因测序</w:t>
            </w:r>
          </w:p>
        </w:tc>
        <w:tc>
          <w:tcPr>
            <w:tcW w:w="1230" w:type="dxa"/>
            <w:noWrap w:val="0"/>
            <w:vAlign w:val="center"/>
          </w:tcPr>
          <w:p w14:paraId="1C069A87">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5</w:t>
            </w:r>
          </w:p>
        </w:tc>
        <w:tc>
          <w:tcPr>
            <w:tcW w:w="1335" w:type="dxa"/>
            <w:noWrap w:val="0"/>
            <w:vAlign w:val="center"/>
          </w:tcPr>
          <w:p w14:paraId="3FE1193E">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4200</w:t>
            </w:r>
          </w:p>
        </w:tc>
        <w:tc>
          <w:tcPr>
            <w:tcW w:w="1876" w:type="dxa"/>
            <w:noWrap w:val="0"/>
            <w:vAlign w:val="center"/>
          </w:tcPr>
          <w:p w14:paraId="5455BED2">
            <w:pPr>
              <w:widowControl/>
              <w:jc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20-30个工作日</w:t>
            </w:r>
          </w:p>
        </w:tc>
      </w:tr>
      <w:tr w14:paraId="4E24AB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780" w:type="dxa"/>
            <w:noWrap w:val="0"/>
            <w:vAlign w:val="center"/>
          </w:tcPr>
          <w:p w14:paraId="567266CD">
            <w:pPr>
              <w:widowControl/>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30</w:t>
            </w:r>
          </w:p>
        </w:tc>
        <w:tc>
          <w:tcPr>
            <w:tcW w:w="3419" w:type="dxa"/>
            <w:noWrap w:val="0"/>
            <w:vAlign w:val="center"/>
          </w:tcPr>
          <w:p w14:paraId="46EA0091">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遗传性共济失调相关基因检测</w:t>
            </w:r>
          </w:p>
        </w:tc>
        <w:tc>
          <w:tcPr>
            <w:tcW w:w="1230" w:type="dxa"/>
            <w:noWrap w:val="0"/>
            <w:vAlign w:val="center"/>
          </w:tcPr>
          <w:p w14:paraId="05AA6407">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5</w:t>
            </w:r>
          </w:p>
        </w:tc>
        <w:tc>
          <w:tcPr>
            <w:tcW w:w="1335" w:type="dxa"/>
            <w:noWrap w:val="0"/>
            <w:vAlign w:val="center"/>
          </w:tcPr>
          <w:p w14:paraId="51FB4966">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4200</w:t>
            </w:r>
          </w:p>
        </w:tc>
        <w:tc>
          <w:tcPr>
            <w:tcW w:w="1876" w:type="dxa"/>
            <w:noWrap w:val="0"/>
            <w:vAlign w:val="center"/>
          </w:tcPr>
          <w:p w14:paraId="5C6AB727">
            <w:pPr>
              <w:widowControl/>
              <w:jc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20-30个工作日</w:t>
            </w:r>
          </w:p>
        </w:tc>
      </w:tr>
      <w:tr w14:paraId="73F3CF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780" w:type="dxa"/>
            <w:noWrap w:val="0"/>
            <w:vAlign w:val="center"/>
          </w:tcPr>
          <w:p w14:paraId="7B496F47">
            <w:pPr>
              <w:widowControl/>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31</w:t>
            </w:r>
          </w:p>
        </w:tc>
        <w:tc>
          <w:tcPr>
            <w:tcW w:w="3419" w:type="dxa"/>
            <w:noWrap w:val="0"/>
            <w:vAlign w:val="center"/>
          </w:tcPr>
          <w:p w14:paraId="4B4A23BE">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脊髓小脑共济失调相关基因</w:t>
            </w:r>
          </w:p>
          <w:p w14:paraId="03155F90">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检测</w:t>
            </w:r>
          </w:p>
        </w:tc>
        <w:tc>
          <w:tcPr>
            <w:tcW w:w="1230" w:type="dxa"/>
            <w:noWrap w:val="0"/>
            <w:vAlign w:val="center"/>
          </w:tcPr>
          <w:p w14:paraId="017B869D">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10</w:t>
            </w:r>
          </w:p>
        </w:tc>
        <w:tc>
          <w:tcPr>
            <w:tcW w:w="1335" w:type="dxa"/>
            <w:noWrap w:val="0"/>
            <w:vAlign w:val="center"/>
          </w:tcPr>
          <w:p w14:paraId="1BBA79E2">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1200</w:t>
            </w:r>
          </w:p>
        </w:tc>
        <w:tc>
          <w:tcPr>
            <w:tcW w:w="1876" w:type="dxa"/>
            <w:noWrap w:val="0"/>
            <w:vAlign w:val="center"/>
          </w:tcPr>
          <w:p w14:paraId="65C62A8E">
            <w:pPr>
              <w:widowControl/>
              <w:jc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20-30个工作日</w:t>
            </w:r>
          </w:p>
        </w:tc>
      </w:tr>
      <w:tr w14:paraId="5A822D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780" w:type="dxa"/>
            <w:noWrap w:val="0"/>
            <w:vAlign w:val="center"/>
          </w:tcPr>
          <w:p w14:paraId="17B421E7">
            <w:pPr>
              <w:widowControl/>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32</w:t>
            </w:r>
          </w:p>
        </w:tc>
        <w:tc>
          <w:tcPr>
            <w:tcW w:w="3419" w:type="dxa"/>
            <w:noWrap w:val="0"/>
            <w:vAlign w:val="center"/>
          </w:tcPr>
          <w:p w14:paraId="1EBFD99F">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肯尼迪病基因片段分析</w:t>
            </w:r>
          </w:p>
        </w:tc>
        <w:tc>
          <w:tcPr>
            <w:tcW w:w="1230" w:type="dxa"/>
            <w:noWrap w:val="0"/>
            <w:vAlign w:val="center"/>
          </w:tcPr>
          <w:p w14:paraId="2039D55B">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5</w:t>
            </w:r>
          </w:p>
        </w:tc>
        <w:tc>
          <w:tcPr>
            <w:tcW w:w="1335" w:type="dxa"/>
            <w:noWrap w:val="0"/>
            <w:vAlign w:val="center"/>
          </w:tcPr>
          <w:p w14:paraId="599EFD61">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400</w:t>
            </w:r>
          </w:p>
        </w:tc>
        <w:tc>
          <w:tcPr>
            <w:tcW w:w="1876" w:type="dxa"/>
            <w:noWrap w:val="0"/>
            <w:vAlign w:val="center"/>
          </w:tcPr>
          <w:p w14:paraId="2C218DE8">
            <w:pPr>
              <w:widowControl/>
              <w:jc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15个工作日</w:t>
            </w:r>
          </w:p>
        </w:tc>
      </w:tr>
      <w:tr w14:paraId="481458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780" w:type="dxa"/>
            <w:noWrap w:val="0"/>
            <w:vAlign w:val="center"/>
          </w:tcPr>
          <w:p w14:paraId="1013FD61">
            <w:pPr>
              <w:widowControl/>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33</w:t>
            </w:r>
          </w:p>
        </w:tc>
        <w:tc>
          <w:tcPr>
            <w:tcW w:w="3419" w:type="dxa"/>
            <w:noWrap w:val="0"/>
            <w:vAlign w:val="center"/>
          </w:tcPr>
          <w:p w14:paraId="25B5881F">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静脉血栓易感基因突变检测</w:t>
            </w:r>
          </w:p>
        </w:tc>
        <w:tc>
          <w:tcPr>
            <w:tcW w:w="1230" w:type="dxa"/>
            <w:noWrap w:val="0"/>
            <w:vAlign w:val="center"/>
          </w:tcPr>
          <w:p w14:paraId="1F657C6E">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5</w:t>
            </w:r>
          </w:p>
        </w:tc>
        <w:tc>
          <w:tcPr>
            <w:tcW w:w="1335" w:type="dxa"/>
            <w:noWrap w:val="0"/>
            <w:vAlign w:val="center"/>
          </w:tcPr>
          <w:p w14:paraId="4DDDD0E6">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800</w:t>
            </w:r>
          </w:p>
        </w:tc>
        <w:tc>
          <w:tcPr>
            <w:tcW w:w="1876" w:type="dxa"/>
            <w:noWrap w:val="0"/>
            <w:vAlign w:val="center"/>
          </w:tcPr>
          <w:p w14:paraId="4984D4A4">
            <w:pPr>
              <w:widowControl/>
              <w:jc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3-4个工作日</w:t>
            </w:r>
          </w:p>
        </w:tc>
      </w:tr>
    </w:tbl>
    <w:p w14:paraId="1D8BA365">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cs="宋体"/>
          <w:b/>
          <w:bCs/>
          <w:color w:val="auto"/>
          <w:sz w:val="24"/>
          <w:szCs w:val="24"/>
          <w:highlight w:val="none"/>
        </w:rPr>
      </w:pPr>
      <w:r>
        <w:rPr>
          <w:rFonts w:hint="eastAsia" w:ascii="宋体" w:hAnsi="宋体" w:cs="宋体"/>
          <w:b/>
          <w:bCs/>
          <w:color w:val="auto"/>
          <w:sz w:val="24"/>
          <w:szCs w:val="24"/>
          <w:highlight w:val="none"/>
        </w:rPr>
        <w:t>注：</w:t>
      </w:r>
      <w:r>
        <w:rPr>
          <w:rFonts w:hint="eastAsia" w:ascii="宋体" w:hAnsi="宋体" w:cs="宋体"/>
          <w:b/>
          <w:bCs/>
          <w:color w:val="auto"/>
          <w:sz w:val="24"/>
          <w:szCs w:val="24"/>
          <w:highlight w:val="none"/>
          <w:lang w:eastAsia="zh-CN"/>
        </w:rPr>
        <w:t>上述表格中</w:t>
      </w:r>
      <w:r>
        <w:rPr>
          <w:rFonts w:hint="eastAsia" w:ascii="宋体" w:hAnsi="宋体" w:cs="宋体"/>
          <w:b/>
          <w:bCs/>
          <w:color w:val="auto"/>
          <w:sz w:val="24"/>
          <w:szCs w:val="24"/>
          <w:highlight w:val="none"/>
          <w:lang w:val="en-US" w:eastAsia="zh-CN"/>
        </w:rPr>
        <w:t>所列</w:t>
      </w:r>
      <w:r>
        <w:rPr>
          <w:rFonts w:hint="eastAsia" w:ascii="宋体" w:hAnsi="宋体" w:cs="宋体"/>
          <w:b/>
          <w:bCs/>
          <w:color w:val="auto"/>
          <w:sz w:val="24"/>
          <w:szCs w:val="24"/>
          <w:highlight w:val="none"/>
          <w:lang w:eastAsia="zh-CN"/>
        </w:rPr>
        <w:t>年检测数量</w:t>
      </w:r>
      <w:r>
        <w:rPr>
          <w:rFonts w:hint="eastAsia" w:ascii="宋体" w:hAnsi="宋体" w:cs="宋体"/>
          <w:b/>
          <w:bCs/>
          <w:color w:val="auto"/>
          <w:sz w:val="24"/>
          <w:szCs w:val="24"/>
          <w:highlight w:val="none"/>
          <w:lang w:val="en-US" w:eastAsia="zh-CN"/>
        </w:rPr>
        <w:t>均</w:t>
      </w:r>
      <w:r>
        <w:rPr>
          <w:rFonts w:hint="eastAsia" w:ascii="宋体" w:hAnsi="宋体" w:cs="宋体"/>
          <w:b/>
          <w:bCs/>
          <w:color w:val="auto"/>
          <w:sz w:val="24"/>
          <w:szCs w:val="24"/>
          <w:highlight w:val="none"/>
        </w:rPr>
        <w:t>为预估数量</w:t>
      </w:r>
      <w:r>
        <w:rPr>
          <w:rFonts w:hint="eastAsia" w:ascii="宋体" w:hAnsi="宋体" w:cs="宋体"/>
          <w:b/>
          <w:bCs/>
          <w:color w:val="auto"/>
          <w:sz w:val="24"/>
          <w:szCs w:val="24"/>
          <w:highlight w:val="none"/>
          <w:lang w:eastAsia="zh-CN"/>
        </w:rPr>
        <w:t>，</w:t>
      </w:r>
      <w:r>
        <w:rPr>
          <w:rFonts w:hint="eastAsia" w:ascii="宋体" w:hAnsi="宋体" w:cs="宋体"/>
          <w:b/>
          <w:bCs/>
          <w:color w:val="auto"/>
          <w:sz w:val="24"/>
          <w:szCs w:val="24"/>
          <w:highlight w:val="none"/>
          <w:lang w:val="en-US" w:eastAsia="zh-CN"/>
        </w:rPr>
        <w:t>最终按实际发生检测数量据实结算</w:t>
      </w:r>
      <w:r>
        <w:rPr>
          <w:rFonts w:hint="eastAsia" w:ascii="宋体" w:hAnsi="宋体" w:cs="宋体"/>
          <w:b/>
          <w:bCs/>
          <w:color w:val="auto"/>
          <w:sz w:val="24"/>
          <w:szCs w:val="24"/>
          <w:highlight w:val="none"/>
          <w:lang w:eastAsia="zh-CN"/>
        </w:rPr>
        <w:t>；</w:t>
      </w:r>
      <w:r>
        <w:rPr>
          <w:rFonts w:hint="eastAsia" w:ascii="宋体" w:hAnsi="宋体" w:cs="宋体"/>
          <w:b/>
          <w:bCs/>
          <w:color w:val="auto"/>
          <w:sz w:val="24"/>
          <w:szCs w:val="24"/>
          <w:highlight w:val="none"/>
          <w:lang w:val="en-US" w:eastAsia="zh-CN"/>
        </w:rPr>
        <w:t>服务期内严格按照国家及地方相关政策规定执行，若遇政策性收费标准调整，结算价格</w:t>
      </w:r>
      <w:r>
        <w:rPr>
          <w:rFonts w:hint="eastAsia" w:ascii="宋体" w:hAnsi="宋体" w:eastAsia="宋体" w:cs="宋体"/>
          <w:b/>
          <w:bCs/>
          <w:color w:val="auto"/>
          <w:sz w:val="24"/>
          <w:szCs w:val="24"/>
          <w:highlight w:val="none"/>
          <w:lang w:val="en-US" w:eastAsia="zh-CN"/>
        </w:rPr>
        <w:t>按政策变动同比例相应调整</w:t>
      </w:r>
      <w:r>
        <w:rPr>
          <w:rFonts w:hint="eastAsia" w:ascii="宋体" w:hAnsi="宋体" w:cs="宋体"/>
          <w:b/>
          <w:bCs/>
          <w:color w:val="auto"/>
          <w:sz w:val="24"/>
          <w:szCs w:val="24"/>
          <w:highlight w:val="none"/>
        </w:rPr>
        <w:t>。</w:t>
      </w:r>
    </w:p>
    <w:p w14:paraId="1C74693B">
      <w:pPr>
        <w:widowControl/>
        <w:spacing w:line="360" w:lineRule="auto"/>
        <w:outlineLvl w:val="0"/>
        <w:rPr>
          <w:rFonts w:hint="eastAsia" w:ascii="宋体" w:hAnsi="宋体"/>
          <w:bCs/>
          <w:color w:val="auto"/>
          <w:sz w:val="24"/>
          <w:highlight w:val="none"/>
        </w:rPr>
      </w:pPr>
      <w:r>
        <w:rPr>
          <w:rFonts w:hint="eastAsia" w:ascii="宋体" w:hAnsi="宋体"/>
          <w:bCs/>
          <w:color w:val="auto"/>
          <w:sz w:val="24"/>
          <w:highlight w:val="none"/>
          <w:lang w:val="en-US" w:eastAsia="zh-CN"/>
        </w:rPr>
        <w:t>（三）实验室要求</w:t>
      </w:r>
      <w:r>
        <w:rPr>
          <w:rFonts w:hint="eastAsia" w:ascii="宋体" w:hAnsi="宋体"/>
          <w:bCs/>
          <w:color w:val="auto"/>
          <w:sz w:val="24"/>
          <w:highlight w:val="none"/>
        </w:rPr>
        <w:t>：</w:t>
      </w:r>
    </w:p>
    <w:p w14:paraId="29F43C54">
      <w:pPr>
        <w:widowControl/>
        <w:spacing w:line="360" w:lineRule="auto"/>
        <w:outlineLvl w:val="0"/>
        <w:rPr>
          <w:rFonts w:hint="eastAsia" w:ascii="宋体" w:hAnsi="宋体" w:eastAsia="宋体"/>
          <w:bCs/>
          <w:color w:val="auto"/>
          <w:sz w:val="24"/>
          <w:highlight w:val="none"/>
          <w:lang w:eastAsia="zh-CN"/>
        </w:rPr>
      </w:pPr>
      <w:r>
        <w:rPr>
          <w:rFonts w:hint="eastAsia" w:ascii="宋体" w:hAnsi="宋体"/>
          <w:bCs/>
          <w:color w:val="auto"/>
          <w:sz w:val="24"/>
          <w:highlight w:val="none"/>
          <w:lang w:val="en-US" w:eastAsia="zh-CN"/>
        </w:rPr>
        <w:t>1、投标人</w:t>
      </w:r>
      <w:r>
        <w:rPr>
          <w:rFonts w:hint="eastAsia" w:ascii="宋体" w:hAnsi="宋体"/>
          <w:bCs/>
          <w:color w:val="auto"/>
          <w:sz w:val="24"/>
          <w:highlight w:val="none"/>
        </w:rPr>
        <w:t>须通过二级或以上生物安全实验室备案</w:t>
      </w:r>
      <w:r>
        <w:rPr>
          <w:rFonts w:hint="eastAsia" w:ascii="宋体" w:hAnsi="宋体"/>
          <w:bCs/>
          <w:color w:val="auto"/>
          <w:sz w:val="24"/>
          <w:highlight w:val="none"/>
          <w:lang w:eastAsia="zh-CN"/>
        </w:rPr>
        <w:t>；</w:t>
      </w:r>
      <w:r>
        <w:rPr>
          <w:rFonts w:hint="eastAsia" w:ascii="宋体" w:hAnsi="宋体"/>
          <w:bCs/>
          <w:color w:val="auto"/>
          <w:sz w:val="24"/>
          <w:highlight w:val="none"/>
          <w:lang w:val="en-US" w:eastAsia="zh-CN"/>
        </w:rPr>
        <w:t>持有</w:t>
      </w:r>
      <w:r>
        <w:rPr>
          <w:rFonts w:hint="eastAsia" w:ascii="宋体" w:hAnsi="宋体"/>
          <w:bCs/>
          <w:color w:val="auto"/>
          <w:sz w:val="24"/>
          <w:highlight w:val="none"/>
        </w:rPr>
        <w:t>有效期内临床基因扩增检验实验室技术验收合格证书</w:t>
      </w:r>
      <w:r>
        <w:rPr>
          <w:rFonts w:hint="eastAsia" w:ascii="宋体" w:hAnsi="宋体"/>
          <w:bCs/>
          <w:color w:val="auto"/>
          <w:sz w:val="24"/>
          <w:highlight w:val="none"/>
          <w:lang w:eastAsia="zh-CN"/>
        </w:rPr>
        <w:t>，</w:t>
      </w:r>
      <w:r>
        <w:rPr>
          <w:rFonts w:hint="eastAsia" w:ascii="宋体" w:hAnsi="宋体"/>
          <w:bCs/>
          <w:color w:val="auto"/>
          <w:sz w:val="24"/>
          <w:highlight w:val="none"/>
        </w:rPr>
        <w:t>能</w:t>
      </w:r>
      <w:r>
        <w:rPr>
          <w:rFonts w:hint="eastAsia" w:ascii="宋体" w:hAnsi="宋体" w:eastAsia="宋体" w:cs="宋体"/>
          <w:b/>
          <w:bCs/>
          <w:color w:val="auto"/>
          <w:sz w:val="24"/>
          <w:szCs w:val="24"/>
          <w:highlight w:val="none"/>
          <w:lang w:val="en-US" w:eastAsia="zh-CN"/>
        </w:rPr>
        <w:t>开展江苏省卫生健康行政部门印发</w:t>
      </w:r>
      <w:r>
        <w:rPr>
          <w:rFonts w:hint="eastAsia" w:ascii="宋体" w:hAnsi="宋体"/>
          <w:bCs/>
          <w:color w:val="auto"/>
          <w:sz w:val="24"/>
          <w:highlight w:val="none"/>
        </w:rPr>
        <w:t>《医疗机构临床检验项目目录》</w:t>
      </w:r>
      <w:r>
        <w:rPr>
          <w:rFonts w:hint="eastAsia" w:ascii="宋体" w:hAnsi="宋体"/>
          <w:bCs/>
          <w:color w:val="auto"/>
          <w:sz w:val="24"/>
          <w:highlight w:val="none"/>
          <w:lang w:val="en-US" w:eastAsia="zh-CN"/>
        </w:rPr>
        <w:t>内</w:t>
      </w:r>
      <w:r>
        <w:rPr>
          <w:rFonts w:hint="eastAsia" w:ascii="宋体" w:hAnsi="宋体"/>
          <w:bCs/>
          <w:color w:val="auto"/>
          <w:sz w:val="24"/>
          <w:highlight w:val="none"/>
        </w:rPr>
        <w:t>所</w:t>
      </w:r>
      <w:r>
        <w:rPr>
          <w:rFonts w:hint="eastAsia" w:ascii="宋体" w:hAnsi="宋体"/>
          <w:bCs/>
          <w:color w:val="auto"/>
          <w:sz w:val="24"/>
          <w:highlight w:val="none"/>
          <w:lang w:val="en-US" w:eastAsia="zh-CN"/>
        </w:rPr>
        <w:t>列</w:t>
      </w:r>
      <w:r>
        <w:rPr>
          <w:rFonts w:hint="eastAsia" w:ascii="宋体" w:hAnsi="宋体"/>
          <w:bCs/>
          <w:color w:val="auto"/>
          <w:sz w:val="24"/>
          <w:highlight w:val="none"/>
        </w:rPr>
        <w:t>检验项目</w:t>
      </w:r>
      <w:r>
        <w:rPr>
          <w:rFonts w:hint="eastAsia" w:ascii="宋体" w:hAnsi="宋体"/>
          <w:bCs/>
          <w:color w:val="auto"/>
          <w:sz w:val="24"/>
          <w:highlight w:val="none"/>
          <w:lang w:eastAsia="zh-CN"/>
        </w:rPr>
        <w:t>。</w:t>
      </w:r>
      <w:r>
        <w:rPr>
          <w:rFonts w:hint="eastAsia" w:ascii="宋体" w:hAnsi="宋体"/>
          <w:bCs/>
          <w:color w:val="auto"/>
          <w:sz w:val="24"/>
          <w:highlight w:val="none"/>
          <w:lang w:val="en-US" w:eastAsia="zh-CN"/>
        </w:rPr>
        <w:t>配备满足本采购项目</w:t>
      </w:r>
      <w:r>
        <w:rPr>
          <w:rFonts w:hint="eastAsia" w:ascii="宋体" w:hAnsi="宋体"/>
          <w:bCs/>
          <w:color w:val="auto"/>
          <w:sz w:val="24"/>
          <w:highlight w:val="none"/>
        </w:rPr>
        <w:t>检验</w:t>
      </w:r>
      <w:r>
        <w:rPr>
          <w:rFonts w:hint="eastAsia" w:ascii="宋体" w:hAnsi="宋体"/>
          <w:bCs/>
          <w:color w:val="auto"/>
          <w:sz w:val="24"/>
          <w:highlight w:val="none"/>
          <w:lang w:val="en-US" w:eastAsia="zh-CN"/>
        </w:rPr>
        <w:t>需求的专业</w:t>
      </w:r>
      <w:r>
        <w:rPr>
          <w:rFonts w:hint="eastAsia" w:ascii="宋体" w:hAnsi="宋体"/>
          <w:bCs/>
          <w:color w:val="auto"/>
          <w:sz w:val="24"/>
          <w:highlight w:val="none"/>
        </w:rPr>
        <w:t>仪器设备（如生化仪、化学发光仪、酶标仪等）</w:t>
      </w:r>
      <w:r>
        <w:rPr>
          <w:rFonts w:hint="eastAsia" w:ascii="宋体" w:hAnsi="宋体"/>
          <w:b/>
          <w:bCs/>
          <w:color w:val="auto"/>
          <w:sz w:val="24"/>
          <w:highlight w:val="none"/>
        </w:rPr>
        <w:t>【</w:t>
      </w:r>
      <w:r>
        <w:rPr>
          <w:rFonts w:hint="eastAsia" w:ascii="宋体" w:hAnsi="宋体"/>
          <w:b/>
          <w:bCs/>
          <w:color w:val="auto"/>
          <w:sz w:val="24"/>
          <w:highlight w:val="none"/>
          <w:lang w:val="en-US" w:eastAsia="zh-CN"/>
        </w:rPr>
        <w:t>投标</w:t>
      </w:r>
      <w:r>
        <w:rPr>
          <w:rFonts w:hint="eastAsia" w:ascii="宋体" w:hAnsi="宋体"/>
          <w:b/>
          <w:bCs/>
          <w:color w:val="auto"/>
          <w:sz w:val="24"/>
          <w:highlight w:val="none"/>
        </w:rPr>
        <w:t>文件中</w:t>
      </w:r>
      <w:r>
        <w:rPr>
          <w:rFonts w:hint="eastAsia" w:ascii="宋体" w:hAnsi="宋体"/>
          <w:b/>
          <w:bCs/>
          <w:color w:val="auto"/>
          <w:sz w:val="24"/>
          <w:highlight w:val="none"/>
          <w:lang w:val="en-US" w:eastAsia="zh-CN"/>
        </w:rPr>
        <w:t>须</w:t>
      </w:r>
      <w:r>
        <w:rPr>
          <w:rFonts w:hint="eastAsia" w:ascii="宋体" w:hAnsi="宋体"/>
          <w:b/>
          <w:bCs/>
          <w:color w:val="auto"/>
          <w:sz w:val="24"/>
          <w:highlight w:val="none"/>
        </w:rPr>
        <w:t>提供实验室</w:t>
      </w:r>
      <w:r>
        <w:rPr>
          <w:rFonts w:hint="eastAsia" w:ascii="宋体" w:hAnsi="宋体"/>
          <w:b/>
          <w:bCs/>
          <w:color w:val="auto"/>
          <w:sz w:val="24"/>
          <w:highlight w:val="none"/>
          <w:lang w:eastAsia="zh-CN"/>
        </w:rPr>
        <w:t>备案证明及</w:t>
      </w:r>
      <w:r>
        <w:rPr>
          <w:rFonts w:hint="eastAsia" w:ascii="宋体" w:hAnsi="宋体"/>
          <w:b/>
          <w:bCs/>
          <w:color w:val="auto"/>
          <w:sz w:val="24"/>
          <w:highlight w:val="none"/>
          <w:lang w:val="en-US" w:eastAsia="zh-CN"/>
        </w:rPr>
        <w:t>临床基因扩增检验</w:t>
      </w:r>
      <w:r>
        <w:rPr>
          <w:rFonts w:hint="eastAsia" w:ascii="宋体" w:hAnsi="宋体"/>
          <w:b/>
          <w:bCs/>
          <w:color w:val="auto"/>
          <w:sz w:val="24"/>
          <w:highlight w:val="none"/>
          <w:lang w:eastAsia="zh-CN"/>
        </w:rPr>
        <w:t>实验室技术验收合格证书</w:t>
      </w:r>
      <w:r>
        <w:rPr>
          <w:rFonts w:hint="eastAsia" w:ascii="宋体" w:hAnsi="宋体"/>
          <w:b/>
          <w:bCs/>
          <w:color w:val="auto"/>
          <w:sz w:val="24"/>
          <w:highlight w:val="none"/>
        </w:rPr>
        <w:t>，</w:t>
      </w:r>
      <w:r>
        <w:rPr>
          <w:rFonts w:hint="eastAsia" w:ascii="宋体" w:hAnsi="宋体"/>
          <w:b/>
          <w:bCs/>
          <w:color w:val="auto"/>
          <w:sz w:val="24"/>
          <w:highlight w:val="none"/>
          <w:lang w:val="en-US" w:eastAsia="zh-CN"/>
        </w:rPr>
        <w:t>未按要求提供的</w:t>
      </w:r>
      <w:r>
        <w:rPr>
          <w:rFonts w:hint="eastAsia" w:ascii="宋体" w:hAnsi="宋体"/>
          <w:b/>
          <w:bCs/>
          <w:color w:val="auto"/>
          <w:sz w:val="24"/>
          <w:highlight w:val="none"/>
        </w:rPr>
        <w:t>视为非实质性响应</w:t>
      </w:r>
      <w:r>
        <w:rPr>
          <w:rFonts w:hint="eastAsia" w:ascii="宋体" w:hAnsi="宋体"/>
          <w:b/>
          <w:bCs/>
          <w:color w:val="auto"/>
          <w:sz w:val="24"/>
          <w:highlight w:val="none"/>
          <w:lang w:val="en-US" w:eastAsia="zh-CN"/>
        </w:rPr>
        <w:t>采购需求</w:t>
      </w:r>
      <w:r>
        <w:rPr>
          <w:rFonts w:hint="eastAsia" w:ascii="宋体" w:hAnsi="宋体"/>
          <w:b/>
          <w:bCs/>
          <w:color w:val="auto"/>
          <w:sz w:val="24"/>
          <w:highlight w:val="none"/>
        </w:rPr>
        <w:t>】</w:t>
      </w:r>
      <w:r>
        <w:rPr>
          <w:rFonts w:hint="eastAsia" w:ascii="宋体" w:hAnsi="宋体"/>
          <w:b/>
          <w:bCs/>
          <w:color w:val="auto"/>
          <w:sz w:val="24"/>
          <w:highlight w:val="none"/>
          <w:lang w:eastAsia="zh-CN"/>
        </w:rPr>
        <w:t>。</w:t>
      </w:r>
    </w:p>
    <w:p w14:paraId="158CF9F9">
      <w:pPr>
        <w:widowControl/>
        <w:spacing w:line="360" w:lineRule="auto"/>
        <w:outlineLvl w:val="0"/>
        <w:rPr>
          <w:rFonts w:hint="eastAsia" w:ascii="宋体" w:hAnsi="宋体"/>
          <w:bCs/>
          <w:color w:val="auto"/>
          <w:sz w:val="24"/>
          <w:highlight w:val="none"/>
        </w:rPr>
      </w:pPr>
      <w:r>
        <w:rPr>
          <w:rFonts w:hint="eastAsia" w:ascii="宋体" w:hAnsi="宋体"/>
          <w:bCs/>
          <w:color w:val="auto"/>
          <w:sz w:val="24"/>
          <w:highlight w:val="none"/>
          <w:lang w:val="en-US" w:eastAsia="zh-CN"/>
        </w:rPr>
        <w:t>2、</w:t>
      </w:r>
      <w:r>
        <w:rPr>
          <w:rFonts w:hint="eastAsia" w:ascii="宋体" w:hAnsi="宋体"/>
          <w:bCs/>
          <w:color w:val="auto"/>
          <w:sz w:val="24"/>
          <w:highlight w:val="none"/>
        </w:rPr>
        <w:t>实验室管理</w:t>
      </w:r>
      <w:r>
        <w:rPr>
          <w:rFonts w:hint="eastAsia" w:ascii="宋体" w:hAnsi="宋体"/>
          <w:bCs/>
          <w:color w:val="auto"/>
          <w:sz w:val="24"/>
          <w:highlight w:val="none"/>
          <w:lang w:val="en-US" w:eastAsia="zh-CN"/>
        </w:rPr>
        <w:t>体系</w:t>
      </w:r>
      <w:r>
        <w:rPr>
          <w:rFonts w:hint="eastAsia" w:ascii="宋体" w:hAnsi="宋体"/>
          <w:bCs/>
          <w:color w:val="auto"/>
          <w:sz w:val="24"/>
          <w:highlight w:val="none"/>
        </w:rPr>
        <w:t>规范</w:t>
      </w:r>
      <w:r>
        <w:rPr>
          <w:rFonts w:hint="eastAsia" w:ascii="宋体" w:hAnsi="宋体"/>
          <w:bCs/>
          <w:color w:val="auto"/>
          <w:sz w:val="24"/>
          <w:highlight w:val="none"/>
          <w:lang w:val="en-US" w:eastAsia="zh-CN"/>
        </w:rPr>
        <w:t>健全，严格</w:t>
      </w:r>
      <w:r>
        <w:rPr>
          <w:rFonts w:hint="eastAsia" w:ascii="宋体" w:hAnsi="宋体"/>
          <w:bCs/>
          <w:color w:val="auto"/>
          <w:sz w:val="24"/>
          <w:highlight w:val="none"/>
        </w:rPr>
        <w:t>遵守</w:t>
      </w:r>
      <w:r>
        <w:rPr>
          <w:rFonts w:hint="eastAsia" w:ascii="宋体" w:hAnsi="宋体"/>
          <w:bCs/>
          <w:color w:val="auto"/>
          <w:sz w:val="24"/>
          <w:highlight w:val="none"/>
          <w:lang w:val="en-US" w:eastAsia="zh-CN"/>
        </w:rPr>
        <w:t>国家及行业</w:t>
      </w:r>
      <w:r>
        <w:rPr>
          <w:rFonts w:hint="eastAsia" w:ascii="宋体" w:hAnsi="宋体"/>
          <w:bCs/>
          <w:color w:val="auto"/>
          <w:sz w:val="24"/>
          <w:highlight w:val="none"/>
        </w:rPr>
        <w:t>相关法律法规，保</w:t>
      </w:r>
      <w:r>
        <w:rPr>
          <w:rFonts w:hint="eastAsia" w:ascii="宋体" w:hAnsi="宋体"/>
          <w:bCs/>
          <w:color w:val="auto"/>
          <w:sz w:val="24"/>
          <w:highlight w:val="none"/>
          <w:lang w:val="en-US" w:eastAsia="zh-CN"/>
        </w:rPr>
        <w:t>障</w:t>
      </w:r>
      <w:r>
        <w:rPr>
          <w:rFonts w:hint="eastAsia" w:ascii="宋体" w:hAnsi="宋体"/>
          <w:bCs/>
          <w:color w:val="auto"/>
          <w:sz w:val="24"/>
          <w:highlight w:val="none"/>
        </w:rPr>
        <w:t>日常实验</w:t>
      </w:r>
      <w:r>
        <w:rPr>
          <w:rFonts w:hint="eastAsia" w:ascii="宋体" w:hAnsi="宋体"/>
          <w:bCs/>
          <w:color w:val="auto"/>
          <w:sz w:val="24"/>
          <w:highlight w:val="none"/>
          <w:lang w:val="en-US" w:eastAsia="zh-CN"/>
        </w:rPr>
        <w:t>服务规范</w:t>
      </w:r>
      <w:r>
        <w:rPr>
          <w:rFonts w:hint="eastAsia" w:ascii="宋体" w:hAnsi="宋体"/>
          <w:bCs/>
          <w:color w:val="auto"/>
          <w:sz w:val="24"/>
          <w:highlight w:val="none"/>
        </w:rPr>
        <w:t>有序</w:t>
      </w:r>
      <w:r>
        <w:rPr>
          <w:rFonts w:hint="eastAsia" w:ascii="宋体" w:hAnsi="宋体"/>
          <w:bCs/>
          <w:color w:val="auto"/>
          <w:sz w:val="24"/>
          <w:highlight w:val="none"/>
          <w:lang w:val="en-US" w:eastAsia="zh-CN"/>
        </w:rPr>
        <w:t>开展</w:t>
      </w:r>
      <w:r>
        <w:rPr>
          <w:rFonts w:hint="eastAsia" w:ascii="宋体" w:hAnsi="宋体"/>
          <w:bCs/>
          <w:color w:val="auto"/>
          <w:sz w:val="24"/>
          <w:highlight w:val="none"/>
        </w:rPr>
        <w:t>，对</w:t>
      </w:r>
      <w:r>
        <w:rPr>
          <w:rFonts w:hint="eastAsia" w:ascii="宋体" w:hAnsi="宋体"/>
          <w:bCs/>
          <w:color w:val="auto"/>
          <w:sz w:val="24"/>
          <w:highlight w:val="none"/>
          <w:lang w:val="en-US" w:eastAsia="zh-CN"/>
        </w:rPr>
        <w:t>所有</w:t>
      </w:r>
      <w:r>
        <w:rPr>
          <w:rFonts w:hint="eastAsia" w:ascii="宋体" w:hAnsi="宋体"/>
          <w:bCs/>
          <w:color w:val="auto"/>
          <w:sz w:val="24"/>
          <w:highlight w:val="none"/>
        </w:rPr>
        <w:t>检测结果的准确性</w:t>
      </w:r>
      <w:r>
        <w:rPr>
          <w:rFonts w:hint="eastAsia" w:ascii="宋体" w:hAnsi="宋体"/>
          <w:bCs/>
          <w:color w:val="auto"/>
          <w:sz w:val="24"/>
          <w:highlight w:val="none"/>
          <w:lang w:eastAsia="zh-CN"/>
        </w:rPr>
        <w:t>、</w:t>
      </w:r>
      <w:r>
        <w:rPr>
          <w:rFonts w:hint="eastAsia" w:ascii="宋体" w:hAnsi="宋体"/>
          <w:bCs/>
          <w:color w:val="auto"/>
          <w:sz w:val="24"/>
          <w:highlight w:val="none"/>
          <w:lang w:val="en-US" w:eastAsia="zh-CN"/>
        </w:rPr>
        <w:t>真实性承担全部责任</w:t>
      </w:r>
      <w:r>
        <w:rPr>
          <w:rFonts w:hint="eastAsia" w:ascii="宋体" w:hAnsi="宋体"/>
          <w:bCs/>
          <w:color w:val="auto"/>
          <w:sz w:val="24"/>
          <w:highlight w:val="none"/>
        </w:rPr>
        <w:t>。</w:t>
      </w:r>
    </w:p>
    <w:p w14:paraId="76BEAED4">
      <w:pPr>
        <w:widowControl/>
        <w:spacing w:line="360" w:lineRule="auto"/>
        <w:outlineLvl w:val="0"/>
        <w:rPr>
          <w:rFonts w:hint="eastAsia" w:ascii="宋体" w:hAnsi="宋体"/>
          <w:bCs/>
          <w:color w:val="auto"/>
          <w:sz w:val="24"/>
          <w:highlight w:val="none"/>
        </w:rPr>
      </w:pPr>
      <w:r>
        <w:rPr>
          <w:rFonts w:hint="eastAsia" w:ascii="宋体" w:hAnsi="宋体"/>
          <w:bCs/>
          <w:color w:val="auto"/>
          <w:sz w:val="24"/>
          <w:highlight w:val="none"/>
          <w:lang w:val="en-US" w:eastAsia="zh-CN"/>
        </w:rPr>
        <w:t>3、</w:t>
      </w:r>
      <w:r>
        <w:rPr>
          <w:rFonts w:ascii="宋体" w:hAnsi="宋体" w:eastAsia="宋体" w:cs="宋体"/>
          <w:color w:val="auto"/>
          <w:kern w:val="0"/>
          <w:sz w:val="24"/>
          <w:szCs w:val="24"/>
          <w:highlight w:val="none"/>
          <w:lang w:val="en-US" w:eastAsia="zh-CN" w:bidi="ar"/>
        </w:rPr>
        <w:t>实验室须对检测结果提供专业解读与技术说明；并与采购单位建立常态化沟通机制，就服务开展、质量管控及业务咨询等事项定期对接交流</w:t>
      </w:r>
      <w:r>
        <w:rPr>
          <w:rFonts w:hint="eastAsia" w:ascii="宋体" w:hAnsi="宋体"/>
          <w:bCs/>
          <w:color w:val="auto"/>
          <w:sz w:val="24"/>
          <w:highlight w:val="none"/>
        </w:rPr>
        <w:t>。</w:t>
      </w:r>
    </w:p>
    <w:p w14:paraId="4E656581">
      <w:pPr>
        <w:widowControl/>
        <w:spacing w:line="360" w:lineRule="auto"/>
        <w:outlineLvl w:val="0"/>
        <w:rPr>
          <w:rFonts w:hint="eastAsia" w:ascii="宋体" w:hAnsi="宋体" w:eastAsia="宋体" w:cs="宋体"/>
          <w:color w:val="auto"/>
          <w:sz w:val="24"/>
          <w:highlight w:val="none"/>
        </w:rPr>
      </w:pPr>
      <w:r>
        <w:rPr>
          <w:rFonts w:hint="eastAsia" w:ascii="宋体" w:hAnsi="宋体"/>
          <w:bCs/>
          <w:color w:val="auto"/>
          <w:sz w:val="24"/>
          <w:highlight w:val="none"/>
          <w:lang w:val="en-US" w:eastAsia="zh-CN"/>
        </w:rPr>
        <w:t>（四）</w:t>
      </w:r>
      <w:r>
        <w:rPr>
          <w:rFonts w:hint="eastAsia" w:ascii="宋体" w:hAnsi="宋体" w:eastAsia="宋体" w:cs="宋体"/>
          <w:color w:val="auto"/>
          <w:sz w:val="24"/>
          <w:highlight w:val="none"/>
          <w:lang w:eastAsia="zh-CN"/>
        </w:rPr>
        <w:t>样本</w:t>
      </w:r>
      <w:r>
        <w:rPr>
          <w:rFonts w:hint="eastAsia" w:ascii="宋体" w:hAnsi="宋体" w:cs="宋体"/>
          <w:color w:val="auto"/>
          <w:sz w:val="24"/>
          <w:highlight w:val="none"/>
          <w:lang w:val="en-US" w:eastAsia="zh-CN"/>
        </w:rPr>
        <w:t>检测要求</w:t>
      </w:r>
      <w:r>
        <w:rPr>
          <w:rFonts w:hint="eastAsia" w:ascii="宋体" w:hAnsi="宋体" w:eastAsia="宋体" w:cs="宋体"/>
          <w:color w:val="auto"/>
          <w:sz w:val="24"/>
          <w:highlight w:val="none"/>
        </w:rPr>
        <w:t>：</w:t>
      </w:r>
    </w:p>
    <w:p w14:paraId="56B3E85F">
      <w:pPr>
        <w:widowControl/>
        <w:spacing w:line="360" w:lineRule="auto"/>
        <w:outlineLvl w:val="0"/>
        <w:rPr>
          <w:rFonts w:hint="eastAsia" w:ascii="宋体" w:hAnsi="宋体"/>
          <w:bCs/>
          <w:color w:val="auto"/>
          <w:sz w:val="24"/>
          <w:highlight w:val="none"/>
        </w:rPr>
      </w:pPr>
      <w:r>
        <w:rPr>
          <w:rFonts w:hint="eastAsia" w:ascii="宋体" w:hAnsi="宋体" w:eastAsia="宋体" w:cs="宋体"/>
          <w:color w:val="auto"/>
          <w:sz w:val="24"/>
          <w:highlight w:val="none"/>
          <w:lang w:val="en-US" w:eastAsia="zh-CN"/>
        </w:rPr>
        <w:t>1</w:t>
      </w:r>
      <w:r>
        <w:rPr>
          <w:rFonts w:hint="eastAsia" w:ascii="宋体" w:hAnsi="宋体" w:cs="宋体"/>
          <w:color w:val="auto"/>
          <w:sz w:val="24"/>
          <w:highlight w:val="none"/>
          <w:lang w:val="en-US" w:eastAsia="zh-CN"/>
        </w:rPr>
        <w:t>、</w:t>
      </w:r>
      <w:r>
        <w:rPr>
          <w:rFonts w:ascii="宋体" w:hAnsi="宋体" w:eastAsia="宋体" w:cs="宋体"/>
          <w:color w:val="auto"/>
          <w:kern w:val="0"/>
          <w:sz w:val="24"/>
          <w:szCs w:val="24"/>
          <w:highlight w:val="none"/>
          <w:lang w:val="en-US" w:eastAsia="zh-CN" w:bidi="ar"/>
        </w:rPr>
        <w:t>采购单位负责完成采集样本的前期处理与规范存储，完整标注样本相关检测信息，包含患者基础信息、样本类型、检测项目、采集时间等关键内容</w:t>
      </w:r>
      <w:r>
        <w:rPr>
          <w:rFonts w:hint="eastAsia" w:ascii="宋体" w:hAnsi="宋体"/>
          <w:bCs/>
          <w:color w:val="auto"/>
          <w:sz w:val="24"/>
          <w:highlight w:val="none"/>
        </w:rPr>
        <w:t>。</w:t>
      </w:r>
    </w:p>
    <w:p w14:paraId="11BA8401">
      <w:pPr>
        <w:spacing w:line="360" w:lineRule="auto"/>
        <w:rPr>
          <w:rFonts w:hint="eastAsia" w:ascii="宋体" w:hAnsi="宋体" w:eastAsia="宋体"/>
          <w:bCs/>
          <w:color w:val="auto"/>
          <w:sz w:val="24"/>
          <w:highlight w:val="none"/>
          <w:lang w:val="en-US" w:eastAsia="zh-CN"/>
        </w:rPr>
      </w:pPr>
      <w:r>
        <w:rPr>
          <w:rFonts w:hint="eastAsia" w:ascii="宋体" w:hAnsi="宋体" w:cs="宋体"/>
          <w:color w:val="auto"/>
          <w:sz w:val="24"/>
          <w:szCs w:val="24"/>
          <w:highlight w:val="none"/>
          <w:lang w:val="en-US" w:eastAsia="zh-CN"/>
        </w:rPr>
        <w:t>2、</w:t>
      </w:r>
      <w:r>
        <w:rPr>
          <w:rFonts w:ascii="宋体" w:hAnsi="宋体" w:eastAsia="宋体" w:cs="宋体"/>
          <w:color w:val="auto"/>
          <w:kern w:val="0"/>
          <w:sz w:val="24"/>
          <w:szCs w:val="24"/>
          <w:highlight w:val="none"/>
          <w:lang w:val="en-US" w:eastAsia="zh-CN" w:bidi="ar"/>
        </w:rPr>
        <w:t>采购单位将归集后的样本统一存放于指定点位，专人负责与中标单位办理样本交接、签收手续；采购单位样本归集所需相关耗材，由中标单位无偿提供</w:t>
      </w:r>
      <w:r>
        <w:rPr>
          <w:rFonts w:hint="eastAsia" w:ascii="宋体" w:hAnsi="宋体" w:cs="宋体"/>
          <w:color w:val="auto"/>
          <w:sz w:val="24"/>
          <w:szCs w:val="24"/>
          <w:highlight w:val="none"/>
          <w:lang w:eastAsia="zh-CN"/>
        </w:rPr>
        <w:t>。</w:t>
      </w:r>
    </w:p>
    <w:p w14:paraId="5F3EF42A">
      <w:pPr>
        <w:spacing w:line="360" w:lineRule="auto"/>
        <w:rPr>
          <w:rFonts w:hint="default" w:ascii="宋体" w:hAnsi="宋体"/>
          <w:bCs/>
          <w:color w:val="auto"/>
          <w:sz w:val="24"/>
          <w:highlight w:val="none"/>
          <w:lang w:val="en-US" w:eastAsia="zh-CN"/>
        </w:rPr>
      </w:pPr>
      <w:r>
        <w:rPr>
          <w:rFonts w:hint="eastAsia" w:ascii="宋体" w:hAnsi="宋体"/>
          <w:bCs/>
          <w:color w:val="auto"/>
          <w:sz w:val="24"/>
          <w:highlight w:val="none"/>
          <w:lang w:val="en-US" w:eastAsia="zh-CN"/>
        </w:rPr>
        <w:t>3、</w:t>
      </w:r>
      <w:r>
        <w:rPr>
          <w:rFonts w:ascii="宋体" w:hAnsi="宋体" w:eastAsia="宋体" w:cs="宋体"/>
          <w:color w:val="auto"/>
          <w:kern w:val="0"/>
          <w:sz w:val="24"/>
          <w:szCs w:val="24"/>
          <w:highlight w:val="none"/>
          <w:lang w:val="en-US" w:eastAsia="zh-CN" w:bidi="ar"/>
        </w:rPr>
        <w:t>中标单位须配置专属对接服务人员，实行</w:t>
      </w:r>
      <w:r>
        <w:rPr>
          <w:rStyle w:val="36"/>
          <w:rFonts w:ascii="宋体" w:hAnsi="宋体" w:eastAsia="宋体" w:cs="宋体"/>
          <w:b/>
          <w:bCs/>
          <w:color w:val="auto"/>
          <w:kern w:val="0"/>
          <w:sz w:val="24"/>
          <w:szCs w:val="24"/>
          <w:highlight w:val="none"/>
          <w:lang w:val="en-US" w:eastAsia="zh-CN" w:bidi="ar"/>
        </w:rPr>
        <w:t>全年周一至周日定时上门收样</w:t>
      </w:r>
      <w:r>
        <w:rPr>
          <w:rFonts w:ascii="宋体" w:hAnsi="宋体" w:eastAsia="宋体" w:cs="宋体"/>
          <w:color w:val="auto"/>
          <w:kern w:val="0"/>
          <w:sz w:val="24"/>
          <w:szCs w:val="24"/>
          <w:highlight w:val="none"/>
          <w:lang w:val="en-US" w:eastAsia="zh-CN" w:bidi="ar"/>
        </w:rPr>
        <w:t>，确保当日样本当日完成收取转运</w:t>
      </w:r>
      <w:r>
        <w:rPr>
          <w:rFonts w:hint="eastAsia" w:ascii="宋体" w:hAnsi="宋体"/>
          <w:bCs/>
          <w:color w:val="auto"/>
          <w:sz w:val="24"/>
          <w:highlight w:val="none"/>
          <w:lang w:val="en-US" w:eastAsia="zh-CN"/>
        </w:rPr>
        <w:t>。</w:t>
      </w:r>
    </w:p>
    <w:p w14:paraId="2E49FEC2">
      <w:pPr>
        <w:spacing w:line="360" w:lineRule="auto"/>
        <w:rPr>
          <w:rFonts w:hint="default" w:ascii="宋体" w:hAnsi="宋体"/>
          <w:bCs/>
          <w:color w:val="auto"/>
          <w:sz w:val="24"/>
          <w:highlight w:val="none"/>
          <w:lang w:val="en-US" w:eastAsia="zh-CN"/>
        </w:rPr>
      </w:pPr>
      <w:r>
        <w:rPr>
          <w:rFonts w:hint="eastAsia" w:ascii="宋体" w:hAnsi="宋体"/>
          <w:bCs/>
          <w:color w:val="auto"/>
          <w:sz w:val="24"/>
          <w:highlight w:val="none"/>
          <w:lang w:val="en-US" w:eastAsia="zh-CN"/>
        </w:rPr>
        <w:t>4、</w:t>
      </w:r>
      <w:r>
        <w:rPr>
          <w:rFonts w:ascii="宋体" w:hAnsi="宋体" w:eastAsia="宋体" w:cs="宋体"/>
          <w:color w:val="auto"/>
          <w:kern w:val="0"/>
          <w:sz w:val="24"/>
          <w:szCs w:val="24"/>
          <w:highlight w:val="none"/>
          <w:lang w:val="en-US" w:eastAsia="zh-CN" w:bidi="ar"/>
        </w:rPr>
        <w:t>样本储存须严格按照国家及行业现行标准执行，规范做好样本留存与保管</w:t>
      </w:r>
      <w:r>
        <w:rPr>
          <w:rFonts w:hint="eastAsia" w:ascii="宋体" w:hAnsi="宋体"/>
          <w:bCs/>
          <w:color w:val="auto"/>
          <w:sz w:val="24"/>
          <w:highlight w:val="none"/>
          <w:lang w:val="en-US" w:eastAsia="zh-CN"/>
        </w:rPr>
        <w:t>。</w:t>
      </w:r>
    </w:p>
    <w:p w14:paraId="421A7799">
      <w:pPr>
        <w:spacing w:line="360" w:lineRule="auto"/>
        <w:rPr>
          <w:rFonts w:hint="default" w:ascii="宋体" w:hAnsi="宋体"/>
          <w:bCs/>
          <w:color w:val="auto"/>
          <w:sz w:val="24"/>
          <w:highlight w:val="none"/>
          <w:lang w:val="en-US" w:eastAsia="zh-CN"/>
        </w:rPr>
      </w:pPr>
      <w:r>
        <w:rPr>
          <w:rFonts w:hint="eastAsia" w:ascii="宋体" w:hAnsi="宋体"/>
          <w:bCs/>
          <w:color w:val="auto"/>
          <w:sz w:val="24"/>
          <w:highlight w:val="none"/>
          <w:lang w:val="en-US" w:eastAsia="zh-CN"/>
        </w:rPr>
        <w:t>5、</w:t>
      </w:r>
      <w:r>
        <w:rPr>
          <w:rFonts w:ascii="宋体" w:hAnsi="宋体" w:eastAsia="宋体" w:cs="宋体"/>
          <w:color w:val="auto"/>
          <w:kern w:val="0"/>
          <w:sz w:val="24"/>
          <w:szCs w:val="24"/>
          <w:highlight w:val="none"/>
          <w:lang w:val="en-US" w:eastAsia="zh-CN" w:bidi="ar"/>
        </w:rPr>
        <w:t>采购单位对检测结果存在异议，且在样本法定保存有效期内提出复核申请的，中标单位须无条件免费提供复检服务</w:t>
      </w:r>
      <w:r>
        <w:rPr>
          <w:rFonts w:hint="eastAsia" w:ascii="宋体" w:hAnsi="宋体"/>
          <w:bCs/>
          <w:color w:val="auto"/>
          <w:sz w:val="24"/>
          <w:highlight w:val="none"/>
          <w:lang w:val="en-US" w:eastAsia="zh-CN"/>
        </w:rPr>
        <w:t>。</w:t>
      </w:r>
    </w:p>
    <w:p w14:paraId="48CD09DA">
      <w:pPr>
        <w:spacing w:line="360" w:lineRule="auto"/>
        <w:rPr>
          <w:rFonts w:hint="default" w:ascii="宋体" w:hAnsi="宋体"/>
          <w:bCs/>
          <w:color w:val="auto"/>
          <w:sz w:val="24"/>
          <w:highlight w:val="none"/>
          <w:lang w:val="en-US" w:eastAsia="zh-CN"/>
        </w:rPr>
      </w:pPr>
      <w:r>
        <w:rPr>
          <w:rFonts w:hint="eastAsia" w:ascii="宋体" w:hAnsi="宋体"/>
          <w:bCs/>
          <w:color w:val="auto"/>
          <w:sz w:val="24"/>
          <w:highlight w:val="none"/>
          <w:lang w:val="en-US" w:eastAsia="zh-CN"/>
        </w:rPr>
        <w:t>6、</w:t>
      </w:r>
      <w:r>
        <w:rPr>
          <w:rFonts w:ascii="宋体" w:hAnsi="宋体" w:eastAsia="宋体" w:cs="宋体"/>
          <w:color w:val="auto"/>
          <w:kern w:val="0"/>
          <w:sz w:val="24"/>
          <w:szCs w:val="24"/>
          <w:highlight w:val="none"/>
          <w:lang w:val="en-US" w:eastAsia="zh-CN" w:bidi="ar"/>
        </w:rPr>
        <w:t>自样本采集至临床报告出具，报告时效严格满足本章节（二）检测内容附表中 “报告周期” 约定；突发紧急标本检测服务，须按采购单位实际临床需求即时响应处置</w:t>
      </w:r>
      <w:r>
        <w:rPr>
          <w:rFonts w:hint="eastAsia" w:ascii="宋体" w:hAnsi="宋体"/>
          <w:bCs/>
          <w:color w:val="auto"/>
          <w:sz w:val="24"/>
          <w:highlight w:val="none"/>
          <w:lang w:val="en-US" w:eastAsia="zh-CN"/>
        </w:rPr>
        <w:t>。</w:t>
      </w:r>
    </w:p>
    <w:p w14:paraId="11344D98">
      <w:pPr>
        <w:spacing w:line="360" w:lineRule="auto"/>
        <w:rPr>
          <w:rFonts w:hint="default" w:ascii="宋体" w:hAnsi="宋体"/>
          <w:bCs/>
          <w:color w:val="auto"/>
          <w:sz w:val="24"/>
          <w:highlight w:val="none"/>
          <w:lang w:val="en-US" w:eastAsia="zh-CN"/>
        </w:rPr>
      </w:pPr>
      <w:r>
        <w:rPr>
          <w:rFonts w:hint="eastAsia" w:ascii="宋体" w:hAnsi="宋体"/>
          <w:bCs/>
          <w:color w:val="auto"/>
          <w:sz w:val="24"/>
          <w:highlight w:val="none"/>
          <w:lang w:val="en-US" w:eastAsia="zh-CN"/>
        </w:rPr>
        <w:t>7、对采购单位</w:t>
      </w:r>
      <w:r>
        <w:rPr>
          <w:rFonts w:ascii="宋体" w:hAnsi="宋体" w:eastAsia="宋体" w:cs="宋体"/>
          <w:color w:val="auto"/>
          <w:kern w:val="0"/>
          <w:sz w:val="24"/>
          <w:szCs w:val="24"/>
          <w:highlight w:val="none"/>
          <w:lang w:val="en-US" w:eastAsia="zh-CN" w:bidi="ar"/>
        </w:rPr>
        <w:t>原始检验申请单留存保存期限</w:t>
      </w:r>
      <w:r>
        <w:rPr>
          <w:rStyle w:val="36"/>
          <w:rFonts w:ascii="宋体" w:hAnsi="宋体" w:eastAsia="宋体" w:cs="宋体"/>
          <w:b/>
          <w:bCs/>
          <w:color w:val="auto"/>
          <w:kern w:val="0"/>
          <w:sz w:val="24"/>
          <w:szCs w:val="24"/>
          <w:highlight w:val="none"/>
          <w:lang w:val="en-US" w:eastAsia="zh-CN" w:bidi="ar"/>
        </w:rPr>
        <w:t>不少于1年</w:t>
      </w:r>
      <w:r>
        <w:rPr>
          <w:rFonts w:ascii="宋体" w:hAnsi="宋体" w:eastAsia="宋体" w:cs="宋体"/>
          <w:color w:val="auto"/>
          <w:kern w:val="0"/>
          <w:sz w:val="24"/>
          <w:szCs w:val="24"/>
          <w:highlight w:val="none"/>
          <w:lang w:val="en-US" w:eastAsia="zh-CN" w:bidi="ar"/>
        </w:rPr>
        <w:t>，检验检测结果数据档案保存期限</w:t>
      </w:r>
      <w:r>
        <w:rPr>
          <w:rStyle w:val="36"/>
          <w:rFonts w:ascii="宋体" w:hAnsi="宋体" w:eastAsia="宋体" w:cs="宋体"/>
          <w:b/>
          <w:bCs/>
          <w:color w:val="auto"/>
          <w:kern w:val="0"/>
          <w:sz w:val="24"/>
          <w:szCs w:val="24"/>
          <w:highlight w:val="none"/>
          <w:lang w:val="en-US" w:eastAsia="zh-CN" w:bidi="ar"/>
        </w:rPr>
        <w:t>不少于5年</w:t>
      </w:r>
      <w:r>
        <w:rPr>
          <w:rFonts w:hint="eastAsia" w:ascii="宋体" w:hAnsi="宋体"/>
          <w:bCs/>
          <w:color w:val="auto"/>
          <w:sz w:val="24"/>
          <w:highlight w:val="none"/>
          <w:lang w:val="en-US" w:eastAsia="zh-CN"/>
        </w:rPr>
        <w:t>。</w:t>
      </w:r>
    </w:p>
    <w:p w14:paraId="3DCE5ED6">
      <w:pPr>
        <w:spacing w:line="360" w:lineRule="auto"/>
        <w:rPr>
          <w:rFonts w:hint="default" w:ascii="宋体" w:hAnsi="宋体"/>
          <w:bCs/>
          <w:color w:val="auto"/>
          <w:sz w:val="24"/>
          <w:highlight w:val="none"/>
          <w:lang w:val="en-US" w:eastAsia="zh-CN"/>
        </w:rPr>
      </w:pPr>
      <w:r>
        <w:rPr>
          <w:rFonts w:hint="eastAsia" w:ascii="宋体" w:hAnsi="宋体"/>
          <w:bCs/>
          <w:color w:val="auto"/>
          <w:sz w:val="24"/>
          <w:highlight w:val="none"/>
          <w:lang w:val="en-US" w:eastAsia="zh-CN"/>
        </w:rPr>
        <w:t>（五）样本及报告管理要求：</w:t>
      </w:r>
    </w:p>
    <w:p w14:paraId="64A3A11B">
      <w:pPr>
        <w:spacing w:line="360" w:lineRule="auto"/>
        <w:rPr>
          <w:rFonts w:hint="default" w:ascii="宋体" w:hAnsi="宋体"/>
          <w:bCs/>
          <w:color w:val="auto"/>
          <w:sz w:val="24"/>
          <w:highlight w:val="none"/>
          <w:lang w:val="en-US" w:eastAsia="zh-CN"/>
        </w:rPr>
      </w:pPr>
      <w:r>
        <w:rPr>
          <w:rFonts w:hint="eastAsia" w:ascii="宋体" w:hAnsi="宋体"/>
          <w:bCs/>
          <w:color w:val="auto"/>
          <w:sz w:val="24"/>
          <w:highlight w:val="none"/>
          <w:lang w:val="en-US" w:eastAsia="zh-CN"/>
        </w:rPr>
        <w:t>1、</w:t>
      </w:r>
      <w:r>
        <w:rPr>
          <w:rFonts w:ascii="宋体" w:hAnsi="宋体" w:eastAsia="宋体" w:cs="宋体"/>
          <w:color w:val="auto"/>
          <w:kern w:val="0"/>
          <w:sz w:val="24"/>
          <w:szCs w:val="24"/>
          <w:highlight w:val="none"/>
          <w:lang w:val="en-US" w:eastAsia="zh-CN" w:bidi="ar"/>
        </w:rPr>
        <w:t>样本自交接、转运、检测、储存至销毁全流程，须严格符合生物样本安全管理规范，实现全流程可管控、可追溯</w:t>
      </w:r>
      <w:r>
        <w:rPr>
          <w:rFonts w:hint="eastAsia" w:ascii="宋体" w:hAnsi="宋体"/>
          <w:bCs/>
          <w:color w:val="auto"/>
          <w:sz w:val="24"/>
          <w:highlight w:val="none"/>
          <w:lang w:val="en-US" w:eastAsia="zh-CN"/>
        </w:rPr>
        <w:t>。</w:t>
      </w:r>
    </w:p>
    <w:p w14:paraId="7F27F97C">
      <w:pPr>
        <w:spacing w:line="360" w:lineRule="auto"/>
        <w:rPr>
          <w:rFonts w:hint="default" w:ascii="宋体" w:hAnsi="宋体"/>
          <w:bCs/>
          <w:color w:val="auto"/>
          <w:sz w:val="24"/>
          <w:highlight w:val="none"/>
          <w:lang w:val="en-US" w:eastAsia="zh-CN"/>
        </w:rPr>
      </w:pPr>
      <w:r>
        <w:rPr>
          <w:rFonts w:hint="eastAsia" w:ascii="宋体" w:hAnsi="宋体"/>
          <w:bCs/>
          <w:color w:val="auto"/>
          <w:sz w:val="24"/>
          <w:highlight w:val="none"/>
          <w:lang w:val="en-US" w:eastAsia="zh-CN"/>
        </w:rPr>
        <w:t>2、</w:t>
      </w:r>
      <w:r>
        <w:rPr>
          <w:rFonts w:ascii="宋体" w:hAnsi="宋体" w:eastAsia="宋体" w:cs="宋体"/>
          <w:color w:val="auto"/>
          <w:kern w:val="0"/>
          <w:sz w:val="24"/>
          <w:szCs w:val="24"/>
          <w:highlight w:val="none"/>
          <w:lang w:val="en-US" w:eastAsia="zh-CN" w:bidi="ar"/>
        </w:rPr>
        <w:t>按采购单位统一规范编制检验报告，同步提供 Word 版及 PDF 版电子文件；文件命名规则、版式格式须适配采购单位系统接口及院内管理规范</w:t>
      </w:r>
      <w:r>
        <w:rPr>
          <w:rFonts w:hint="eastAsia" w:ascii="宋体" w:hAnsi="宋体"/>
          <w:bCs/>
          <w:color w:val="auto"/>
          <w:sz w:val="24"/>
          <w:highlight w:val="none"/>
          <w:lang w:val="en-US" w:eastAsia="zh-CN"/>
        </w:rPr>
        <w:t>。</w:t>
      </w:r>
    </w:p>
    <w:p w14:paraId="589984FA">
      <w:pPr>
        <w:spacing w:line="360" w:lineRule="auto"/>
        <w:rPr>
          <w:rFonts w:hint="eastAsia" w:ascii="宋体" w:hAnsi="宋体"/>
          <w:bCs/>
          <w:color w:val="auto"/>
          <w:sz w:val="24"/>
          <w:highlight w:val="none"/>
          <w:lang w:val="en-US" w:eastAsia="zh-CN"/>
        </w:rPr>
      </w:pPr>
      <w:r>
        <w:rPr>
          <w:rFonts w:hint="eastAsia" w:ascii="宋体" w:hAnsi="宋体"/>
          <w:bCs/>
          <w:color w:val="auto"/>
          <w:sz w:val="24"/>
          <w:highlight w:val="none"/>
          <w:lang w:val="en-US" w:eastAsia="zh-CN"/>
        </w:rPr>
        <w:t>（六）样本运输要求：</w:t>
      </w:r>
    </w:p>
    <w:p w14:paraId="7C4D2F1C">
      <w:pPr>
        <w:spacing w:line="360" w:lineRule="auto"/>
        <w:rPr>
          <w:rFonts w:hint="eastAsia" w:ascii="宋体" w:hAnsi="宋体"/>
          <w:bCs/>
          <w:color w:val="auto"/>
          <w:sz w:val="24"/>
          <w:highlight w:val="none"/>
          <w:lang w:val="en-US" w:eastAsia="zh-CN"/>
        </w:rPr>
      </w:pPr>
      <w:r>
        <w:rPr>
          <w:rFonts w:hint="eastAsia" w:ascii="宋体" w:hAnsi="宋体"/>
          <w:bCs/>
          <w:color w:val="auto"/>
          <w:sz w:val="24"/>
          <w:highlight w:val="none"/>
          <w:lang w:val="en-US" w:eastAsia="zh-CN"/>
        </w:rPr>
        <w:t>1、</w:t>
      </w:r>
      <w:r>
        <w:rPr>
          <w:rFonts w:ascii="宋体" w:hAnsi="宋体" w:eastAsia="宋体" w:cs="宋体"/>
          <w:color w:val="auto"/>
          <w:kern w:val="0"/>
          <w:sz w:val="24"/>
          <w:szCs w:val="24"/>
          <w:highlight w:val="none"/>
          <w:lang w:val="en-US" w:eastAsia="zh-CN" w:bidi="ar"/>
        </w:rPr>
        <w:t>所有样本转运须使用符合国家生物安全及冷链标准的专用转运车辆与冷链保温箱，冷链车辆及冷链设备配置数量须充分满足日常及峰值标本转运需求</w:t>
      </w:r>
      <w:r>
        <w:rPr>
          <w:rFonts w:hint="eastAsia" w:ascii="宋体" w:hAnsi="宋体"/>
          <w:bCs/>
          <w:color w:val="auto"/>
          <w:sz w:val="24"/>
          <w:highlight w:val="none"/>
          <w:lang w:val="en-US" w:eastAsia="zh-CN"/>
        </w:rPr>
        <w:t>。</w:t>
      </w:r>
    </w:p>
    <w:p w14:paraId="7C5BC1B0">
      <w:pPr>
        <w:spacing w:line="360" w:lineRule="auto"/>
        <w:rPr>
          <w:rFonts w:hint="eastAsia" w:ascii="宋体" w:hAnsi="宋体"/>
          <w:bCs/>
          <w:color w:val="auto"/>
          <w:sz w:val="24"/>
          <w:highlight w:val="none"/>
          <w:lang w:val="en-US" w:eastAsia="zh-CN"/>
        </w:rPr>
      </w:pPr>
      <w:r>
        <w:rPr>
          <w:rFonts w:hint="eastAsia" w:ascii="宋体" w:hAnsi="宋体"/>
          <w:bCs/>
          <w:color w:val="auto"/>
          <w:sz w:val="24"/>
          <w:highlight w:val="none"/>
          <w:lang w:val="en-US" w:eastAsia="zh-CN"/>
        </w:rPr>
        <w:t>2、</w:t>
      </w:r>
      <w:r>
        <w:rPr>
          <w:rFonts w:ascii="宋体" w:hAnsi="宋体" w:eastAsia="宋体" w:cs="宋体"/>
          <w:color w:val="auto"/>
          <w:kern w:val="0"/>
          <w:sz w:val="24"/>
          <w:szCs w:val="24"/>
          <w:highlight w:val="none"/>
          <w:lang w:val="en-US" w:eastAsia="zh-CN" w:bidi="ar"/>
        </w:rPr>
        <w:t>须配备全程温度实时监控系统及终端设备，实现转运全流程温度监测、异常报警、数据自动记录，支持全过程溯源管理；可按需出具全程温度记录纸质档案，供采购单位存档备查。若服务期内</w:t>
      </w:r>
      <w:r>
        <w:rPr>
          <w:rStyle w:val="36"/>
          <w:rFonts w:ascii="宋体" w:hAnsi="宋体" w:eastAsia="宋体" w:cs="宋体"/>
          <w:b/>
          <w:bCs/>
          <w:color w:val="auto"/>
          <w:kern w:val="0"/>
          <w:sz w:val="24"/>
          <w:szCs w:val="24"/>
          <w:highlight w:val="none"/>
          <w:lang w:val="en-US" w:eastAsia="zh-CN" w:bidi="ar"/>
        </w:rPr>
        <w:t>年度累计3次及以上无法完成转运温度溯源</w:t>
      </w:r>
      <w:r>
        <w:rPr>
          <w:rFonts w:ascii="宋体" w:hAnsi="宋体" w:eastAsia="宋体" w:cs="宋体"/>
          <w:color w:val="auto"/>
          <w:kern w:val="0"/>
          <w:sz w:val="24"/>
          <w:szCs w:val="24"/>
          <w:highlight w:val="none"/>
          <w:lang w:val="en-US" w:eastAsia="zh-CN" w:bidi="ar"/>
        </w:rPr>
        <w:t>，采购单位有权单方面终止合同，并依法追偿相应损</w:t>
      </w:r>
      <w:r>
        <w:rPr>
          <w:rFonts w:hint="eastAsia" w:ascii="宋体" w:hAnsi="宋体" w:cs="宋体"/>
          <w:color w:val="auto"/>
          <w:kern w:val="0"/>
          <w:sz w:val="24"/>
          <w:szCs w:val="24"/>
          <w:highlight w:val="none"/>
          <w:lang w:val="en-US" w:eastAsia="zh-CN" w:bidi="ar"/>
        </w:rPr>
        <w:t>失</w:t>
      </w:r>
      <w:r>
        <w:rPr>
          <w:rFonts w:hint="eastAsia" w:ascii="宋体" w:hAnsi="宋体"/>
          <w:bCs/>
          <w:color w:val="auto"/>
          <w:sz w:val="24"/>
          <w:highlight w:val="none"/>
          <w:lang w:val="en-US" w:eastAsia="zh-CN"/>
        </w:rPr>
        <w:t>。</w:t>
      </w:r>
    </w:p>
    <w:p w14:paraId="365516AB">
      <w:pPr>
        <w:spacing w:line="360" w:lineRule="auto"/>
        <w:rPr>
          <w:rFonts w:hint="eastAsia" w:ascii="宋体" w:hAnsi="宋体"/>
          <w:bCs/>
          <w:color w:val="auto"/>
          <w:sz w:val="24"/>
          <w:highlight w:val="none"/>
          <w:lang w:val="en-US" w:eastAsia="zh-CN"/>
        </w:rPr>
      </w:pPr>
      <w:r>
        <w:rPr>
          <w:rFonts w:hint="eastAsia" w:ascii="宋体" w:hAnsi="宋体"/>
          <w:bCs/>
          <w:color w:val="auto"/>
          <w:sz w:val="24"/>
          <w:highlight w:val="none"/>
          <w:lang w:val="en-US" w:eastAsia="zh-CN"/>
        </w:rPr>
        <w:t>3、</w:t>
      </w:r>
      <w:r>
        <w:rPr>
          <w:rFonts w:ascii="宋体" w:hAnsi="宋体" w:eastAsia="宋体" w:cs="宋体"/>
          <w:color w:val="auto"/>
          <w:kern w:val="0"/>
          <w:sz w:val="24"/>
          <w:szCs w:val="24"/>
          <w:highlight w:val="none"/>
          <w:lang w:val="en-US" w:eastAsia="zh-CN" w:bidi="ar"/>
        </w:rPr>
        <w:t>中标单位承担样本全程冷链转运全部</w:t>
      </w:r>
      <w:r>
        <w:rPr>
          <w:rFonts w:hint="eastAsia" w:ascii="宋体" w:hAnsi="宋体" w:eastAsia="宋体" w:cs="宋体"/>
          <w:color w:val="auto"/>
          <w:kern w:val="0"/>
          <w:sz w:val="24"/>
          <w:szCs w:val="24"/>
          <w:highlight w:val="none"/>
          <w:lang w:val="en-US" w:eastAsia="zh-CN" w:bidi="ar"/>
        </w:rPr>
        <w:t>服务</w:t>
      </w:r>
      <w:r>
        <w:rPr>
          <w:rFonts w:ascii="宋体" w:hAnsi="宋体" w:eastAsia="宋体" w:cs="宋体"/>
          <w:color w:val="auto"/>
          <w:kern w:val="0"/>
          <w:sz w:val="24"/>
          <w:szCs w:val="24"/>
          <w:highlight w:val="none"/>
          <w:lang w:val="en-US" w:eastAsia="zh-CN" w:bidi="ar"/>
        </w:rPr>
        <w:t>及主体责任</w:t>
      </w:r>
      <w:r>
        <w:rPr>
          <w:rFonts w:hint="eastAsia" w:ascii="宋体" w:hAnsi="宋体"/>
          <w:bCs/>
          <w:color w:val="auto"/>
          <w:sz w:val="24"/>
          <w:highlight w:val="none"/>
          <w:lang w:val="en-US" w:eastAsia="zh-CN"/>
        </w:rPr>
        <w:t>。</w:t>
      </w:r>
    </w:p>
    <w:p w14:paraId="789E60AA">
      <w:pPr>
        <w:spacing w:line="360" w:lineRule="auto"/>
        <w:rPr>
          <w:rFonts w:hint="eastAsia" w:ascii="宋体" w:hAnsi="宋体"/>
          <w:bCs/>
          <w:color w:val="auto"/>
          <w:sz w:val="24"/>
          <w:highlight w:val="none"/>
          <w:lang w:val="en-US" w:eastAsia="zh-CN"/>
        </w:rPr>
      </w:pPr>
      <w:r>
        <w:rPr>
          <w:rFonts w:hint="eastAsia" w:ascii="宋体" w:hAnsi="宋体"/>
          <w:bCs/>
          <w:color w:val="auto"/>
          <w:sz w:val="24"/>
          <w:highlight w:val="none"/>
          <w:lang w:val="en-US" w:eastAsia="zh-CN"/>
        </w:rPr>
        <w:t>4、</w:t>
      </w:r>
      <w:r>
        <w:rPr>
          <w:rFonts w:ascii="宋体" w:hAnsi="宋体" w:eastAsia="宋体" w:cs="宋体"/>
          <w:color w:val="auto"/>
          <w:kern w:val="0"/>
          <w:sz w:val="24"/>
          <w:szCs w:val="24"/>
          <w:highlight w:val="none"/>
          <w:lang w:val="en-US" w:eastAsia="zh-CN" w:bidi="ar"/>
        </w:rPr>
        <w:t>样本交接与转运全过程须严格遵守生物安全管理规定，落实安全防控措施</w:t>
      </w:r>
      <w:r>
        <w:rPr>
          <w:rFonts w:hint="eastAsia" w:ascii="宋体" w:hAnsi="宋体"/>
          <w:bCs/>
          <w:color w:val="auto"/>
          <w:sz w:val="24"/>
          <w:highlight w:val="none"/>
          <w:lang w:val="en-US" w:eastAsia="zh-CN"/>
        </w:rPr>
        <w:t>。</w:t>
      </w:r>
    </w:p>
    <w:p w14:paraId="1A022C04">
      <w:pPr>
        <w:spacing w:line="360" w:lineRule="auto"/>
        <w:rPr>
          <w:rFonts w:hint="eastAsia" w:ascii="宋体" w:hAnsi="宋体"/>
          <w:bCs/>
          <w:color w:val="auto"/>
          <w:sz w:val="24"/>
          <w:highlight w:val="none"/>
          <w:lang w:val="en-US" w:eastAsia="zh-CN"/>
        </w:rPr>
      </w:pPr>
      <w:r>
        <w:rPr>
          <w:rFonts w:hint="eastAsia" w:ascii="宋体" w:hAnsi="宋体"/>
          <w:bCs/>
          <w:color w:val="auto"/>
          <w:sz w:val="24"/>
          <w:highlight w:val="none"/>
          <w:lang w:val="en-US" w:eastAsia="zh-CN"/>
        </w:rPr>
        <w:t>5、</w:t>
      </w:r>
      <w:r>
        <w:rPr>
          <w:rFonts w:ascii="宋体" w:hAnsi="宋体" w:eastAsia="宋体" w:cs="宋体"/>
          <w:color w:val="auto"/>
          <w:kern w:val="0"/>
          <w:sz w:val="24"/>
          <w:szCs w:val="24"/>
          <w:highlight w:val="none"/>
          <w:lang w:val="en-US" w:eastAsia="zh-CN" w:bidi="ar"/>
        </w:rPr>
        <w:t>转运车辆须配置标本运输专业配套设备，具备突发生物安全事件现场应急处置能力</w:t>
      </w:r>
      <w:r>
        <w:rPr>
          <w:rFonts w:hint="eastAsia" w:ascii="宋体" w:hAnsi="宋体"/>
          <w:bCs/>
          <w:color w:val="auto"/>
          <w:sz w:val="24"/>
          <w:highlight w:val="none"/>
          <w:lang w:val="en-US" w:eastAsia="zh-CN"/>
        </w:rPr>
        <w:t>。</w:t>
      </w:r>
    </w:p>
    <w:p w14:paraId="79796FB7">
      <w:pPr>
        <w:spacing w:line="360" w:lineRule="auto"/>
        <w:rPr>
          <w:rFonts w:hint="eastAsia" w:ascii="宋体" w:hAnsi="宋体"/>
          <w:bCs/>
          <w:color w:val="auto"/>
          <w:sz w:val="24"/>
          <w:highlight w:val="none"/>
          <w:lang w:val="en-US" w:eastAsia="zh-CN"/>
        </w:rPr>
      </w:pPr>
      <w:r>
        <w:rPr>
          <w:rFonts w:hint="eastAsia" w:ascii="宋体" w:hAnsi="宋体"/>
          <w:bCs/>
          <w:color w:val="auto"/>
          <w:sz w:val="24"/>
          <w:highlight w:val="none"/>
          <w:lang w:val="en-US" w:eastAsia="zh-CN"/>
        </w:rPr>
        <w:t>（七）样本储存：</w:t>
      </w:r>
      <w:r>
        <w:rPr>
          <w:rFonts w:ascii="宋体" w:hAnsi="宋体" w:eastAsia="宋体" w:cs="宋体"/>
          <w:color w:val="auto"/>
          <w:kern w:val="0"/>
          <w:sz w:val="24"/>
          <w:szCs w:val="24"/>
          <w:highlight w:val="none"/>
          <w:lang w:val="en-US" w:eastAsia="zh-CN" w:bidi="ar"/>
        </w:rPr>
        <w:t>中标单位须自有合规生物样本库，具备常态化生物样本储存服务能力，可满足临床多类型样本长期储存需求。定期对库存样本开展质量抽检；当临床需调取样本用于复检或科研用途时，中标单位须配合提供样本转运及调取服务</w:t>
      </w:r>
      <w:r>
        <w:rPr>
          <w:rFonts w:hint="eastAsia" w:ascii="宋体" w:hAnsi="宋体" w:eastAsia="宋体" w:cs="宋体"/>
          <w:color w:val="auto"/>
          <w:kern w:val="0"/>
          <w:sz w:val="24"/>
          <w:szCs w:val="24"/>
          <w:highlight w:val="none"/>
          <w:lang w:val="en-US" w:eastAsia="zh-CN" w:bidi="ar"/>
        </w:rPr>
        <w:t>。</w:t>
      </w:r>
    </w:p>
    <w:p w14:paraId="1B549224">
      <w:pPr>
        <w:spacing w:line="360" w:lineRule="auto"/>
        <w:rPr>
          <w:rFonts w:hint="eastAsia" w:ascii="宋体" w:hAnsi="宋体"/>
          <w:bCs/>
          <w:color w:val="auto"/>
          <w:sz w:val="24"/>
          <w:highlight w:val="none"/>
          <w:lang w:val="en-US" w:eastAsia="zh-CN"/>
        </w:rPr>
      </w:pPr>
      <w:r>
        <w:rPr>
          <w:rFonts w:hint="eastAsia" w:ascii="宋体" w:hAnsi="宋体"/>
          <w:bCs/>
          <w:color w:val="auto"/>
          <w:sz w:val="24"/>
          <w:highlight w:val="none"/>
          <w:lang w:val="en-US" w:eastAsia="zh-CN"/>
        </w:rPr>
        <w:t>（八）应急处理：</w:t>
      </w:r>
      <w:r>
        <w:rPr>
          <w:rFonts w:ascii="宋体" w:hAnsi="宋体" w:eastAsia="宋体" w:cs="宋体"/>
          <w:color w:val="auto"/>
          <w:kern w:val="0"/>
          <w:sz w:val="24"/>
          <w:szCs w:val="24"/>
          <w:highlight w:val="none"/>
          <w:lang w:val="en-US" w:eastAsia="zh-CN" w:bidi="ar"/>
        </w:rPr>
        <w:t>制定危急重症患者标本加急检测处置流程，涵盖应急通知、快速收样、优先检测、结果</w:t>
      </w:r>
      <w:r>
        <w:rPr>
          <w:rFonts w:hint="eastAsia" w:ascii="宋体" w:hAnsi="宋体" w:cs="宋体"/>
          <w:color w:val="auto"/>
          <w:kern w:val="0"/>
          <w:sz w:val="24"/>
          <w:szCs w:val="24"/>
          <w:highlight w:val="none"/>
          <w:lang w:val="en-US" w:eastAsia="zh-CN" w:bidi="ar"/>
        </w:rPr>
        <w:t>及</w:t>
      </w:r>
      <w:r>
        <w:rPr>
          <w:rFonts w:ascii="宋体" w:hAnsi="宋体" w:eastAsia="宋体" w:cs="宋体"/>
          <w:color w:val="auto"/>
          <w:kern w:val="0"/>
          <w:sz w:val="24"/>
          <w:szCs w:val="24"/>
          <w:highlight w:val="none"/>
          <w:lang w:val="en-US" w:eastAsia="zh-CN" w:bidi="ar"/>
        </w:rPr>
        <w:t>时反馈等全环节。针对标本容器破损、转运车辆故障、检测仪器故障等各类突发情形，须具备完善的应急响应及处置预案，</w:t>
      </w:r>
      <w:r>
        <w:rPr>
          <w:rStyle w:val="36"/>
          <w:rFonts w:ascii="宋体" w:hAnsi="宋体" w:eastAsia="宋体" w:cs="宋体"/>
          <w:b/>
          <w:bCs/>
          <w:color w:val="auto"/>
          <w:kern w:val="0"/>
          <w:sz w:val="24"/>
          <w:szCs w:val="24"/>
          <w:highlight w:val="none"/>
          <w:lang w:val="en-US" w:eastAsia="zh-CN" w:bidi="ar"/>
        </w:rPr>
        <w:t>应急响应时限不超过2小时</w:t>
      </w:r>
      <w:r>
        <w:rPr>
          <w:rStyle w:val="36"/>
          <w:rFonts w:hint="eastAsia" w:ascii="宋体" w:hAnsi="宋体" w:eastAsia="宋体" w:cs="宋体"/>
          <w:b/>
          <w:bCs/>
          <w:color w:val="auto"/>
          <w:kern w:val="0"/>
          <w:sz w:val="24"/>
          <w:szCs w:val="24"/>
          <w:highlight w:val="none"/>
          <w:lang w:val="en-US" w:eastAsia="zh-CN" w:bidi="ar"/>
        </w:rPr>
        <w:t>。</w:t>
      </w:r>
    </w:p>
    <w:p w14:paraId="0D91750D">
      <w:pPr>
        <w:widowControl/>
        <w:numPr>
          <w:ilvl w:val="0"/>
          <w:numId w:val="0"/>
        </w:numPr>
        <w:spacing w:line="360" w:lineRule="auto"/>
        <w:outlineLvl w:val="0"/>
        <w:rPr>
          <w:rFonts w:hint="eastAsia" w:ascii="宋体" w:hAnsi="宋体"/>
          <w:bCs/>
          <w:color w:val="auto"/>
          <w:sz w:val="24"/>
          <w:highlight w:val="none"/>
          <w:lang w:val="en-US" w:eastAsia="zh-CN"/>
        </w:rPr>
      </w:pPr>
      <w:r>
        <w:rPr>
          <w:rFonts w:hint="eastAsia" w:ascii="宋体" w:hAnsi="宋体"/>
          <w:bCs/>
          <w:color w:val="auto"/>
          <w:sz w:val="24"/>
          <w:highlight w:val="none"/>
          <w:lang w:val="en-US" w:eastAsia="zh-CN"/>
        </w:rPr>
        <w:t>（九）人员配备要求：</w:t>
      </w:r>
    </w:p>
    <w:p w14:paraId="27E29A26">
      <w:pPr>
        <w:widowControl/>
        <w:numPr>
          <w:ilvl w:val="0"/>
          <w:numId w:val="0"/>
        </w:numPr>
        <w:spacing w:line="360" w:lineRule="auto"/>
        <w:outlineLvl w:val="0"/>
        <w:rPr>
          <w:rFonts w:hint="eastAsia" w:ascii="宋体" w:hAnsi="宋体" w:eastAsia="宋体"/>
          <w:bCs/>
          <w:color w:val="auto"/>
          <w:sz w:val="24"/>
          <w:highlight w:val="none"/>
          <w:lang w:eastAsia="zh-CN"/>
        </w:rPr>
      </w:pPr>
      <w:r>
        <w:rPr>
          <w:rFonts w:hint="eastAsia" w:ascii="宋体" w:hAnsi="宋体"/>
          <w:bCs/>
          <w:color w:val="auto"/>
          <w:sz w:val="24"/>
          <w:highlight w:val="none"/>
          <w:lang w:val="en-US" w:eastAsia="zh-CN"/>
        </w:rPr>
        <w:t>1、</w:t>
      </w:r>
      <w:r>
        <w:rPr>
          <w:rFonts w:hint="eastAsia" w:ascii="宋体" w:hAnsi="宋体"/>
          <w:bCs/>
          <w:color w:val="auto"/>
          <w:sz w:val="24"/>
          <w:highlight w:val="none"/>
        </w:rPr>
        <w:t>根据</w:t>
      </w:r>
      <w:r>
        <w:rPr>
          <w:rFonts w:hint="eastAsia" w:ascii="宋体" w:hAnsi="宋体"/>
          <w:bCs/>
          <w:color w:val="auto"/>
          <w:sz w:val="24"/>
          <w:highlight w:val="none"/>
          <w:lang w:val="en-US" w:eastAsia="zh-CN"/>
        </w:rPr>
        <w:t>本</w:t>
      </w:r>
      <w:r>
        <w:rPr>
          <w:rFonts w:hint="eastAsia" w:ascii="宋体" w:hAnsi="宋体"/>
          <w:bCs/>
          <w:color w:val="auto"/>
          <w:sz w:val="24"/>
          <w:highlight w:val="none"/>
        </w:rPr>
        <w:t>项目实际</w:t>
      </w:r>
      <w:r>
        <w:rPr>
          <w:rFonts w:hint="eastAsia" w:ascii="宋体" w:hAnsi="宋体"/>
          <w:bCs/>
          <w:color w:val="auto"/>
          <w:sz w:val="24"/>
          <w:highlight w:val="none"/>
          <w:lang w:val="en-US" w:eastAsia="zh-CN"/>
        </w:rPr>
        <w:t>服务</w:t>
      </w:r>
      <w:r>
        <w:rPr>
          <w:rFonts w:hint="eastAsia" w:ascii="宋体" w:hAnsi="宋体"/>
          <w:bCs/>
          <w:color w:val="auto"/>
          <w:sz w:val="24"/>
          <w:highlight w:val="none"/>
        </w:rPr>
        <w:t>需</w:t>
      </w:r>
      <w:r>
        <w:rPr>
          <w:rFonts w:hint="eastAsia" w:ascii="宋体" w:hAnsi="宋体"/>
          <w:bCs/>
          <w:color w:val="auto"/>
          <w:sz w:val="24"/>
          <w:highlight w:val="none"/>
          <w:lang w:val="en-US" w:eastAsia="zh-CN"/>
        </w:rPr>
        <w:t>求，</w:t>
      </w:r>
      <w:r>
        <w:rPr>
          <w:rFonts w:ascii="宋体" w:hAnsi="宋体" w:eastAsia="宋体" w:cs="宋体"/>
          <w:color w:val="auto"/>
          <w:kern w:val="0"/>
          <w:sz w:val="24"/>
          <w:szCs w:val="24"/>
          <w:highlight w:val="none"/>
          <w:lang w:val="en-US" w:eastAsia="zh-CN" w:bidi="ar"/>
        </w:rPr>
        <w:t>组建具备医学检验专业资质的专属服务团队，配置</w:t>
      </w:r>
      <w:r>
        <w:rPr>
          <w:rStyle w:val="36"/>
          <w:rFonts w:ascii="宋体" w:hAnsi="宋体" w:eastAsia="宋体" w:cs="宋体"/>
          <w:b/>
          <w:bCs/>
          <w:color w:val="auto"/>
          <w:kern w:val="0"/>
          <w:sz w:val="24"/>
          <w:szCs w:val="24"/>
          <w:highlight w:val="none"/>
          <w:lang w:val="en-US" w:eastAsia="zh-CN" w:bidi="ar"/>
        </w:rPr>
        <w:t>项目负责人1名</w:t>
      </w:r>
      <w:r>
        <w:rPr>
          <w:rFonts w:ascii="宋体" w:hAnsi="宋体" w:eastAsia="宋体" w:cs="宋体"/>
          <w:color w:val="auto"/>
          <w:kern w:val="0"/>
          <w:sz w:val="24"/>
          <w:szCs w:val="24"/>
          <w:highlight w:val="none"/>
          <w:lang w:val="en-US" w:eastAsia="zh-CN" w:bidi="ar"/>
        </w:rPr>
        <w:t>及足额专职检测技术人员，保障项目常态化规范运行</w:t>
      </w:r>
      <w:r>
        <w:rPr>
          <w:rFonts w:hint="eastAsia" w:ascii="宋体" w:hAnsi="宋体"/>
          <w:bCs/>
          <w:color w:val="auto"/>
          <w:sz w:val="24"/>
          <w:highlight w:val="none"/>
          <w:lang w:eastAsia="zh-CN"/>
        </w:rPr>
        <w:t>。</w:t>
      </w:r>
    </w:p>
    <w:p w14:paraId="224C91FA">
      <w:pPr>
        <w:widowControl/>
        <w:spacing w:line="360" w:lineRule="auto"/>
        <w:outlineLvl w:val="0"/>
        <w:rPr>
          <w:rFonts w:hint="eastAsia" w:ascii="宋体" w:hAnsi="宋体" w:eastAsia="宋体" w:cs="Times New Roman"/>
          <w:bCs/>
          <w:color w:val="auto"/>
          <w:sz w:val="24"/>
          <w:highlight w:val="none"/>
          <w:lang w:val="en-US" w:eastAsia="zh-CN"/>
        </w:rPr>
      </w:pPr>
      <w:r>
        <w:rPr>
          <w:rFonts w:hint="eastAsia" w:ascii="宋体" w:hAnsi="宋体" w:eastAsia="宋体" w:cs="Times New Roman"/>
          <w:bCs/>
          <w:color w:val="auto"/>
          <w:sz w:val="24"/>
          <w:highlight w:val="none"/>
          <w:lang w:val="en-US" w:eastAsia="zh-CN"/>
        </w:rPr>
        <w:t>（</w:t>
      </w:r>
      <w:r>
        <w:rPr>
          <w:rFonts w:hint="eastAsia" w:ascii="宋体" w:hAnsi="宋体" w:cs="Times New Roman"/>
          <w:bCs/>
          <w:color w:val="auto"/>
          <w:sz w:val="24"/>
          <w:highlight w:val="none"/>
          <w:lang w:val="en-US" w:eastAsia="zh-CN"/>
        </w:rPr>
        <w:t>十</w:t>
      </w:r>
      <w:r>
        <w:rPr>
          <w:rFonts w:hint="eastAsia" w:ascii="宋体" w:hAnsi="宋体" w:eastAsia="宋体" w:cs="Times New Roman"/>
          <w:bCs/>
          <w:color w:val="auto"/>
          <w:sz w:val="24"/>
          <w:highlight w:val="none"/>
          <w:lang w:val="en-US" w:eastAsia="zh-CN"/>
        </w:rPr>
        <w:t>）信息</w:t>
      </w:r>
      <w:r>
        <w:rPr>
          <w:rFonts w:hint="eastAsia" w:ascii="宋体" w:hAnsi="宋体" w:cs="Times New Roman"/>
          <w:bCs/>
          <w:color w:val="auto"/>
          <w:sz w:val="24"/>
          <w:highlight w:val="none"/>
          <w:lang w:val="en-US" w:eastAsia="zh-CN"/>
        </w:rPr>
        <w:t>化服务</w:t>
      </w:r>
      <w:r>
        <w:rPr>
          <w:rFonts w:hint="eastAsia" w:ascii="宋体" w:hAnsi="宋体" w:eastAsia="宋体" w:cs="Times New Roman"/>
          <w:bCs/>
          <w:color w:val="auto"/>
          <w:sz w:val="24"/>
          <w:highlight w:val="none"/>
          <w:lang w:val="en-US" w:eastAsia="zh-CN"/>
        </w:rPr>
        <w:t>要求：</w:t>
      </w:r>
    </w:p>
    <w:p w14:paraId="63329E13">
      <w:pPr>
        <w:widowControl/>
        <w:spacing w:line="360" w:lineRule="auto"/>
        <w:outlineLvl w:val="0"/>
        <w:rPr>
          <w:rFonts w:ascii="宋体" w:hAnsi="宋体"/>
          <w:bCs/>
          <w:color w:val="auto"/>
          <w:sz w:val="24"/>
          <w:highlight w:val="none"/>
        </w:rPr>
      </w:pPr>
      <w:r>
        <w:rPr>
          <w:rFonts w:hint="eastAsia" w:ascii="宋体" w:hAnsi="宋体" w:cs="宋体"/>
          <w:color w:val="auto"/>
          <w:sz w:val="24"/>
          <w:szCs w:val="24"/>
          <w:highlight w:val="none"/>
          <w:lang w:val="en-US" w:eastAsia="zh-CN"/>
        </w:rPr>
        <w:t>1、</w:t>
      </w:r>
      <w:r>
        <w:rPr>
          <w:rFonts w:ascii="宋体" w:hAnsi="宋体" w:eastAsia="宋体" w:cs="宋体"/>
          <w:color w:val="auto"/>
          <w:kern w:val="0"/>
          <w:sz w:val="24"/>
          <w:szCs w:val="24"/>
          <w:highlight w:val="none"/>
          <w:lang w:val="en-US" w:eastAsia="zh-CN" w:bidi="ar"/>
        </w:rPr>
        <w:t>中标单位须在中标后</w:t>
      </w:r>
      <w:r>
        <w:rPr>
          <w:rStyle w:val="36"/>
          <w:rFonts w:ascii="宋体" w:hAnsi="宋体" w:eastAsia="宋体" w:cs="宋体"/>
          <w:b/>
          <w:bCs/>
          <w:color w:val="auto"/>
          <w:kern w:val="0"/>
          <w:sz w:val="24"/>
          <w:szCs w:val="24"/>
          <w:highlight w:val="none"/>
          <w:lang w:val="en-US" w:eastAsia="zh-CN" w:bidi="ar"/>
        </w:rPr>
        <w:t>1个月内</w:t>
      </w:r>
      <w:r>
        <w:rPr>
          <w:rFonts w:ascii="宋体" w:hAnsi="宋体" w:eastAsia="宋体" w:cs="宋体"/>
          <w:color w:val="auto"/>
          <w:kern w:val="0"/>
          <w:sz w:val="24"/>
          <w:szCs w:val="24"/>
          <w:highlight w:val="none"/>
          <w:lang w:val="en-US" w:eastAsia="zh-CN" w:bidi="ar"/>
        </w:rPr>
        <w:t>完成自有信息系统与本院信息系统全面对接，实现检测报告自动推送至医生病历系统可供在线查阅；同步对接院内检验报告自助打印系统，支持报告自助查询及打印，</w:t>
      </w:r>
      <w:r>
        <w:rPr>
          <w:rStyle w:val="36"/>
          <w:rFonts w:ascii="宋体" w:hAnsi="宋体" w:eastAsia="宋体" w:cs="宋体"/>
          <w:b/>
          <w:bCs/>
          <w:color w:val="auto"/>
          <w:kern w:val="0"/>
          <w:sz w:val="24"/>
          <w:szCs w:val="24"/>
          <w:highlight w:val="none"/>
          <w:lang w:val="en-US" w:eastAsia="zh-CN" w:bidi="ar"/>
        </w:rPr>
        <w:t>所有系统对接接口费用由中标单位全额承担</w:t>
      </w:r>
      <w:r>
        <w:rPr>
          <w:rFonts w:hint="eastAsia" w:ascii="宋体" w:hAnsi="宋体" w:cs="宋体"/>
          <w:color w:val="auto"/>
          <w:sz w:val="24"/>
          <w:szCs w:val="24"/>
          <w:highlight w:val="none"/>
        </w:rPr>
        <w:t>。</w:t>
      </w:r>
    </w:p>
    <w:p w14:paraId="3493C969">
      <w:pPr>
        <w:pStyle w:val="213"/>
        <w:keepNext w:val="0"/>
        <w:keepLines w:val="0"/>
        <w:pageBreakBefore w:val="0"/>
        <w:spacing w:line="360" w:lineRule="auto"/>
        <w:ind w:firstLine="0"/>
        <w:rPr>
          <w:rFonts w:hint="eastAsia" w:ascii="宋体" w:hAnsi="宋体" w:cs="宋体"/>
          <w:bCs/>
          <w:color w:val="auto"/>
          <w:sz w:val="24"/>
          <w:highlight w:val="none"/>
          <w:lang w:val="en-US" w:eastAsia="zh-CN"/>
        </w:rPr>
      </w:pPr>
      <w:r>
        <w:rPr>
          <w:rFonts w:hint="eastAsia" w:ascii="宋体" w:hAnsi="宋体" w:cs="宋体"/>
          <w:bCs/>
          <w:color w:val="auto"/>
          <w:sz w:val="24"/>
          <w:highlight w:val="none"/>
          <w:lang w:val="en-US" w:eastAsia="zh-CN"/>
        </w:rPr>
        <w:t>2、数据安全和保密要求：</w:t>
      </w:r>
    </w:p>
    <w:p w14:paraId="51E25610">
      <w:pPr>
        <w:spacing w:line="360" w:lineRule="auto"/>
        <w:rPr>
          <w:rFonts w:hint="eastAsia" w:ascii="宋体" w:hAnsi="宋体" w:cs="宋体"/>
          <w:bCs/>
          <w:color w:val="auto"/>
          <w:sz w:val="24"/>
          <w:highlight w:val="none"/>
          <w:lang w:val="en-US" w:eastAsia="zh-CN"/>
        </w:rPr>
      </w:pPr>
      <w:r>
        <w:rPr>
          <w:rFonts w:hint="eastAsia" w:ascii="宋体" w:hAnsi="宋体" w:cs="宋体"/>
          <w:bCs/>
          <w:color w:val="auto"/>
          <w:sz w:val="24"/>
          <w:highlight w:val="none"/>
          <w:lang w:val="en-US" w:eastAsia="zh-CN"/>
        </w:rPr>
        <w:t>2.1</w:t>
      </w:r>
      <w:r>
        <w:rPr>
          <w:rFonts w:ascii="宋体" w:hAnsi="宋体" w:eastAsia="宋体" w:cs="宋体"/>
          <w:color w:val="auto"/>
          <w:kern w:val="0"/>
          <w:sz w:val="24"/>
          <w:szCs w:val="24"/>
          <w:highlight w:val="none"/>
          <w:lang w:val="en-US" w:eastAsia="zh-CN" w:bidi="ar"/>
        </w:rPr>
        <w:t>须对采购人送检标本、检测数据及患者隐私信息建立</w:t>
      </w:r>
      <w:r>
        <w:rPr>
          <w:rFonts w:hint="eastAsia" w:ascii="宋体" w:hAnsi="宋体" w:cs="宋体"/>
          <w:color w:val="auto"/>
          <w:kern w:val="0"/>
          <w:sz w:val="24"/>
          <w:szCs w:val="24"/>
          <w:highlight w:val="none"/>
          <w:lang w:val="en-US" w:eastAsia="zh-CN" w:bidi="ar"/>
        </w:rPr>
        <w:t>完善</w:t>
      </w:r>
      <w:r>
        <w:rPr>
          <w:rFonts w:ascii="宋体" w:hAnsi="宋体" w:eastAsia="宋体" w:cs="宋体"/>
          <w:color w:val="auto"/>
          <w:kern w:val="0"/>
          <w:sz w:val="24"/>
          <w:szCs w:val="24"/>
          <w:highlight w:val="none"/>
          <w:lang w:val="en-US" w:eastAsia="zh-CN" w:bidi="ar"/>
        </w:rPr>
        <w:t>保护机制，严格遵守国家及行业相关保密规定；未经采购人书面许可，不得擅自使用、泄露任何相关数据信息，标本留存、保管及销毁均须符合国家规范及合同约定</w:t>
      </w:r>
      <w:r>
        <w:rPr>
          <w:rFonts w:hint="eastAsia" w:ascii="宋体" w:hAnsi="宋体" w:cs="宋体"/>
          <w:b w:val="0"/>
          <w:bCs w:val="0"/>
          <w:color w:val="auto"/>
          <w:sz w:val="24"/>
          <w:highlight w:val="none"/>
        </w:rPr>
        <w:t>。</w:t>
      </w:r>
    </w:p>
    <w:p w14:paraId="2C023C2D">
      <w:pPr>
        <w:pStyle w:val="213"/>
        <w:keepNext w:val="0"/>
        <w:keepLines w:val="0"/>
        <w:pageBreakBefore w:val="0"/>
        <w:spacing w:line="360" w:lineRule="auto"/>
        <w:ind w:firstLine="0"/>
        <w:rPr>
          <w:rFonts w:hint="eastAsia" w:ascii="宋体" w:hAnsi="宋体" w:cs="宋体"/>
          <w:bCs/>
          <w:color w:val="auto"/>
          <w:sz w:val="24"/>
          <w:highlight w:val="none"/>
          <w:lang w:val="en-US" w:eastAsia="zh-CN"/>
        </w:rPr>
      </w:pPr>
      <w:r>
        <w:rPr>
          <w:rFonts w:hint="eastAsia" w:ascii="宋体" w:hAnsi="宋体" w:cs="宋体"/>
          <w:bCs/>
          <w:color w:val="auto"/>
          <w:sz w:val="24"/>
          <w:highlight w:val="none"/>
          <w:lang w:val="en-US" w:eastAsia="zh-CN"/>
        </w:rPr>
        <w:t>2.2</w:t>
      </w:r>
      <w:r>
        <w:rPr>
          <w:rFonts w:ascii="宋体" w:hAnsi="宋体" w:eastAsia="宋体" w:cs="宋体"/>
          <w:color w:val="auto"/>
          <w:kern w:val="0"/>
          <w:sz w:val="24"/>
          <w:szCs w:val="24"/>
          <w:highlight w:val="none"/>
          <w:lang w:val="en-US" w:eastAsia="zh-CN" w:bidi="ar"/>
        </w:rPr>
        <w:t>建立健全数据安全防护体系，防范数据被非法访问、篡改、泄露、丢失及损毁；双方对数据存储、传输、处理、销毁全流程实行严格管控，确保数据全程安全可控</w:t>
      </w:r>
      <w:r>
        <w:rPr>
          <w:rFonts w:hint="eastAsia" w:ascii="宋体" w:hAnsi="宋体" w:cs="宋体"/>
          <w:bCs/>
          <w:color w:val="auto"/>
          <w:sz w:val="24"/>
          <w:highlight w:val="none"/>
          <w:lang w:val="en-US" w:eastAsia="zh-CN"/>
        </w:rPr>
        <w:t>。</w:t>
      </w:r>
    </w:p>
    <w:p w14:paraId="20276636">
      <w:pPr>
        <w:pStyle w:val="213"/>
        <w:ind w:firstLine="0"/>
        <w:rPr>
          <w:rFonts w:hint="default" w:ascii="宋体" w:hAnsi="宋体"/>
          <w:color w:val="auto"/>
          <w:sz w:val="24"/>
          <w:highlight w:val="none"/>
          <w:lang w:val="en-US" w:eastAsia="zh-CN"/>
        </w:rPr>
      </w:pPr>
      <w:r>
        <w:rPr>
          <w:rFonts w:hint="eastAsia" w:ascii="宋体" w:hAnsi="宋体"/>
          <w:color w:val="auto"/>
          <w:sz w:val="24"/>
          <w:highlight w:val="none"/>
          <w:lang w:val="en-US" w:eastAsia="zh-CN"/>
        </w:rPr>
        <w:t>2.3</w:t>
      </w:r>
      <w:r>
        <w:rPr>
          <w:rFonts w:ascii="宋体" w:hAnsi="宋体" w:eastAsia="宋体" w:cs="宋体"/>
          <w:color w:val="auto"/>
          <w:kern w:val="0"/>
          <w:sz w:val="24"/>
          <w:szCs w:val="24"/>
          <w:highlight w:val="none"/>
          <w:lang w:val="en-US" w:eastAsia="zh-CN" w:bidi="ar"/>
        </w:rPr>
        <w:t>须采取有效管控措施，约束本单位员工、代理机构、关联企业及相关合作第三方严格遵守本项目保密义务</w:t>
      </w:r>
      <w:r>
        <w:rPr>
          <w:rFonts w:hint="eastAsia" w:ascii="宋体" w:hAnsi="宋体"/>
          <w:color w:val="auto"/>
          <w:sz w:val="24"/>
          <w:highlight w:val="none"/>
          <w:lang w:val="en-US" w:eastAsia="zh-CN"/>
        </w:rPr>
        <w:t>。</w:t>
      </w:r>
    </w:p>
    <w:p w14:paraId="67DEE23A">
      <w:pPr>
        <w:pStyle w:val="213"/>
        <w:ind w:firstLine="0"/>
        <w:rPr>
          <w:rFonts w:hint="default" w:ascii="宋体" w:hAnsi="宋体"/>
          <w:color w:val="auto"/>
          <w:sz w:val="24"/>
          <w:highlight w:val="none"/>
          <w:lang w:val="en-US" w:eastAsia="zh-CN"/>
        </w:rPr>
      </w:pPr>
      <w:r>
        <w:rPr>
          <w:rFonts w:hint="eastAsia" w:ascii="宋体" w:hAnsi="宋体"/>
          <w:color w:val="auto"/>
          <w:sz w:val="24"/>
          <w:highlight w:val="none"/>
          <w:lang w:val="en-US" w:eastAsia="zh-CN"/>
        </w:rPr>
        <w:t>2.4</w:t>
      </w:r>
      <w:r>
        <w:rPr>
          <w:rFonts w:ascii="宋体" w:hAnsi="宋体" w:eastAsia="宋体" w:cs="宋体"/>
          <w:color w:val="auto"/>
          <w:kern w:val="0"/>
          <w:sz w:val="24"/>
          <w:szCs w:val="24"/>
          <w:highlight w:val="none"/>
          <w:lang w:val="en-US" w:eastAsia="zh-CN" w:bidi="ar"/>
        </w:rPr>
        <w:t>服务期内所获悉的双方业务资料、数据信息均</w:t>
      </w:r>
      <w:r>
        <w:rPr>
          <w:rFonts w:hint="eastAsia" w:ascii="宋体" w:hAnsi="宋体" w:cs="宋体"/>
          <w:color w:val="auto"/>
          <w:kern w:val="0"/>
          <w:sz w:val="24"/>
          <w:szCs w:val="24"/>
          <w:highlight w:val="none"/>
          <w:lang w:val="en-US" w:eastAsia="zh-CN" w:bidi="ar"/>
        </w:rPr>
        <w:t>属于</w:t>
      </w:r>
      <w:r>
        <w:rPr>
          <w:rFonts w:ascii="宋体" w:hAnsi="宋体" w:eastAsia="宋体" w:cs="宋体"/>
          <w:color w:val="auto"/>
          <w:kern w:val="0"/>
          <w:sz w:val="24"/>
          <w:szCs w:val="24"/>
          <w:highlight w:val="none"/>
          <w:lang w:val="en-US" w:eastAsia="zh-CN" w:bidi="ar"/>
        </w:rPr>
        <w:t>保密范畴，除另有书面约定外，未经对方书面同意，不得向任何第三方披露、传播或擅自使用；任何一方违反保密及数据安全约定造成损失的，须承担相应法律及赔偿责任</w:t>
      </w:r>
      <w:r>
        <w:rPr>
          <w:rFonts w:hint="eastAsia" w:ascii="宋体" w:hAnsi="宋体"/>
          <w:color w:val="auto"/>
          <w:sz w:val="24"/>
          <w:highlight w:val="none"/>
          <w:lang w:val="en-US" w:eastAsia="zh-CN"/>
        </w:rPr>
        <w:t>。</w:t>
      </w:r>
    </w:p>
    <w:p w14:paraId="34356BA1">
      <w:pPr>
        <w:spacing w:line="360" w:lineRule="auto"/>
        <w:rPr>
          <w:rFonts w:hint="default" w:ascii="宋体" w:hAnsi="宋体" w:eastAsia="宋体" w:cs="宋体"/>
          <w:color w:val="auto"/>
          <w:sz w:val="24"/>
          <w:szCs w:val="24"/>
          <w:highlight w:val="none"/>
          <w:shd w:val="clear" w:color="auto" w:fill="auto"/>
          <w:lang w:val="en-US" w:eastAsia="zh-CN"/>
        </w:rPr>
      </w:pPr>
      <w:r>
        <w:rPr>
          <w:rFonts w:hint="eastAsia" w:ascii="宋体" w:hAnsi="宋体" w:cs="宋体"/>
          <w:color w:val="auto"/>
          <w:sz w:val="24"/>
          <w:szCs w:val="24"/>
          <w:highlight w:val="none"/>
          <w:shd w:val="clear" w:color="auto" w:fill="auto"/>
          <w:lang w:val="en-US" w:eastAsia="zh-CN"/>
        </w:rPr>
        <w:t>（十一）学科建设及科研支持方案：</w:t>
      </w:r>
      <w:r>
        <w:rPr>
          <w:rFonts w:ascii="宋体" w:hAnsi="宋体" w:eastAsia="宋体" w:cs="宋体"/>
          <w:color w:val="auto"/>
          <w:kern w:val="0"/>
          <w:sz w:val="24"/>
          <w:szCs w:val="24"/>
          <w:highlight w:val="none"/>
          <w:lang w:val="en-US" w:eastAsia="zh-CN" w:bidi="ar"/>
        </w:rPr>
        <w:t>定期与临床科室开展疑难病例沟通研讨，协助明确诊疗方向</w:t>
      </w:r>
      <w:r>
        <w:rPr>
          <w:rFonts w:hint="eastAsia" w:ascii="宋体" w:hAnsi="宋体" w:cs="宋体"/>
          <w:color w:val="auto"/>
          <w:kern w:val="0"/>
          <w:sz w:val="24"/>
          <w:szCs w:val="24"/>
          <w:highlight w:val="none"/>
          <w:lang w:val="en-US" w:eastAsia="zh-CN" w:bidi="ar"/>
        </w:rPr>
        <w:t>；在</w:t>
      </w:r>
      <w:r>
        <w:rPr>
          <w:rFonts w:ascii="宋体" w:hAnsi="宋体" w:eastAsia="宋体" w:cs="宋体"/>
          <w:color w:val="auto"/>
          <w:kern w:val="0"/>
          <w:sz w:val="24"/>
          <w:szCs w:val="24"/>
          <w:highlight w:val="none"/>
          <w:lang w:val="en-US" w:eastAsia="zh-CN" w:bidi="ar"/>
        </w:rPr>
        <w:t>检验工作中发现新技术、新研究成果须及时同步临床，协助临床开展医学科研探索及科研项目申报工作；同步协助院内开展检验专业人才培养与人才储备建设</w:t>
      </w:r>
      <w:r>
        <w:rPr>
          <w:rFonts w:hint="eastAsia" w:ascii="宋体" w:hAnsi="宋体" w:cs="宋体"/>
          <w:color w:val="auto"/>
          <w:sz w:val="24"/>
          <w:szCs w:val="24"/>
          <w:highlight w:val="none"/>
          <w:shd w:val="clear" w:color="auto" w:fill="auto"/>
          <w:lang w:val="en-US" w:eastAsia="zh-CN"/>
        </w:rPr>
        <w:t>。</w:t>
      </w:r>
    </w:p>
    <w:p w14:paraId="70E4DD65">
      <w:pPr>
        <w:spacing w:line="360" w:lineRule="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五、综合说明：</w:t>
      </w:r>
    </w:p>
    <w:p w14:paraId="4A34FAE8">
      <w:pPr>
        <w:spacing w:line="360" w:lineRule="auto"/>
        <w:rPr>
          <w:rFonts w:hint="eastAsia" w:ascii="宋体" w:hAnsi="宋体" w:cs="宋体"/>
          <w:color w:val="auto"/>
          <w:sz w:val="24"/>
          <w:szCs w:val="24"/>
          <w:highlight w:val="none"/>
        </w:rPr>
      </w:pPr>
      <w:r>
        <w:rPr>
          <w:rFonts w:hint="eastAsia" w:ascii="宋体" w:hAnsi="宋体" w:eastAsia="宋体" w:cs="宋体"/>
          <w:color w:val="auto"/>
          <w:sz w:val="24"/>
          <w:szCs w:val="24"/>
          <w:highlight w:val="none"/>
          <w:lang w:val="en-US" w:eastAsia="zh-CN"/>
        </w:rPr>
        <w:t>1、投标单位必须说明其是否响应采购文件</w:t>
      </w:r>
      <w:r>
        <w:rPr>
          <w:rFonts w:hint="eastAsia" w:ascii="宋体" w:hAnsi="宋体" w:cs="宋体"/>
          <w:color w:val="auto"/>
          <w:sz w:val="24"/>
          <w:szCs w:val="24"/>
          <w:highlight w:val="none"/>
        </w:rPr>
        <w:t>中提出的全部服务内容与要求，如果对其中某些条款不响应时，应在文件中逐条列出。</w:t>
      </w:r>
    </w:p>
    <w:p w14:paraId="6EAEDD8E">
      <w:pPr>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2、本项目中投标报价</w:t>
      </w:r>
      <w:r>
        <w:rPr>
          <w:rFonts w:hint="eastAsia" w:ascii="宋体" w:hAnsi="宋体" w:cs="宋体"/>
          <w:color w:val="auto"/>
          <w:sz w:val="24"/>
          <w:szCs w:val="24"/>
          <w:highlight w:val="none"/>
          <w:lang w:eastAsia="zh-CN"/>
        </w:rPr>
        <w:t>包</w:t>
      </w:r>
      <w:r>
        <w:rPr>
          <w:rFonts w:hint="eastAsia" w:ascii="宋体" w:hAnsi="宋体" w:cs="宋体"/>
          <w:color w:val="auto"/>
          <w:sz w:val="24"/>
          <w:szCs w:val="24"/>
          <w:highlight w:val="none"/>
          <w:lang w:val="en-US" w:eastAsia="zh-CN"/>
        </w:rPr>
        <w:t>含</w:t>
      </w:r>
      <w:r>
        <w:rPr>
          <w:rFonts w:hint="eastAsia" w:ascii="宋体" w:hAnsi="宋体" w:cs="宋体"/>
          <w:color w:val="auto"/>
          <w:sz w:val="24"/>
          <w:szCs w:val="24"/>
          <w:highlight w:val="none"/>
          <w:lang w:eastAsia="zh-CN"/>
        </w:rPr>
        <w:t>完成本检验检测服务而发生的所有费用，包括但不限于人员薪酬、样本采集包含特殊耗材费用、运输服务，配套车辆设备，售后服务，质量监控信息，外送标本检测成本各类保险、交通、通讯、设备购置及维护与损耗、检验、税金、利润、招标代理服务费及合同包含的所有风险、责任等各项应有费用</w:t>
      </w:r>
      <w:r>
        <w:rPr>
          <w:rFonts w:hint="eastAsia" w:ascii="宋体" w:hAnsi="宋体" w:cs="宋体"/>
          <w:color w:val="auto"/>
          <w:sz w:val="24"/>
          <w:szCs w:val="24"/>
          <w:highlight w:val="none"/>
        </w:rPr>
        <w:t>。</w:t>
      </w:r>
    </w:p>
    <w:p w14:paraId="3BCDA6D8">
      <w:pPr>
        <w:pStyle w:val="213"/>
        <w:ind w:firstLine="0"/>
        <w:rPr>
          <w:rFonts w:hint="eastAsia" w:ascii="宋体" w:hAnsi="宋体"/>
          <w:color w:val="auto"/>
          <w:sz w:val="24"/>
          <w:highlight w:val="none"/>
        </w:rPr>
      </w:pPr>
      <w:r>
        <w:rPr>
          <w:rFonts w:hint="eastAsia" w:ascii="宋体" w:hAnsi="宋体"/>
          <w:color w:val="auto"/>
          <w:sz w:val="24"/>
          <w:highlight w:val="none"/>
          <w:lang w:val="en-US" w:eastAsia="zh-CN"/>
        </w:rPr>
        <w:t>3</w:t>
      </w:r>
      <w:r>
        <w:rPr>
          <w:rFonts w:hint="eastAsia" w:ascii="宋体" w:hAnsi="宋体"/>
          <w:color w:val="auto"/>
          <w:sz w:val="24"/>
          <w:highlight w:val="none"/>
        </w:rPr>
        <w:t>、本次采购活动不接受联合报价及分包、转包。</w:t>
      </w:r>
    </w:p>
    <w:p w14:paraId="3D786ECA">
      <w:pPr>
        <w:spacing w:line="360" w:lineRule="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4、履约验收：</w:t>
      </w:r>
    </w:p>
    <w:p w14:paraId="5C40D60A">
      <w:pPr>
        <w:spacing w:line="360" w:lineRule="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4.1采购人将根据《江苏省财政厅关于印发〈江苏省政府采购履约验收管理办法〉的通知》（苏财规〔2024〕7号）相关要求，组织项目履约验收基本工作。</w:t>
      </w:r>
    </w:p>
    <w:p w14:paraId="5B7A071B">
      <w:pPr>
        <w:spacing w:line="360" w:lineRule="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4.2招标文件、投标文件、政府采购合同等是履约验收工作的重要依据。在政府采购合同约定的履行验收条件达到时，中标单位可以主动联系采购人启动履约验收工作。</w:t>
      </w:r>
    </w:p>
    <w:p w14:paraId="621F2B9F">
      <w:pPr>
        <w:spacing w:line="360" w:lineRule="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4.3采购人在组织履约验收前，将根据项目特点制定验收方案，明确履约验收的时间、方式、程序等内容。中标单位应根据验收方案内容做好相应配合工作。</w:t>
      </w:r>
    </w:p>
    <w:p w14:paraId="4BBF2D7E">
      <w:pPr>
        <w:spacing w:line="360" w:lineRule="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4.4采购人将按照验收标准要求组织验收，验收内容和标准至少包括服务质量、用户满意度、服务过程文档资料、数据准确性等内容。</w:t>
      </w:r>
    </w:p>
    <w:p w14:paraId="02F4D42A">
      <w:pPr>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5</w:t>
      </w:r>
      <w:r>
        <w:rPr>
          <w:rFonts w:hint="eastAsia" w:ascii="宋体" w:hAnsi="宋体" w:cs="宋体"/>
          <w:color w:val="auto"/>
          <w:sz w:val="24"/>
          <w:szCs w:val="24"/>
          <w:highlight w:val="none"/>
        </w:rPr>
        <w:t>、服务期限：</w:t>
      </w:r>
      <w:r>
        <w:rPr>
          <w:rFonts w:hint="eastAsia" w:ascii="宋体" w:hAnsi="宋体" w:cs="宋体"/>
          <w:color w:val="auto"/>
          <w:sz w:val="24"/>
          <w:szCs w:val="24"/>
          <w:highlight w:val="none"/>
          <w:lang w:eastAsia="zh-CN"/>
        </w:rPr>
        <w:t>合同签订后一年（具体项目开始时间以采购单位通知为准）</w:t>
      </w:r>
      <w:r>
        <w:rPr>
          <w:rFonts w:hint="eastAsia" w:ascii="宋体" w:hAnsi="宋体" w:cs="宋体"/>
          <w:color w:val="auto"/>
          <w:sz w:val="24"/>
          <w:szCs w:val="24"/>
          <w:highlight w:val="none"/>
        </w:rPr>
        <w:t>。</w:t>
      </w:r>
    </w:p>
    <w:p w14:paraId="699CAA97">
      <w:pPr>
        <w:pStyle w:val="197"/>
        <w:spacing w:after="0" w:line="360" w:lineRule="auto"/>
        <w:ind w:left="0" w:firstLine="0"/>
        <w:jc w:val="left"/>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9</w:t>
      </w:r>
      <w:r>
        <w:rPr>
          <w:rFonts w:hint="eastAsia" w:ascii="宋体" w:hAnsi="宋体" w:cs="宋体"/>
          <w:color w:val="auto"/>
          <w:sz w:val="24"/>
          <w:szCs w:val="24"/>
          <w:highlight w:val="none"/>
        </w:rPr>
        <w:t>、服务地点：</w:t>
      </w:r>
      <w:r>
        <w:rPr>
          <w:rFonts w:hint="eastAsia" w:ascii="宋体" w:hAnsi="宋体" w:cs="宋体"/>
          <w:color w:val="auto"/>
          <w:sz w:val="24"/>
          <w:szCs w:val="24"/>
          <w:highlight w:val="none"/>
          <w:lang w:val="en-US" w:eastAsia="zh-CN"/>
        </w:rPr>
        <w:t>采购单位指定地点</w:t>
      </w:r>
      <w:r>
        <w:rPr>
          <w:rFonts w:hint="eastAsia" w:ascii="宋体" w:hAnsi="宋体" w:cs="宋体"/>
          <w:color w:val="auto"/>
          <w:sz w:val="24"/>
          <w:szCs w:val="24"/>
          <w:highlight w:val="none"/>
          <w:lang w:eastAsia="zh-CN"/>
        </w:rPr>
        <w:t>。</w:t>
      </w:r>
    </w:p>
    <w:p w14:paraId="0C87118C">
      <w:pPr>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六、政府采购政策：</w:t>
      </w:r>
    </w:p>
    <w:p w14:paraId="58A4CA1F">
      <w:pPr>
        <w:tabs>
          <w:tab w:val="left" w:pos="567"/>
        </w:tabs>
        <w:spacing w:line="360" w:lineRule="auto"/>
        <w:rPr>
          <w:rFonts w:ascii="宋体" w:hAnsi="宋体"/>
          <w:color w:val="auto"/>
          <w:sz w:val="24"/>
          <w:szCs w:val="24"/>
          <w:highlight w:val="none"/>
        </w:rPr>
      </w:pPr>
      <w:r>
        <w:rPr>
          <w:rFonts w:hint="eastAsia" w:ascii="宋体" w:hAnsi="宋体"/>
          <w:color w:val="auto"/>
          <w:sz w:val="24"/>
          <w:szCs w:val="24"/>
          <w:highlight w:val="none"/>
        </w:rPr>
        <w:t>1</w:t>
      </w:r>
      <w:r>
        <w:rPr>
          <w:rFonts w:hint="eastAsia" w:ascii="宋体" w:hAnsi="宋体"/>
          <w:color w:val="auto"/>
          <w:sz w:val="24"/>
          <w:szCs w:val="24"/>
          <w:highlight w:val="none"/>
          <w:lang w:eastAsia="zh-CN"/>
        </w:rPr>
        <w:t>、</w:t>
      </w:r>
      <w:r>
        <w:rPr>
          <w:rFonts w:hint="eastAsia" w:ascii="宋体" w:hAnsi="宋体"/>
          <w:color w:val="auto"/>
          <w:sz w:val="24"/>
          <w:szCs w:val="24"/>
          <w:highlight w:val="none"/>
        </w:rPr>
        <w:t>中小微企业</w:t>
      </w:r>
    </w:p>
    <w:p w14:paraId="509FC37D">
      <w:pPr>
        <w:tabs>
          <w:tab w:val="left" w:pos="567"/>
        </w:tabs>
        <w:spacing w:line="360" w:lineRule="auto"/>
        <w:ind w:left="0" w:firstLine="420"/>
        <w:rPr>
          <w:rFonts w:ascii="宋体" w:hAnsi="宋体"/>
          <w:color w:val="auto"/>
          <w:sz w:val="24"/>
          <w:szCs w:val="24"/>
          <w:highlight w:val="none"/>
        </w:rPr>
      </w:pPr>
      <w:r>
        <w:rPr>
          <w:rFonts w:hint="eastAsia" w:ascii="宋体" w:hAnsi="宋体"/>
          <w:color w:val="auto"/>
          <w:sz w:val="24"/>
          <w:szCs w:val="24"/>
          <w:highlight w:val="none"/>
        </w:rPr>
        <w:t>根据《政府采购促进中小企业发展管理办法》（财库〔2020〕46号）、《关于印发</w:t>
      </w:r>
      <w:r>
        <w:rPr>
          <w:rFonts w:hint="eastAsia" w:ascii="宋体" w:hAnsi="宋体"/>
          <w:color w:val="auto"/>
          <w:sz w:val="24"/>
          <w:szCs w:val="24"/>
          <w:highlight w:val="none"/>
          <w:lang w:eastAsia="zh-CN"/>
        </w:rPr>
        <w:t>〈</w:t>
      </w:r>
      <w:r>
        <w:rPr>
          <w:rFonts w:hint="eastAsia" w:ascii="宋体" w:hAnsi="宋体"/>
          <w:color w:val="auto"/>
          <w:sz w:val="24"/>
          <w:szCs w:val="24"/>
          <w:highlight w:val="none"/>
        </w:rPr>
        <w:t>苏州市政府采购促进中小企业发展实施意见</w:t>
      </w:r>
      <w:r>
        <w:rPr>
          <w:rFonts w:hint="eastAsia" w:ascii="宋体" w:hAnsi="宋体"/>
          <w:color w:val="auto"/>
          <w:sz w:val="24"/>
          <w:szCs w:val="24"/>
          <w:highlight w:val="none"/>
          <w:lang w:eastAsia="zh-CN"/>
        </w:rPr>
        <w:t>〉的通知》</w:t>
      </w:r>
      <w:r>
        <w:rPr>
          <w:rFonts w:hint="eastAsia" w:ascii="宋体" w:hAnsi="宋体"/>
          <w:color w:val="auto"/>
          <w:sz w:val="24"/>
          <w:szCs w:val="24"/>
          <w:highlight w:val="none"/>
        </w:rPr>
        <w:t>（苏财购〔2022〕16号）的相关规定，如供应商认定本企业提供的货物、工程或服务符合上述文件规定情形，可以享受中小企业扶持政策的，则需根据《中小企业划型标准规定》（工信部联企业〔2011〕300号）提交《中小企业声明函》并加盖公章，</w:t>
      </w:r>
      <w:r>
        <w:rPr>
          <w:rFonts w:hint="eastAsia" w:ascii="宋体" w:hAnsi="宋体"/>
          <w:b/>
          <w:color w:val="auto"/>
          <w:sz w:val="24"/>
          <w:szCs w:val="24"/>
          <w:highlight w:val="none"/>
        </w:rPr>
        <w:t>《中小企业声明函》中所填的行业应与本采购标的对应的中小企业划分标准所属行业一致，未提交声明函或所提交的声明函中行业与本采购标的对应的中小企业划分标准所属行业不一致不享受相关政策。</w:t>
      </w:r>
    </w:p>
    <w:p w14:paraId="35A12546">
      <w:pPr>
        <w:tabs>
          <w:tab w:val="left" w:pos="567"/>
        </w:tabs>
        <w:spacing w:line="360" w:lineRule="auto"/>
        <w:ind w:left="0" w:firstLine="420"/>
        <w:rPr>
          <w:rFonts w:ascii="宋体" w:hAnsi="宋体"/>
          <w:color w:val="auto"/>
          <w:sz w:val="24"/>
          <w:szCs w:val="24"/>
          <w:highlight w:val="none"/>
        </w:rPr>
      </w:pPr>
      <w:r>
        <w:rPr>
          <w:rFonts w:hint="eastAsia" w:ascii="宋体" w:hAnsi="宋体"/>
          <w:color w:val="auto"/>
          <w:sz w:val="24"/>
          <w:szCs w:val="24"/>
          <w:highlight w:val="none"/>
        </w:rPr>
        <w:t>在政府采购活动中，供应商提供的服务符合下列情形的，享受《政府采购促进中小企业发展管理办法》规定的中小企业扶持政策：在服务采购项目中，服务由中小企业承接，即提供服务的人员为中小企业依照《中华人民共和国劳动合同法》订立劳动合同的从业人员。</w:t>
      </w:r>
      <w:r>
        <w:rPr>
          <w:rFonts w:hint="eastAsia" w:ascii="宋体" w:hAnsi="宋体"/>
          <w:b/>
          <w:color w:val="auto"/>
          <w:sz w:val="24"/>
          <w:szCs w:val="24"/>
          <w:highlight w:val="none"/>
        </w:rPr>
        <w:t>服务类项目中供应商若使用退休人员，将不享受相关扶持政策。</w:t>
      </w:r>
    </w:p>
    <w:p w14:paraId="1683EA06">
      <w:pPr>
        <w:keepNext w:val="0"/>
        <w:keepLines w:val="0"/>
        <w:pageBreakBefore w:val="0"/>
        <w:widowControl w:val="0"/>
        <w:tabs>
          <w:tab w:val="left" w:pos="1267"/>
        </w:tabs>
        <w:kinsoku/>
        <w:wordWrap/>
        <w:overflowPunct/>
        <w:topLinePunct w:val="0"/>
        <w:autoSpaceDE/>
        <w:autoSpaceDN/>
        <w:bidi w:val="0"/>
        <w:adjustRightInd/>
        <w:snapToGrid/>
        <w:spacing w:line="360" w:lineRule="auto"/>
        <w:ind w:firstLine="480" w:firstLineChars="200"/>
        <w:textAlignment w:val="auto"/>
        <w:rPr>
          <w:rFonts w:hint="eastAsia" w:ascii="宋体" w:hAnsi="宋体"/>
          <w:bCs/>
          <w:color w:val="auto"/>
          <w:sz w:val="24"/>
          <w:szCs w:val="20"/>
          <w:highlight w:val="none"/>
        </w:rPr>
      </w:pPr>
      <w:r>
        <w:rPr>
          <w:rFonts w:hint="eastAsia" w:ascii="宋体" w:hAnsi="宋体"/>
          <w:bCs/>
          <w:color w:val="auto"/>
          <w:sz w:val="24"/>
          <w:szCs w:val="20"/>
          <w:highlight w:val="none"/>
        </w:rPr>
        <w:t>根据《政府采购促进中小企业发展管理办法》（财库〔2020〕46号）及《中小企业划型标准规定》（工信部联企业〔2011〕300号），本采购标的对应的中小企业划分标准所属行业为：</w:t>
      </w:r>
      <w:r>
        <w:rPr>
          <w:rFonts w:hint="eastAsia" w:ascii="宋体" w:hAnsi="宋体"/>
          <w:b/>
          <w:bCs w:val="0"/>
          <w:color w:val="auto"/>
          <w:sz w:val="24"/>
          <w:szCs w:val="20"/>
          <w:highlight w:val="none"/>
          <w:u w:val="single"/>
        </w:rPr>
        <w:t>其他未列明行业</w:t>
      </w:r>
      <w:r>
        <w:rPr>
          <w:rFonts w:hint="eastAsia" w:ascii="宋体" w:hAnsi="宋体"/>
          <w:bCs/>
          <w:color w:val="auto"/>
          <w:sz w:val="24"/>
          <w:szCs w:val="20"/>
          <w:highlight w:val="none"/>
        </w:rPr>
        <w:t>。</w:t>
      </w:r>
    </w:p>
    <w:p w14:paraId="0C87FDAE">
      <w:pPr>
        <w:tabs>
          <w:tab w:val="left" w:pos="1267"/>
        </w:tabs>
        <w:spacing w:line="360" w:lineRule="auto"/>
        <w:rPr>
          <w:rFonts w:hint="eastAsia" w:ascii="宋体" w:hAnsi="宋体"/>
          <w:bCs/>
          <w:color w:val="auto"/>
          <w:sz w:val="24"/>
          <w:szCs w:val="20"/>
          <w:highlight w:val="none"/>
        </w:rPr>
      </w:pPr>
      <w:r>
        <w:rPr>
          <w:rFonts w:hint="eastAsia" w:ascii="宋体" w:hAnsi="宋体"/>
          <w:bCs/>
          <w:color w:val="auto"/>
          <w:sz w:val="24"/>
          <w:szCs w:val="20"/>
          <w:highlight w:val="none"/>
        </w:rPr>
        <w:t>2、残疾人福利性单位：根据《关于贯彻执行绿色采购、促进残疾人就业和支持监狱企业发展有关政策的通知（苏财购〔2020〕10号）》，残疾人福利性单位视同小型、微型企业，享受评审中价格扣除等促进中小企业发展的政府采购政策，残疾人福利性单位属于小型、微型企业的，不重复享受政策。如供应商认定本企业为残疾人福利性单位，应提交《残疾人福利性单位声明函》，未提交则不享受相关价格扣除政策。</w:t>
      </w:r>
    </w:p>
    <w:p w14:paraId="3B0D67EF">
      <w:pPr>
        <w:spacing w:line="360" w:lineRule="auto"/>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3</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rPr>
        <w:t>监狱企业：根据《关于政府采购支持监狱企业发展有关问题的通知》（财库〔2014〕68号）的相关规定在政府采购活动中，监狱企业视同小型、微型企业，享受预留份额、评审中价格扣除等促进中小企业发展的政府采购政策，监狱企业属于小型、微型企业的，不重复享受政策。监狱企业应当提供由省级以上监狱管理局、戒毒管理局（含新疆生产建设兵团）出具的属于监狱企业的证明文件。</w:t>
      </w:r>
    </w:p>
    <w:p w14:paraId="36990CD0">
      <w:pPr>
        <w:spacing w:line="360" w:lineRule="auto"/>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4</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rPr>
        <w:t>绿色采购</w:t>
      </w:r>
    </w:p>
    <w:p w14:paraId="7CC37000">
      <w:pPr>
        <w:spacing w:line="360" w:lineRule="auto"/>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4.1根据《关于调整优化节能产品、环境标志产品政府采购执行机制的通知》（财库〔2019〕9号）等相关文件的规定，对属于《节能产品政府采购品目清单》中强制采购范围内产品的，供应商须提供由国家确定的认证机构出具的、处于有效期之内的节能产品认证证书，上述品目清单可通过“中国政府采购网”（http://www.ccgp.gov.cn）查询，并在投标文件中提供由国家确定的认证机构出具的、处于有效期之内的节能产品认证证书复印件，否则视为未实质性响应。</w:t>
      </w:r>
    </w:p>
    <w:p w14:paraId="4E823957">
      <w:pPr>
        <w:spacing w:line="360" w:lineRule="auto"/>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4.2为加快数据中心绿色转型，根据财政部、生态环境部、工业和信息化部关于印发《绿色数据中心政府采购需求标准（试行）》的通知（财库〔2023〕7号）文件规定，采购数据中心相关设备、运维服务，应当有利于节约能源、环境保护和资源循环利用，按照标准要求实施相关采购活动，供应商应提供符合标准要求的设备或服务。</w:t>
      </w:r>
    </w:p>
    <w:p w14:paraId="62A239A2">
      <w:pPr>
        <w:spacing w:line="360" w:lineRule="auto"/>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4.3为助力打好污染防治攻坚战，推广使用绿色包装，根据财政部办公厅、生态环境部办公厅、国家邮政局办公室关于印发《商品包装政府采购需求标准（试行）》《快递包装政府采购需求标准（试行）》的通知（财办库〔2020〕123 号文）文件规定，供应商提</w:t>
      </w:r>
      <w:r>
        <w:rPr>
          <w:rFonts w:hint="eastAsia" w:ascii="宋体" w:hAnsi="宋体" w:cs="宋体"/>
          <w:color w:val="auto"/>
          <w:sz w:val="24"/>
          <w:szCs w:val="24"/>
          <w:highlight w:val="none"/>
          <w:lang w:eastAsia="zh-CN"/>
        </w:rPr>
        <w:t>供的</w:t>
      </w:r>
      <w:r>
        <w:rPr>
          <w:rFonts w:hint="eastAsia" w:ascii="宋体" w:hAnsi="宋体" w:cs="宋体"/>
          <w:color w:val="auto"/>
          <w:sz w:val="24"/>
          <w:szCs w:val="24"/>
          <w:highlight w:val="none"/>
        </w:rPr>
        <w:t>产品及相关快递服务的包装应符合标准要求。</w:t>
      </w:r>
    </w:p>
    <w:p w14:paraId="13B8BE4E">
      <w:pPr>
        <w:spacing w:line="360" w:lineRule="auto"/>
        <w:jc w:val="left"/>
        <w:rPr>
          <w:rFonts w:hint="eastAsia" w:ascii="宋体" w:hAnsi="宋体" w:cs="宋体"/>
          <w:bCs/>
          <w:color w:val="auto"/>
          <w:sz w:val="24"/>
          <w:szCs w:val="24"/>
          <w:highlight w:val="none"/>
          <w:shd w:val="clear" w:color="auto" w:fill="FFFFFF"/>
        </w:rPr>
      </w:pPr>
      <w:r>
        <w:rPr>
          <w:rFonts w:hint="eastAsia" w:ascii="宋体" w:hAnsi="宋体" w:cs="宋体"/>
          <w:bCs/>
          <w:color w:val="auto"/>
          <w:sz w:val="24"/>
          <w:szCs w:val="24"/>
          <w:highlight w:val="none"/>
          <w:shd w:val="clear" w:color="auto" w:fill="FFFFFF"/>
        </w:rPr>
        <w:t>七、关于对参与供应商信用记录的政府采购要求</w:t>
      </w:r>
    </w:p>
    <w:p w14:paraId="151A8494">
      <w:pPr>
        <w:spacing w:line="360" w:lineRule="auto"/>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1、采购代理机构会在接收投标文件截止时间后，登录信用中国网站（www.creditchina.gov.cn/）和中国政府采购网（www.ccgp.gov.cn/）查询供应商的信用记录，并将查询结果递交评标委员会。</w:t>
      </w:r>
    </w:p>
    <w:p w14:paraId="2CDD77AE">
      <w:pPr>
        <w:spacing w:line="360" w:lineRule="auto"/>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2、采购过程中将对供应商信用记录进行甄别，对列入失信被执行人、重大税收违法案件当事人名单、政府采购严重违法失信行为记录名单及其他不符合《中华人民共和国政府采购法》第二十二条规定条件的供应商，应当拒绝其参与政府采购活动。</w:t>
      </w:r>
    </w:p>
    <w:p w14:paraId="234637C5">
      <w:pPr>
        <w:spacing w:line="360" w:lineRule="auto"/>
        <w:ind w:firstLine="48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两个以上的自然人、法人或者其他组织组成一个联合体，以一个供应商的身份共同参加政府采购活动的，应当对所有联合体成员进行信用记录查询，联合体成员存在不良信用记录的，视同联合体存在不良信用记录。</w:t>
      </w:r>
    </w:p>
    <w:p w14:paraId="190B1CA6">
      <w:pPr>
        <w:spacing w:line="360" w:lineRule="auto"/>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3、供应商若在经营活动中受到罚款的，请携带相关地方、部门对较大数额认定标准的证明材料，与投标文件一并提交。若无法提供，则可能承担投标无效等相应不利后果。</w:t>
      </w:r>
    </w:p>
    <w:p w14:paraId="7BA06EE2">
      <w:pPr>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4、对存在失信信息的供应商，由失信供应商进行确认。同时，采购代理机构工作人员应根据评标委员会确认的失信信息，</w:t>
      </w:r>
      <w:r>
        <w:rPr>
          <w:rFonts w:hint="eastAsia" w:ascii="宋体" w:hAnsi="宋体" w:cs="宋体"/>
          <w:color w:val="auto"/>
          <w:sz w:val="24"/>
          <w:szCs w:val="24"/>
          <w:highlight w:val="none"/>
          <w:lang w:eastAsia="zh-CN"/>
        </w:rPr>
        <w:t>登录</w:t>
      </w:r>
      <w:r>
        <w:rPr>
          <w:rFonts w:hint="eastAsia" w:ascii="宋体" w:hAnsi="宋体" w:cs="宋体"/>
          <w:color w:val="auto"/>
          <w:sz w:val="24"/>
          <w:szCs w:val="24"/>
          <w:highlight w:val="none"/>
        </w:rPr>
        <w:t>相关来源网站页面进行复核并打印，作为证据留存。</w:t>
      </w:r>
    </w:p>
    <w:p w14:paraId="116EA55C">
      <w:pPr>
        <w:spacing w:line="360" w:lineRule="auto"/>
        <w:rPr>
          <w:rFonts w:hint="eastAsia" w:ascii="宋体" w:hAnsi="宋体" w:cs="宋体"/>
          <w:bCs/>
          <w:color w:val="auto"/>
          <w:sz w:val="44"/>
          <w:szCs w:val="20"/>
          <w:highlight w:val="none"/>
        </w:rPr>
      </w:pPr>
      <w:r>
        <w:rPr>
          <w:rFonts w:hint="eastAsia" w:ascii="宋体" w:hAnsi="宋体" w:cs="宋体"/>
          <w:bCs/>
          <w:color w:val="auto"/>
          <w:sz w:val="44"/>
          <w:szCs w:val="20"/>
          <w:highlight w:val="none"/>
        </w:rPr>
        <w:br w:type="page" w:clear="all"/>
      </w:r>
      <w:r>
        <w:rPr>
          <w:rFonts w:hint="eastAsia" w:ascii="宋体" w:hAnsi="宋体" w:cs="宋体"/>
          <w:bCs/>
          <w:color w:val="auto"/>
          <w:sz w:val="44"/>
          <w:szCs w:val="20"/>
          <w:highlight w:val="none"/>
        </w:rPr>
        <w:t xml:space="preserve">         第五章</w:t>
      </w:r>
      <w:r>
        <w:rPr>
          <w:rFonts w:hint="eastAsia" w:ascii="宋体" w:hAnsi="宋体" w:cs="宋体"/>
          <w:bCs/>
          <w:color w:val="auto"/>
          <w:sz w:val="44"/>
          <w:szCs w:val="20"/>
          <w:highlight w:val="none"/>
          <w:lang w:val="en-US" w:eastAsia="zh-CN"/>
        </w:rPr>
        <w:t xml:space="preserve"> </w:t>
      </w:r>
      <w:r>
        <w:rPr>
          <w:rFonts w:hint="eastAsia" w:ascii="宋体" w:hAnsi="宋体" w:cs="宋体"/>
          <w:bCs/>
          <w:color w:val="auto"/>
          <w:sz w:val="44"/>
          <w:szCs w:val="20"/>
          <w:highlight w:val="none"/>
        </w:rPr>
        <w:t>合同主要条款</w:t>
      </w:r>
    </w:p>
    <w:p w14:paraId="45066020">
      <w:pPr>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 xml:space="preserve">甲方：  </w:t>
      </w:r>
    </w:p>
    <w:p w14:paraId="145511A4">
      <w:pPr>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地址：</w:t>
      </w:r>
    </w:p>
    <w:p w14:paraId="2EF74A24">
      <w:pPr>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联系人：</w:t>
      </w:r>
    </w:p>
    <w:p w14:paraId="0CD29901">
      <w:pPr>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电话：</w:t>
      </w:r>
    </w:p>
    <w:p w14:paraId="4FDA58FD">
      <w:pPr>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 xml:space="preserve"> </w:t>
      </w:r>
    </w:p>
    <w:p w14:paraId="6B6C2B29">
      <w:pPr>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乙方：</w:t>
      </w:r>
    </w:p>
    <w:p w14:paraId="45814687">
      <w:pPr>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 xml:space="preserve">地址： </w:t>
      </w:r>
    </w:p>
    <w:p w14:paraId="2394B155">
      <w:pPr>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联系人：</w:t>
      </w:r>
    </w:p>
    <w:p w14:paraId="6A766A8F">
      <w:pPr>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电话：</w:t>
      </w:r>
    </w:p>
    <w:p w14:paraId="759B0CEC">
      <w:pPr>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hint="eastAsia" w:ascii="宋体" w:hAnsi="宋体" w:cs="宋体"/>
          <w:color w:val="auto"/>
          <w:sz w:val="24"/>
          <w:szCs w:val="24"/>
          <w:highlight w:val="none"/>
        </w:rPr>
      </w:pPr>
    </w:p>
    <w:p w14:paraId="677EB354">
      <w:pPr>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根据《中华人民共和国民法典》有关规定，为明确采购单位（甲方）和供应单位（乙方）服务过程中的权利、义务和经济责任，经双方友好协商，签订以下条款，共同遵守。</w:t>
      </w:r>
    </w:p>
    <w:p w14:paraId="5769C2B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一、定义：以下术语有特定的含义：</w:t>
      </w:r>
    </w:p>
    <w:p w14:paraId="0AC503B3">
      <w:pPr>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“项目”本合同所称项目是指乙方基于其已成交的报价文件而应向甲方提供的符合招标文件要求服务，它还应包括由乙方送交给甲方的所有的必须文件和与使用及验收有关的应进行的任何规定的服务。</w:t>
      </w:r>
    </w:p>
    <w:p w14:paraId="25454B0B">
      <w:pPr>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“甲方”系指合同中明确规定的实际接受服务单位。</w:t>
      </w:r>
    </w:p>
    <w:p w14:paraId="160EEDC4">
      <w:pPr>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“乙方”系指合同中规定的提供服务的单位。</w:t>
      </w:r>
    </w:p>
    <w:p w14:paraId="5AD66FF1">
      <w:pPr>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损失”本合同所指损失是指合同一方因不履行合同义务而遭致另一方及第三方的各种损失及损害的费用，还包括守约方为减轻损害或维护权利而需支付的各种调查费用，车旅费用、律师费用、诉讼费用、保全费用等。</w:t>
      </w:r>
    </w:p>
    <w:p w14:paraId="191BB34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二、下列文件为本合同不可分割部分：</w:t>
      </w:r>
    </w:p>
    <w:p w14:paraId="149A2B01">
      <w:pPr>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（1）中标通知书；</w:t>
      </w:r>
    </w:p>
    <w:p w14:paraId="751C1CC1">
      <w:pPr>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（2）乙方的投标文件；</w:t>
      </w:r>
    </w:p>
    <w:p w14:paraId="7CBF2EA5">
      <w:pPr>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（3）乙方在招投标过程中所作的</w:t>
      </w:r>
      <w:r>
        <w:rPr>
          <w:rFonts w:hint="eastAsia" w:ascii="宋体" w:hAnsi="宋体" w:cs="宋体"/>
          <w:color w:val="auto"/>
          <w:sz w:val="24"/>
          <w:szCs w:val="24"/>
          <w:highlight w:val="none"/>
          <w:lang w:eastAsia="zh-CN"/>
        </w:rPr>
        <w:t>其他</w:t>
      </w:r>
      <w:r>
        <w:rPr>
          <w:rFonts w:hint="eastAsia" w:ascii="宋体" w:hAnsi="宋体" w:cs="宋体"/>
          <w:color w:val="auto"/>
          <w:sz w:val="24"/>
          <w:szCs w:val="24"/>
          <w:highlight w:val="none"/>
        </w:rPr>
        <w:t>承诺、声明、书面澄清等；</w:t>
      </w:r>
    </w:p>
    <w:p w14:paraId="45916582">
      <w:pPr>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（4）招标文件及其附件；</w:t>
      </w:r>
    </w:p>
    <w:p w14:paraId="0F40B837">
      <w:pPr>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（5）合同附件。</w:t>
      </w:r>
    </w:p>
    <w:p w14:paraId="22E055FA">
      <w:pPr>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注：甲方有权选择优势条款进行各类权利的主张，对此乙方知晓并接受</w:t>
      </w:r>
    </w:p>
    <w:p w14:paraId="54EA0255">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三、</w:t>
      </w:r>
      <w:r>
        <w:rPr>
          <w:rFonts w:hint="eastAsia" w:ascii="宋体" w:hAnsi="宋体" w:cs="宋体"/>
          <w:color w:val="auto"/>
          <w:sz w:val="24"/>
          <w:szCs w:val="24"/>
          <w:highlight w:val="none"/>
        </w:rPr>
        <w:t>项目名称：</w:t>
      </w:r>
      <w:r>
        <w:rPr>
          <w:rFonts w:hint="eastAsia" w:ascii="宋体" w:hAnsi="宋体" w:cs="Times New Roman"/>
          <w:color w:val="auto"/>
          <w:sz w:val="24"/>
          <w:highlight w:val="none"/>
          <w:lang w:eastAsia="zh-CN"/>
        </w:rPr>
        <w:t>检验科对外委托外送检测服务</w:t>
      </w:r>
      <w:r>
        <w:rPr>
          <w:rFonts w:hint="eastAsia" w:ascii="宋体" w:hAnsi="宋体" w:cs="宋体"/>
          <w:color w:val="auto"/>
          <w:sz w:val="24"/>
          <w:szCs w:val="24"/>
          <w:highlight w:val="none"/>
        </w:rPr>
        <w:t xml:space="preserve">  </w:t>
      </w:r>
    </w:p>
    <w:p w14:paraId="09E89F91">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hAnsi="宋体"/>
          <w:color w:val="auto"/>
          <w:sz w:val="24"/>
          <w:highlight w:val="none"/>
          <w:lang w:val="zh-CN"/>
        </w:rPr>
      </w:pPr>
      <w:r>
        <w:rPr>
          <w:rFonts w:hint="eastAsia" w:ascii="宋体" w:hAnsi="宋体"/>
          <w:bCs/>
          <w:color w:val="auto"/>
          <w:sz w:val="24"/>
          <w:szCs w:val="20"/>
          <w:highlight w:val="none"/>
          <w:lang w:val="en-US" w:eastAsia="zh-CN"/>
        </w:rPr>
        <w:t>四、</w:t>
      </w:r>
      <w:r>
        <w:rPr>
          <w:rFonts w:hint="eastAsia" w:ascii="宋体" w:hAnsi="宋体"/>
          <w:bCs/>
          <w:color w:val="auto"/>
          <w:sz w:val="24"/>
          <w:szCs w:val="20"/>
          <w:highlight w:val="none"/>
          <w:lang w:val="zh-CN"/>
        </w:rPr>
        <w:t>服务期限：合同签订后</w:t>
      </w:r>
      <w:r>
        <w:rPr>
          <w:rFonts w:hint="eastAsia" w:ascii="宋体" w:hAnsi="宋体"/>
          <w:bCs/>
          <w:color w:val="auto"/>
          <w:sz w:val="24"/>
          <w:szCs w:val="20"/>
          <w:highlight w:val="none"/>
          <w:lang w:val="en-US" w:eastAsia="zh-CN"/>
        </w:rPr>
        <w:t>一</w:t>
      </w:r>
      <w:r>
        <w:rPr>
          <w:rFonts w:hint="eastAsia" w:ascii="宋体" w:hAnsi="宋体"/>
          <w:bCs/>
          <w:color w:val="auto"/>
          <w:sz w:val="24"/>
          <w:szCs w:val="20"/>
          <w:highlight w:val="none"/>
          <w:lang w:val="zh-CN"/>
        </w:rPr>
        <w:t>年（</w:t>
      </w:r>
      <w:r>
        <w:rPr>
          <w:rFonts w:hint="eastAsia" w:ascii="宋体" w:hAnsi="宋体"/>
          <w:bCs/>
          <w:color w:val="auto"/>
          <w:sz w:val="24"/>
          <w:szCs w:val="20"/>
          <w:highlight w:val="none"/>
          <w:lang w:val="en-US" w:eastAsia="zh-CN"/>
        </w:rPr>
        <w:t>2026年  月  日至2027年  月  日</w:t>
      </w:r>
      <w:r>
        <w:rPr>
          <w:rFonts w:hint="eastAsia" w:ascii="宋体" w:hAnsi="宋体"/>
          <w:bCs/>
          <w:color w:val="auto"/>
          <w:sz w:val="24"/>
          <w:szCs w:val="20"/>
          <w:highlight w:val="none"/>
          <w:lang w:val="zh-CN"/>
        </w:rPr>
        <w:t>）</w:t>
      </w:r>
    </w:p>
    <w:p w14:paraId="6D28D5F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五</w:t>
      </w:r>
      <w:r>
        <w:rPr>
          <w:rFonts w:hint="eastAsia" w:ascii="宋体" w:hAnsi="宋体" w:cs="宋体"/>
          <w:color w:val="auto"/>
          <w:sz w:val="24"/>
          <w:szCs w:val="24"/>
          <w:highlight w:val="none"/>
        </w:rPr>
        <w:t>、服务地点：</w:t>
      </w:r>
      <w:r>
        <w:rPr>
          <w:rFonts w:hint="eastAsia" w:ascii="宋体" w:hAnsi="宋体" w:cs="宋体"/>
          <w:color w:val="auto"/>
          <w:sz w:val="24"/>
          <w:szCs w:val="24"/>
          <w:highlight w:val="none"/>
          <w:lang w:val="en-US" w:eastAsia="zh-CN"/>
        </w:rPr>
        <w:t>甲方指定地点</w:t>
      </w:r>
      <w:r>
        <w:rPr>
          <w:rFonts w:hint="eastAsia" w:ascii="宋体" w:hAnsi="宋体" w:cs="宋体"/>
          <w:color w:val="auto"/>
          <w:sz w:val="24"/>
          <w:szCs w:val="24"/>
          <w:highlight w:val="none"/>
        </w:rPr>
        <w:t xml:space="preserve"> </w:t>
      </w:r>
    </w:p>
    <w:p w14:paraId="51443D21">
      <w:pPr>
        <w:spacing w:line="360" w:lineRule="auto"/>
        <w:jc w:val="left"/>
        <w:rPr>
          <w:rFonts w:hint="eastAsia" w:ascii="宋体" w:hAnsi="宋体"/>
          <w:bCs/>
          <w:color w:val="auto"/>
          <w:sz w:val="24"/>
          <w:highlight w:val="none"/>
          <w:lang w:val="zh-CN"/>
        </w:rPr>
      </w:pPr>
      <w:r>
        <w:rPr>
          <w:rFonts w:hint="eastAsia" w:ascii="宋体" w:hAnsi="宋体"/>
          <w:bCs/>
          <w:color w:val="auto"/>
          <w:sz w:val="24"/>
          <w:highlight w:val="none"/>
          <w:lang w:val="en-US" w:eastAsia="zh-CN"/>
        </w:rPr>
        <w:t>六、</w:t>
      </w:r>
      <w:r>
        <w:rPr>
          <w:rFonts w:hint="eastAsia" w:ascii="宋体" w:hAnsi="宋体"/>
          <w:bCs/>
          <w:color w:val="auto"/>
          <w:sz w:val="24"/>
          <w:highlight w:val="none"/>
          <w:lang w:val="zh-CN"/>
        </w:rPr>
        <w:t>项目内容：</w:t>
      </w:r>
    </w:p>
    <w:p w14:paraId="72752157">
      <w:pPr>
        <w:autoSpaceDE w:val="0"/>
        <w:autoSpaceDN w:val="0"/>
        <w:adjustRightInd w:val="0"/>
        <w:spacing w:line="360" w:lineRule="auto"/>
        <w:jc w:val="left"/>
        <w:rPr>
          <w:rFonts w:hint="eastAsia" w:ascii="宋体" w:hAnsi="宋体"/>
          <w:bCs/>
          <w:color w:val="auto"/>
          <w:sz w:val="24"/>
          <w:highlight w:val="none"/>
          <w:lang w:val="zh-CN"/>
        </w:rPr>
      </w:pPr>
      <w:r>
        <w:rPr>
          <w:rFonts w:hint="eastAsia" w:ascii="宋体" w:hAnsi="宋体"/>
          <w:bCs/>
          <w:color w:val="auto"/>
          <w:sz w:val="24"/>
          <w:highlight w:val="none"/>
          <w:lang w:val="zh-CN"/>
        </w:rPr>
        <w:t>甲、乙双方经友好协商，乙方向甲方提供以下检测服务：</w:t>
      </w:r>
    </w:p>
    <w:tbl>
      <w:tblPr>
        <w:tblStyle w:val="33"/>
        <w:tblW w:w="0" w:type="auto"/>
        <w:tblInd w:w="9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65"/>
        <w:gridCol w:w="2074"/>
        <w:gridCol w:w="2074"/>
        <w:gridCol w:w="2312"/>
      </w:tblGrid>
      <w:tr w14:paraId="611CD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865" w:type="dxa"/>
            <w:noWrap w:val="0"/>
            <w:vAlign w:val="center"/>
          </w:tcPr>
          <w:p w14:paraId="7BCAC509">
            <w:pPr>
              <w:adjustRightInd w:val="0"/>
              <w:snapToGrid w:val="0"/>
              <w:spacing w:line="360" w:lineRule="exact"/>
              <w:jc w:val="center"/>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检测项目</w:t>
            </w:r>
          </w:p>
        </w:tc>
        <w:tc>
          <w:tcPr>
            <w:tcW w:w="2074" w:type="dxa"/>
            <w:noWrap w:val="0"/>
            <w:vAlign w:val="center"/>
          </w:tcPr>
          <w:p w14:paraId="68EB9397">
            <w:pPr>
              <w:adjustRightInd w:val="0"/>
              <w:snapToGrid w:val="0"/>
              <w:spacing w:line="360" w:lineRule="exact"/>
              <w:jc w:val="center"/>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收费标准</w:t>
            </w:r>
          </w:p>
        </w:tc>
        <w:tc>
          <w:tcPr>
            <w:tcW w:w="2074" w:type="dxa"/>
            <w:noWrap w:val="0"/>
            <w:vAlign w:val="center"/>
          </w:tcPr>
          <w:p w14:paraId="3150B861">
            <w:pPr>
              <w:adjustRightInd w:val="0"/>
              <w:snapToGrid w:val="0"/>
              <w:spacing w:line="360" w:lineRule="exact"/>
              <w:jc w:val="center"/>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结算价格</w:t>
            </w:r>
          </w:p>
        </w:tc>
        <w:tc>
          <w:tcPr>
            <w:tcW w:w="2312" w:type="dxa"/>
            <w:noWrap w:val="0"/>
            <w:vAlign w:val="center"/>
          </w:tcPr>
          <w:p w14:paraId="37EAD7FA">
            <w:pPr>
              <w:adjustRightInd w:val="0"/>
              <w:snapToGrid w:val="0"/>
              <w:spacing w:line="360" w:lineRule="exact"/>
              <w:jc w:val="center"/>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检测周期</w:t>
            </w:r>
          </w:p>
        </w:tc>
      </w:tr>
      <w:tr w14:paraId="4F0F9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865" w:type="dxa"/>
            <w:noWrap w:val="0"/>
            <w:vAlign w:val="top"/>
          </w:tcPr>
          <w:p w14:paraId="584F95F0">
            <w:pPr>
              <w:adjustRightInd w:val="0"/>
              <w:snapToGrid w:val="0"/>
              <w:spacing w:line="360" w:lineRule="exact"/>
              <w:ind w:firstLine="560"/>
              <w:rPr>
                <w:rFonts w:hint="eastAsia" w:ascii="宋体" w:hAnsi="宋体" w:cs="宋体"/>
                <w:color w:val="auto"/>
                <w:kern w:val="0"/>
                <w:sz w:val="24"/>
                <w:szCs w:val="24"/>
                <w:highlight w:val="none"/>
              </w:rPr>
            </w:pPr>
          </w:p>
        </w:tc>
        <w:tc>
          <w:tcPr>
            <w:tcW w:w="2074" w:type="dxa"/>
            <w:noWrap w:val="0"/>
            <w:vAlign w:val="top"/>
          </w:tcPr>
          <w:p w14:paraId="477ED5BD">
            <w:pPr>
              <w:adjustRightInd w:val="0"/>
              <w:snapToGrid w:val="0"/>
              <w:spacing w:line="360" w:lineRule="exact"/>
              <w:ind w:firstLine="560"/>
              <w:rPr>
                <w:rFonts w:hint="eastAsia" w:ascii="宋体" w:hAnsi="宋体" w:cs="宋体"/>
                <w:color w:val="auto"/>
                <w:kern w:val="0"/>
                <w:sz w:val="24"/>
                <w:szCs w:val="24"/>
                <w:highlight w:val="none"/>
              </w:rPr>
            </w:pPr>
          </w:p>
        </w:tc>
        <w:tc>
          <w:tcPr>
            <w:tcW w:w="2074" w:type="dxa"/>
            <w:noWrap w:val="0"/>
            <w:vAlign w:val="top"/>
          </w:tcPr>
          <w:p w14:paraId="5ED69031">
            <w:pPr>
              <w:adjustRightInd w:val="0"/>
              <w:snapToGrid w:val="0"/>
              <w:spacing w:line="360" w:lineRule="exact"/>
              <w:ind w:firstLine="560"/>
              <w:rPr>
                <w:rFonts w:hint="eastAsia" w:ascii="宋体" w:hAnsi="宋体" w:cs="宋体"/>
                <w:color w:val="auto"/>
                <w:kern w:val="0"/>
                <w:sz w:val="24"/>
                <w:szCs w:val="24"/>
                <w:highlight w:val="none"/>
              </w:rPr>
            </w:pPr>
          </w:p>
        </w:tc>
        <w:tc>
          <w:tcPr>
            <w:tcW w:w="2312" w:type="dxa"/>
            <w:noWrap w:val="0"/>
            <w:vAlign w:val="top"/>
          </w:tcPr>
          <w:p w14:paraId="6756DC13">
            <w:pPr>
              <w:adjustRightInd w:val="0"/>
              <w:snapToGrid w:val="0"/>
              <w:spacing w:line="360" w:lineRule="exact"/>
              <w:ind w:firstLine="560"/>
              <w:rPr>
                <w:rFonts w:hint="eastAsia" w:ascii="宋体" w:hAnsi="宋体" w:cs="宋体"/>
                <w:color w:val="auto"/>
                <w:kern w:val="0"/>
                <w:sz w:val="24"/>
                <w:szCs w:val="24"/>
                <w:highlight w:val="none"/>
              </w:rPr>
            </w:pPr>
          </w:p>
        </w:tc>
      </w:tr>
      <w:tr w14:paraId="6DCE2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865" w:type="dxa"/>
            <w:noWrap w:val="0"/>
            <w:vAlign w:val="top"/>
          </w:tcPr>
          <w:p w14:paraId="61F6F209">
            <w:pPr>
              <w:adjustRightInd w:val="0"/>
              <w:snapToGrid w:val="0"/>
              <w:spacing w:line="360" w:lineRule="exact"/>
              <w:ind w:firstLine="560"/>
              <w:rPr>
                <w:rFonts w:hint="eastAsia" w:ascii="宋体" w:hAnsi="宋体" w:cs="宋体"/>
                <w:color w:val="auto"/>
                <w:kern w:val="0"/>
                <w:sz w:val="24"/>
                <w:szCs w:val="24"/>
                <w:highlight w:val="none"/>
              </w:rPr>
            </w:pPr>
          </w:p>
        </w:tc>
        <w:tc>
          <w:tcPr>
            <w:tcW w:w="2074" w:type="dxa"/>
            <w:noWrap w:val="0"/>
            <w:vAlign w:val="top"/>
          </w:tcPr>
          <w:p w14:paraId="0774A09A">
            <w:pPr>
              <w:adjustRightInd w:val="0"/>
              <w:snapToGrid w:val="0"/>
              <w:spacing w:line="360" w:lineRule="exact"/>
              <w:ind w:firstLine="560"/>
              <w:rPr>
                <w:rFonts w:hint="eastAsia" w:ascii="宋体" w:hAnsi="宋体" w:cs="宋体"/>
                <w:color w:val="auto"/>
                <w:kern w:val="0"/>
                <w:sz w:val="24"/>
                <w:szCs w:val="24"/>
                <w:highlight w:val="none"/>
              </w:rPr>
            </w:pPr>
          </w:p>
        </w:tc>
        <w:tc>
          <w:tcPr>
            <w:tcW w:w="2074" w:type="dxa"/>
            <w:noWrap w:val="0"/>
            <w:vAlign w:val="top"/>
          </w:tcPr>
          <w:p w14:paraId="6F59D875">
            <w:pPr>
              <w:adjustRightInd w:val="0"/>
              <w:snapToGrid w:val="0"/>
              <w:spacing w:line="360" w:lineRule="exact"/>
              <w:ind w:firstLine="560"/>
              <w:rPr>
                <w:rFonts w:hint="eastAsia" w:ascii="宋体" w:hAnsi="宋体" w:cs="宋体"/>
                <w:color w:val="auto"/>
                <w:kern w:val="0"/>
                <w:sz w:val="24"/>
                <w:szCs w:val="24"/>
                <w:highlight w:val="none"/>
              </w:rPr>
            </w:pPr>
          </w:p>
        </w:tc>
        <w:tc>
          <w:tcPr>
            <w:tcW w:w="2312" w:type="dxa"/>
            <w:noWrap w:val="0"/>
            <w:vAlign w:val="top"/>
          </w:tcPr>
          <w:p w14:paraId="7EE730DD">
            <w:pPr>
              <w:adjustRightInd w:val="0"/>
              <w:snapToGrid w:val="0"/>
              <w:spacing w:line="360" w:lineRule="exact"/>
              <w:ind w:firstLine="560"/>
              <w:rPr>
                <w:rFonts w:hint="eastAsia" w:ascii="宋体" w:hAnsi="宋体" w:cs="宋体"/>
                <w:color w:val="auto"/>
                <w:kern w:val="0"/>
                <w:sz w:val="24"/>
                <w:szCs w:val="24"/>
                <w:highlight w:val="none"/>
              </w:rPr>
            </w:pPr>
          </w:p>
        </w:tc>
      </w:tr>
      <w:tr w14:paraId="6F677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865" w:type="dxa"/>
            <w:noWrap w:val="0"/>
            <w:vAlign w:val="top"/>
          </w:tcPr>
          <w:p w14:paraId="38438FC6">
            <w:pPr>
              <w:adjustRightInd w:val="0"/>
              <w:snapToGrid w:val="0"/>
              <w:spacing w:line="360" w:lineRule="exact"/>
              <w:ind w:firstLine="560"/>
              <w:rPr>
                <w:rFonts w:hint="eastAsia" w:ascii="宋体" w:hAnsi="宋体" w:cs="宋体"/>
                <w:color w:val="auto"/>
                <w:kern w:val="0"/>
                <w:sz w:val="24"/>
                <w:szCs w:val="24"/>
                <w:highlight w:val="none"/>
              </w:rPr>
            </w:pPr>
          </w:p>
        </w:tc>
        <w:tc>
          <w:tcPr>
            <w:tcW w:w="2074" w:type="dxa"/>
            <w:noWrap w:val="0"/>
            <w:vAlign w:val="top"/>
          </w:tcPr>
          <w:p w14:paraId="71CBD611">
            <w:pPr>
              <w:adjustRightInd w:val="0"/>
              <w:snapToGrid w:val="0"/>
              <w:spacing w:line="360" w:lineRule="exact"/>
              <w:ind w:firstLine="560"/>
              <w:rPr>
                <w:rFonts w:hint="eastAsia" w:ascii="宋体" w:hAnsi="宋体" w:cs="宋体"/>
                <w:color w:val="auto"/>
                <w:kern w:val="0"/>
                <w:sz w:val="24"/>
                <w:szCs w:val="24"/>
                <w:highlight w:val="none"/>
              </w:rPr>
            </w:pPr>
          </w:p>
        </w:tc>
        <w:tc>
          <w:tcPr>
            <w:tcW w:w="2074" w:type="dxa"/>
            <w:noWrap w:val="0"/>
            <w:vAlign w:val="top"/>
          </w:tcPr>
          <w:p w14:paraId="3560F30B">
            <w:pPr>
              <w:adjustRightInd w:val="0"/>
              <w:snapToGrid w:val="0"/>
              <w:spacing w:line="360" w:lineRule="exact"/>
              <w:ind w:firstLine="560"/>
              <w:rPr>
                <w:rFonts w:hint="eastAsia" w:ascii="宋体" w:hAnsi="宋体" w:cs="宋体"/>
                <w:color w:val="auto"/>
                <w:kern w:val="0"/>
                <w:sz w:val="24"/>
                <w:szCs w:val="24"/>
                <w:highlight w:val="none"/>
              </w:rPr>
            </w:pPr>
          </w:p>
        </w:tc>
        <w:tc>
          <w:tcPr>
            <w:tcW w:w="2312" w:type="dxa"/>
            <w:noWrap w:val="0"/>
            <w:vAlign w:val="top"/>
          </w:tcPr>
          <w:p w14:paraId="20E34884">
            <w:pPr>
              <w:adjustRightInd w:val="0"/>
              <w:snapToGrid w:val="0"/>
              <w:spacing w:line="360" w:lineRule="exact"/>
              <w:ind w:firstLine="560"/>
              <w:rPr>
                <w:rFonts w:hint="eastAsia" w:ascii="宋体" w:hAnsi="宋体" w:cs="宋体"/>
                <w:color w:val="auto"/>
                <w:kern w:val="0"/>
                <w:sz w:val="24"/>
                <w:szCs w:val="24"/>
                <w:highlight w:val="none"/>
              </w:rPr>
            </w:pPr>
          </w:p>
        </w:tc>
      </w:tr>
    </w:tbl>
    <w:p w14:paraId="69A66634">
      <w:pPr>
        <w:autoSpaceDE w:val="0"/>
        <w:autoSpaceDN w:val="0"/>
        <w:adjustRightInd w:val="0"/>
        <w:spacing w:line="360" w:lineRule="auto"/>
        <w:jc w:val="left"/>
        <w:rPr>
          <w:rFonts w:hint="eastAsia" w:ascii="宋体" w:hAnsi="宋体"/>
          <w:bCs/>
          <w:color w:val="auto"/>
          <w:sz w:val="24"/>
          <w:highlight w:val="none"/>
          <w:lang w:val="zh-CN"/>
        </w:rPr>
      </w:pPr>
      <w:r>
        <w:rPr>
          <w:rFonts w:hint="eastAsia" w:ascii="宋体" w:hAnsi="宋体"/>
          <w:bCs/>
          <w:color w:val="auto"/>
          <w:sz w:val="24"/>
          <w:highlight w:val="none"/>
          <w:lang w:val="zh-CN"/>
        </w:rPr>
        <w:t>说明：</w:t>
      </w:r>
    </w:p>
    <w:p w14:paraId="46F844DC">
      <w:pPr>
        <w:autoSpaceDE w:val="0"/>
        <w:autoSpaceDN w:val="0"/>
        <w:adjustRightInd w:val="0"/>
        <w:spacing w:line="360" w:lineRule="auto"/>
        <w:jc w:val="left"/>
        <w:rPr>
          <w:rFonts w:hint="eastAsia" w:ascii="宋体" w:hAnsi="宋体"/>
          <w:bCs/>
          <w:color w:val="auto"/>
          <w:sz w:val="24"/>
          <w:highlight w:val="none"/>
          <w:lang w:val="zh-CN"/>
        </w:rPr>
      </w:pPr>
      <w:r>
        <w:rPr>
          <w:rFonts w:hint="eastAsia" w:ascii="宋体" w:hAnsi="宋体"/>
          <w:bCs/>
          <w:color w:val="auto"/>
          <w:sz w:val="24"/>
          <w:highlight w:val="none"/>
          <w:lang w:val="zh-CN"/>
        </w:rPr>
        <w:t>1.检测周期是自乙方接收到合格样本至出具检测报告的时间。</w:t>
      </w:r>
    </w:p>
    <w:p w14:paraId="67134831">
      <w:pPr>
        <w:autoSpaceDE w:val="0"/>
        <w:autoSpaceDN w:val="0"/>
        <w:adjustRightInd w:val="0"/>
        <w:spacing w:line="360" w:lineRule="auto"/>
        <w:rPr>
          <w:rFonts w:hint="eastAsia" w:ascii="宋体" w:hAnsi="宋体" w:eastAsia="宋体" w:cs="Times New Roman"/>
          <w:bCs/>
          <w:color w:val="auto"/>
          <w:sz w:val="24"/>
          <w:highlight w:val="none"/>
          <w:lang w:val="zh-CN" w:eastAsia="zh-CN"/>
        </w:rPr>
      </w:pPr>
      <w:r>
        <w:rPr>
          <w:rFonts w:hint="eastAsia" w:ascii="宋体" w:hAnsi="宋体"/>
          <w:bCs/>
          <w:color w:val="auto"/>
          <w:sz w:val="24"/>
          <w:highlight w:val="none"/>
          <w:lang w:val="zh-CN"/>
        </w:rPr>
        <w:t>2.</w:t>
      </w:r>
      <w:r>
        <w:rPr>
          <w:rFonts w:hint="eastAsia" w:ascii="宋体" w:hAnsi="宋体" w:eastAsia="宋体" w:cs="Times New Roman"/>
          <w:bCs/>
          <w:color w:val="auto"/>
          <w:sz w:val="24"/>
          <w:highlight w:val="none"/>
          <w:lang w:val="zh-CN"/>
        </w:rPr>
        <w:t>本合同中标优惠率适用于甲方因业务发展需要新增的各类检验项目。若《江苏省医疗服务项目价格手册》收费标准发生政策性调整，甲方按最新规定同步执行调价；价格调整通知生效之日前产生的检测费用，按原收费标准结算；生效之日后产生的检测费用，按调整后的新标准执行结算</w:t>
      </w:r>
      <w:r>
        <w:rPr>
          <w:rFonts w:hint="eastAsia" w:ascii="宋体" w:hAnsi="宋体" w:eastAsia="宋体" w:cs="Times New Roman"/>
          <w:bCs/>
          <w:color w:val="auto"/>
          <w:sz w:val="24"/>
          <w:highlight w:val="none"/>
          <w:lang w:val="zh-CN" w:eastAsia="zh-CN"/>
        </w:rPr>
        <w:t>。</w:t>
      </w:r>
    </w:p>
    <w:p w14:paraId="39A3976B">
      <w:pPr>
        <w:autoSpaceDE w:val="0"/>
        <w:autoSpaceDN w:val="0"/>
        <w:adjustRightInd w:val="0"/>
        <w:spacing w:line="360" w:lineRule="auto"/>
        <w:rPr>
          <w:rFonts w:ascii="宋体" w:hAnsi="宋体"/>
          <w:bCs/>
          <w:color w:val="auto"/>
          <w:sz w:val="24"/>
          <w:highlight w:val="none"/>
        </w:rPr>
      </w:pPr>
      <w:r>
        <w:rPr>
          <w:rFonts w:hint="eastAsia" w:ascii="宋体" w:hAnsi="宋体"/>
          <w:bCs/>
          <w:color w:val="auto"/>
          <w:sz w:val="24"/>
          <w:highlight w:val="none"/>
          <w:lang w:val="en-US" w:eastAsia="zh-CN"/>
        </w:rPr>
        <w:t>七</w:t>
      </w:r>
      <w:r>
        <w:rPr>
          <w:rFonts w:ascii="宋体" w:hAnsi="宋体"/>
          <w:bCs/>
          <w:color w:val="auto"/>
          <w:sz w:val="24"/>
          <w:highlight w:val="none"/>
          <w:lang w:val="zh-CN"/>
        </w:rPr>
        <w:t>、</w:t>
      </w:r>
      <w:r>
        <w:rPr>
          <w:rFonts w:hint="eastAsia" w:ascii="宋体" w:hAnsi="宋体"/>
          <w:bCs/>
          <w:color w:val="auto"/>
          <w:sz w:val="24"/>
          <w:highlight w:val="none"/>
          <w:lang w:val="zh-CN"/>
        </w:rPr>
        <w:t>费用结算</w:t>
      </w:r>
      <w:r>
        <w:rPr>
          <w:rFonts w:ascii="宋体" w:hAnsi="宋体"/>
          <w:bCs/>
          <w:color w:val="auto"/>
          <w:sz w:val="24"/>
          <w:highlight w:val="none"/>
        </w:rPr>
        <w:t>：</w:t>
      </w:r>
    </w:p>
    <w:p w14:paraId="23AE6361">
      <w:pPr>
        <w:autoSpaceDE w:val="0"/>
        <w:autoSpaceDN w:val="0"/>
        <w:adjustRightInd w:val="0"/>
        <w:spacing w:line="360" w:lineRule="auto"/>
        <w:rPr>
          <w:rFonts w:ascii="宋体" w:hAnsi="宋体"/>
          <w:bCs/>
          <w:color w:val="auto"/>
          <w:sz w:val="24"/>
          <w:highlight w:val="none"/>
          <w:lang w:val="zh-CN"/>
        </w:rPr>
      </w:pPr>
      <w:r>
        <w:rPr>
          <w:rFonts w:hint="eastAsia" w:ascii="宋体" w:hAnsi="宋体"/>
          <w:bCs/>
          <w:color w:val="auto"/>
          <w:sz w:val="24"/>
          <w:highlight w:val="none"/>
          <w:lang w:val="zh-CN"/>
        </w:rPr>
        <w:t>1</w:t>
      </w:r>
      <w:r>
        <w:rPr>
          <w:rFonts w:hint="eastAsia" w:ascii="宋体" w:hAnsi="宋体"/>
          <w:bCs/>
          <w:color w:val="auto"/>
          <w:sz w:val="24"/>
          <w:highlight w:val="none"/>
        </w:rPr>
        <w:t>.合同总金额为人民币</w:t>
      </w:r>
      <w:r>
        <w:rPr>
          <w:rFonts w:hint="eastAsia" w:ascii="宋体" w:hAnsi="宋体"/>
          <w:bCs/>
          <w:color w:val="auto"/>
          <w:sz w:val="24"/>
          <w:highlight w:val="none"/>
          <w:lang w:val="zh-CN"/>
        </w:rPr>
        <w:t>：大写</w:t>
      </w:r>
      <w:r>
        <w:rPr>
          <w:rFonts w:hint="eastAsia" w:ascii="宋体" w:hAnsi="宋体"/>
          <w:bCs/>
          <w:color w:val="auto"/>
          <w:sz w:val="24"/>
          <w:highlight w:val="none"/>
          <w:u w:val="single"/>
          <w:lang w:val="zh-CN"/>
        </w:rPr>
        <w:t>（            ）</w:t>
      </w:r>
      <w:r>
        <w:rPr>
          <w:rFonts w:hint="eastAsia" w:ascii="宋体" w:hAnsi="宋体"/>
          <w:bCs/>
          <w:color w:val="auto"/>
          <w:sz w:val="24"/>
          <w:highlight w:val="none"/>
          <w:lang w:val="zh-CN"/>
        </w:rPr>
        <w:t>，小写</w:t>
      </w:r>
      <w:r>
        <w:rPr>
          <w:rFonts w:hint="eastAsia" w:ascii="宋体" w:hAnsi="宋体"/>
          <w:bCs/>
          <w:color w:val="auto"/>
          <w:sz w:val="24"/>
          <w:highlight w:val="none"/>
          <w:u w:val="single"/>
          <w:lang w:val="zh-CN"/>
        </w:rPr>
        <w:t>（          ）</w:t>
      </w:r>
      <w:r>
        <w:rPr>
          <w:rFonts w:hint="eastAsia" w:ascii="宋体" w:hAnsi="宋体"/>
          <w:bCs/>
          <w:color w:val="auto"/>
          <w:sz w:val="24"/>
          <w:highlight w:val="none"/>
          <w:lang w:val="zh-CN"/>
        </w:rPr>
        <w:t>，【</w:t>
      </w:r>
      <w:r>
        <w:rPr>
          <w:rFonts w:hint="eastAsia" w:ascii="宋体" w:hAnsi="宋体"/>
          <w:bCs/>
          <w:color w:val="auto"/>
          <w:sz w:val="24"/>
          <w:highlight w:val="none"/>
          <w:lang w:val="en-US" w:eastAsia="zh-CN"/>
        </w:rPr>
        <w:t>普检项目</w:t>
      </w:r>
      <w:r>
        <w:rPr>
          <w:rFonts w:hint="eastAsia" w:ascii="宋体" w:hAnsi="宋体"/>
          <w:bCs/>
          <w:color w:val="auto"/>
          <w:sz w:val="24"/>
          <w:highlight w:val="none"/>
          <w:lang w:val="zh-CN"/>
        </w:rPr>
        <w:t>结算优惠率</w:t>
      </w:r>
      <w:r>
        <w:rPr>
          <w:rFonts w:hint="eastAsia" w:ascii="宋体" w:hAnsi="宋体"/>
          <w:bCs/>
          <w:color w:val="auto"/>
          <w:sz w:val="24"/>
          <w:highlight w:val="none"/>
          <w:lang w:val="en-US" w:eastAsia="zh-CN"/>
        </w:rPr>
        <w:t>为</w:t>
      </w:r>
      <w:r>
        <w:rPr>
          <w:rFonts w:hint="eastAsia" w:ascii="宋体" w:hAnsi="宋体"/>
          <w:bCs/>
          <w:color w:val="auto"/>
          <w:sz w:val="24"/>
          <w:highlight w:val="none"/>
          <w:lang w:val="zh-CN"/>
        </w:rPr>
        <w:t>：</w:t>
      </w:r>
      <w:r>
        <w:rPr>
          <w:rFonts w:hint="eastAsia" w:ascii="宋体" w:hAnsi="宋体"/>
          <w:bCs/>
          <w:color w:val="auto"/>
          <w:sz w:val="24"/>
          <w:highlight w:val="none"/>
          <w:u w:val="single"/>
        </w:rPr>
        <w:t xml:space="preserve">   %</w:t>
      </w:r>
      <w:r>
        <w:rPr>
          <w:rFonts w:hint="eastAsia" w:ascii="宋体" w:hAnsi="宋体"/>
          <w:bCs/>
          <w:color w:val="auto"/>
          <w:sz w:val="24"/>
          <w:highlight w:val="none"/>
          <w:u w:val="none"/>
          <w:lang w:eastAsia="zh-CN"/>
        </w:rPr>
        <w:t>，</w:t>
      </w:r>
      <w:r>
        <w:rPr>
          <w:rFonts w:hint="eastAsia" w:ascii="宋体" w:hAnsi="宋体"/>
          <w:bCs/>
          <w:color w:val="auto"/>
          <w:sz w:val="24"/>
          <w:highlight w:val="none"/>
          <w:lang w:val="en-US" w:eastAsia="zh-CN"/>
        </w:rPr>
        <w:t>特检项目</w:t>
      </w:r>
      <w:r>
        <w:rPr>
          <w:rFonts w:hint="eastAsia" w:ascii="宋体" w:hAnsi="宋体"/>
          <w:bCs/>
          <w:color w:val="auto"/>
          <w:sz w:val="24"/>
          <w:highlight w:val="none"/>
          <w:lang w:val="zh-CN"/>
        </w:rPr>
        <w:t>结算优惠率</w:t>
      </w:r>
      <w:r>
        <w:rPr>
          <w:rFonts w:hint="eastAsia" w:ascii="宋体" w:hAnsi="宋体"/>
          <w:bCs/>
          <w:color w:val="auto"/>
          <w:sz w:val="24"/>
          <w:highlight w:val="none"/>
          <w:lang w:val="en-US" w:eastAsia="zh-CN"/>
        </w:rPr>
        <w:t>为</w:t>
      </w:r>
      <w:r>
        <w:rPr>
          <w:rFonts w:hint="eastAsia" w:ascii="宋体" w:hAnsi="宋体"/>
          <w:bCs/>
          <w:color w:val="auto"/>
          <w:sz w:val="24"/>
          <w:highlight w:val="none"/>
          <w:lang w:val="zh-CN"/>
        </w:rPr>
        <w:t>：</w:t>
      </w:r>
      <w:r>
        <w:rPr>
          <w:rFonts w:hint="eastAsia" w:ascii="宋体" w:hAnsi="宋体"/>
          <w:bCs/>
          <w:color w:val="auto"/>
          <w:sz w:val="24"/>
          <w:highlight w:val="none"/>
          <w:u w:val="single"/>
        </w:rPr>
        <w:t xml:space="preserve">   %</w:t>
      </w:r>
      <w:r>
        <w:rPr>
          <w:rFonts w:hint="eastAsia" w:ascii="宋体" w:hAnsi="宋体"/>
          <w:bCs/>
          <w:color w:val="auto"/>
          <w:sz w:val="24"/>
          <w:highlight w:val="none"/>
          <w:u w:val="none"/>
          <w:lang w:eastAsia="zh-CN"/>
        </w:rPr>
        <w:t>】</w:t>
      </w:r>
      <w:r>
        <w:rPr>
          <w:rFonts w:hint="eastAsia" w:ascii="宋体" w:hAnsi="宋体"/>
          <w:bCs/>
          <w:color w:val="auto"/>
          <w:sz w:val="24"/>
          <w:highlight w:val="none"/>
        </w:rPr>
        <w:t>。</w:t>
      </w:r>
      <w:r>
        <w:rPr>
          <w:rFonts w:hint="eastAsia" w:ascii="宋体" w:hAnsi="宋体"/>
          <w:bCs/>
          <w:color w:val="auto"/>
          <w:sz w:val="24"/>
          <w:highlight w:val="none"/>
          <w:lang w:eastAsia="zh-CN"/>
        </w:rPr>
        <w:t>包括</w:t>
      </w:r>
      <w:r>
        <w:rPr>
          <w:rFonts w:hint="eastAsia" w:ascii="宋体" w:hAnsi="宋体" w:cs="宋体"/>
          <w:color w:val="auto"/>
          <w:sz w:val="24"/>
          <w:szCs w:val="24"/>
          <w:highlight w:val="none"/>
          <w:lang w:eastAsia="zh-CN"/>
        </w:rPr>
        <w:t>完成本检验检测服务而发生的所有费用，包括但不限于人员薪酬、样本采集包含特殊耗材费用、运输服务，配套车辆设备，售后服务，质量监控信息，外送标本检测成本各类保险、交通、通讯、设备购置及维护与损耗、检验、税金、利润、招标代理服务费及合同包含的所有风险、责任等各项应有费用</w:t>
      </w:r>
      <w:r>
        <w:rPr>
          <w:rFonts w:hint="eastAsia" w:ascii="宋体" w:hAnsi="宋体"/>
          <w:color w:val="auto"/>
          <w:sz w:val="24"/>
          <w:highlight w:val="none"/>
        </w:rPr>
        <w:t>。</w:t>
      </w:r>
    </w:p>
    <w:p w14:paraId="4F5F0853">
      <w:pPr>
        <w:autoSpaceDE w:val="0"/>
        <w:autoSpaceDN w:val="0"/>
        <w:adjustRightInd w:val="0"/>
        <w:spacing w:line="360" w:lineRule="auto"/>
        <w:rPr>
          <w:rFonts w:hint="eastAsia" w:ascii="宋体" w:hAnsi="宋体" w:eastAsia="宋体"/>
          <w:color w:val="auto"/>
          <w:sz w:val="24"/>
          <w:szCs w:val="24"/>
          <w:highlight w:val="none"/>
          <w:shd w:val="clear" w:color="auto" w:fill="auto"/>
          <w:lang w:eastAsia="zh-CN"/>
        </w:rPr>
      </w:pPr>
      <w:r>
        <w:rPr>
          <w:rFonts w:hint="eastAsia" w:ascii="宋体" w:hAnsi="宋体"/>
          <w:color w:val="auto"/>
          <w:sz w:val="24"/>
          <w:szCs w:val="24"/>
          <w:highlight w:val="none"/>
          <w:lang w:val="zh-CN"/>
        </w:rPr>
        <w:t>2.付款步骤：</w:t>
      </w:r>
      <w:r>
        <w:rPr>
          <w:rFonts w:ascii="宋体" w:hAnsi="宋体" w:eastAsia="宋体" w:cs="宋体"/>
          <w:color w:val="auto"/>
          <w:sz w:val="24"/>
          <w:szCs w:val="24"/>
          <w:highlight w:val="none"/>
          <w:shd w:val="clear" w:color="auto" w:fill="auto"/>
        </w:rPr>
        <w:t>乙方每______（结算周期），以甲方出具的收费凭证及乙方实际接收的样本数量作为业务量统计依据，将统计结果同步报送至甲方。双方核对确认无误后，甲方在收到乙方开具的合法有效税务发票后______个工作日内，按照 “业务量 × 结算价格” 的计算标准，向乙方足额支付该周期内的检验检测费用</w:t>
      </w:r>
      <w:r>
        <w:rPr>
          <w:rFonts w:hint="eastAsia" w:ascii="宋体" w:hAnsi="宋体" w:eastAsia="宋体" w:cs="宋体"/>
          <w:color w:val="auto"/>
          <w:sz w:val="24"/>
          <w:szCs w:val="24"/>
          <w:highlight w:val="none"/>
          <w:shd w:val="clear" w:color="auto" w:fill="auto"/>
          <w:lang w:eastAsia="zh-CN"/>
        </w:rPr>
        <w:t>。</w:t>
      </w:r>
    </w:p>
    <w:p w14:paraId="77F63E11">
      <w:pPr>
        <w:autoSpaceDE w:val="0"/>
        <w:autoSpaceDN w:val="0"/>
        <w:adjustRightInd w:val="0"/>
        <w:spacing w:line="360" w:lineRule="auto"/>
        <w:rPr>
          <w:rFonts w:hint="eastAsia" w:ascii="宋体" w:hAnsi="宋体"/>
          <w:bCs/>
          <w:color w:val="auto"/>
          <w:sz w:val="24"/>
          <w:highlight w:val="none"/>
          <w:lang w:val="zh-CN"/>
        </w:rPr>
      </w:pPr>
      <w:r>
        <w:rPr>
          <w:rFonts w:hint="eastAsia" w:ascii="宋体" w:hAnsi="宋体"/>
          <w:bCs/>
          <w:color w:val="auto"/>
          <w:sz w:val="24"/>
          <w:highlight w:val="none"/>
        </w:rPr>
        <w:t>3.</w:t>
      </w:r>
      <w:r>
        <w:rPr>
          <w:rFonts w:hint="eastAsia" w:ascii="宋体" w:hAnsi="宋体"/>
          <w:bCs/>
          <w:color w:val="auto"/>
          <w:sz w:val="24"/>
          <w:highlight w:val="none"/>
          <w:lang w:val="zh-CN"/>
        </w:rPr>
        <w:t>乙方</w:t>
      </w:r>
      <w:r>
        <w:rPr>
          <w:rFonts w:hint="eastAsia" w:ascii="宋体" w:hAnsi="宋体"/>
          <w:bCs/>
          <w:color w:val="auto"/>
          <w:sz w:val="24"/>
          <w:highlight w:val="none"/>
          <w:lang w:val="en-US" w:eastAsia="zh-CN"/>
        </w:rPr>
        <w:t>未</w:t>
      </w:r>
      <w:r>
        <w:rPr>
          <w:rFonts w:hint="eastAsia" w:ascii="宋体" w:hAnsi="宋体"/>
          <w:bCs/>
          <w:color w:val="auto"/>
          <w:sz w:val="24"/>
          <w:highlight w:val="none"/>
          <w:lang w:val="zh-CN"/>
        </w:rPr>
        <w:t>开具发票或开具发票不符合规定的，甲方有权暂缓支付相应款项，因此产生的损失及违约责任由乙方承担。</w:t>
      </w:r>
    </w:p>
    <w:p w14:paraId="21511107">
      <w:pPr>
        <w:autoSpaceDE w:val="0"/>
        <w:autoSpaceDN w:val="0"/>
        <w:adjustRightInd w:val="0"/>
        <w:spacing w:line="360" w:lineRule="auto"/>
        <w:rPr>
          <w:rFonts w:hint="eastAsia" w:ascii="宋体" w:hAnsi="宋体"/>
          <w:bCs/>
          <w:color w:val="auto"/>
          <w:sz w:val="24"/>
          <w:highlight w:val="none"/>
          <w:lang w:val="zh-CN"/>
        </w:rPr>
      </w:pPr>
      <w:r>
        <w:rPr>
          <w:rFonts w:hint="eastAsia" w:ascii="宋体" w:hAnsi="宋体"/>
          <w:bCs/>
          <w:color w:val="auto"/>
          <w:sz w:val="24"/>
          <w:highlight w:val="none"/>
        </w:rPr>
        <w:t>4.</w:t>
      </w:r>
      <w:r>
        <w:rPr>
          <w:rFonts w:hint="eastAsia" w:ascii="宋体" w:hAnsi="宋体"/>
          <w:bCs/>
          <w:color w:val="auto"/>
          <w:sz w:val="24"/>
          <w:highlight w:val="none"/>
          <w:lang w:val="zh-CN"/>
        </w:rPr>
        <w:t>甲方支付此项费用外不再承担其他任何费用（包括个人），人员的薪金、福利、休假日补贴等由乙方付给，与甲方无关。</w:t>
      </w:r>
    </w:p>
    <w:p w14:paraId="532E7B64">
      <w:pPr>
        <w:autoSpaceDE w:val="0"/>
        <w:autoSpaceDN w:val="0"/>
        <w:adjustRightInd w:val="0"/>
        <w:spacing w:line="360" w:lineRule="auto"/>
        <w:rPr>
          <w:rFonts w:ascii="宋体" w:hAnsi="宋体"/>
          <w:bCs/>
          <w:color w:val="auto"/>
          <w:sz w:val="24"/>
          <w:highlight w:val="none"/>
          <w:lang w:val="zh-CN"/>
        </w:rPr>
      </w:pPr>
      <w:r>
        <w:rPr>
          <w:rFonts w:hint="eastAsia" w:ascii="宋体" w:hAnsi="宋体"/>
          <w:bCs/>
          <w:color w:val="auto"/>
          <w:sz w:val="24"/>
          <w:highlight w:val="none"/>
        </w:rPr>
        <w:t>5</w:t>
      </w:r>
      <w:r>
        <w:rPr>
          <w:rFonts w:hint="eastAsia" w:ascii="宋体" w:hAnsi="宋体"/>
          <w:bCs/>
          <w:color w:val="auto"/>
          <w:sz w:val="24"/>
          <w:highlight w:val="none"/>
          <w:lang w:val="zh-CN"/>
        </w:rPr>
        <w:t>.根据现行税法对甲方征收的与本合同有关的一切税费均由甲方承担；根据现行税法对乙方征收的与本合同有关的一切税费均由乙方承担。</w:t>
      </w:r>
    </w:p>
    <w:p w14:paraId="2E78F966">
      <w:pPr>
        <w:autoSpaceDE w:val="0"/>
        <w:autoSpaceDN w:val="0"/>
        <w:adjustRightInd w:val="0"/>
        <w:spacing w:line="360" w:lineRule="auto"/>
        <w:rPr>
          <w:rFonts w:hint="eastAsia" w:ascii="宋体" w:hAnsi="宋体" w:cs="宋体"/>
          <w:bCs/>
          <w:color w:val="auto"/>
          <w:sz w:val="24"/>
          <w:highlight w:val="none"/>
        </w:rPr>
      </w:pPr>
      <w:r>
        <w:rPr>
          <w:rFonts w:hint="eastAsia" w:ascii="宋体" w:hAnsi="宋体" w:cs="宋体"/>
          <w:bCs/>
          <w:color w:val="auto"/>
          <w:sz w:val="24"/>
          <w:highlight w:val="none"/>
        </w:rPr>
        <w:t>6.乙方收款信息：</w:t>
      </w:r>
    </w:p>
    <w:p w14:paraId="26717C92">
      <w:pPr>
        <w:autoSpaceDE w:val="0"/>
        <w:autoSpaceDN w:val="0"/>
        <w:adjustRightInd w:val="0"/>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 xml:space="preserve">户名： </w:t>
      </w:r>
    </w:p>
    <w:p w14:paraId="4D42ED51">
      <w:pPr>
        <w:autoSpaceDE w:val="0"/>
        <w:autoSpaceDN w:val="0"/>
        <w:adjustRightInd w:val="0"/>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 xml:space="preserve">税号： </w:t>
      </w:r>
    </w:p>
    <w:p w14:paraId="133304D4">
      <w:pPr>
        <w:autoSpaceDE w:val="0"/>
        <w:autoSpaceDN w:val="0"/>
        <w:adjustRightInd w:val="0"/>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 xml:space="preserve">开户行： </w:t>
      </w:r>
    </w:p>
    <w:p w14:paraId="3FEE70D6">
      <w:pPr>
        <w:autoSpaceDE w:val="0"/>
        <w:autoSpaceDN w:val="0"/>
        <w:adjustRightInd w:val="0"/>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账号：</w:t>
      </w:r>
    </w:p>
    <w:p w14:paraId="64711229">
      <w:pPr>
        <w:autoSpaceDE w:val="0"/>
        <w:autoSpaceDN w:val="0"/>
        <w:adjustRightInd w:val="0"/>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地址：</w:t>
      </w:r>
    </w:p>
    <w:p w14:paraId="227DDC51">
      <w:pPr>
        <w:autoSpaceDE w:val="0"/>
        <w:autoSpaceDN w:val="0"/>
        <w:adjustRightInd w:val="0"/>
        <w:spacing w:line="360" w:lineRule="auto"/>
        <w:rPr>
          <w:rFonts w:ascii="宋体" w:hAnsi="宋体"/>
          <w:color w:val="auto"/>
          <w:sz w:val="24"/>
          <w:szCs w:val="24"/>
          <w:highlight w:val="none"/>
        </w:rPr>
      </w:pPr>
      <w:r>
        <w:rPr>
          <w:rFonts w:hint="eastAsia" w:ascii="宋体" w:hAnsi="宋体"/>
          <w:color w:val="auto"/>
          <w:sz w:val="24"/>
          <w:szCs w:val="24"/>
          <w:highlight w:val="none"/>
        </w:rPr>
        <w:t>7.禁止现金交易，甲方将款项打入上述账号，即视为完成付款。</w:t>
      </w:r>
    </w:p>
    <w:p w14:paraId="6C1FA673">
      <w:pPr>
        <w:autoSpaceDE w:val="0"/>
        <w:autoSpaceDN w:val="0"/>
        <w:adjustRightInd w:val="0"/>
        <w:spacing w:line="360" w:lineRule="auto"/>
        <w:rPr>
          <w:rFonts w:hint="eastAsia" w:ascii="宋体" w:hAnsi="宋体"/>
          <w:color w:val="auto"/>
          <w:sz w:val="24"/>
          <w:szCs w:val="24"/>
          <w:highlight w:val="none"/>
        </w:rPr>
      </w:pPr>
      <w:r>
        <w:rPr>
          <w:rFonts w:hint="eastAsia" w:ascii="宋体" w:hAnsi="宋体"/>
          <w:color w:val="auto"/>
          <w:sz w:val="24"/>
          <w:szCs w:val="24"/>
          <w:highlight w:val="none"/>
          <w:lang w:val="en-US" w:eastAsia="zh-CN"/>
        </w:rPr>
        <w:t>八</w:t>
      </w:r>
      <w:r>
        <w:rPr>
          <w:rFonts w:hint="eastAsia" w:ascii="宋体" w:hAnsi="宋体"/>
          <w:color w:val="auto"/>
          <w:sz w:val="24"/>
          <w:szCs w:val="24"/>
          <w:highlight w:val="none"/>
        </w:rPr>
        <w:t>、双方权利与义务</w:t>
      </w:r>
    </w:p>
    <w:p w14:paraId="61DF7AAF">
      <w:pPr>
        <w:adjustRightInd w:val="0"/>
        <w:snapToGrid w:val="0"/>
        <w:spacing w:line="360" w:lineRule="auto"/>
        <w:rPr>
          <w:rFonts w:hint="eastAsia" w:ascii="宋体" w:hAnsi="宋体" w:cs="宋体"/>
          <w:b/>
          <w:color w:val="auto"/>
          <w:sz w:val="24"/>
          <w:szCs w:val="24"/>
          <w:highlight w:val="none"/>
        </w:rPr>
      </w:pPr>
      <w:r>
        <w:rPr>
          <w:rFonts w:hint="eastAsia" w:ascii="宋体" w:hAnsi="宋体" w:cs="宋体"/>
          <w:b/>
          <w:color w:val="auto"/>
          <w:sz w:val="24"/>
          <w:szCs w:val="24"/>
          <w:highlight w:val="none"/>
          <w:lang w:val="en-US" w:eastAsia="zh-CN"/>
        </w:rPr>
        <w:t>1、</w:t>
      </w:r>
      <w:r>
        <w:rPr>
          <w:rFonts w:hint="eastAsia" w:ascii="宋体" w:hAnsi="宋体" w:cs="宋体"/>
          <w:b/>
          <w:color w:val="auto"/>
          <w:sz w:val="24"/>
          <w:szCs w:val="24"/>
          <w:highlight w:val="none"/>
        </w:rPr>
        <w:t>甲方权利和义务</w:t>
      </w:r>
    </w:p>
    <w:p w14:paraId="18D77099">
      <w:pPr>
        <w:adjustRightInd w:val="0"/>
        <w:snapToGrid w:val="0"/>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1.</w:t>
      </w:r>
      <w:r>
        <w:rPr>
          <w:rFonts w:hint="eastAsia" w:ascii="宋体" w:hAnsi="宋体" w:cs="宋体"/>
          <w:color w:val="auto"/>
          <w:sz w:val="24"/>
          <w:szCs w:val="24"/>
          <w:highlight w:val="none"/>
        </w:rPr>
        <w:t>1受检者咨询：甲方负责告知受检者及家属关于检测项目的相关必要信息及各种检测技术的局限性，并对受检者给予咨询解答工作，安排和指导受检者在接受检测前签署相关的知情同意书。</w:t>
      </w:r>
    </w:p>
    <w:p w14:paraId="759EBF99">
      <w:pPr>
        <w:adjustRightInd w:val="0"/>
        <w:snapToGrid w:val="0"/>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1.</w:t>
      </w:r>
      <w:r>
        <w:rPr>
          <w:rFonts w:hint="eastAsia" w:ascii="宋体" w:hAnsi="宋体" w:cs="宋体"/>
          <w:color w:val="auto"/>
          <w:sz w:val="24"/>
          <w:szCs w:val="24"/>
          <w:highlight w:val="none"/>
        </w:rPr>
        <w:t>2样本采集和前期处理：甲方负责样本采集并保证样本的合法性、合格性。甲方应当在约定的检测项目要求的规定时间内，按照规定的方式对其所采集的标本进行符合规范的前期处理和存储。</w:t>
      </w:r>
    </w:p>
    <w:p w14:paraId="79DD7252">
      <w:pPr>
        <w:adjustRightInd w:val="0"/>
        <w:snapToGrid w:val="0"/>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1.</w:t>
      </w:r>
      <w:r>
        <w:rPr>
          <w:rFonts w:hint="eastAsia" w:ascii="宋体" w:hAnsi="宋体" w:cs="宋体"/>
          <w:color w:val="auto"/>
          <w:sz w:val="24"/>
          <w:szCs w:val="24"/>
          <w:highlight w:val="none"/>
        </w:rPr>
        <w:t>3样本递送：甲方负责向乙方提供样本及每份样本的检测申请单、知情同意书，并确保样本、申请单、知情同意书中受检者信息一致，受检者和送检医生均需签字。甲方根据双方约定的方式将上述资料和样本递送至乙方，同时提供签字确认的交接单。</w:t>
      </w:r>
    </w:p>
    <w:p w14:paraId="4CB130DD">
      <w:pPr>
        <w:adjustRightInd w:val="0"/>
        <w:snapToGrid w:val="0"/>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1.</w:t>
      </w:r>
      <w:r>
        <w:rPr>
          <w:rFonts w:hint="eastAsia" w:ascii="宋体" w:hAnsi="宋体" w:cs="宋体"/>
          <w:color w:val="auto"/>
          <w:sz w:val="24"/>
          <w:szCs w:val="24"/>
          <w:highlight w:val="none"/>
        </w:rPr>
        <w:t>4报告接收与发放：甲方应及时接收乙方所发放的检测报告单，根据检测结果及解释向受检者提供合理的医学建议。</w:t>
      </w:r>
    </w:p>
    <w:p w14:paraId="417BE0AE">
      <w:pPr>
        <w:adjustRightInd w:val="0"/>
        <w:snapToGrid w:val="0"/>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1.</w:t>
      </w:r>
      <w:r>
        <w:rPr>
          <w:rFonts w:hint="eastAsia" w:ascii="宋体" w:hAnsi="宋体" w:cs="宋体"/>
          <w:color w:val="auto"/>
          <w:sz w:val="24"/>
          <w:szCs w:val="24"/>
          <w:highlight w:val="none"/>
        </w:rPr>
        <w:t>5样本重采：由于受检者个体差异及不可控因素导致样本不符合检测要求需要重新采样的，甲方需根据乙方的反馈信息及时与受检者沟通并安排重新采样，重新采样检测不收取费用。</w:t>
      </w:r>
    </w:p>
    <w:p w14:paraId="609533BB">
      <w:pPr>
        <w:adjustRightInd w:val="0"/>
        <w:snapToGrid w:val="0"/>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1.</w:t>
      </w:r>
      <w:r>
        <w:rPr>
          <w:rFonts w:hint="eastAsia" w:ascii="宋体" w:hAnsi="宋体" w:cs="宋体"/>
          <w:color w:val="auto"/>
          <w:sz w:val="24"/>
          <w:szCs w:val="24"/>
          <w:highlight w:val="none"/>
        </w:rPr>
        <w:t>6检测收费：甲方每</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（定期）统计一次，并及时和乙方提供的对账单核对，准时结算检测费用。</w:t>
      </w:r>
    </w:p>
    <w:p w14:paraId="39124131">
      <w:pPr>
        <w:tabs>
          <w:tab w:val="left" w:pos="4115"/>
        </w:tabs>
        <w:adjustRightInd w:val="0"/>
        <w:snapToGrid w:val="0"/>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1.</w:t>
      </w:r>
      <w:r>
        <w:rPr>
          <w:rFonts w:hint="eastAsia" w:ascii="宋体" w:hAnsi="宋体" w:cs="宋体"/>
          <w:color w:val="auto"/>
          <w:sz w:val="24"/>
          <w:szCs w:val="24"/>
          <w:highlight w:val="none"/>
        </w:rPr>
        <w:t>7甲方对乙方有监管权利，对乙方实验室以及提供的检测服务内容、质量进行定期或不定期质控监督。</w:t>
      </w:r>
    </w:p>
    <w:p w14:paraId="2AAA91E7">
      <w:pPr>
        <w:adjustRightInd w:val="0"/>
        <w:snapToGrid w:val="0"/>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1.</w:t>
      </w:r>
      <w:r>
        <w:rPr>
          <w:rFonts w:hint="eastAsia" w:ascii="宋体" w:hAnsi="宋体" w:cs="宋体"/>
          <w:color w:val="auto"/>
          <w:sz w:val="24"/>
          <w:szCs w:val="24"/>
          <w:highlight w:val="none"/>
        </w:rPr>
        <w:t>8其他：</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w:t>
      </w:r>
    </w:p>
    <w:p w14:paraId="15F4B9DD">
      <w:pPr>
        <w:adjustRightInd w:val="0"/>
        <w:snapToGrid w:val="0"/>
        <w:spacing w:line="360" w:lineRule="auto"/>
        <w:rPr>
          <w:rFonts w:hint="eastAsia" w:ascii="宋体" w:hAnsi="宋体" w:cs="宋体"/>
          <w:b/>
          <w:color w:val="auto"/>
          <w:sz w:val="24"/>
          <w:szCs w:val="24"/>
          <w:highlight w:val="none"/>
        </w:rPr>
      </w:pPr>
      <w:r>
        <w:rPr>
          <w:rFonts w:hint="eastAsia" w:ascii="宋体" w:hAnsi="宋体" w:cs="宋体"/>
          <w:b/>
          <w:color w:val="auto"/>
          <w:sz w:val="24"/>
          <w:szCs w:val="24"/>
          <w:highlight w:val="none"/>
          <w:lang w:val="en-US" w:eastAsia="zh-CN"/>
        </w:rPr>
        <w:t>2、</w:t>
      </w:r>
      <w:r>
        <w:rPr>
          <w:rFonts w:hint="eastAsia" w:ascii="宋体" w:hAnsi="宋体" w:cs="宋体"/>
          <w:b/>
          <w:color w:val="auto"/>
          <w:sz w:val="24"/>
          <w:szCs w:val="24"/>
          <w:highlight w:val="none"/>
        </w:rPr>
        <w:t>乙方权利和义务</w:t>
      </w:r>
    </w:p>
    <w:p w14:paraId="44CFCB11">
      <w:pPr>
        <w:adjustRightInd w:val="0"/>
        <w:snapToGrid w:val="0"/>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2.</w:t>
      </w:r>
      <w:r>
        <w:rPr>
          <w:rFonts w:hint="eastAsia" w:ascii="宋体" w:hAnsi="宋体" w:cs="宋体"/>
          <w:color w:val="auto"/>
          <w:sz w:val="24"/>
          <w:szCs w:val="24"/>
          <w:highlight w:val="none"/>
        </w:rPr>
        <w:t>1临床培训和资料提供：乙方负责提供分析前样本的质量控制等相关内容的培训服务。乙方负责提供标本采集、运送所需的技术方法、递送所需的相应文本和材料。</w:t>
      </w:r>
    </w:p>
    <w:p w14:paraId="62D97BC8">
      <w:pPr>
        <w:adjustRightInd w:val="0"/>
        <w:snapToGrid w:val="0"/>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2.</w:t>
      </w:r>
      <w:r>
        <w:rPr>
          <w:rFonts w:hint="eastAsia" w:ascii="宋体" w:hAnsi="宋体" w:cs="宋体"/>
          <w:color w:val="auto"/>
          <w:sz w:val="24"/>
          <w:szCs w:val="24"/>
          <w:highlight w:val="none"/>
        </w:rPr>
        <w:t>2样本接收：乙方安排专人负责接收甲方递送的样本，并将签字确认后的交接单交还甲方。乙方接收到样本后核对样本、检测申请单和知情同意书信息；若发现信息不一致、样本破损或外观异常、无受检者和送检医生签字等现象，则该样本视为不合格样本，乙方应及时通知甲方确认送检信息或重采样本、补签字等。</w:t>
      </w:r>
    </w:p>
    <w:p w14:paraId="66CE5BCE">
      <w:pPr>
        <w:adjustRightInd w:val="0"/>
        <w:snapToGrid w:val="0"/>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2.</w:t>
      </w:r>
      <w:r>
        <w:rPr>
          <w:rFonts w:hint="eastAsia" w:ascii="宋体" w:hAnsi="宋体" w:cs="宋体"/>
          <w:color w:val="auto"/>
          <w:sz w:val="24"/>
          <w:szCs w:val="24"/>
          <w:highlight w:val="none"/>
        </w:rPr>
        <w:t>3样本检测：乙方负责在接收到合格的样本、相关知情同意书及临床申请单后，安排样本的检测。所有经过检测后的剩余样本，均由乙方按相关法规负责处理或长期保管，并保证不提供给甲方之外的第三人。</w:t>
      </w:r>
    </w:p>
    <w:p w14:paraId="16A38C42">
      <w:pPr>
        <w:adjustRightInd w:val="0"/>
        <w:snapToGrid w:val="0"/>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2.3.1</w:t>
      </w:r>
      <w:r>
        <w:rPr>
          <w:rFonts w:hint="eastAsia" w:ascii="宋体" w:hAnsi="宋体" w:cs="宋体"/>
          <w:color w:val="auto"/>
          <w:sz w:val="24"/>
          <w:szCs w:val="24"/>
          <w:highlight w:val="none"/>
        </w:rPr>
        <w:t>乙方严格按照相关标准开展本合同委托检测工作，不得转包、分包，保证工作全过程的公正性、科学性、准确性、可追溯性，并严格保障受检者个人隐私及数据安全，所涉及检测内容及结果不外泄。</w:t>
      </w:r>
    </w:p>
    <w:p w14:paraId="5120F89F">
      <w:pPr>
        <w:adjustRightInd w:val="0"/>
        <w:snapToGrid w:val="0"/>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2.3.2</w:t>
      </w:r>
      <w:r>
        <w:rPr>
          <w:rFonts w:hint="eastAsia" w:ascii="宋体" w:hAnsi="宋体" w:cs="宋体"/>
          <w:color w:val="auto"/>
          <w:sz w:val="24"/>
          <w:szCs w:val="24"/>
          <w:highlight w:val="none"/>
        </w:rPr>
        <w:t>乙方检测时使用的设备必须在检定合格有效期内，环境符合标准检测要求。</w:t>
      </w:r>
    </w:p>
    <w:p w14:paraId="206041B1">
      <w:pPr>
        <w:adjustRightInd w:val="0"/>
        <w:snapToGrid w:val="0"/>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2.3.3</w:t>
      </w:r>
      <w:r>
        <w:rPr>
          <w:rFonts w:hint="eastAsia" w:ascii="宋体" w:hAnsi="宋体" w:cs="宋体"/>
          <w:color w:val="auto"/>
          <w:sz w:val="24"/>
          <w:szCs w:val="24"/>
          <w:highlight w:val="none"/>
        </w:rPr>
        <w:t>乙方对标本的全程管理符合检测需求和生物安全的要求。</w:t>
      </w:r>
    </w:p>
    <w:p w14:paraId="7CA2DDA0">
      <w:pPr>
        <w:adjustRightInd w:val="0"/>
        <w:snapToGrid w:val="0"/>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2.3.4</w:t>
      </w:r>
      <w:r>
        <w:rPr>
          <w:rFonts w:hint="eastAsia" w:ascii="宋体" w:hAnsi="宋体" w:cs="宋体"/>
          <w:color w:val="auto"/>
          <w:sz w:val="24"/>
          <w:szCs w:val="24"/>
          <w:highlight w:val="none"/>
        </w:rPr>
        <w:t>乙方保证检验过程中的质量控制。</w:t>
      </w:r>
    </w:p>
    <w:p w14:paraId="4D35575A">
      <w:pPr>
        <w:adjustRightInd w:val="0"/>
        <w:snapToGrid w:val="0"/>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2.3.5</w:t>
      </w:r>
      <w:r>
        <w:rPr>
          <w:rFonts w:hint="eastAsia" w:ascii="宋体" w:hAnsi="宋体" w:cs="宋体"/>
          <w:color w:val="auto"/>
          <w:sz w:val="24"/>
          <w:szCs w:val="24"/>
          <w:highlight w:val="none"/>
        </w:rPr>
        <w:t>乙方根据行业标准保留检测后的标本以备复检。由于标本量不够导致无法复检的，乙方不负责复检。检测后的标本保存期不少于7天，检测报告保存期同病历保管要求。</w:t>
      </w:r>
    </w:p>
    <w:p w14:paraId="28695694">
      <w:pPr>
        <w:adjustRightInd w:val="0"/>
        <w:snapToGrid w:val="0"/>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2.3.6</w:t>
      </w:r>
      <w:r>
        <w:rPr>
          <w:rFonts w:hint="eastAsia" w:ascii="宋体" w:hAnsi="宋体" w:cs="宋体"/>
          <w:color w:val="auto"/>
          <w:sz w:val="24"/>
          <w:szCs w:val="24"/>
          <w:highlight w:val="none"/>
        </w:rPr>
        <w:t>乙方仅对来样负责。乙方必须按照甲方委托书要求内容进行测试，出具检测报告。报告内容必须真实、准确，保证与所测试的原始数据一致。</w:t>
      </w:r>
    </w:p>
    <w:p w14:paraId="101FB125">
      <w:pPr>
        <w:adjustRightInd w:val="0"/>
        <w:snapToGrid w:val="0"/>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2.3.7</w:t>
      </w:r>
      <w:r>
        <w:rPr>
          <w:rFonts w:hint="eastAsia" w:ascii="宋体" w:hAnsi="宋体" w:cs="宋体"/>
          <w:color w:val="auto"/>
          <w:sz w:val="24"/>
          <w:szCs w:val="24"/>
          <w:highlight w:val="none"/>
        </w:rPr>
        <w:t>乙方对甲方提供的相关检测信息确认无误后，应在承诺的检测周期内出具准确可靠的检测报告，乙方对出具的检测报告负全部责任。如有特殊情况不能在周期内出具报告，应及时告知甲方。</w:t>
      </w:r>
    </w:p>
    <w:p w14:paraId="37F0DDC1">
      <w:pPr>
        <w:adjustRightInd w:val="0"/>
        <w:snapToGrid w:val="0"/>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2.3.8</w:t>
      </w:r>
      <w:r>
        <w:rPr>
          <w:rFonts w:hint="eastAsia" w:ascii="宋体" w:hAnsi="宋体" w:cs="宋体"/>
          <w:color w:val="auto"/>
          <w:sz w:val="24"/>
          <w:szCs w:val="24"/>
          <w:highlight w:val="none"/>
        </w:rPr>
        <w:t>检验结果的信息化，乙方应根据甲方的需求具体落实并承担因此而发生的费用。</w:t>
      </w:r>
    </w:p>
    <w:p w14:paraId="2527404B">
      <w:pPr>
        <w:adjustRightInd w:val="0"/>
        <w:snapToGrid w:val="0"/>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2.3.9</w:t>
      </w:r>
      <w:r>
        <w:rPr>
          <w:rFonts w:hint="eastAsia" w:ascii="宋体" w:hAnsi="宋体" w:cs="宋体"/>
          <w:color w:val="auto"/>
          <w:sz w:val="24"/>
          <w:szCs w:val="24"/>
          <w:highlight w:val="none"/>
        </w:rPr>
        <w:t>乙方专业的技术人员负责向甲方解释各项检测方法、质控标准、结果。</w:t>
      </w:r>
    </w:p>
    <w:p w14:paraId="7F5E4882">
      <w:pPr>
        <w:adjustRightInd w:val="0"/>
        <w:snapToGrid w:val="0"/>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2.3.10</w:t>
      </w:r>
      <w:r>
        <w:rPr>
          <w:rFonts w:hint="eastAsia" w:ascii="宋体" w:hAnsi="宋体" w:cs="宋体"/>
          <w:color w:val="auto"/>
          <w:sz w:val="24"/>
          <w:szCs w:val="24"/>
          <w:highlight w:val="none"/>
        </w:rPr>
        <w:t>配合甲方不定期对样本运输、检测流程、检验结果及检验质量的监督检查。</w:t>
      </w:r>
    </w:p>
    <w:p w14:paraId="009A307B">
      <w:pPr>
        <w:adjustRightInd w:val="0"/>
        <w:snapToGrid w:val="0"/>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3、</w:t>
      </w:r>
      <w:r>
        <w:rPr>
          <w:rFonts w:hint="eastAsia" w:ascii="宋体" w:hAnsi="宋体" w:cs="宋体"/>
          <w:color w:val="auto"/>
          <w:sz w:val="24"/>
          <w:szCs w:val="24"/>
          <w:highlight w:val="none"/>
        </w:rPr>
        <w:t>报告发放：乙方应根据约定的各检测项目的检测周期将检测报告单以纸质报告和电子报告两种形式发给甲方，乙方自收到标本后，按照不同的检测项目所需周期完成相关检测。若由于样本自身或其他原因而导致的无法出具检测报告的情况，乙方需第一时间通知甲方。若出现检测项目危急值或双方约定的其他异常结果报告，乙方应立即电话通知甲方，并及时出具相应的纸质和电子报告。</w:t>
      </w:r>
    </w:p>
    <w:p w14:paraId="41D561FA">
      <w:pPr>
        <w:adjustRightInd w:val="0"/>
        <w:snapToGrid w:val="0"/>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4、</w:t>
      </w:r>
      <w:r>
        <w:rPr>
          <w:rFonts w:hint="eastAsia" w:ascii="宋体" w:hAnsi="宋体" w:cs="宋体"/>
          <w:color w:val="auto"/>
          <w:sz w:val="24"/>
          <w:szCs w:val="24"/>
          <w:highlight w:val="none"/>
        </w:rPr>
        <w:t>实验数据及样本回收：乙方应按检测周期将所有检测项目的原始实验数据（包括但不限于</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等）返还甲方，血液或DNA样本需返回甲方或按国家有关要求保存。</w:t>
      </w:r>
    </w:p>
    <w:p w14:paraId="794DCAE0">
      <w:pPr>
        <w:adjustRightInd w:val="0"/>
        <w:snapToGrid w:val="0"/>
        <w:spacing w:line="360" w:lineRule="auto"/>
        <w:rPr>
          <w:rFonts w:hint="eastAsia" w:ascii="宋体" w:hAnsi="宋体" w:cs="宋体"/>
          <w:color w:val="auto"/>
          <w:sz w:val="24"/>
          <w:szCs w:val="24"/>
          <w:highlight w:val="none"/>
          <w:lang w:val="zh-CN"/>
        </w:rPr>
      </w:pPr>
      <w:r>
        <w:rPr>
          <w:rFonts w:hint="eastAsia" w:ascii="宋体" w:hAnsi="宋体" w:cs="宋体"/>
          <w:color w:val="auto"/>
          <w:sz w:val="24"/>
          <w:szCs w:val="24"/>
          <w:highlight w:val="none"/>
          <w:lang w:val="en-US" w:eastAsia="zh-CN"/>
        </w:rPr>
        <w:t>九</w:t>
      </w:r>
      <w:r>
        <w:rPr>
          <w:rFonts w:hint="eastAsia" w:ascii="宋体" w:hAnsi="宋体" w:cs="宋体"/>
          <w:color w:val="auto"/>
          <w:sz w:val="24"/>
          <w:szCs w:val="24"/>
          <w:highlight w:val="none"/>
          <w:lang w:val="zh-CN"/>
        </w:rPr>
        <w:t>、受检样本的交接</w:t>
      </w:r>
    </w:p>
    <w:p w14:paraId="15468787">
      <w:pPr>
        <w:adjustRightInd w:val="0"/>
        <w:snapToGrid w:val="0"/>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1、</w:t>
      </w:r>
      <w:r>
        <w:rPr>
          <w:rFonts w:hint="eastAsia" w:ascii="宋体" w:hAnsi="宋体" w:cs="宋体"/>
          <w:color w:val="auto"/>
          <w:sz w:val="24"/>
          <w:szCs w:val="24"/>
          <w:highlight w:val="none"/>
        </w:rPr>
        <w:t>交接时间：乙方应在甲方通知后</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小时内接收甲方递送的样本和资料。</w:t>
      </w:r>
    </w:p>
    <w:p w14:paraId="4C2564F0">
      <w:pPr>
        <w:adjustRightInd w:val="0"/>
        <w:snapToGrid w:val="0"/>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2、</w:t>
      </w:r>
      <w:r>
        <w:rPr>
          <w:rFonts w:hint="eastAsia" w:ascii="宋体" w:hAnsi="宋体" w:cs="宋体"/>
          <w:color w:val="auto"/>
          <w:sz w:val="24"/>
          <w:szCs w:val="24"/>
          <w:highlight w:val="none"/>
        </w:rPr>
        <w:t>交接地点：</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w:t>
      </w:r>
    </w:p>
    <w:p w14:paraId="4AC6DD6C">
      <w:pPr>
        <w:adjustRightInd w:val="0"/>
        <w:snapToGrid w:val="0"/>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3、</w:t>
      </w:r>
      <w:r>
        <w:rPr>
          <w:rFonts w:hint="eastAsia" w:ascii="宋体" w:hAnsi="宋体" w:cs="宋体"/>
          <w:color w:val="auto"/>
          <w:sz w:val="24"/>
          <w:szCs w:val="24"/>
          <w:highlight w:val="none"/>
        </w:rPr>
        <w:t>交接时甲方应保证包装符合运输和保存的要求；乙方接收或者在甲方通知后</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小时，视为乙方已接收。</w:t>
      </w:r>
    </w:p>
    <w:p w14:paraId="4ABC575A">
      <w:pPr>
        <w:adjustRightInd w:val="0"/>
        <w:snapToGrid w:val="0"/>
        <w:spacing w:line="360" w:lineRule="auto"/>
        <w:jc w:val="left"/>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4、</w:t>
      </w:r>
      <w:r>
        <w:rPr>
          <w:rFonts w:hint="eastAsia" w:ascii="宋体" w:hAnsi="宋体" w:cs="宋体"/>
          <w:color w:val="auto"/>
          <w:sz w:val="24"/>
          <w:szCs w:val="24"/>
          <w:highlight w:val="none"/>
        </w:rPr>
        <w:t>乙方应当在交接时应对样本及以下资料进行核对：</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w:t>
      </w:r>
    </w:p>
    <w:p w14:paraId="5DCEA7DA">
      <w:pPr>
        <w:adjustRightInd w:val="0"/>
        <w:snapToGrid w:val="0"/>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5、</w:t>
      </w:r>
      <w:r>
        <w:rPr>
          <w:rFonts w:hint="eastAsia" w:ascii="宋体" w:hAnsi="宋体" w:cs="宋体"/>
          <w:color w:val="auto"/>
          <w:sz w:val="24"/>
          <w:szCs w:val="24"/>
          <w:highlight w:val="none"/>
        </w:rPr>
        <w:t>受检样本由</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方自行或者指定的具有样本运输条件和资质的物流进行运输，并由该方承担相关费用。</w:t>
      </w:r>
    </w:p>
    <w:p w14:paraId="08CD05F4">
      <w:pPr>
        <w:adjustRightInd w:val="0"/>
        <w:snapToGrid w:val="0"/>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十</w:t>
      </w:r>
      <w:r>
        <w:rPr>
          <w:rFonts w:hint="eastAsia" w:ascii="宋体" w:hAnsi="宋体" w:cs="宋体"/>
          <w:color w:val="auto"/>
          <w:sz w:val="24"/>
          <w:szCs w:val="24"/>
          <w:highlight w:val="none"/>
          <w:lang w:val="zh-CN"/>
        </w:rPr>
        <w:t>、</w:t>
      </w:r>
      <w:r>
        <w:rPr>
          <w:rFonts w:hint="eastAsia" w:ascii="宋体" w:hAnsi="宋体" w:cs="宋体"/>
          <w:color w:val="auto"/>
          <w:sz w:val="24"/>
          <w:szCs w:val="24"/>
          <w:highlight w:val="none"/>
        </w:rPr>
        <w:t>保密义务</w:t>
      </w:r>
    </w:p>
    <w:p w14:paraId="02A9D566">
      <w:pPr>
        <w:adjustRightInd w:val="0"/>
        <w:snapToGrid w:val="0"/>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1、</w:t>
      </w:r>
      <w:r>
        <w:rPr>
          <w:rFonts w:hint="eastAsia" w:ascii="宋体" w:hAnsi="宋体" w:cs="宋体"/>
          <w:color w:val="auto"/>
          <w:sz w:val="24"/>
          <w:szCs w:val="24"/>
          <w:highlight w:val="none"/>
        </w:rPr>
        <w:t>在合作期内及以后，协议内容及双方相关资料（包括但不限于各类数据、受检者信息、检测报告、样本、价格、商业信息）均为保密资料。除非保密资料已通过正当途径为公众所知，或除非由拥有资料一方事先书面授权透露，双方均应各自对保密资料保密，不得向除对方以外的任何第三人透露，也不得将保密资料用于与本协议条款和条件不相符合的任何目的。</w:t>
      </w:r>
    </w:p>
    <w:p w14:paraId="26329C52">
      <w:pPr>
        <w:adjustRightInd w:val="0"/>
        <w:snapToGrid w:val="0"/>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2、</w:t>
      </w:r>
      <w:r>
        <w:rPr>
          <w:rFonts w:hint="eastAsia" w:ascii="宋体" w:hAnsi="宋体" w:cs="宋体"/>
          <w:color w:val="auto"/>
          <w:sz w:val="24"/>
          <w:szCs w:val="24"/>
          <w:highlight w:val="none"/>
        </w:rPr>
        <w:t>双方只能向因职责所需而需要了解上述保密资料的工作人员透露保密资料，且该工作人员经双方协商授权确定，并应与授权的工作人员签订《保密合同》以防止未经授权向第三人披露。</w:t>
      </w:r>
    </w:p>
    <w:p w14:paraId="3DF6612B">
      <w:pPr>
        <w:adjustRightInd w:val="0"/>
        <w:snapToGrid w:val="0"/>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3、</w:t>
      </w:r>
      <w:r>
        <w:rPr>
          <w:rFonts w:hint="eastAsia" w:ascii="宋体" w:hAnsi="宋体" w:cs="宋体"/>
          <w:color w:val="auto"/>
          <w:sz w:val="24"/>
          <w:szCs w:val="24"/>
          <w:highlight w:val="none"/>
        </w:rPr>
        <w:t>双方保证对受检者所有信息保密，除非该信息已经由受检者主动公开。</w:t>
      </w:r>
    </w:p>
    <w:p w14:paraId="70D15B91">
      <w:pPr>
        <w:adjustRightInd w:val="0"/>
        <w:snapToGrid w:val="0"/>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4、</w:t>
      </w:r>
      <w:r>
        <w:rPr>
          <w:rFonts w:hint="eastAsia" w:ascii="宋体" w:hAnsi="宋体" w:cs="宋体"/>
          <w:color w:val="auto"/>
          <w:sz w:val="24"/>
          <w:szCs w:val="24"/>
          <w:highlight w:val="none"/>
        </w:rPr>
        <w:t>除征得甲方事先书面同意外，乙方不得将检测信息用于科研、宣传。</w:t>
      </w:r>
    </w:p>
    <w:p w14:paraId="0CDB960D">
      <w:pPr>
        <w:autoSpaceDE w:val="0"/>
        <w:autoSpaceDN w:val="0"/>
        <w:adjustRightInd w:val="0"/>
        <w:spacing w:line="360" w:lineRule="auto"/>
        <w:rPr>
          <w:rFonts w:hint="eastAsia" w:ascii="宋体" w:hAnsi="宋体" w:cs="宋体"/>
          <w:bCs/>
          <w:color w:val="auto"/>
          <w:sz w:val="24"/>
          <w:szCs w:val="24"/>
          <w:highlight w:val="none"/>
          <w:lang w:val="zh-CN"/>
        </w:rPr>
      </w:pPr>
      <w:r>
        <w:rPr>
          <w:rFonts w:hint="eastAsia" w:ascii="宋体" w:hAnsi="宋体" w:cs="宋体"/>
          <w:color w:val="auto"/>
          <w:sz w:val="24"/>
          <w:szCs w:val="24"/>
          <w:highlight w:val="none"/>
          <w:lang w:val="en-US" w:eastAsia="zh-CN"/>
        </w:rPr>
        <w:t>5、</w:t>
      </w:r>
      <w:r>
        <w:rPr>
          <w:rFonts w:hint="eastAsia" w:ascii="宋体" w:hAnsi="宋体" w:cs="宋体"/>
          <w:color w:val="auto"/>
          <w:sz w:val="24"/>
          <w:szCs w:val="24"/>
          <w:highlight w:val="none"/>
        </w:rPr>
        <w:t>本协议规定的保密义务不因本协议的终止、中止而失效，除非相关资料依法成为公开信息</w:t>
      </w:r>
      <w:r>
        <w:rPr>
          <w:rFonts w:hint="eastAsia" w:ascii="宋体" w:hAnsi="宋体" w:cs="宋体"/>
          <w:bCs/>
          <w:color w:val="auto"/>
          <w:sz w:val="24"/>
          <w:szCs w:val="24"/>
          <w:highlight w:val="none"/>
          <w:lang w:val="zh-CN"/>
        </w:rPr>
        <w:t>。</w:t>
      </w:r>
    </w:p>
    <w:p w14:paraId="32964FF3">
      <w:pPr>
        <w:autoSpaceDE w:val="0"/>
        <w:autoSpaceDN w:val="0"/>
        <w:adjustRightInd w:val="0"/>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十一</w:t>
      </w:r>
      <w:r>
        <w:rPr>
          <w:rFonts w:hint="eastAsia" w:ascii="宋体" w:hAnsi="宋体" w:cs="宋体"/>
          <w:color w:val="auto"/>
          <w:sz w:val="24"/>
          <w:szCs w:val="24"/>
          <w:highlight w:val="none"/>
          <w:lang w:val="zh-CN"/>
        </w:rPr>
        <w:t>、</w:t>
      </w:r>
      <w:r>
        <w:rPr>
          <w:rFonts w:hint="eastAsia" w:ascii="宋体" w:hAnsi="宋体" w:cs="宋体"/>
          <w:color w:val="auto"/>
          <w:sz w:val="24"/>
          <w:szCs w:val="24"/>
          <w:highlight w:val="none"/>
        </w:rPr>
        <w:t>违约责任</w:t>
      </w:r>
    </w:p>
    <w:p w14:paraId="6288EAC8">
      <w:pPr>
        <w:adjustRightInd w:val="0"/>
        <w:snapToGrid w:val="0"/>
        <w:spacing w:line="360" w:lineRule="auto"/>
        <w:rPr>
          <w:rFonts w:hint="eastAsia" w:ascii="宋体" w:hAnsi="宋体" w:cs="宋体"/>
          <w:b/>
          <w:color w:val="auto"/>
          <w:sz w:val="24"/>
          <w:szCs w:val="24"/>
          <w:highlight w:val="none"/>
        </w:rPr>
      </w:pPr>
      <w:r>
        <w:rPr>
          <w:rFonts w:hint="eastAsia" w:ascii="宋体" w:hAnsi="宋体" w:cs="宋体"/>
          <w:b/>
          <w:color w:val="auto"/>
          <w:sz w:val="24"/>
          <w:szCs w:val="24"/>
          <w:highlight w:val="none"/>
          <w:lang w:val="en-US" w:eastAsia="zh-CN"/>
        </w:rPr>
        <w:t>1、</w:t>
      </w:r>
      <w:r>
        <w:rPr>
          <w:rFonts w:hint="eastAsia" w:ascii="宋体" w:hAnsi="宋体" w:cs="宋体"/>
          <w:b/>
          <w:color w:val="auto"/>
          <w:sz w:val="24"/>
          <w:szCs w:val="24"/>
          <w:highlight w:val="none"/>
        </w:rPr>
        <w:t>延期责任</w:t>
      </w:r>
    </w:p>
    <w:p w14:paraId="14689E33">
      <w:pPr>
        <w:adjustRightInd w:val="0"/>
        <w:snapToGrid w:val="0"/>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1.</w:t>
      </w:r>
      <w:r>
        <w:rPr>
          <w:rFonts w:hint="eastAsia" w:ascii="宋体" w:hAnsi="宋体" w:cs="宋体"/>
          <w:color w:val="auto"/>
          <w:sz w:val="24"/>
          <w:szCs w:val="24"/>
          <w:highlight w:val="none"/>
        </w:rPr>
        <w:t>1如因甲方提供的样本及相关临床资料不合格或未能按时提供等原因导致的检测延误，由甲方自行承担责任，因乙方未尽临床培训等相应义务造成上述结果的情形除外。</w:t>
      </w:r>
    </w:p>
    <w:p w14:paraId="681E88E4">
      <w:pPr>
        <w:adjustRightInd w:val="0"/>
        <w:snapToGrid w:val="0"/>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1.</w:t>
      </w:r>
      <w:r>
        <w:rPr>
          <w:rFonts w:hint="eastAsia" w:ascii="宋体" w:hAnsi="宋体" w:cs="宋体"/>
          <w:color w:val="auto"/>
          <w:sz w:val="24"/>
          <w:szCs w:val="24"/>
          <w:highlight w:val="none"/>
        </w:rPr>
        <w:t>2如因乙方原因（包括实验室内样本丢失、检测、出具报告等环节）不能按时提供检测结果导致的出具检测报告延误，由乙方按</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元/份承担违约责任。</w:t>
      </w:r>
    </w:p>
    <w:p w14:paraId="40252AD8">
      <w:pPr>
        <w:adjustRightInd w:val="0"/>
        <w:snapToGrid w:val="0"/>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1.3</w:t>
      </w:r>
      <w:r>
        <w:rPr>
          <w:rFonts w:hint="eastAsia" w:ascii="宋体" w:hAnsi="宋体" w:cs="宋体"/>
          <w:color w:val="auto"/>
          <w:sz w:val="24"/>
          <w:szCs w:val="24"/>
          <w:highlight w:val="none"/>
        </w:rPr>
        <w:t>乙方在检测或数据处理过程中因样本活性低、个体差异、结果疑难复杂需进一步验证性检测等原因而出现培养或检测困难，检测报告出具时间将相应延长，在该情况下乙方应在检测周期届满前及时通知甲方，由甲乙双方积极协商解决。非因乙方过错且乙方尽通知义务造成的延期的情形，不属于乙方的违约情况。</w:t>
      </w:r>
    </w:p>
    <w:p w14:paraId="2F14DA6E">
      <w:pPr>
        <w:adjustRightInd w:val="0"/>
        <w:snapToGrid w:val="0"/>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1.</w:t>
      </w:r>
      <w:r>
        <w:rPr>
          <w:rFonts w:hint="eastAsia" w:ascii="宋体" w:hAnsi="宋体" w:cs="宋体"/>
          <w:color w:val="auto"/>
          <w:sz w:val="24"/>
          <w:szCs w:val="24"/>
          <w:highlight w:val="none"/>
        </w:rPr>
        <w:t>4不可抗拒的客观因素导致项目延误或协议不能继续履行时，双方均不承担责任。受到不可抗力影响的一方应当及时书面通知另一方，并出具证明材料。不可</w:t>
      </w:r>
      <w:r>
        <w:rPr>
          <w:rFonts w:hint="eastAsia" w:ascii="宋体" w:hAnsi="宋体" w:cs="宋体"/>
          <w:color w:val="auto"/>
          <w:sz w:val="24"/>
          <w:szCs w:val="24"/>
          <w:highlight w:val="none"/>
          <w:lang w:eastAsia="zh-CN"/>
        </w:rPr>
        <w:t>抗力</w:t>
      </w:r>
      <w:r>
        <w:rPr>
          <w:rFonts w:hint="eastAsia" w:ascii="宋体" w:hAnsi="宋体" w:cs="宋体"/>
          <w:color w:val="auto"/>
          <w:sz w:val="24"/>
          <w:szCs w:val="24"/>
          <w:highlight w:val="none"/>
        </w:rPr>
        <w:t>包括地震、洪水、战争、军事行动、法律或政府政策等相关因素。</w:t>
      </w:r>
    </w:p>
    <w:p w14:paraId="28101653">
      <w:pPr>
        <w:adjustRightInd w:val="0"/>
        <w:snapToGrid w:val="0"/>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1.</w:t>
      </w:r>
      <w:r>
        <w:rPr>
          <w:rFonts w:hint="eastAsia" w:ascii="宋体" w:hAnsi="宋体" w:cs="宋体"/>
          <w:color w:val="auto"/>
          <w:sz w:val="24"/>
          <w:szCs w:val="24"/>
          <w:highlight w:val="none"/>
        </w:rPr>
        <w:t>5特殊情况下，需要重新取样进行重新检测的，取样和检测均不重复收费。如遇无法出具报告的案例，由甲方负责退回受检者相应的检测费用，这种情形下甲方无需就该样本向乙方支付检测费用。</w:t>
      </w:r>
    </w:p>
    <w:p w14:paraId="73F3F87C">
      <w:pPr>
        <w:adjustRightInd w:val="0"/>
        <w:snapToGrid w:val="0"/>
        <w:spacing w:line="360" w:lineRule="auto"/>
        <w:rPr>
          <w:rFonts w:hint="eastAsia" w:ascii="宋体" w:hAnsi="宋体" w:cs="宋体"/>
          <w:b/>
          <w:color w:val="auto"/>
          <w:sz w:val="24"/>
          <w:szCs w:val="24"/>
          <w:highlight w:val="none"/>
        </w:rPr>
      </w:pPr>
      <w:r>
        <w:rPr>
          <w:rFonts w:hint="eastAsia" w:ascii="宋体" w:hAnsi="宋体" w:cs="宋体"/>
          <w:b/>
          <w:color w:val="auto"/>
          <w:sz w:val="24"/>
          <w:szCs w:val="24"/>
          <w:highlight w:val="none"/>
          <w:lang w:val="en-US" w:eastAsia="zh-CN"/>
        </w:rPr>
        <w:t>2、</w:t>
      </w:r>
      <w:r>
        <w:rPr>
          <w:rFonts w:hint="eastAsia" w:ascii="宋体" w:hAnsi="宋体" w:cs="宋体"/>
          <w:b/>
          <w:color w:val="auto"/>
          <w:sz w:val="24"/>
          <w:szCs w:val="24"/>
          <w:highlight w:val="none"/>
        </w:rPr>
        <w:t>检测结果的争议</w:t>
      </w:r>
    </w:p>
    <w:p w14:paraId="44A79220">
      <w:pPr>
        <w:adjustRightInd w:val="0"/>
        <w:snapToGrid w:val="0"/>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2.</w:t>
      </w:r>
      <w:r>
        <w:rPr>
          <w:rFonts w:hint="eastAsia" w:ascii="宋体" w:hAnsi="宋体" w:cs="宋体"/>
          <w:color w:val="auto"/>
          <w:sz w:val="24"/>
          <w:szCs w:val="24"/>
          <w:highlight w:val="none"/>
        </w:rPr>
        <w:t>1乙方保证对甲方送检的合格样本收费（包括完整的临床申请单及受检者知情同意书）按照甲方申请的检测方法进行检测并对检测结果的质量承担责任。</w:t>
      </w:r>
    </w:p>
    <w:p w14:paraId="2078B07F">
      <w:pPr>
        <w:adjustRightInd w:val="0"/>
        <w:snapToGrid w:val="0"/>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2.</w:t>
      </w:r>
      <w:r>
        <w:rPr>
          <w:rFonts w:hint="eastAsia" w:ascii="宋体" w:hAnsi="宋体" w:cs="宋体"/>
          <w:color w:val="auto"/>
          <w:sz w:val="24"/>
          <w:szCs w:val="24"/>
          <w:highlight w:val="none"/>
        </w:rPr>
        <w:t>2乙方保证在技术检测范围内完成全部检测内容。但是乙方在相应知情同意书上已标注的所用检测技术仍然不能全面覆盖生物复杂性的具体情形，乙方不承担责任。</w:t>
      </w:r>
    </w:p>
    <w:p w14:paraId="7EF600F4">
      <w:pPr>
        <w:adjustRightInd w:val="0"/>
        <w:snapToGrid w:val="0"/>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2.</w:t>
      </w:r>
      <w:r>
        <w:rPr>
          <w:rFonts w:hint="eastAsia" w:ascii="宋体" w:hAnsi="宋体" w:cs="宋体"/>
          <w:color w:val="auto"/>
          <w:sz w:val="24"/>
          <w:szCs w:val="24"/>
          <w:highlight w:val="none"/>
        </w:rPr>
        <w:t>3除上述情形之外，若甲乙双方对收费的样本检测结果的准确性有异议，可以在甲乙双方一致同意的前提下，通过中华医学会医疗事故技术鉴定办公室指定的单位用相应技术方法进行验证并组织专家论证，若确定为乙方检测结果不准确而造成的临床诊断失误，乙方承担相应责任。</w:t>
      </w:r>
    </w:p>
    <w:p w14:paraId="1BFBF710">
      <w:pPr>
        <w:adjustRightInd w:val="0"/>
        <w:snapToGrid w:val="0"/>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2.</w:t>
      </w:r>
      <w:r>
        <w:rPr>
          <w:rFonts w:hint="eastAsia" w:ascii="宋体" w:hAnsi="宋体" w:cs="宋体"/>
          <w:color w:val="auto"/>
          <w:sz w:val="24"/>
          <w:szCs w:val="24"/>
          <w:highlight w:val="none"/>
        </w:rPr>
        <w:t>4甲方对乙方提交的检测结果有异议的应当在接收报告后3个工作日内提出。若甲方在上述期限内没有提出异议，乙方将视同甲方完全接受检测结果。如因乙方检测结果有误经认定为乙方责任的，因此造成的医疗纠纷由乙方负责（不因甲方接受检测结果而免除乙方责任），如因乙方提供的知情同意书不全面并由此造成的医疗纠纷由乙方自行承担。</w:t>
      </w:r>
    </w:p>
    <w:p w14:paraId="3B2D045D">
      <w:pPr>
        <w:adjustRightInd w:val="0"/>
        <w:snapToGrid w:val="0"/>
        <w:spacing w:line="360" w:lineRule="auto"/>
        <w:rPr>
          <w:rFonts w:hint="eastAsia" w:ascii="宋体" w:hAnsi="宋体" w:cs="宋体"/>
          <w:color w:val="auto"/>
          <w:sz w:val="24"/>
          <w:szCs w:val="24"/>
          <w:highlight w:val="none"/>
        </w:rPr>
      </w:pPr>
      <w:r>
        <w:rPr>
          <w:rFonts w:hint="eastAsia" w:ascii="宋体" w:hAnsi="宋体" w:cs="宋体"/>
          <w:b/>
          <w:color w:val="auto"/>
          <w:sz w:val="24"/>
          <w:szCs w:val="24"/>
          <w:highlight w:val="none"/>
          <w:lang w:val="en-US" w:eastAsia="zh-CN"/>
        </w:rPr>
        <w:t>3、</w:t>
      </w:r>
      <w:r>
        <w:rPr>
          <w:rFonts w:hint="eastAsia" w:ascii="宋体" w:hAnsi="宋体" w:cs="宋体"/>
          <w:b/>
          <w:color w:val="auto"/>
          <w:sz w:val="24"/>
          <w:szCs w:val="24"/>
          <w:highlight w:val="none"/>
        </w:rPr>
        <w:t>违反保密义务</w:t>
      </w:r>
      <w:r>
        <w:rPr>
          <w:rFonts w:hint="eastAsia" w:ascii="宋体" w:hAnsi="宋体" w:cs="宋体"/>
          <w:b/>
          <w:color w:val="auto"/>
          <w:sz w:val="24"/>
          <w:szCs w:val="24"/>
          <w:highlight w:val="none"/>
          <w:lang w:eastAsia="zh-CN"/>
        </w:rPr>
        <w:t>：</w:t>
      </w:r>
      <w:r>
        <w:rPr>
          <w:rFonts w:hint="eastAsia" w:ascii="宋体" w:hAnsi="宋体" w:cs="宋体"/>
          <w:color w:val="auto"/>
          <w:sz w:val="24"/>
          <w:szCs w:val="24"/>
          <w:highlight w:val="none"/>
        </w:rPr>
        <w:t>甲乙双方如有违反本协议第</w:t>
      </w:r>
      <w:r>
        <w:rPr>
          <w:rFonts w:hint="eastAsia" w:ascii="宋体" w:hAnsi="宋体" w:cs="宋体"/>
          <w:color w:val="auto"/>
          <w:sz w:val="24"/>
          <w:szCs w:val="24"/>
          <w:highlight w:val="none"/>
          <w:lang w:eastAsia="zh-CN"/>
        </w:rPr>
        <w:t>六</w:t>
      </w:r>
      <w:r>
        <w:rPr>
          <w:rFonts w:hint="eastAsia" w:ascii="宋体" w:hAnsi="宋体" w:cs="宋体"/>
          <w:color w:val="auto"/>
          <w:sz w:val="24"/>
          <w:szCs w:val="24"/>
          <w:highlight w:val="none"/>
        </w:rPr>
        <w:t>条保密义务的任何规定，则违约方须及时采取措施防止守约方损失扩大，赔偿守约方相关损失并支付</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万元作为违约金。因违反保密条款引发侵权责任诉讼或赔偿事项的由违约方承担侵权法律责任。</w:t>
      </w:r>
    </w:p>
    <w:p w14:paraId="1E747731">
      <w:pPr>
        <w:adjustRightInd w:val="0"/>
        <w:snapToGrid w:val="0"/>
        <w:spacing w:line="360" w:lineRule="auto"/>
        <w:rPr>
          <w:rFonts w:hint="eastAsia" w:ascii="宋体" w:hAnsi="宋体" w:cs="宋体"/>
          <w:color w:val="auto"/>
          <w:sz w:val="24"/>
          <w:szCs w:val="24"/>
          <w:highlight w:val="none"/>
        </w:rPr>
      </w:pPr>
      <w:r>
        <w:rPr>
          <w:rFonts w:hint="eastAsia" w:ascii="宋体" w:hAnsi="宋体" w:cs="宋体"/>
          <w:b/>
          <w:color w:val="auto"/>
          <w:sz w:val="24"/>
          <w:szCs w:val="24"/>
          <w:highlight w:val="none"/>
          <w:lang w:val="en-US" w:eastAsia="zh-CN"/>
        </w:rPr>
        <w:t>4、</w:t>
      </w:r>
      <w:r>
        <w:rPr>
          <w:rFonts w:hint="eastAsia" w:ascii="宋体" w:hAnsi="宋体" w:cs="宋体"/>
          <w:b/>
          <w:color w:val="auto"/>
          <w:sz w:val="24"/>
          <w:szCs w:val="24"/>
          <w:highlight w:val="none"/>
        </w:rPr>
        <w:t>禁止转包、分包</w:t>
      </w:r>
      <w:r>
        <w:rPr>
          <w:rFonts w:hint="eastAsia" w:ascii="宋体" w:hAnsi="宋体" w:cs="宋体"/>
          <w:b/>
          <w:color w:val="auto"/>
          <w:sz w:val="24"/>
          <w:szCs w:val="24"/>
          <w:highlight w:val="none"/>
          <w:lang w:eastAsia="zh-CN"/>
        </w:rPr>
        <w:t>：</w:t>
      </w:r>
      <w:r>
        <w:rPr>
          <w:rFonts w:hint="eastAsia" w:ascii="宋体" w:hAnsi="宋体" w:cs="宋体"/>
          <w:color w:val="auto"/>
          <w:sz w:val="24"/>
          <w:szCs w:val="24"/>
          <w:highlight w:val="none"/>
        </w:rPr>
        <w:t>乙方应亲自履行合同义务，不得将检测项目转包、分包给第三方进行检测。如乙方未经甲方同意，将样本送至第三方检测的，每发现一次计算一次违约责任并按</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万元／次承担违约责任。</w:t>
      </w:r>
    </w:p>
    <w:p w14:paraId="6426259A">
      <w:pPr>
        <w:spacing w:line="360" w:lineRule="auto"/>
        <w:rPr>
          <w:rFonts w:hint="eastAsia" w:ascii="宋体" w:hAnsi="宋体" w:cs="宋体"/>
          <w:bCs/>
          <w:color w:val="auto"/>
          <w:sz w:val="24"/>
          <w:szCs w:val="24"/>
          <w:highlight w:val="none"/>
          <w:lang w:val="zh-CN"/>
        </w:rPr>
      </w:pPr>
      <w:r>
        <w:rPr>
          <w:rFonts w:hint="eastAsia" w:ascii="宋体" w:hAnsi="宋体" w:cs="宋体"/>
          <w:b/>
          <w:color w:val="auto"/>
          <w:sz w:val="24"/>
          <w:szCs w:val="24"/>
          <w:highlight w:val="none"/>
          <w:lang w:val="en-US" w:eastAsia="zh-CN"/>
        </w:rPr>
        <w:t>5、</w:t>
      </w:r>
      <w:r>
        <w:rPr>
          <w:rFonts w:hint="eastAsia" w:ascii="宋体" w:hAnsi="宋体" w:cs="宋体"/>
          <w:b/>
          <w:color w:val="auto"/>
          <w:sz w:val="24"/>
          <w:szCs w:val="24"/>
          <w:highlight w:val="none"/>
        </w:rPr>
        <w:t>检测不准确、不真实的责任承担</w:t>
      </w:r>
      <w:r>
        <w:rPr>
          <w:rFonts w:hint="eastAsia" w:ascii="宋体" w:hAnsi="宋体" w:cs="宋体"/>
          <w:b/>
          <w:color w:val="auto"/>
          <w:sz w:val="24"/>
          <w:szCs w:val="24"/>
          <w:highlight w:val="none"/>
          <w:lang w:eastAsia="zh-CN"/>
        </w:rPr>
        <w:t>：</w:t>
      </w:r>
      <w:r>
        <w:rPr>
          <w:rFonts w:hint="eastAsia" w:ascii="宋体" w:hAnsi="宋体" w:cs="宋体"/>
          <w:color w:val="auto"/>
          <w:sz w:val="24"/>
          <w:szCs w:val="24"/>
          <w:highlight w:val="none"/>
        </w:rPr>
        <w:t>如乙方出具的检测报告不准确或不真实，导致甲方对外承担包括但不限于民事赔偿、行政处罚等责任，应由乙方承担甲方经济损失等全部责任，并按最终经济损失的</w:t>
      </w:r>
      <w:r>
        <w:rPr>
          <w:rFonts w:hint="eastAsia" w:ascii="宋体" w:hAnsi="宋体" w:cs="宋体"/>
          <w:color w:val="auto"/>
          <w:sz w:val="24"/>
          <w:szCs w:val="24"/>
          <w:highlight w:val="none"/>
          <w:u w:val="single"/>
        </w:rPr>
        <w:t xml:space="preserve">  （比例）   </w:t>
      </w:r>
      <w:r>
        <w:rPr>
          <w:rFonts w:hint="eastAsia" w:ascii="宋体" w:hAnsi="宋体" w:cs="宋体"/>
          <w:color w:val="auto"/>
          <w:sz w:val="24"/>
          <w:szCs w:val="24"/>
          <w:highlight w:val="none"/>
        </w:rPr>
        <w:t>向甲方支付违约金</w:t>
      </w:r>
      <w:r>
        <w:rPr>
          <w:rFonts w:hint="eastAsia" w:ascii="宋体" w:hAnsi="宋体" w:cs="宋体"/>
          <w:bCs/>
          <w:color w:val="auto"/>
          <w:sz w:val="24"/>
          <w:szCs w:val="24"/>
          <w:highlight w:val="none"/>
          <w:lang w:val="zh-CN"/>
        </w:rPr>
        <w:t>。</w:t>
      </w:r>
    </w:p>
    <w:p w14:paraId="5821A8D0">
      <w:pPr>
        <w:adjustRightInd w:val="0"/>
        <w:snapToGrid w:val="0"/>
        <w:spacing w:line="360" w:lineRule="auto"/>
        <w:rPr>
          <w:rFonts w:hint="eastAsia" w:ascii="宋体" w:hAnsi="宋体" w:cs="宋体"/>
          <w:color w:val="auto"/>
          <w:sz w:val="24"/>
          <w:szCs w:val="24"/>
          <w:highlight w:val="none"/>
        </w:rPr>
      </w:pPr>
      <w:r>
        <w:rPr>
          <w:rFonts w:hint="eastAsia" w:ascii="宋体" w:hAnsi="宋体" w:cs="宋体"/>
          <w:bCs/>
          <w:color w:val="auto"/>
          <w:sz w:val="24"/>
          <w:szCs w:val="24"/>
          <w:highlight w:val="none"/>
          <w:lang w:val="en-US" w:eastAsia="zh-CN"/>
        </w:rPr>
        <w:t>十二</w:t>
      </w:r>
      <w:r>
        <w:rPr>
          <w:rFonts w:hint="eastAsia" w:ascii="宋体" w:hAnsi="宋体" w:cs="宋体"/>
          <w:bCs/>
          <w:color w:val="auto"/>
          <w:sz w:val="24"/>
          <w:szCs w:val="24"/>
          <w:highlight w:val="none"/>
          <w:lang w:val="zh-CN"/>
        </w:rPr>
        <w:t>、</w:t>
      </w:r>
      <w:r>
        <w:rPr>
          <w:rFonts w:hint="eastAsia" w:ascii="宋体" w:hAnsi="宋体" w:cs="宋体"/>
          <w:color w:val="auto"/>
          <w:sz w:val="24"/>
          <w:szCs w:val="24"/>
          <w:highlight w:val="none"/>
        </w:rPr>
        <w:t>协议履行</w:t>
      </w:r>
    </w:p>
    <w:p w14:paraId="22F38961">
      <w:pPr>
        <w:adjustRightInd w:val="0"/>
        <w:snapToGrid w:val="0"/>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1、</w:t>
      </w:r>
      <w:r>
        <w:rPr>
          <w:rFonts w:hint="eastAsia" w:ascii="宋体" w:hAnsi="宋体" w:cs="宋体"/>
          <w:color w:val="auto"/>
          <w:sz w:val="24"/>
          <w:szCs w:val="24"/>
          <w:highlight w:val="none"/>
        </w:rPr>
        <w:t>为确保协议的全面履行，在整个项目执行的过程中，甲、乙双方应在遵守本协议的基础上，积极沟通，协调一致，保证该项目顺利进行。为保证沟通及时有效，合作双方确定在本协议有效期内，双方分别指定各方项目联系人。</w:t>
      </w:r>
    </w:p>
    <w:p w14:paraId="5A662AD8">
      <w:pPr>
        <w:adjustRightInd w:val="0"/>
        <w:snapToGrid w:val="0"/>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2、</w:t>
      </w:r>
      <w:r>
        <w:rPr>
          <w:rFonts w:hint="eastAsia" w:ascii="宋体" w:hAnsi="宋体" w:cs="宋体"/>
          <w:color w:val="auto"/>
          <w:sz w:val="24"/>
          <w:szCs w:val="24"/>
          <w:highlight w:val="none"/>
        </w:rPr>
        <w:t>甲方指定</w:t>
      </w:r>
      <w:r>
        <w:rPr>
          <w:rFonts w:hint="eastAsia" w:ascii="宋体" w:hAnsi="宋体" w:cs="宋体"/>
          <w:color w:val="auto"/>
          <w:sz w:val="24"/>
          <w:szCs w:val="24"/>
          <w:highlight w:val="none"/>
          <w:u w:val="single"/>
        </w:rPr>
        <w:t>（科室、职务、姓名、联系电话、电子邮箱等）</w:t>
      </w:r>
      <w:r>
        <w:rPr>
          <w:rFonts w:hint="eastAsia" w:ascii="宋体" w:hAnsi="宋体" w:cs="宋体"/>
          <w:color w:val="auto"/>
          <w:sz w:val="24"/>
          <w:szCs w:val="24"/>
          <w:highlight w:val="none"/>
        </w:rPr>
        <w:t>为甲方项目联系人。</w:t>
      </w:r>
    </w:p>
    <w:p w14:paraId="24196C8C">
      <w:pPr>
        <w:adjustRightInd w:val="0"/>
        <w:snapToGrid w:val="0"/>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3、</w:t>
      </w:r>
      <w:r>
        <w:rPr>
          <w:rFonts w:hint="eastAsia" w:ascii="宋体" w:hAnsi="宋体" w:cs="宋体"/>
          <w:color w:val="auto"/>
          <w:sz w:val="24"/>
          <w:szCs w:val="24"/>
          <w:highlight w:val="none"/>
        </w:rPr>
        <w:t>乙方指定</w:t>
      </w:r>
      <w:r>
        <w:rPr>
          <w:rFonts w:hint="eastAsia" w:ascii="宋体" w:hAnsi="宋体" w:cs="宋体"/>
          <w:color w:val="auto"/>
          <w:sz w:val="24"/>
          <w:szCs w:val="24"/>
          <w:highlight w:val="none"/>
          <w:u w:val="single"/>
        </w:rPr>
        <w:t>（科室、职务、姓名、联系电话、电子邮箱等）</w:t>
      </w:r>
      <w:r>
        <w:rPr>
          <w:rFonts w:hint="eastAsia" w:ascii="宋体" w:hAnsi="宋体" w:cs="宋体"/>
          <w:color w:val="auto"/>
          <w:sz w:val="24"/>
          <w:szCs w:val="24"/>
          <w:highlight w:val="none"/>
        </w:rPr>
        <w:t>为乙方项目联系人。</w:t>
      </w:r>
    </w:p>
    <w:p w14:paraId="4AB9BDEA">
      <w:pPr>
        <w:autoSpaceDE w:val="0"/>
        <w:autoSpaceDN w:val="0"/>
        <w:adjustRightInd w:val="0"/>
        <w:spacing w:line="360" w:lineRule="auto"/>
        <w:rPr>
          <w:rFonts w:hint="eastAsia" w:ascii="宋体" w:hAnsi="宋体" w:cs="宋体"/>
          <w:bCs/>
          <w:color w:val="auto"/>
          <w:sz w:val="24"/>
          <w:szCs w:val="24"/>
          <w:highlight w:val="none"/>
          <w:lang w:val="zh-CN"/>
        </w:rPr>
      </w:pPr>
      <w:r>
        <w:rPr>
          <w:rFonts w:hint="eastAsia" w:ascii="宋体" w:hAnsi="宋体" w:cs="宋体"/>
          <w:color w:val="auto"/>
          <w:sz w:val="24"/>
          <w:szCs w:val="24"/>
          <w:highlight w:val="none"/>
          <w:lang w:val="en-US" w:eastAsia="zh-CN"/>
        </w:rPr>
        <w:t>4、</w:t>
      </w:r>
      <w:r>
        <w:rPr>
          <w:rFonts w:hint="eastAsia" w:ascii="宋体" w:hAnsi="宋体" w:cs="宋体"/>
          <w:color w:val="auto"/>
          <w:sz w:val="24"/>
          <w:szCs w:val="24"/>
          <w:highlight w:val="none"/>
        </w:rPr>
        <w:t>一方变更项目联系人的，应当</w:t>
      </w:r>
      <w:r>
        <w:rPr>
          <w:rFonts w:hint="eastAsia" w:ascii="宋体" w:hAnsi="宋体" w:cs="宋体"/>
          <w:color w:val="auto"/>
          <w:sz w:val="24"/>
          <w:szCs w:val="24"/>
          <w:highlight w:val="none"/>
          <w:lang w:eastAsia="zh-CN"/>
        </w:rPr>
        <w:t>及时</w:t>
      </w:r>
      <w:r>
        <w:rPr>
          <w:rFonts w:hint="eastAsia" w:ascii="宋体" w:hAnsi="宋体" w:cs="宋体"/>
          <w:color w:val="auto"/>
          <w:sz w:val="24"/>
          <w:szCs w:val="24"/>
          <w:highlight w:val="none"/>
        </w:rPr>
        <w:t>以书面形式通知对方。未及时通知并影响本协议履行或造成损失的，未及时通知一方应承担相应的责任</w:t>
      </w:r>
    </w:p>
    <w:p w14:paraId="5CCDA5D0">
      <w:pPr>
        <w:autoSpaceDE w:val="0"/>
        <w:autoSpaceDN w:val="0"/>
        <w:adjustRightInd w:val="0"/>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十三</w:t>
      </w:r>
      <w:r>
        <w:rPr>
          <w:rFonts w:hint="eastAsia" w:ascii="宋体" w:hAnsi="宋体" w:cs="宋体"/>
          <w:color w:val="auto"/>
          <w:sz w:val="24"/>
          <w:szCs w:val="24"/>
          <w:highlight w:val="none"/>
          <w:lang w:val="zh-CN"/>
        </w:rPr>
        <w:t>、</w:t>
      </w:r>
      <w:r>
        <w:rPr>
          <w:rFonts w:hint="eastAsia" w:ascii="宋体" w:hAnsi="宋体" w:cs="宋体"/>
          <w:color w:val="auto"/>
          <w:sz w:val="24"/>
          <w:szCs w:val="24"/>
          <w:highlight w:val="none"/>
        </w:rPr>
        <w:t>合同解除</w:t>
      </w:r>
    </w:p>
    <w:p w14:paraId="3945FD24">
      <w:pPr>
        <w:autoSpaceDE w:val="0"/>
        <w:autoSpaceDN w:val="0"/>
        <w:adjustRightInd w:val="0"/>
        <w:spacing w:line="360" w:lineRule="auto"/>
        <w:rPr>
          <w:rFonts w:ascii="宋体" w:hAnsi="宋体"/>
          <w:bCs/>
          <w:color w:val="auto"/>
          <w:sz w:val="24"/>
          <w:highlight w:val="none"/>
          <w:lang w:val="zh-CN"/>
        </w:rPr>
      </w:pPr>
      <w:r>
        <w:rPr>
          <w:rFonts w:hint="eastAsia" w:ascii="宋体" w:hAnsi="宋体"/>
          <w:bCs/>
          <w:color w:val="auto"/>
          <w:sz w:val="24"/>
          <w:highlight w:val="none"/>
          <w:lang w:val="zh-CN"/>
        </w:rPr>
        <w:t>1、</w:t>
      </w:r>
      <w:r>
        <w:rPr>
          <w:rFonts w:hint="eastAsia" w:ascii="宋体" w:hAnsi="宋体" w:cs="宋体"/>
          <w:color w:val="auto"/>
          <w:sz w:val="24"/>
          <w:highlight w:val="none"/>
        </w:rPr>
        <w:t>除《</w:t>
      </w:r>
      <w:r>
        <w:rPr>
          <w:rFonts w:hint="eastAsia" w:ascii="宋体" w:hAnsi="宋体" w:cs="宋体"/>
          <w:color w:val="auto"/>
          <w:sz w:val="24"/>
          <w:highlight w:val="none"/>
          <w:lang w:eastAsia="zh-CN"/>
        </w:rPr>
        <w:t>中华人民共和国政府采购法</w:t>
      </w:r>
      <w:r>
        <w:rPr>
          <w:rFonts w:hint="eastAsia" w:ascii="宋体" w:hAnsi="宋体" w:cs="宋体"/>
          <w:color w:val="auto"/>
          <w:sz w:val="24"/>
          <w:highlight w:val="none"/>
        </w:rPr>
        <w:t>》第49条、第50条第二款规定的情形及本合同约定的情形外，本合同签订后，甲乙双方不得擅自变更、解除或终止本合同</w:t>
      </w:r>
      <w:r>
        <w:rPr>
          <w:rFonts w:hint="eastAsia" w:ascii="宋体" w:hAnsi="宋体"/>
          <w:bCs/>
          <w:color w:val="auto"/>
          <w:sz w:val="24"/>
          <w:highlight w:val="none"/>
          <w:lang w:val="zh-CN"/>
        </w:rPr>
        <w:t>。</w:t>
      </w:r>
    </w:p>
    <w:p w14:paraId="1FFB397D">
      <w:pPr>
        <w:autoSpaceDE w:val="0"/>
        <w:autoSpaceDN w:val="0"/>
        <w:adjustRightInd w:val="0"/>
        <w:spacing w:line="360" w:lineRule="auto"/>
        <w:rPr>
          <w:rFonts w:ascii="宋体" w:hAnsi="宋体"/>
          <w:bCs/>
          <w:color w:val="auto"/>
          <w:sz w:val="24"/>
          <w:highlight w:val="none"/>
          <w:lang w:val="zh-CN"/>
        </w:rPr>
      </w:pPr>
      <w:r>
        <w:rPr>
          <w:rFonts w:hint="eastAsia" w:ascii="宋体" w:hAnsi="宋体"/>
          <w:bCs/>
          <w:color w:val="auto"/>
          <w:sz w:val="24"/>
          <w:highlight w:val="none"/>
          <w:lang w:val="zh-CN"/>
        </w:rPr>
        <w:t>2、有下列情形之一，合同一方可以解除合同：</w:t>
      </w:r>
    </w:p>
    <w:p w14:paraId="063594AF">
      <w:pPr>
        <w:autoSpaceDE w:val="0"/>
        <w:autoSpaceDN w:val="0"/>
        <w:adjustRightInd w:val="0"/>
        <w:spacing w:line="360" w:lineRule="auto"/>
        <w:rPr>
          <w:rFonts w:ascii="宋体" w:hAnsi="宋体"/>
          <w:bCs/>
          <w:color w:val="auto"/>
          <w:sz w:val="24"/>
          <w:highlight w:val="none"/>
          <w:lang w:val="zh-CN"/>
        </w:rPr>
      </w:pPr>
      <w:r>
        <w:rPr>
          <w:rFonts w:hint="eastAsia" w:ascii="宋体" w:hAnsi="宋体"/>
          <w:bCs/>
          <w:color w:val="auto"/>
          <w:sz w:val="24"/>
          <w:highlight w:val="none"/>
          <w:lang w:val="en-US" w:eastAsia="zh-CN"/>
        </w:rPr>
        <w:t>2.1</w:t>
      </w:r>
      <w:r>
        <w:rPr>
          <w:rFonts w:hint="eastAsia" w:ascii="宋体" w:hAnsi="宋体"/>
          <w:bCs/>
          <w:color w:val="auto"/>
          <w:sz w:val="24"/>
          <w:highlight w:val="none"/>
          <w:lang w:val="zh-CN"/>
        </w:rPr>
        <w:t>因不可抗力致使不能实现合同目的，未受不可抗力影响的一方有权解除合同；</w:t>
      </w:r>
    </w:p>
    <w:p w14:paraId="73281855">
      <w:pPr>
        <w:autoSpaceDE w:val="0"/>
        <w:autoSpaceDN w:val="0"/>
        <w:adjustRightInd w:val="0"/>
        <w:spacing w:line="360" w:lineRule="auto"/>
        <w:rPr>
          <w:rFonts w:ascii="宋体" w:hAnsi="宋体"/>
          <w:bCs/>
          <w:color w:val="auto"/>
          <w:sz w:val="24"/>
          <w:highlight w:val="none"/>
          <w:lang w:val="zh-CN"/>
        </w:rPr>
      </w:pPr>
      <w:r>
        <w:rPr>
          <w:rFonts w:hint="eastAsia" w:ascii="宋体" w:hAnsi="宋体"/>
          <w:bCs/>
          <w:color w:val="auto"/>
          <w:sz w:val="24"/>
          <w:highlight w:val="none"/>
          <w:lang w:val="en-US" w:eastAsia="zh-CN"/>
        </w:rPr>
        <w:t>2.2</w:t>
      </w:r>
      <w:r>
        <w:rPr>
          <w:rFonts w:hint="eastAsia" w:ascii="宋体" w:hAnsi="宋体"/>
          <w:bCs/>
          <w:color w:val="auto"/>
          <w:sz w:val="24"/>
          <w:highlight w:val="none"/>
          <w:lang w:val="zh-CN"/>
        </w:rPr>
        <w:t>因合同一方违约导致合同不能履行，另一方有权解除合同。</w:t>
      </w:r>
    </w:p>
    <w:p w14:paraId="7E67A104">
      <w:pPr>
        <w:autoSpaceDE w:val="0"/>
        <w:autoSpaceDN w:val="0"/>
        <w:adjustRightInd w:val="0"/>
        <w:spacing w:line="360" w:lineRule="auto"/>
        <w:rPr>
          <w:rFonts w:ascii="宋体" w:hAnsi="宋体"/>
          <w:bCs/>
          <w:color w:val="auto"/>
          <w:sz w:val="24"/>
          <w:highlight w:val="none"/>
          <w:lang w:val="zh-CN"/>
        </w:rPr>
      </w:pPr>
      <w:r>
        <w:rPr>
          <w:rFonts w:hint="eastAsia" w:ascii="宋体" w:hAnsi="宋体"/>
          <w:bCs/>
          <w:color w:val="auto"/>
          <w:sz w:val="24"/>
          <w:highlight w:val="none"/>
          <w:lang w:val="en-US" w:eastAsia="zh-CN"/>
        </w:rPr>
        <w:t>2.</w:t>
      </w:r>
      <w:r>
        <w:rPr>
          <w:rFonts w:hint="eastAsia" w:ascii="宋体" w:hAnsi="宋体"/>
          <w:bCs/>
          <w:color w:val="auto"/>
          <w:sz w:val="24"/>
          <w:highlight w:val="none"/>
          <w:lang w:val="zh-CN"/>
        </w:rPr>
        <w:t>3有权解除合同的一方，应当在违约事实或不可抗力发生之后三十天内书面通知对方提出解除合同，合同在书面通知到达对方时解除。</w:t>
      </w:r>
    </w:p>
    <w:p w14:paraId="1BA3393C">
      <w:pPr>
        <w:autoSpaceDE w:val="0"/>
        <w:autoSpaceDN w:val="0"/>
        <w:adjustRightInd w:val="0"/>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2.4</w:t>
      </w:r>
      <w:r>
        <w:rPr>
          <w:rFonts w:hint="eastAsia" w:ascii="宋体" w:hAnsi="宋体" w:cs="宋体"/>
          <w:color w:val="auto"/>
          <w:sz w:val="24"/>
          <w:szCs w:val="24"/>
          <w:highlight w:val="none"/>
        </w:rPr>
        <w:t>如乙方在检测过程中出现以下情形，甲方有权终止合作：</w:t>
      </w:r>
    </w:p>
    <w:p w14:paraId="6F638B5A">
      <w:pPr>
        <w:autoSpaceDE w:val="0"/>
        <w:autoSpaceDN w:val="0"/>
        <w:adjustRightInd w:val="0"/>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2.4.1</w:t>
      </w:r>
      <w:r>
        <w:rPr>
          <w:rFonts w:hint="eastAsia" w:ascii="宋体" w:hAnsi="宋体" w:cs="宋体"/>
          <w:color w:val="auto"/>
          <w:sz w:val="24"/>
          <w:szCs w:val="24"/>
          <w:highlight w:val="none"/>
        </w:rPr>
        <w:t>因包括但不限于操作不规范或不符合技术规范等原因，导致检测结果不准确，达</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次</w:t>
      </w:r>
      <w:bookmarkStart w:id="18" w:name="_Hlk170207309"/>
      <w:r>
        <w:rPr>
          <w:rFonts w:hint="eastAsia" w:ascii="宋体" w:hAnsi="宋体" w:cs="宋体"/>
          <w:color w:val="auto"/>
          <w:sz w:val="24"/>
          <w:szCs w:val="24"/>
          <w:highlight w:val="none"/>
        </w:rPr>
        <w:t>或</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份</w:t>
      </w:r>
      <w:bookmarkEnd w:id="18"/>
      <w:r>
        <w:rPr>
          <w:rFonts w:hint="eastAsia" w:ascii="宋体" w:hAnsi="宋体" w:cs="宋体"/>
          <w:color w:val="auto"/>
          <w:sz w:val="24"/>
          <w:szCs w:val="24"/>
          <w:highlight w:val="none"/>
        </w:rPr>
        <w:t>。</w:t>
      </w:r>
    </w:p>
    <w:p w14:paraId="659E2228">
      <w:pPr>
        <w:autoSpaceDE w:val="0"/>
        <w:autoSpaceDN w:val="0"/>
        <w:adjustRightInd w:val="0"/>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2.4.2</w:t>
      </w:r>
      <w:r>
        <w:rPr>
          <w:rFonts w:hint="eastAsia" w:ascii="宋体" w:hAnsi="宋体" w:cs="宋体"/>
          <w:color w:val="auto"/>
          <w:sz w:val="24"/>
          <w:szCs w:val="24"/>
          <w:highlight w:val="none"/>
        </w:rPr>
        <w:t>未能按照合同约定的时间和质量要求完成检测，不能及时提供检测结果达    次或</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份，不可抗力除外。</w:t>
      </w:r>
    </w:p>
    <w:p w14:paraId="0940799B">
      <w:pPr>
        <w:autoSpaceDE w:val="0"/>
        <w:autoSpaceDN w:val="0"/>
        <w:adjustRightInd w:val="0"/>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2.4.3</w:t>
      </w:r>
      <w:r>
        <w:rPr>
          <w:rFonts w:hint="eastAsia" w:ascii="宋体" w:hAnsi="宋体" w:cs="宋体"/>
          <w:color w:val="auto"/>
          <w:sz w:val="24"/>
          <w:szCs w:val="24"/>
          <w:highlight w:val="none"/>
        </w:rPr>
        <w:t>实验室不诚信，出现欺诈行为，包括但不限于篡改室内质控数据、受检者检验数据等。</w:t>
      </w:r>
    </w:p>
    <w:p w14:paraId="233CC1B8">
      <w:pPr>
        <w:autoSpaceDE w:val="0"/>
        <w:autoSpaceDN w:val="0"/>
        <w:adjustRightInd w:val="0"/>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2.4.4</w:t>
      </w:r>
      <w:r>
        <w:rPr>
          <w:rFonts w:hint="eastAsia" w:ascii="宋体" w:hAnsi="宋体" w:cs="宋体"/>
          <w:color w:val="auto"/>
          <w:sz w:val="24"/>
          <w:szCs w:val="24"/>
          <w:highlight w:val="none"/>
        </w:rPr>
        <w:t>实验室管理不善，出现生物安全隐患。</w:t>
      </w:r>
    </w:p>
    <w:p w14:paraId="0DB8026B">
      <w:pPr>
        <w:autoSpaceDE w:val="0"/>
        <w:autoSpaceDN w:val="0"/>
        <w:adjustRightInd w:val="0"/>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2.4.5</w:t>
      </w:r>
      <w:r>
        <w:rPr>
          <w:rFonts w:hint="eastAsia" w:ascii="宋体" w:hAnsi="宋体" w:cs="宋体"/>
          <w:color w:val="auto"/>
          <w:sz w:val="24"/>
          <w:szCs w:val="24"/>
          <w:highlight w:val="none"/>
        </w:rPr>
        <w:t>泄露受检者信息造成不良后果或者泄露信息达到</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人次。</w:t>
      </w:r>
    </w:p>
    <w:p w14:paraId="302F6EEC">
      <w:pPr>
        <w:autoSpaceDE w:val="0"/>
        <w:autoSpaceDN w:val="0"/>
        <w:adjustRightInd w:val="0"/>
        <w:spacing w:line="360" w:lineRule="auto"/>
        <w:rPr>
          <w:rFonts w:hint="eastAsia" w:ascii="宋体" w:hAnsi="宋体" w:cs="宋体"/>
          <w:color w:val="auto"/>
          <w:sz w:val="24"/>
          <w:szCs w:val="24"/>
          <w:highlight w:val="none"/>
          <w:lang w:val="zh-CN"/>
        </w:rPr>
      </w:pPr>
      <w:r>
        <w:rPr>
          <w:rFonts w:hint="eastAsia" w:ascii="宋体" w:hAnsi="宋体" w:cs="宋体"/>
          <w:color w:val="auto"/>
          <w:sz w:val="24"/>
          <w:szCs w:val="24"/>
          <w:highlight w:val="none"/>
          <w:lang w:val="en-US" w:eastAsia="zh-CN"/>
        </w:rPr>
        <w:t>2.4.6</w:t>
      </w:r>
      <w:r>
        <w:rPr>
          <w:rFonts w:hint="eastAsia" w:ascii="宋体" w:hAnsi="宋体" w:cs="宋体"/>
          <w:color w:val="auto"/>
          <w:sz w:val="24"/>
          <w:szCs w:val="24"/>
          <w:highlight w:val="none"/>
        </w:rPr>
        <w:t>发生其他违反有关法律法规规定的情形。</w:t>
      </w:r>
    </w:p>
    <w:p w14:paraId="1FF63A64">
      <w:pPr>
        <w:autoSpaceDE w:val="0"/>
        <w:autoSpaceDN w:val="0"/>
        <w:adjustRightInd w:val="0"/>
        <w:spacing w:line="360" w:lineRule="auto"/>
        <w:rPr>
          <w:rFonts w:hint="eastAsia" w:ascii="宋体" w:hAnsi="宋体" w:cs="宋体"/>
          <w:color w:val="auto"/>
          <w:sz w:val="24"/>
          <w:szCs w:val="24"/>
          <w:highlight w:val="none"/>
          <w:lang w:val="zh-CN"/>
        </w:rPr>
      </w:pPr>
      <w:r>
        <w:rPr>
          <w:rFonts w:hint="eastAsia" w:ascii="宋体" w:hAnsi="宋体" w:cs="宋体"/>
          <w:color w:val="auto"/>
          <w:sz w:val="24"/>
          <w:szCs w:val="24"/>
          <w:highlight w:val="none"/>
          <w:lang w:val="zh-CN"/>
        </w:rPr>
        <w:t>十</w:t>
      </w:r>
      <w:r>
        <w:rPr>
          <w:rFonts w:hint="eastAsia" w:ascii="宋体" w:hAnsi="宋体" w:cs="宋体"/>
          <w:color w:val="auto"/>
          <w:sz w:val="24"/>
          <w:szCs w:val="24"/>
          <w:highlight w:val="none"/>
          <w:lang w:val="en-US" w:eastAsia="zh-CN"/>
        </w:rPr>
        <w:t>四、</w:t>
      </w:r>
      <w:r>
        <w:rPr>
          <w:rFonts w:hint="eastAsia" w:ascii="宋体" w:hAnsi="宋体" w:cs="宋体"/>
          <w:color w:val="auto"/>
          <w:sz w:val="24"/>
          <w:szCs w:val="24"/>
          <w:highlight w:val="none"/>
          <w:lang w:val="zh-CN"/>
        </w:rPr>
        <w:t>廉洁条款：为进一步加强医疗卫生行风建设，规范医疗卫生机构购销行为，有效防范商业贿赂行为，营造公平交易、诚实守信的购销环境，特约定以下廉洁条款，以资合同各方共同遵守</w:t>
      </w:r>
    </w:p>
    <w:p w14:paraId="587B756D">
      <w:pPr>
        <w:autoSpaceDE w:val="0"/>
        <w:autoSpaceDN w:val="0"/>
        <w:adjustRightInd w:val="0"/>
        <w:spacing w:line="360" w:lineRule="auto"/>
        <w:rPr>
          <w:rFonts w:hint="eastAsia" w:ascii="宋体" w:hAnsi="宋体" w:cs="宋体"/>
          <w:color w:val="auto"/>
          <w:sz w:val="24"/>
          <w:szCs w:val="24"/>
          <w:highlight w:val="none"/>
          <w:lang w:val="zh-CN"/>
        </w:rPr>
      </w:pPr>
      <w:r>
        <w:rPr>
          <w:rFonts w:hint="eastAsia" w:ascii="宋体" w:hAnsi="宋体" w:cs="宋体"/>
          <w:color w:val="auto"/>
          <w:sz w:val="24"/>
          <w:szCs w:val="24"/>
          <w:highlight w:val="none"/>
          <w:lang w:val="zh-CN"/>
        </w:rPr>
        <w:t>1、合同各方按照《中华人民共和国民法典》及廉洁条款约定履行。</w:t>
      </w:r>
    </w:p>
    <w:p w14:paraId="019EF075">
      <w:pPr>
        <w:autoSpaceDE w:val="0"/>
        <w:autoSpaceDN w:val="0"/>
        <w:adjustRightInd w:val="0"/>
        <w:spacing w:line="360" w:lineRule="auto"/>
        <w:rPr>
          <w:rFonts w:hint="eastAsia" w:ascii="宋体" w:hAnsi="宋体" w:cs="宋体"/>
          <w:color w:val="auto"/>
          <w:sz w:val="24"/>
          <w:szCs w:val="24"/>
          <w:highlight w:val="none"/>
          <w:lang w:val="zh-CN"/>
        </w:rPr>
      </w:pPr>
      <w:r>
        <w:rPr>
          <w:rFonts w:hint="eastAsia" w:ascii="宋体" w:hAnsi="宋体" w:cs="宋体"/>
          <w:color w:val="auto"/>
          <w:sz w:val="24"/>
          <w:szCs w:val="24"/>
          <w:highlight w:val="none"/>
          <w:lang w:val="zh-CN"/>
        </w:rPr>
        <w:t>2、甲方严禁接受乙方以任何名义、形式给予的回扣，不得将接受捐赠资助与采购挂钩。甲方工作人员不得参加乙方安排并支付费用的营业性娱乐场所的娱乐活动，不得以任何形式向乙方索要现金、有价证券、支付凭证和贵重礼品等。被迫接受乙方给予的钱物，应予退还，无法退还的，有责任如实向纪检监察部门反映情况。</w:t>
      </w:r>
    </w:p>
    <w:p w14:paraId="3CDC0BBA">
      <w:pPr>
        <w:autoSpaceDE w:val="0"/>
        <w:autoSpaceDN w:val="0"/>
        <w:adjustRightInd w:val="0"/>
        <w:spacing w:line="360" w:lineRule="auto"/>
        <w:rPr>
          <w:rFonts w:hint="eastAsia" w:ascii="宋体" w:hAnsi="宋体" w:cs="宋体"/>
          <w:color w:val="auto"/>
          <w:sz w:val="24"/>
          <w:szCs w:val="24"/>
          <w:highlight w:val="none"/>
          <w:lang w:val="zh-CN"/>
        </w:rPr>
      </w:pPr>
      <w:r>
        <w:rPr>
          <w:rFonts w:hint="eastAsia" w:ascii="宋体" w:hAnsi="宋体" w:cs="宋体"/>
          <w:color w:val="auto"/>
          <w:sz w:val="24"/>
          <w:szCs w:val="24"/>
          <w:highlight w:val="none"/>
          <w:lang w:val="zh-CN"/>
        </w:rPr>
        <w:t>3、甲方严禁利用任何途径和方式，为乙方统计医师个人及临床科室有关产品用量信息，或为乙方统计提供便利。</w:t>
      </w:r>
    </w:p>
    <w:p w14:paraId="4CCE056A">
      <w:pPr>
        <w:autoSpaceDE w:val="0"/>
        <w:autoSpaceDN w:val="0"/>
        <w:adjustRightInd w:val="0"/>
        <w:spacing w:line="360" w:lineRule="auto"/>
        <w:rPr>
          <w:rFonts w:hint="eastAsia" w:ascii="宋体" w:hAnsi="宋体" w:cs="宋体"/>
          <w:color w:val="auto"/>
          <w:sz w:val="24"/>
          <w:szCs w:val="24"/>
          <w:highlight w:val="none"/>
          <w:lang w:val="zh-CN"/>
        </w:rPr>
      </w:pPr>
      <w:r>
        <w:rPr>
          <w:rFonts w:hint="eastAsia" w:ascii="宋体" w:hAnsi="宋体" w:cs="宋体"/>
          <w:color w:val="auto"/>
          <w:sz w:val="24"/>
          <w:szCs w:val="24"/>
          <w:highlight w:val="none"/>
          <w:lang w:val="zh-CN"/>
        </w:rPr>
        <w:t>4、乙方不得以回扣、宴请等方式影响甲方工作人员采购或使用产品的选择权，不得在学术活动中提供旅游、超标准支付食宿费用。</w:t>
      </w:r>
    </w:p>
    <w:p w14:paraId="519A68F9">
      <w:pPr>
        <w:autoSpaceDE w:val="0"/>
        <w:autoSpaceDN w:val="0"/>
        <w:adjustRightInd w:val="0"/>
        <w:spacing w:line="360" w:lineRule="auto"/>
        <w:rPr>
          <w:rFonts w:hint="eastAsia" w:ascii="宋体" w:hAnsi="宋体" w:cs="宋体"/>
          <w:color w:val="auto"/>
          <w:sz w:val="24"/>
          <w:szCs w:val="24"/>
          <w:highlight w:val="none"/>
          <w:lang w:val="zh-CN"/>
        </w:rPr>
      </w:pPr>
      <w:r>
        <w:rPr>
          <w:rFonts w:hint="eastAsia" w:ascii="宋体" w:hAnsi="宋体" w:cs="宋体"/>
          <w:color w:val="auto"/>
          <w:sz w:val="24"/>
          <w:szCs w:val="24"/>
          <w:highlight w:val="none"/>
          <w:lang w:val="zh-CN"/>
        </w:rPr>
        <w:t>5、乙方指定销售代表必须在工作时间到甲方指定地点联系商谈，不得到住院部、门诊部、医技科室等推销，不得借故到甲方相关领导、部门负责人及相关工作人员非办公场所访谈并提供任何好处费等。</w:t>
      </w:r>
    </w:p>
    <w:p w14:paraId="75E017AE">
      <w:pPr>
        <w:autoSpaceDE w:val="0"/>
        <w:autoSpaceDN w:val="0"/>
        <w:adjustRightInd w:val="0"/>
        <w:spacing w:line="360" w:lineRule="auto"/>
        <w:rPr>
          <w:rFonts w:hint="eastAsia" w:ascii="宋体" w:hAnsi="宋体" w:cs="宋体"/>
          <w:color w:val="auto"/>
          <w:sz w:val="24"/>
          <w:szCs w:val="24"/>
          <w:highlight w:val="none"/>
          <w:lang w:val="zh-CN"/>
        </w:rPr>
      </w:pPr>
      <w:r>
        <w:rPr>
          <w:rFonts w:hint="eastAsia" w:ascii="宋体" w:hAnsi="宋体" w:cs="宋体"/>
          <w:color w:val="auto"/>
          <w:sz w:val="24"/>
          <w:szCs w:val="24"/>
          <w:highlight w:val="none"/>
          <w:lang w:val="zh-CN"/>
        </w:rPr>
        <w:t>6、乙方承诺其公司法定代表人、实际控制人或者股东中无甲方</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lang w:val="zh-CN"/>
        </w:rPr>
        <w:t>级以上干部，且无医院</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lang w:val="zh-CN"/>
        </w:rPr>
        <w:t>级以上干部配偶、子女、子女配偶、子女配偶的父母，或者与其同城生活来往密切、有借贷关系或照护关系的亲属等。</w:t>
      </w:r>
    </w:p>
    <w:p w14:paraId="625352BD">
      <w:pPr>
        <w:autoSpaceDE w:val="0"/>
        <w:autoSpaceDN w:val="0"/>
        <w:adjustRightInd w:val="0"/>
        <w:spacing w:line="360" w:lineRule="auto"/>
        <w:rPr>
          <w:rFonts w:hint="eastAsia" w:ascii="宋体" w:hAnsi="宋体" w:cs="宋体"/>
          <w:color w:val="auto"/>
          <w:sz w:val="24"/>
          <w:szCs w:val="24"/>
          <w:highlight w:val="none"/>
          <w:lang w:val="zh-CN"/>
        </w:rPr>
      </w:pPr>
      <w:r>
        <w:rPr>
          <w:rFonts w:hint="eastAsia" w:ascii="宋体" w:hAnsi="宋体" w:cs="宋体"/>
          <w:color w:val="auto"/>
          <w:sz w:val="24"/>
          <w:szCs w:val="24"/>
          <w:highlight w:val="none"/>
          <w:lang w:val="zh-CN"/>
        </w:rPr>
        <w:t>7、乙方如违反本廉洁条款，一经发现，甲方有权终止本合同，并向上级主管部门报告。如乙方被列入商业贿赂不良记录，则严格按照国家相关规定处理。</w:t>
      </w:r>
    </w:p>
    <w:p w14:paraId="15E9C21B">
      <w:pPr>
        <w:autoSpaceDE w:val="0"/>
        <w:autoSpaceDN w:val="0"/>
        <w:adjustRightInd w:val="0"/>
        <w:spacing w:line="360" w:lineRule="auto"/>
        <w:rPr>
          <w:rFonts w:hint="eastAsia" w:ascii="宋体" w:hAnsi="宋体" w:cs="宋体"/>
          <w:color w:val="auto"/>
          <w:sz w:val="24"/>
          <w:szCs w:val="24"/>
          <w:highlight w:val="none"/>
          <w:lang w:val="zh-CN"/>
        </w:rPr>
      </w:pPr>
      <w:r>
        <w:rPr>
          <w:rFonts w:hint="eastAsia" w:ascii="宋体" w:hAnsi="宋体" w:cs="宋体"/>
          <w:color w:val="auto"/>
          <w:sz w:val="24"/>
          <w:szCs w:val="24"/>
          <w:highlight w:val="none"/>
          <w:lang w:val="zh-CN"/>
        </w:rPr>
        <w:t>8、本廉洁条款在合同履行过程中，合同各方均需严格遵守。</w:t>
      </w:r>
    </w:p>
    <w:p w14:paraId="1BF101D1">
      <w:pPr>
        <w:autoSpaceDE w:val="0"/>
        <w:autoSpaceDN w:val="0"/>
        <w:adjustRightInd w:val="0"/>
        <w:spacing w:line="360" w:lineRule="auto"/>
        <w:rPr>
          <w:rFonts w:hint="eastAsia" w:ascii="宋体" w:hAnsi="宋体" w:cs="宋体"/>
          <w:bCs/>
          <w:color w:val="auto"/>
          <w:sz w:val="24"/>
          <w:szCs w:val="24"/>
          <w:highlight w:val="none"/>
          <w:lang w:val="zh-CN"/>
        </w:rPr>
      </w:pPr>
      <w:r>
        <w:rPr>
          <w:rFonts w:hint="eastAsia" w:ascii="宋体" w:hAnsi="宋体" w:cs="宋体"/>
          <w:bCs/>
          <w:color w:val="auto"/>
          <w:sz w:val="24"/>
          <w:szCs w:val="24"/>
          <w:highlight w:val="none"/>
          <w:lang w:val="zh-CN"/>
        </w:rPr>
        <w:t>十</w:t>
      </w:r>
      <w:r>
        <w:rPr>
          <w:rFonts w:hint="eastAsia" w:ascii="宋体" w:hAnsi="宋体" w:cs="宋体"/>
          <w:bCs/>
          <w:color w:val="auto"/>
          <w:sz w:val="24"/>
          <w:szCs w:val="24"/>
          <w:highlight w:val="none"/>
          <w:lang w:val="en-US" w:eastAsia="zh-CN"/>
        </w:rPr>
        <w:t>五</w:t>
      </w:r>
      <w:r>
        <w:rPr>
          <w:rFonts w:hint="eastAsia" w:ascii="宋体" w:hAnsi="宋体" w:cs="宋体"/>
          <w:bCs/>
          <w:color w:val="auto"/>
          <w:sz w:val="24"/>
          <w:szCs w:val="24"/>
          <w:highlight w:val="none"/>
          <w:lang w:val="zh-CN"/>
        </w:rPr>
        <w:t>、合同修改：乙方不得擅自变更本合同，但合同继续履行将损害国家和社会公共利益的除外。</w:t>
      </w:r>
    </w:p>
    <w:p w14:paraId="76717345">
      <w:pPr>
        <w:autoSpaceDE w:val="0"/>
        <w:autoSpaceDN w:val="0"/>
        <w:adjustRightInd w:val="0"/>
        <w:spacing w:line="360" w:lineRule="auto"/>
        <w:rPr>
          <w:rFonts w:hint="eastAsia" w:ascii="宋体" w:hAnsi="宋体" w:cs="宋体"/>
          <w:color w:val="auto"/>
          <w:sz w:val="24"/>
          <w:szCs w:val="24"/>
          <w:highlight w:val="none"/>
          <w:lang w:val="zh-CN"/>
        </w:rPr>
      </w:pPr>
      <w:r>
        <w:rPr>
          <w:rFonts w:hint="eastAsia" w:ascii="宋体" w:hAnsi="宋体" w:cs="宋体"/>
          <w:color w:val="auto"/>
          <w:sz w:val="24"/>
          <w:szCs w:val="24"/>
          <w:highlight w:val="none"/>
          <w:lang w:val="zh-CN"/>
        </w:rPr>
        <w:t>十</w:t>
      </w:r>
      <w:r>
        <w:rPr>
          <w:rFonts w:hint="eastAsia" w:ascii="宋体" w:hAnsi="宋体" w:cs="宋体"/>
          <w:color w:val="auto"/>
          <w:sz w:val="24"/>
          <w:szCs w:val="24"/>
          <w:highlight w:val="none"/>
          <w:lang w:val="en-US" w:eastAsia="zh-CN"/>
        </w:rPr>
        <w:t>六</w:t>
      </w:r>
      <w:r>
        <w:rPr>
          <w:rFonts w:hint="eastAsia" w:ascii="宋体" w:hAnsi="宋体" w:cs="宋体"/>
          <w:color w:val="auto"/>
          <w:sz w:val="24"/>
          <w:szCs w:val="24"/>
          <w:highlight w:val="none"/>
          <w:lang w:val="zh-CN"/>
        </w:rPr>
        <w:t>、争议解决与文件送达：</w:t>
      </w:r>
    </w:p>
    <w:p w14:paraId="65C10E05">
      <w:pPr>
        <w:autoSpaceDE w:val="0"/>
        <w:autoSpaceDN w:val="0"/>
        <w:adjustRightInd w:val="0"/>
        <w:spacing w:line="360" w:lineRule="auto"/>
        <w:rPr>
          <w:rFonts w:hint="eastAsia" w:ascii="宋体" w:hAnsi="宋体" w:cs="宋体"/>
          <w:color w:val="auto"/>
          <w:sz w:val="24"/>
          <w:szCs w:val="24"/>
          <w:highlight w:val="none"/>
          <w:lang w:val="zh-CN"/>
        </w:rPr>
      </w:pPr>
      <w:r>
        <w:rPr>
          <w:rFonts w:hint="eastAsia" w:ascii="宋体" w:hAnsi="宋体" w:cs="宋体"/>
          <w:color w:val="auto"/>
          <w:sz w:val="24"/>
          <w:szCs w:val="24"/>
          <w:highlight w:val="none"/>
          <w:lang w:val="en-US" w:eastAsia="zh-CN"/>
        </w:rPr>
        <w:t>1、</w:t>
      </w:r>
      <w:r>
        <w:rPr>
          <w:rFonts w:hint="eastAsia" w:ascii="宋体" w:hAnsi="宋体" w:cs="宋体"/>
          <w:color w:val="auto"/>
          <w:sz w:val="24"/>
          <w:szCs w:val="24"/>
          <w:highlight w:val="none"/>
          <w:lang w:val="zh-CN"/>
        </w:rPr>
        <w:t>双方因履行本合同发生争议，应首先通过友好协商解决；协商不成时，可以选择以下第</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lang w:val="zh-CN"/>
        </w:rPr>
        <w:t>种途径解决：</w:t>
      </w:r>
    </w:p>
    <w:p w14:paraId="5D5D9C45">
      <w:pPr>
        <w:autoSpaceDE w:val="0"/>
        <w:autoSpaceDN w:val="0"/>
        <w:adjustRightInd w:val="0"/>
        <w:spacing w:line="360" w:lineRule="auto"/>
        <w:rPr>
          <w:rFonts w:hint="eastAsia" w:ascii="宋体" w:hAnsi="宋体" w:cs="宋体"/>
          <w:color w:val="auto"/>
          <w:sz w:val="24"/>
          <w:szCs w:val="24"/>
          <w:highlight w:val="none"/>
          <w:lang w:val="zh-CN"/>
        </w:rPr>
      </w:pPr>
      <w:r>
        <w:rPr>
          <w:rFonts w:hint="eastAsia" w:ascii="宋体" w:hAnsi="宋体" w:cs="宋体"/>
          <w:color w:val="auto"/>
          <w:sz w:val="24"/>
          <w:szCs w:val="24"/>
          <w:highlight w:val="none"/>
          <w:lang w:val="en-US" w:eastAsia="zh-CN"/>
        </w:rPr>
        <w:t>1.</w:t>
      </w:r>
      <w:r>
        <w:rPr>
          <w:rFonts w:hint="eastAsia" w:ascii="宋体" w:hAnsi="宋体" w:cs="宋体"/>
          <w:color w:val="auto"/>
          <w:sz w:val="24"/>
          <w:szCs w:val="24"/>
          <w:highlight w:val="none"/>
          <w:lang w:val="zh-CN"/>
        </w:rPr>
        <w:t>1提交</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lang w:val="zh-CN"/>
        </w:rPr>
        <w:t>方住所地人民法院裁决。</w:t>
      </w:r>
    </w:p>
    <w:p w14:paraId="5D81C62C">
      <w:pPr>
        <w:autoSpaceDE w:val="0"/>
        <w:autoSpaceDN w:val="0"/>
        <w:adjustRightInd w:val="0"/>
        <w:spacing w:line="360" w:lineRule="auto"/>
        <w:rPr>
          <w:rFonts w:hint="eastAsia" w:ascii="宋体" w:hAnsi="宋体" w:cs="宋体"/>
          <w:color w:val="auto"/>
          <w:sz w:val="24"/>
          <w:szCs w:val="24"/>
          <w:highlight w:val="none"/>
          <w:lang w:val="zh-CN"/>
        </w:rPr>
      </w:pPr>
      <w:r>
        <w:rPr>
          <w:rFonts w:hint="eastAsia" w:ascii="宋体" w:hAnsi="宋体" w:cs="宋体"/>
          <w:color w:val="auto"/>
          <w:sz w:val="24"/>
          <w:szCs w:val="24"/>
          <w:highlight w:val="none"/>
          <w:lang w:val="en-US" w:eastAsia="zh-CN"/>
        </w:rPr>
        <w:t>1.</w:t>
      </w:r>
      <w:r>
        <w:rPr>
          <w:rFonts w:hint="eastAsia" w:ascii="宋体" w:hAnsi="宋体" w:cs="宋体"/>
          <w:color w:val="auto"/>
          <w:sz w:val="24"/>
          <w:szCs w:val="24"/>
          <w:highlight w:val="none"/>
          <w:lang w:val="zh-CN"/>
        </w:rPr>
        <w:t>2提交</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lang w:val="zh-CN"/>
        </w:rPr>
        <w:t>仲裁委员会裁决。</w:t>
      </w:r>
    </w:p>
    <w:p w14:paraId="3398708E">
      <w:pPr>
        <w:autoSpaceDE w:val="0"/>
        <w:autoSpaceDN w:val="0"/>
        <w:adjustRightInd w:val="0"/>
        <w:spacing w:line="360" w:lineRule="auto"/>
        <w:rPr>
          <w:rFonts w:hint="eastAsia" w:ascii="宋体" w:hAnsi="宋体" w:cs="宋体"/>
          <w:color w:val="auto"/>
          <w:sz w:val="24"/>
          <w:szCs w:val="24"/>
          <w:highlight w:val="none"/>
          <w:lang w:val="zh-CN"/>
        </w:rPr>
      </w:pPr>
      <w:r>
        <w:rPr>
          <w:rFonts w:hint="eastAsia" w:ascii="宋体" w:hAnsi="宋体" w:cs="宋体"/>
          <w:color w:val="auto"/>
          <w:sz w:val="24"/>
          <w:szCs w:val="24"/>
          <w:highlight w:val="none"/>
          <w:lang w:val="en-US" w:eastAsia="zh-CN"/>
        </w:rPr>
        <w:t>2、</w:t>
      </w:r>
      <w:r>
        <w:rPr>
          <w:rFonts w:hint="eastAsia" w:ascii="宋体" w:hAnsi="宋体" w:cs="宋体"/>
          <w:color w:val="auto"/>
          <w:sz w:val="24"/>
          <w:szCs w:val="24"/>
          <w:highlight w:val="none"/>
          <w:lang w:val="zh-CN"/>
        </w:rPr>
        <w:t>双方确认本合同载明的通讯地址可作为合同履行过程中相关文书、诉讼文书的送达地址，因载明的地址有误或未及时告知变更后的地址，导致相关文书及诉讼文书没能实际送达的，相关文书及诉讼文书退回之日即视为送达之日；因一方拒收的，相关文书及诉讼文书退回之日即视为送达之日。</w:t>
      </w:r>
    </w:p>
    <w:p w14:paraId="3D997750">
      <w:pPr>
        <w:autoSpaceDE w:val="0"/>
        <w:autoSpaceDN w:val="0"/>
        <w:adjustRightInd w:val="0"/>
        <w:spacing w:line="360" w:lineRule="auto"/>
        <w:rPr>
          <w:rFonts w:ascii="宋体" w:hAnsi="宋体"/>
          <w:bCs/>
          <w:color w:val="auto"/>
          <w:sz w:val="24"/>
          <w:highlight w:val="none"/>
          <w:lang w:val="zh-CN"/>
        </w:rPr>
      </w:pPr>
      <w:r>
        <w:rPr>
          <w:rFonts w:hint="eastAsia" w:ascii="宋体" w:hAnsi="宋体"/>
          <w:bCs/>
          <w:color w:val="auto"/>
          <w:sz w:val="24"/>
          <w:highlight w:val="none"/>
          <w:lang w:val="zh-CN"/>
        </w:rPr>
        <w:t>十</w:t>
      </w:r>
      <w:r>
        <w:rPr>
          <w:rFonts w:hint="eastAsia" w:ascii="宋体" w:hAnsi="宋体"/>
          <w:bCs/>
          <w:color w:val="auto"/>
          <w:sz w:val="24"/>
          <w:highlight w:val="none"/>
          <w:lang w:val="en-US" w:eastAsia="zh-CN"/>
        </w:rPr>
        <w:t>七</w:t>
      </w:r>
      <w:r>
        <w:rPr>
          <w:rFonts w:hint="eastAsia" w:ascii="宋体" w:hAnsi="宋体"/>
          <w:bCs/>
          <w:color w:val="auto"/>
          <w:sz w:val="24"/>
          <w:highlight w:val="none"/>
          <w:lang w:val="zh-CN"/>
        </w:rPr>
        <w:t>、合同的生效：本合同（采购编号：JSZC-320500-SZSD-G2026-0023）经甲乙双方签字并加盖公章（或合同章）后即生效，生效后网上备案。</w:t>
      </w:r>
    </w:p>
    <w:p w14:paraId="69862D3E">
      <w:pPr>
        <w:autoSpaceDE w:val="0"/>
        <w:autoSpaceDN w:val="0"/>
        <w:adjustRightInd w:val="0"/>
        <w:spacing w:line="360" w:lineRule="auto"/>
        <w:rPr>
          <w:rFonts w:ascii="宋体" w:hAnsi="宋体"/>
          <w:bCs/>
          <w:color w:val="auto"/>
          <w:sz w:val="24"/>
          <w:highlight w:val="none"/>
          <w:lang w:val="zh-CN"/>
        </w:rPr>
      </w:pPr>
      <w:r>
        <w:rPr>
          <w:rFonts w:hint="eastAsia" w:ascii="宋体" w:hAnsi="宋体"/>
          <w:bCs/>
          <w:color w:val="auto"/>
          <w:sz w:val="24"/>
          <w:highlight w:val="none"/>
          <w:lang w:val="zh-CN"/>
        </w:rPr>
        <w:t>十</w:t>
      </w:r>
      <w:r>
        <w:rPr>
          <w:rFonts w:hint="eastAsia" w:ascii="宋体" w:hAnsi="宋体"/>
          <w:bCs/>
          <w:color w:val="auto"/>
          <w:sz w:val="24"/>
          <w:highlight w:val="none"/>
          <w:lang w:val="en-US" w:eastAsia="zh-CN"/>
        </w:rPr>
        <w:t>八</w:t>
      </w:r>
      <w:r>
        <w:rPr>
          <w:rFonts w:hint="eastAsia" w:ascii="宋体" w:hAnsi="宋体"/>
          <w:bCs/>
          <w:color w:val="auto"/>
          <w:sz w:val="24"/>
          <w:highlight w:val="none"/>
          <w:lang w:val="zh-CN"/>
        </w:rPr>
        <w:t>、附则：</w:t>
      </w:r>
    </w:p>
    <w:p w14:paraId="639AB18C">
      <w:pPr>
        <w:autoSpaceDE w:val="0"/>
        <w:autoSpaceDN w:val="0"/>
        <w:adjustRightInd w:val="0"/>
        <w:spacing w:line="360" w:lineRule="auto"/>
        <w:rPr>
          <w:rFonts w:hint="eastAsia" w:ascii="宋体" w:hAnsi="宋体"/>
          <w:bCs/>
          <w:color w:val="auto"/>
          <w:sz w:val="24"/>
          <w:highlight w:val="none"/>
          <w:lang w:val="zh-CN" w:eastAsia="zh-TW"/>
        </w:rPr>
      </w:pPr>
      <w:r>
        <w:rPr>
          <w:rFonts w:hint="eastAsia" w:ascii="宋体" w:hAnsi="宋体"/>
          <w:bCs/>
          <w:color w:val="auto"/>
          <w:sz w:val="24"/>
          <w:highlight w:val="none"/>
          <w:lang w:val="zh-CN" w:eastAsia="zh-TW"/>
        </w:rPr>
        <w:t>1.合同份数：本合同一式伍份，甲方贰份，乙方壹份，采购代理机构壹份，政府采购管理部门壹份。</w:t>
      </w:r>
    </w:p>
    <w:p w14:paraId="05E06CC7">
      <w:pPr>
        <w:autoSpaceDE w:val="0"/>
        <w:autoSpaceDN w:val="0"/>
        <w:adjustRightInd w:val="0"/>
        <w:spacing w:line="360" w:lineRule="auto"/>
        <w:rPr>
          <w:rFonts w:hint="eastAsia" w:ascii="宋体" w:hAnsi="宋体"/>
          <w:bCs/>
          <w:color w:val="auto"/>
          <w:sz w:val="24"/>
          <w:highlight w:val="none"/>
          <w:lang w:val="zh-CN" w:eastAsia="zh-TW"/>
        </w:rPr>
      </w:pPr>
      <w:r>
        <w:rPr>
          <w:rFonts w:hint="eastAsia" w:ascii="宋体" w:hAnsi="宋体"/>
          <w:bCs/>
          <w:color w:val="auto"/>
          <w:sz w:val="24"/>
          <w:highlight w:val="none"/>
          <w:lang w:val="zh-CN" w:eastAsia="zh-TW"/>
        </w:rPr>
        <w:t>2.未尽事宜：本合同未尽事宜应按照《中华人民共和国民法典》《中华人民共和国政府采购法》以及其他相关法律、法规之规定解释。</w:t>
      </w:r>
    </w:p>
    <w:p w14:paraId="38AE2742">
      <w:pPr>
        <w:adjustRightInd w:val="0"/>
        <w:snapToGrid w:val="0"/>
        <w:spacing w:line="360" w:lineRule="exact"/>
        <w:jc w:val="left"/>
        <w:rPr>
          <w:rFonts w:hint="eastAsia" w:hAnsi="Calibri"/>
          <w:color w:val="auto"/>
          <w:sz w:val="28"/>
          <w:szCs w:val="28"/>
          <w:highlight w:val="none"/>
        </w:rPr>
      </w:pPr>
    </w:p>
    <w:p w14:paraId="7924C0B2">
      <w:pPr>
        <w:adjustRightInd w:val="0"/>
        <w:snapToGrid w:val="0"/>
        <w:spacing w:line="360" w:lineRule="exact"/>
        <w:jc w:val="left"/>
        <w:rPr>
          <w:rFonts w:hint="eastAsia" w:hAnsi="Calibri"/>
          <w:color w:val="auto"/>
          <w:sz w:val="28"/>
          <w:szCs w:val="28"/>
          <w:highlight w:val="none"/>
        </w:rPr>
      </w:pPr>
    </w:p>
    <w:p w14:paraId="31817713">
      <w:pPr>
        <w:adjustRightInd w:val="0"/>
        <w:snapToGrid w:val="0"/>
        <w:spacing w:line="360" w:lineRule="auto"/>
        <w:jc w:val="left"/>
        <w:rPr>
          <w:rFonts w:hAnsi="Calibri"/>
          <w:color w:val="auto"/>
          <w:sz w:val="24"/>
          <w:szCs w:val="24"/>
          <w:highlight w:val="none"/>
          <w:u w:val="single"/>
        </w:rPr>
      </w:pPr>
      <w:r>
        <w:rPr>
          <w:rFonts w:hint="eastAsia" w:hAnsi="Calibri"/>
          <w:color w:val="auto"/>
          <w:sz w:val="24"/>
          <w:szCs w:val="24"/>
          <w:highlight w:val="none"/>
        </w:rPr>
        <w:t>甲方（盖章）：</w:t>
      </w:r>
      <w:r>
        <w:rPr>
          <w:rFonts w:hAnsi="Calibri"/>
          <w:color w:val="auto"/>
          <w:sz w:val="24"/>
          <w:szCs w:val="24"/>
          <w:highlight w:val="none"/>
          <w:u w:val="single"/>
        </w:rPr>
        <w:t xml:space="preserve">             </w:t>
      </w:r>
      <w:r>
        <w:rPr>
          <w:rFonts w:hint="eastAsia" w:hAnsi="Calibri"/>
          <w:color w:val="auto"/>
          <w:sz w:val="24"/>
          <w:szCs w:val="24"/>
          <w:highlight w:val="none"/>
          <w:u w:val="single"/>
        </w:rPr>
        <w:t xml:space="preserve"> </w:t>
      </w:r>
      <w:r>
        <w:rPr>
          <w:rFonts w:hAnsi="Calibri"/>
          <w:color w:val="auto"/>
          <w:sz w:val="24"/>
          <w:szCs w:val="24"/>
          <w:highlight w:val="none"/>
        </w:rPr>
        <w:t xml:space="preserve">  </w:t>
      </w:r>
      <w:r>
        <w:rPr>
          <w:rFonts w:hint="eastAsia" w:hAnsi="Calibri"/>
          <w:color w:val="auto"/>
          <w:sz w:val="24"/>
          <w:szCs w:val="24"/>
          <w:highlight w:val="none"/>
        </w:rPr>
        <w:t xml:space="preserve">     乙方（盖章）：</w:t>
      </w:r>
      <w:r>
        <w:rPr>
          <w:rFonts w:hAnsi="Calibri"/>
          <w:color w:val="auto"/>
          <w:sz w:val="24"/>
          <w:szCs w:val="24"/>
          <w:highlight w:val="none"/>
          <w:u w:val="single"/>
        </w:rPr>
        <w:t xml:space="preserve">          </w:t>
      </w:r>
    </w:p>
    <w:p w14:paraId="7721A16F">
      <w:pPr>
        <w:adjustRightInd w:val="0"/>
        <w:snapToGrid w:val="0"/>
        <w:spacing w:line="360" w:lineRule="auto"/>
        <w:jc w:val="left"/>
        <w:rPr>
          <w:rFonts w:hAnsi="Calibri"/>
          <w:color w:val="auto"/>
          <w:sz w:val="24"/>
          <w:szCs w:val="24"/>
          <w:highlight w:val="none"/>
          <w:u w:val="single"/>
        </w:rPr>
      </w:pPr>
      <w:r>
        <w:rPr>
          <w:rFonts w:hint="eastAsia" w:hAnsi="Calibri"/>
          <w:color w:val="auto"/>
          <w:sz w:val="24"/>
          <w:szCs w:val="24"/>
          <w:highlight w:val="none"/>
        </w:rPr>
        <w:t>法人代表（委托人）：</w:t>
      </w:r>
      <w:r>
        <w:rPr>
          <w:rFonts w:hAnsi="Calibri"/>
          <w:color w:val="auto"/>
          <w:sz w:val="24"/>
          <w:szCs w:val="24"/>
          <w:highlight w:val="none"/>
          <w:u w:val="single"/>
        </w:rPr>
        <w:t xml:space="preserve">     </w:t>
      </w:r>
      <w:r>
        <w:rPr>
          <w:rFonts w:hint="eastAsia" w:hAnsi="Calibri"/>
          <w:color w:val="auto"/>
          <w:sz w:val="24"/>
          <w:szCs w:val="24"/>
          <w:highlight w:val="none"/>
          <w:u w:val="single"/>
        </w:rPr>
        <w:t xml:space="preserve">   </w:t>
      </w:r>
      <w:r>
        <w:rPr>
          <w:rFonts w:hint="eastAsia" w:hAnsi="Calibri"/>
          <w:color w:val="auto"/>
          <w:sz w:val="24"/>
          <w:szCs w:val="24"/>
          <w:highlight w:val="none"/>
        </w:rPr>
        <w:t xml:space="preserve"> </w:t>
      </w:r>
      <w:r>
        <w:rPr>
          <w:rFonts w:hAnsi="Calibri"/>
          <w:color w:val="auto"/>
          <w:sz w:val="24"/>
          <w:szCs w:val="24"/>
          <w:highlight w:val="none"/>
        </w:rPr>
        <w:t xml:space="preserve"> </w:t>
      </w:r>
      <w:r>
        <w:rPr>
          <w:rFonts w:hint="eastAsia" w:hAnsi="Calibri"/>
          <w:color w:val="auto"/>
          <w:sz w:val="24"/>
          <w:szCs w:val="24"/>
          <w:highlight w:val="none"/>
        </w:rPr>
        <w:t xml:space="preserve">     法人代表（委托人）：</w:t>
      </w:r>
      <w:r>
        <w:rPr>
          <w:rFonts w:hint="eastAsia" w:hAnsi="Calibri"/>
          <w:color w:val="auto"/>
          <w:sz w:val="24"/>
          <w:szCs w:val="24"/>
          <w:highlight w:val="none"/>
          <w:u w:val="single"/>
        </w:rPr>
        <w:t xml:space="preserve"> </w:t>
      </w:r>
      <w:r>
        <w:rPr>
          <w:rFonts w:hAnsi="Calibri"/>
          <w:color w:val="auto"/>
          <w:sz w:val="24"/>
          <w:szCs w:val="24"/>
          <w:highlight w:val="none"/>
          <w:u w:val="single"/>
        </w:rPr>
        <w:t xml:space="preserve"> </w:t>
      </w:r>
      <w:r>
        <w:rPr>
          <w:rFonts w:hint="eastAsia" w:hAnsi="Calibri"/>
          <w:color w:val="auto"/>
          <w:sz w:val="24"/>
          <w:szCs w:val="24"/>
          <w:highlight w:val="none"/>
          <w:u w:val="single"/>
        </w:rPr>
        <w:t xml:space="preserve"> </w:t>
      </w:r>
      <w:r>
        <w:rPr>
          <w:rFonts w:hAnsi="Calibri"/>
          <w:color w:val="auto"/>
          <w:sz w:val="24"/>
          <w:szCs w:val="24"/>
          <w:highlight w:val="none"/>
          <w:u w:val="single"/>
        </w:rPr>
        <w:t xml:space="preserve">  </w:t>
      </w:r>
      <w:r>
        <w:rPr>
          <w:rFonts w:hint="eastAsia" w:hAnsi="Calibri"/>
          <w:color w:val="auto"/>
          <w:sz w:val="24"/>
          <w:szCs w:val="24"/>
          <w:highlight w:val="none"/>
          <w:u w:val="single"/>
        </w:rPr>
        <w:t xml:space="preserve">         </w:t>
      </w:r>
    </w:p>
    <w:p w14:paraId="44631F0B">
      <w:pPr>
        <w:adjustRightInd w:val="0"/>
        <w:snapToGrid w:val="0"/>
        <w:spacing w:line="360" w:lineRule="auto"/>
        <w:jc w:val="left"/>
        <w:rPr>
          <w:rFonts w:hAnsi="Calibri"/>
          <w:color w:val="auto"/>
          <w:sz w:val="24"/>
          <w:szCs w:val="24"/>
          <w:highlight w:val="none"/>
        </w:rPr>
      </w:pPr>
      <w:r>
        <w:rPr>
          <w:rFonts w:hint="eastAsia" w:hAnsi="Calibri"/>
          <w:color w:val="auto"/>
          <w:sz w:val="24"/>
          <w:szCs w:val="24"/>
          <w:highlight w:val="none"/>
        </w:rPr>
        <w:t>经办人：</w:t>
      </w:r>
      <w:r>
        <w:rPr>
          <w:rFonts w:hAnsi="Calibri"/>
          <w:color w:val="auto"/>
          <w:sz w:val="24"/>
          <w:szCs w:val="24"/>
          <w:highlight w:val="none"/>
          <w:u w:val="single"/>
        </w:rPr>
        <w:t xml:space="preserve">             </w:t>
      </w:r>
      <w:r>
        <w:rPr>
          <w:rFonts w:hAnsi="Calibri"/>
          <w:color w:val="auto"/>
          <w:sz w:val="24"/>
          <w:szCs w:val="24"/>
          <w:highlight w:val="none"/>
        </w:rPr>
        <w:t xml:space="preserve">       </w:t>
      </w:r>
      <w:r>
        <w:rPr>
          <w:rFonts w:hint="eastAsia" w:hAnsi="Calibri"/>
          <w:color w:val="auto"/>
          <w:sz w:val="24"/>
          <w:szCs w:val="24"/>
          <w:highlight w:val="none"/>
        </w:rPr>
        <w:t xml:space="preserve">       </w:t>
      </w:r>
      <w:r>
        <w:rPr>
          <w:rFonts w:hAnsi="Calibri"/>
          <w:color w:val="auto"/>
          <w:sz w:val="24"/>
          <w:szCs w:val="24"/>
          <w:highlight w:val="none"/>
        </w:rPr>
        <w:t>经办人：</w:t>
      </w:r>
      <w:r>
        <w:rPr>
          <w:rFonts w:hint="eastAsia" w:hAnsi="Calibri"/>
          <w:color w:val="auto"/>
          <w:sz w:val="24"/>
          <w:szCs w:val="24"/>
          <w:highlight w:val="none"/>
          <w:u w:val="single"/>
        </w:rPr>
        <w:t xml:space="preserve">     </w:t>
      </w:r>
      <w:r>
        <w:rPr>
          <w:rFonts w:hAnsi="Calibri"/>
          <w:color w:val="auto"/>
          <w:sz w:val="24"/>
          <w:szCs w:val="24"/>
          <w:highlight w:val="none"/>
          <w:u w:val="single"/>
        </w:rPr>
        <w:t xml:space="preserve">  </w:t>
      </w:r>
      <w:r>
        <w:rPr>
          <w:rFonts w:hint="eastAsia" w:hAnsi="Calibri"/>
          <w:color w:val="auto"/>
          <w:sz w:val="24"/>
          <w:szCs w:val="24"/>
          <w:highlight w:val="none"/>
          <w:u w:val="single"/>
        </w:rPr>
        <w:t xml:space="preserve">     </w:t>
      </w:r>
    </w:p>
    <w:p w14:paraId="1744FB26">
      <w:pPr>
        <w:adjustRightInd w:val="0"/>
        <w:snapToGrid w:val="0"/>
        <w:spacing w:line="360" w:lineRule="auto"/>
        <w:jc w:val="left"/>
        <w:rPr>
          <w:rFonts w:ascii="方正小标宋_GBK" w:eastAsia="方正小标宋_GBK"/>
          <w:color w:val="auto"/>
          <w:sz w:val="24"/>
          <w:szCs w:val="24"/>
          <w:highlight w:val="none"/>
        </w:rPr>
      </w:pPr>
      <w:r>
        <w:rPr>
          <w:rFonts w:hint="eastAsia" w:hAnsi="Calibri"/>
          <w:color w:val="auto"/>
          <w:sz w:val="24"/>
          <w:szCs w:val="24"/>
          <w:highlight w:val="none"/>
        </w:rPr>
        <w:t>签订日期：</w:t>
      </w:r>
      <w:r>
        <w:rPr>
          <w:rFonts w:hAnsi="Calibri"/>
          <w:color w:val="auto"/>
          <w:sz w:val="24"/>
          <w:szCs w:val="24"/>
          <w:highlight w:val="none"/>
          <w:u w:val="single"/>
        </w:rPr>
        <w:t xml:space="preserve">           </w:t>
      </w:r>
      <w:r>
        <w:rPr>
          <w:rFonts w:hAnsi="Calibri"/>
          <w:color w:val="auto"/>
          <w:sz w:val="24"/>
          <w:szCs w:val="24"/>
          <w:highlight w:val="none"/>
        </w:rPr>
        <w:t xml:space="preserve">        </w:t>
      </w:r>
      <w:r>
        <w:rPr>
          <w:rFonts w:hint="eastAsia" w:hAnsi="Calibri"/>
          <w:color w:val="auto"/>
          <w:sz w:val="24"/>
          <w:szCs w:val="24"/>
          <w:highlight w:val="none"/>
        </w:rPr>
        <w:t xml:space="preserve">      </w:t>
      </w:r>
      <w:r>
        <w:rPr>
          <w:rFonts w:hAnsi="Calibri"/>
          <w:color w:val="auto"/>
          <w:sz w:val="24"/>
          <w:szCs w:val="24"/>
          <w:highlight w:val="none"/>
        </w:rPr>
        <w:t>签订日期：</w:t>
      </w:r>
      <w:r>
        <w:rPr>
          <w:rFonts w:hAnsi="Calibri"/>
          <w:color w:val="auto"/>
          <w:sz w:val="24"/>
          <w:szCs w:val="24"/>
          <w:highlight w:val="none"/>
          <w:u w:val="single"/>
        </w:rPr>
        <w:t xml:space="preserve">          </w:t>
      </w:r>
    </w:p>
    <w:p w14:paraId="3D4D7285">
      <w:pP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br w:type="page" w:clear="all"/>
      </w:r>
    </w:p>
    <w:p w14:paraId="7CC0F5AF">
      <w:pPr>
        <w:keepNext w:val="0"/>
        <w:keepLines w:val="0"/>
        <w:pageBreakBefore w:val="0"/>
        <w:widowControl w:val="0"/>
        <w:spacing w:line="360" w:lineRule="auto"/>
        <w:jc w:val="center"/>
        <w:outlineLvl w:val="0"/>
        <w:rPr>
          <w:rFonts w:hint="eastAsia" w:ascii="宋体" w:hAnsi="宋体" w:cs="宋体"/>
          <w:bCs/>
          <w:color w:val="auto"/>
          <w:sz w:val="44"/>
          <w:szCs w:val="32"/>
          <w:highlight w:val="none"/>
        </w:rPr>
      </w:pPr>
      <w:r>
        <w:rPr>
          <w:rFonts w:hint="eastAsia" w:ascii="宋体" w:hAnsi="宋体" w:cs="宋体"/>
          <w:bCs/>
          <w:color w:val="auto"/>
          <w:sz w:val="44"/>
          <w:szCs w:val="32"/>
          <w:highlight w:val="none"/>
        </w:rPr>
        <w:t>第六章 评标方法、评分标准</w:t>
      </w:r>
    </w:p>
    <w:p w14:paraId="75026535">
      <w:pPr>
        <w:spacing w:line="360" w:lineRule="auto"/>
        <w:rPr>
          <w:color w:val="auto"/>
          <w:highlight w:val="none"/>
        </w:rPr>
      </w:pPr>
      <w:r>
        <w:rPr>
          <w:rFonts w:hint="eastAsia" w:ascii="宋体" w:hAnsi="宋体" w:cs="宋体"/>
          <w:b/>
          <w:color w:val="auto"/>
          <w:sz w:val="24"/>
          <w:szCs w:val="24"/>
          <w:highlight w:val="none"/>
        </w:rPr>
        <w:t>一、评标方法：</w:t>
      </w:r>
    </w:p>
    <w:p w14:paraId="2161F589">
      <w:pPr>
        <w:spacing w:line="360" w:lineRule="auto"/>
        <w:rPr>
          <w:color w:val="auto"/>
          <w:highlight w:val="none"/>
        </w:rPr>
      </w:pPr>
      <w:r>
        <w:rPr>
          <w:rFonts w:ascii="宋体" w:cs="宋体"/>
          <w:color w:val="auto"/>
          <w:sz w:val="24"/>
          <w:szCs w:val="24"/>
          <w:highlight w:val="none"/>
        </w:rPr>
        <w:t>1</w:t>
      </w:r>
      <w:r>
        <w:rPr>
          <w:rFonts w:hint="eastAsia" w:ascii="宋体" w:cs="宋体"/>
          <w:color w:val="auto"/>
          <w:sz w:val="24"/>
          <w:szCs w:val="24"/>
          <w:highlight w:val="none"/>
        </w:rPr>
        <w:t>、本次招标评标</w:t>
      </w:r>
      <w:r>
        <w:rPr>
          <w:rFonts w:hint="eastAsia" w:ascii="宋体" w:cs="宋体"/>
          <w:color w:val="auto"/>
          <w:sz w:val="24"/>
          <w:szCs w:val="24"/>
          <w:highlight w:val="none"/>
          <w:lang w:eastAsia="zh-CN"/>
        </w:rPr>
        <w:t>采用</w:t>
      </w:r>
      <w:r>
        <w:rPr>
          <w:rFonts w:hint="eastAsia" w:ascii="宋体" w:cs="宋体"/>
          <w:color w:val="auto"/>
          <w:sz w:val="24"/>
          <w:szCs w:val="24"/>
          <w:highlight w:val="none"/>
        </w:rPr>
        <w:t>综合评分法，</w:t>
      </w:r>
      <w:r>
        <w:rPr>
          <w:rFonts w:hint="eastAsia" w:ascii="宋体"/>
          <w:color w:val="auto"/>
          <w:sz w:val="24"/>
          <w:szCs w:val="24"/>
          <w:highlight w:val="none"/>
        </w:rPr>
        <w:t>即指投标文件满足招标文件全部实质性要求，且按照评审因素的量化指标评审得分最高的投标</w:t>
      </w:r>
      <w:r>
        <w:rPr>
          <w:rFonts w:hint="eastAsia" w:ascii="宋体"/>
          <w:color w:val="auto"/>
          <w:sz w:val="24"/>
          <w:szCs w:val="24"/>
          <w:highlight w:val="none"/>
          <w:lang w:val="en-US" w:eastAsia="zh-CN"/>
        </w:rPr>
        <w:t>单位</w:t>
      </w:r>
      <w:r>
        <w:rPr>
          <w:rFonts w:hint="eastAsia" w:ascii="宋体"/>
          <w:color w:val="auto"/>
          <w:sz w:val="24"/>
          <w:szCs w:val="24"/>
          <w:highlight w:val="none"/>
        </w:rPr>
        <w:t>为中标候选人的评标方法</w:t>
      </w:r>
      <w:r>
        <w:rPr>
          <w:rFonts w:hint="eastAsia" w:ascii="宋体" w:cs="宋体"/>
          <w:color w:val="auto"/>
          <w:sz w:val="24"/>
          <w:szCs w:val="24"/>
          <w:highlight w:val="none"/>
        </w:rPr>
        <w:t>。</w:t>
      </w:r>
    </w:p>
    <w:p w14:paraId="53A1C75B">
      <w:pPr>
        <w:spacing w:line="360" w:lineRule="auto"/>
        <w:rPr>
          <w:rFonts w:hint="eastAsia" w:ascii="宋体" w:hAnsi="宋体"/>
          <w:color w:val="auto"/>
          <w:sz w:val="24"/>
          <w:szCs w:val="24"/>
          <w:highlight w:val="none"/>
        </w:rPr>
      </w:pPr>
      <w:r>
        <w:rPr>
          <w:rFonts w:hint="eastAsia" w:ascii="宋体" w:hAnsi="宋体"/>
          <w:color w:val="auto"/>
          <w:sz w:val="24"/>
          <w:szCs w:val="24"/>
          <w:highlight w:val="none"/>
        </w:rPr>
        <w:t>2、评标委员会独立对供应商的投标文件按照采购文件的规定和要求进行资格性和符合性评审，如投标文件的内容满足采购文件的实质性要求的，则该投标文件评审合格。如某一条款内容评审不合格，评审专家须注明评审不合格原因。未实质性响应采购文件的</w:t>
      </w:r>
      <w:r>
        <w:rPr>
          <w:rFonts w:hint="eastAsia" w:ascii="宋体" w:hAnsi="宋体"/>
          <w:color w:val="auto"/>
          <w:sz w:val="24"/>
          <w:szCs w:val="24"/>
          <w:highlight w:val="none"/>
          <w:lang w:val="en-US" w:eastAsia="zh-CN"/>
        </w:rPr>
        <w:t>投标</w:t>
      </w:r>
      <w:r>
        <w:rPr>
          <w:rFonts w:hint="eastAsia" w:ascii="宋体" w:hAnsi="宋体"/>
          <w:color w:val="auto"/>
          <w:sz w:val="24"/>
          <w:szCs w:val="24"/>
          <w:highlight w:val="none"/>
        </w:rPr>
        <w:t>文件将被认定为无效文件，评标委员会应告知有关供应商。</w:t>
      </w:r>
    </w:p>
    <w:p w14:paraId="6EA9C401">
      <w:pPr>
        <w:spacing w:line="360" w:lineRule="auto"/>
        <w:ind w:firstLine="480"/>
        <w:rPr>
          <w:rFonts w:hint="eastAsia" w:ascii="宋体" w:hAnsi="宋体"/>
          <w:color w:val="auto"/>
          <w:sz w:val="24"/>
          <w:szCs w:val="24"/>
          <w:highlight w:val="none"/>
        </w:rPr>
      </w:pPr>
      <w:r>
        <w:rPr>
          <w:rFonts w:hint="eastAsia" w:ascii="宋体" w:hAnsi="宋体"/>
          <w:color w:val="auto"/>
          <w:sz w:val="24"/>
          <w:szCs w:val="24"/>
          <w:highlight w:val="none"/>
        </w:rPr>
        <w:t>如某一评审条款出现评审专家意见不一致时，则按少数服从多数的原则，确定该项条款是否合格。在评审合格的供应商中，最后报价最低为中标候选人。如出现两个或两个以上最后报价相同的供应商，则由评标委员会以抽签方式确定中标候选人。</w:t>
      </w:r>
    </w:p>
    <w:p w14:paraId="4934E98D">
      <w:pPr>
        <w:spacing w:line="360" w:lineRule="auto"/>
        <w:ind w:firstLine="480"/>
        <w:rPr>
          <w:rFonts w:hint="eastAsia" w:ascii="宋体" w:hAnsi="宋体"/>
          <w:color w:val="auto"/>
          <w:sz w:val="24"/>
          <w:szCs w:val="24"/>
          <w:highlight w:val="none"/>
        </w:rPr>
      </w:pPr>
      <w:r>
        <w:rPr>
          <w:rFonts w:hint="eastAsia" w:ascii="宋体" w:hAnsi="宋体"/>
          <w:color w:val="auto"/>
          <w:sz w:val="24"/>
          <w:szCs w:val="24"/>
          <w:highlight w:val="none"/>
        </w:rPr>
        <w:t>评标委员会对最后报价进行复核，报价以大写为准。</w:t>
      </w:r>
    </w:p>
    <w:p w14:paraId="280E1859">
      <w:pPr>
        <w:spacing w:line="360" w:lineRule="auto"/>
        <w:ind w:firstLine="480"/>
        <w:rPr>
          <w:rFonts w:hint="eastAsia" w:ascii="宋体" w:hAnsi="宋体"/>
          <w:color w:val="auto"/>
          <w:sz w:val="24"/>
          <w:szCs w:val="24"/>
          <w:highlight w:val="none"/>
        </w:rPr>
      </w:pPr>
      <w:r>
        <w:rPr>
          <w:rFonts w:hint="eastAsia" w:ascii="宋体" w:hAnsi="宋体"/>
          <w:color w:val="auto"/>
          <w:sz w:val="24"/>
          <w:szCs w:val="24"/>
          <w:highlight w:val="none"/>
        </w:rPr>
        <w:t>对评审结果有异议的评标委员会成员，应当在评审结果表上签署不同意见并说明理由，评标委员会成员拒绝在评审结果表上签字又不书面说明其不同意见和理由的，视为同意评审结果。</w:t>
      </w:r>
    </w:p>
    <w:p w14:paraId="3B660741">
      <w:pPr>
        <w:spacing w:line="360" w:lineRule="auto"/>
        <w:rPr>
          <w:rFonts w:ascii="宋体" w:hAnsi="宋体"/>
          <w:color w:val="auto"/>
          <w:sz w:val="24"/>
          <w:szCs w:val="24"/>
          <w:highlight w:val="none"/>
        </w:rPr>
      </w:pPr>
      <w:r>
        <w:rPr>
          <w:rFonts w:hint="eastAsia" w:ascii="宋体" w:hAnsi="宋体"/>
          <w:color w:val="auto"/>
          <w:sz w:val="24"/>
          <w:szCs w:val="24"/>
          <w:highlight w:val="none"/>
          <w:lang w:val="en-US" w:eastAsia="zh-CN"/>
        </w:rPr>
        <w:t>3</w:t>
      </w:r>
      <w:r>
        <w:rPr>
          <w:rFonts w:hint="eastAsia" w:ascii="宋体" w:hAnsi="宋体"/>
          <w:color w:val="auto"/>
          <w:sz w:val="24"/>
          <w:szCs w:val="24"/>
          <w:highlight w:val="none"/>
        </w:rPr>
        <w:t>、如投标人存在“苏财购〔2017〕11号”文件中所列的失信或不良行为，按照相关规定执行。关于较大数额罚款的认定按照《财政部关于&lt;中华人民共和国政府采购法实施条例&gt;第十九条第一款“较大数额罚款”具体适用问题的意见》（财库〔2022〕3 号）文件执行。</w:t>
      </w:r>
    </w:p>
    <w:p w14:paraId="73B78F38">
      <w:pPr>
        <w:spacing w:line="360" w:lineRule="auto"/>
        <w:rPr>
          <w:rFonts w:ascii="宋体" w:hAnsi="宋体"/>
          <w:b/>
          <w:color w:val="auto"/>
          <w:sz w:val="24"/>
          <w:szCs w:val="24"/>
          <w:highlight w:val="none"/>
        </w:rPr>
      </w:pPr>
      <w:r>
        <w:rPr>
          <w:rFonts w:hint="eastAsia" w:ascii="宋体" w:hAnsi="宋体"/>
          <w:color w:val="auto"/>
          <w:sz w:val="24"/>
          <w:szCs w:val="24"/>
          <w:highlight w:val="none"/>
          <w:lang w:val="en-US" w:eastAsia="zh-CN"/>
        </w:rPr>
        <w:t>4</w:t>
      </w:r>
      <w:r>
        <w:rPr>
          <w:rFonts w:hint="eastAsia" w:ascii="宋体" w:hAnsi="宋体"/>
          <w:color w:val="auto"/>
          <w:sz w:val="24"/>
          <w:szCs w:val="24"/>
          <w:highlight w:val="none"/>
        </w:rPr>
        <w:t>、针对中小型企业、残疾人福利企业和监狱企业的评审：</w:t>
      </w:r>
    </w:p>
    <w:p w14:paraId="08BC9A24">
      <w:pPr>
        <w:spacing w:line="360" w:lineRule="auto"/>
        <w:ind w:firstLine="420"/>
        <w:rPr>
          <w:rFonts w:hint="eastAsia" w:ascii="宋体" w:hAnsi="宋体"/>
          <w:b/>
          <w:bCs/>
          <w:color w:val="auto"/>
          <w:sz w:val="24"/>
          <w:szCs w:val="24"/>
          <w:highlight w:val="none"/>
        </w:rPr>
      </w:pPr>
      <w:r>
        <w:rPr>
          <w:rFonts w:hint="eastAsia" w:ascii="宋体" w:hAnsi="宋体"/>
          <w:color w:val="auto"/>
          <w:sz w:val="24"/>
          <w:szCs w:val="24"/>
          <w:highlight w:val="none"/>
        </w:rPr>
        <w:t>根据《政府采购促进中小企业发展管理办法》（财库〔2020〕46号）、《关于促进残疾人就业政府采购政策的通知》（财库〔2017〕141号）、《关于政府采购支持监狱企业发展有关问题的通知》（财库〔2014〕68号）、《关于印发</w:t>
      </w:r>
      <w:r>
        <w:rPr>
          <w:rFonts w:hint="eastAsia" w:ascii="宋体" w:hAnsi="宋体"/>
          <w:color w:val="auto"/>
          <w:sz w:val="24"/>
          <w:szCs w:val="24"/>
          <w:highlight w:val="none"/>
          <w:lang w:eastAsia="zh-CN"/>
        </w:rPr>
        <w:t>〈</w:t>
      </w:r>
      <w:r>
        <w:rPr>
          <w:rFonts w:hint="eastAsia" w:ascii="宋体" w:hAnsi="宋体"/>
          <w:color w:val="auto"/>
          <w:sz w:val="24"/>
          <w:szCs w:val="24"/>
          <w:highlight w:val="none"/>
        </w:rPr>
        <w:t>苏州市政府采购促进中小企业发展实施意见</w:t>
      </w:r>
      <w:r>
        <w:rPr>
          <w:rFonts w:hint="eastAsia" w:ascii="宋体" w:hAnsi="宋体"/>
          <w:color w:val="auto"/>
          <w:sz w:val="24"/>
          <w:szCs w:val="24"/>
          <w:highlight w:val="none"/>
          <w:lang w:eastAsia="zh-CN"/>
        </w:rPr>
        <w:t>〉的通知》</w:t>
      </w:r>
      <w:r>
        <w:rPr>
          <w:rFonts w:hint="eastAsia" w:ascii="宋体" w:hAnsi="宋体"/>
          <w:color w:val="auto"/>
          <w:sz w:val="24"/>
          <w:szCs w:val="24"/>
          <w:highlight w:val="none"/>
        </w:rPr>
        <w:t>（苏财购〔202</w:t>
      </w:r>
      <w:r>
        <w:rPr>
          <w:rFonts w:ascii="宋体" w:hAnsi="宋体"/>
          <w:color w:val="auto"/>
          <w:sz w:val="24"/>
          <w:szCs w:val="24"/>
          <w:highlight w:val="none"/>
        </w:rPr>
        <w:t>2</w:t>
      </w:r>
      <w:r>
        <w:rPr>
          <w:rFonts w:hint="eastAsia" w:ascii="宋体" w:hAnsi="宋体"/>
          <w:color w:val="auto"/>
          <w:sz w:val="24"/>
          <w:szCs w:val="24"/>
          <w:highlight w:val="none"/>
        </w:rPr>
        <w:t>〕</w:t>
      </w:r>
      <w:r>
        <w:rPr>
          <w:rFonts w:ascii="宋体" w:hAnsi="宋体"/>
          <w:color w:val="auto"/>
          <w:sz w:val="24"/>
          <w:szCs w:val="24"/>
          <w:highlight w:val="none"/>
        </w:rPr>
        <w:t>16</w:t>
      </w:r>
      <w:r>
        <w:rPr>
          <w:rFonts w:hint="eastAsia" w:ascii="宋体" w:hAnsi="宋体"/>
          <w:color w:val="auto"/>
          <w:sz w:val="24"/>
          <w:szCs w:val="24"/>
          <w:highlight w:val="none"/>
        </w:rPr>
        <w:t>号）的有关规定，</w:t>
      </w:r>
      <w:r>
        <w:rPr>
          <w:rFonts w:hint="eastAsia" w:ascii="宋体" w:hAnsi="宋体"/>
          <w:bCs/>
          <w:color w:val="auto"/>
          <w:sz w:val="24"/>
          <w:highlight w:val="none"/>
        </w:rPr>
        <w:t>对于符合上述文件规定情形的小微企业、残疾人福利性单位及监狱企业报价给予</w:t>
      </w:r>
      <w:r>
        <w:rPr>
          <w:rFonts w:hint="eastAsia" w:ascii="宋体" w:hAnsi="宋体"/>
          <w:b/>
          <w:color w:val="auto"/>
          <w:sz w:val="24"/>
          <w:highlight w:val="none"/>
        </w:rPr>
        <w:t>20%</w:t>
      </w:r>
      <w:r>
        <w:rPr>
          <w:rFonts w:hint="eastAsia" w:ascii="宋体" w:hAnsi="宋体"/>
          <w:bCs/>
          <w:color w:val="auto"/>
          <w:sz w:val="24"/>
          <w:highlight w:val="none"/>
        </w:rPr>
        <w:t>的扣除，用扣除后的价格参与评审，如扣除后的价格为最低价的，则作为评审基准价，中标金额则以实际投标报价为准。残疾人福利性单位属于小型、微型企业的，不重复享受政策</w:t>
      </w:r>
      <w:r>
        <w:rPr>
          <w:rFonts w:hint="eastAsia" w:ascii="宋体" w:hAnsi="宋体"/>
          <w:bCs/>
          <w:color w:val="auto"/>
          <w:sz w:val="24"/>
          <w:szCs w:val="24"/>
          <w:highlight w:val="none"/>
        </w:rPr>
        <w:t>。</w:t>
      </w:r>
      <w:r>
        <w:rPr>
          <w:rFonts w:hint="eastAsia" w:ascii="宋体" w:hAnsi="宋体"/>
          <w:b/>
          <w:bCs w:val="0"/>
          <w:color w:val="auto"/>
          <w:sz w:val="24"/>
          <w:szCs w:val="24"/>
          <w:highlight w:val="none"/>
        </w:rPr>
        <w:t>服务类项目中供应商若使用退休人员，将不享受中小企业扶持政策</w:t>
      </w:r>
      <w:r>
        <w:rPr>
          <w:rFonts w:hint="eastAsia" w:ascii="宋体" w:hAnsi="宋体"/>
          <w:b/>
          <w:bCs w:val="0"/>
          <w:color w:val="auto"/>
          <w:sz w:val="24"/>
          <w:szCs w:val="24"/>
          <w:highlight w:val="none"/>
          <w:lang w:eastAsia="zh-CN"/>
        </w:rPr>
        <w:t>。</w:t>
      </w:r>
      <w:r>
        <w:rPr>
          <w:rFonts w:hint="eastAsia" w:ascii="宋体" w:hAnsi="宋体" w:cs="宋体"/>
          <w:b/>
          <w:bCs w:val="0"/>
          <w:color w:val="auto"/>
          <w:sz w:val="24"/>
          <w:szCs w:val="24"/>
          <w:highlight w:val="none"/>
        </w:rPr>
        <w:t>本</w:t>
      </w:r>
      <w:r>
        <w:rPr>
          <w:rFonts w:hint="eastAsia" w:ascii="宋体" w:hAnsi="宋体" w:cs="宋体"/>
          <w:b/>
          <w:bCs w:val="0"/>
          <w:color w:val="auto"/>
          <w:sz w:val="24"/>
          <w:szCs w:val="24"/>
          <w:highlight w:val="none"/>
          <w:lang w:val="en-US" w:eastAsia="zh-CN"/>
        </w:rPr>
        <w:t>采购包</w:t>
      </w:r>
      <w:r>
        <w:rPr>
          <w:rFonts w:hint="eastAsia" w:ascii="宋体" w:hAnsi="宋体" w:cs="宋体"/>
          <w:b/>
          <w:bCs w:val="0"/>
          <w:color w:val="auto"/>
          <w:sz w:val="24"/>
          <w:szCs w:val="24"/>
          <w:highlight w:val="none"/>
        </w:rPr>
        <w:t>对应的中小企业划分标准所属行业为：</w:t>
      </w:r>
      <w:r>
        <w:rPr>
          <w:rFonts w:hint="eastAsia" w:ascii="宋体" w:hAnsi="宋体"/>
          <w:b/>
          <w:bCs w:val="0"/>
          <w:color w:val="auto"/>
          <w:sz w:val="24"/>
          <w:szCs w:val="24"/>
          <w:highlight w:val="none"/>
          <w:u w:val="single"/>
        </w:rPr>
        <w:t>其他未列明行业</w:t>
      </w:r>
      <w:r>
        <w:rPr>
          <w:rFonts w:hint="eastAsia" w:ascii="宋体" w:hAnsi="宋体" w:cs="宋体"/>
          <w:b/>
          <w:bCs w:val="0"/>
          <w:color w:val="auto"/>
          <w:sz w:val="24"/>
          <w:szCs w:val="24"/>
          <w:highlight w:val="none"/>
        </w:rPr>
        <w:t>。</w:t>
      </w:r>
    </w:p>
    <w:p w14:paraId="20CDC899">
      <w:pPr>
        <w:spacing w:line="360" w:lineRule="auto"/>
        <w:ind w:lef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小微企业提供《中小企业声明函》；监狱企业提供由省级以上监狱管理局、戒毒管理局（含新疆生产建设兵团）出具的属于监狱企业的证明文件；残疾人福利性单位提供《残疾人福利性单位声明函》。</w:t>
      </w:r>
    </w:p>
    <w:p w14:paraId="2DB96006">
      <w:pPr>
        <w:spacing w:line="360" w:lineRule="auto"/>
        <w:ind w:left="0" w:firstLine="420"/>
        <w:rPr>
          <w:rFonts w:hint="eastAsia" w:ascii="宋体" w:hAnsi="宋体" w:eastAsia="宋体" w:cs="宋体"/>
          <w:b/>
          <w:color w:val="auto"/>
          <w:sz w:val="24"/>
          <w:szCs w:val="24"/>
          <w:highlight w:val="none"/>
        </w:rPr>
      </w:pPr>
      <w:r>
        <w:rPr>
          <w:rFonts w:hint="eastAsia" w:ascii="宋体" w:hAnsi="宋体" w:eastAsia="宋体" w:cs="宋体"/>
          <w:color w:val="auto"/>
          <w:sz w:val="24"/>
          <w:szCs w:val="24"/>
          <w:highlight w:val="none"/>
        </w:rPr>
        <w:t>注：</w:t>
      </w:r>
    </w:p>
    <w:p w14:paraId="3C130AA5">
      <w:pPr>
        <w:spacing w:line="360" w:lineRule="auto"/>
        <w:ind w:left="0" w:firstLine="420"/>
        <w:rPr>
          <w:rFonts w:hint="eastAsia" w:ascii="宋体" w:hAnsi="宋体" w:eastAsia="宋体" w:cs="宋体"/>
          <w:b/>
          <w:color w:val="auto"/>
          <w:sz w:val="24"/>
          <w:szCs w:val="24"/>
          <w:highlight w:val="none"/>
        </w:rPr>
      </w:pPr>
      <w:r>
        <w:rPr>
          <w:rFonts w:hint="eastAsia" w:ascii="宋体" w:hAnsi="宋体" w:eastAsia="宋体" w:cs="宋体"/>
          <w:color w:val="auto"/>
          <w:sz w:val="24"/>
          <w:szCs w:val="24"/>
          <w:highlight w:val="none"/>
        </w:rPr>
        <w:t>①填报“中小企业声明函”需严格按“工信部联企业〔2011〕300号通知中的《中小企业划型标准规定》进行。</w:t>
      </w:r>
    </w:p>
    <w:p w14:paraId="4210B1A3">
      <w:pPr>
        <w:spacing w:line="360" w:lineRule="auto"/>
        <w:ind w:lef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②若供应商提供的声明函或认定证明为虚假材料，按“政府采购法”相关规定处理并报请政府监管部门给予行政处罚。</w:t>
      </w:r>
    </w:p>
    <w:p w14:paraId="6C658092">
      <w:pPr>
        <w:spacing w:line="360" w:lineRule="auto"/>
        <w:rPr>
          <w:rFonts w:hint="default" w:eastAsia="宋体"/>
          <w:color w:val="auto"/>
          <w:highlight w:val="none"/>
          <w:lang w:val="en-US" w:eastAsia="zh-CN"/>
        </w:rPr>
      </w:pPr>
      <w:r>
        <w:rPr>
          <w:rFonts w:hint="eastAsia" w:ascii="宋体" w:hAnsi="宋体" w:cs="宋体"/>
          <w:b/>
          <w:color w:val="auto"/>
          <w:sz w:val="24"/>
          <w:szCs w:val="24"/>
          <w:highlight w:val="none"/>
        </w:rPr>
        <w:t>二、综合评分标准：</w:t>
      </w:r>
    </w:p>
    <w:p w14:paraId="66D23F56">
      <w:pPr>
        <w:spacing w:line="360" w:lineRule="auto"/>
        <w:ind w:left="0" w:firstLine="0"/>
        <w:contextualSpacing/>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lang w:val="en-US"/>
        </w:rPr>
        <w:t>（一）报价得分（</w:t>
      </w:r>
      <w:r>
        <w:rPr>
          <w:rFonts w:hint="eastAsia" w:ascii="宋体" w:hAnsi="宋体" w:eastAsia="宋体" w:cs="宋体"/>
          <w:b/>
          <w:bCs/>
          <w:color w:val="auto"/>
          <w:sz w:val="24"/>
          <w:szCs w:val="24"/>
          <w:highlight w:val="none"/>
          <w:lang w:val="en-US" w:eastAsia="zh-CN"/>
        </w:rPr>
        <w:t>20</w:t>
      </w:r>
      <w:r>
        <w:rPr>
          <w:rFonts w:hint="eastAsia" w:ascii="宋体" w:hAnsi="宋体" w:eastAsia="宋体" w:cs="宋体"/>
          <w:b/>
          <w:bCs/>
          <w:color w:val="auto"/>
          <w:sz w:val="24"/>
          <w:szCs w:val="24"/>
          <w:highlight w:val="none"/>
          <w:lang w:val="en-US"/>
        </w:rPr>
        <w:t>分）</w:t>
      </w:r>
    </w:p>
    <w:p w14:paraId="292C48DC">
      <w:pPr>
        <w:pStyle w:val="204"/>
        <w:spacing w:line="360" w:lineRule="auto"/>
        <w:ind w:left="0" w:firstLine="0"/>
        <w:rPr>
          <w:rFonts w:hint="eastAsia" w:hAnsi="宋体" w:eastAsia="宋体" w:cs="宋体"/>
          <w:b w:val="0"/>
          <w:bCs w:val="0"/>
          <w:color w:val="auto"/>
          <w:sz w:val="24"/>
          <w:szCs w:val="24"/>
          <w:highlight w:val="none"/>
          <w:lang w:val="en-US" w:eastAsia="zh-CN"/>
        </w:rPr>
      </w:pPr>
      <w:r>
        <w:rPr>
          <w:rFonts w:hint="eastAsia" w:ascii="宋体" w:hAnsi="宋体" w:eastAsia="宋体" w:cs="宋体"/>
          <w:color w:val="auto"/>
          <w:sz w:val="24"/>
          <w:szCs w:val="24"/>
          <w:highlight w:val="none"/>
          <w:lang w:val="en-US"/>
        </w:rPr>
        <w:t>1、本次报价</w:t>
      </w:r>
      <w:r>
        <w:rPr>
          <w:rFonts w:hint="eastAsia" w:hAnsi="宋体" w:eastAsia="宋体" w:cs="宋体"/>
          <w:color w:val="auto"/>
          <w:sz w:val="24"/>
          <w:szCs w:val="24"/>
          <w:highlight w:val="none"/>
          <w:lang w:val="en-US" w:eastAsia="zh-CN"/>
        </w:rPr>
        <w:t>采用</w:t>
      </w:r>
      <w:r>
        <w:rPr>
          <w:rFonts w:hint="eastAsia" w:ascii="宋体" w:hAnsi="宋体" w:eastAsia="宋体" w:cs="宋体"/>
          <w:b/>
          <w:bCs/>
          <w:color w:val="auto"/>
          <w:sz w:val="24"/>
          <w:szCs w:val="24"/>
          <w:highlight w:val="none"/>
          <w:lang w:val="en-US"/>
        </w:rPr>
        <w:t>优惠率</w:t>
      </w:r>
      <w:r>
        <w:rPr>
          <w:rFonts w:hint="eastAsia" w:hAnsi="宋体" w:eastAsia="宋体" w:cs="宋体"/>
          <w:b/>
          <w:bCs/>
          <w:color w:val="auto"/>
          <w:sz w:val="24"/>
          <w:szCs w:val="24"/>
          <w:highlight w:val="none"/>
          <w:lang w:val="en-US" w:eastAsia="zh-CN"/>
        </w:rPr>
        <w:t>报价</w:t>
      </w:r>
      <w:r>
        <w:rPr>
          <w:rFonts w:hint="eastAsia" w:ascii="宋体" w:hAnsi="宋体" w:eastAsia="宋体" w:cs="宋体"/>
          <w:color w:val="auto"/>
          <w:sz w:val="24"/>
          <w:szCs w:val="24"/>
          <w:highlight w:val="none"/>
          <w:lang w:val="en-US"/>
        </w:rPr>
        <w:t>，不</w:t>
      </w:r>
      <w:r>
        <w:rPr>
          <w:rFonts w:hint="eastAsia" w:hAnsi="宋体" w:eastAsia="宋体" w:cs="宋体"/>
          <w:color w:val="auto"/>
          <w:sz w:val="24"/>
          <w:szCs w:val="24"/>
          <w:highlight w:val="none"/>
          <w:lang w:val="en-US" w:eastAsia="zh-CN"/>
        </w:rPr>
        <w:t>需</w:t>
      </w:r>
      <w:r>
        <w:rPr>
          <w:rFonts w:hint="eastAsia" w:ascii="宋体" w:hAnsi="宋体" w:eastAsia="宋体" w:cs="宋体"/>
          <w:color w:val="auto"/>
          <w:sz w:val="24"/>
          <w:szCs w:val="24"/>
          <w:highlight w:val="none"/>
          <w:lang w:val="en-US"/>
        </w:rPr>
        <w:t>报总价</w:t>
      </w:r>
      <w:r>
        <w:rPr>
          <w:rFonts w:hint="eastAsia" w:hAnsi="宋体" w:eastAsia="宋体" w:cs="宋体"/>
          <w:color w:val="auto"/>
          <w:sz w:val="24"/>
          <w:szCs w:val="24"/>
          <w:highlight w:val="none"/>
          <w:lang w:val="en-US" w:eastAsia="zh-CN"/>
        </w:rPr>
        <w:t>；投标单位在收费标准基础上报出统一优惠率（</w:t>
      </w:r>
      <w:r>
        <w:rPr>
          <w:rStyle w:val="211"/>
          <w:rFonts w:hint="eastAsia" w:ascii="宋体" w:hAnsi="宋体" w:eastAsia="宋体" w:cs="宋体"/>
          <w:b w:val="0"/>
          <w:bCs w:val="0"/>
          <w:i w:val="0"/>
          <w:iCs/>
          <w:color w:val="auto"/>
          <w:sz w:val="24"/>
          <w:szCs w:val="24"/>
          <w:highlight w:val="none"/>
        </w:rPr>
        <w:t>不存在平均</w:t>
      </w:r>
      <w:r>
        <w:rPr>
          <w:rStyle w:val="211"/>
          <w:rFonts w:hint="eastAsia" w:ascii="宋体" w:hAnsi="宋体" w:eastAsia="宋体" w:cs="宋体"/>
          <w:b w:val="0"/>
          <w:bCs w:val="0"/>
          <w:i w:val="0"/>
          <w:iCs/>
          <w:color w:val="auto"/>
          <w:sz w:val="24"/>
          <w:szCs w:val="24"/>
          <w:highlight w:val="none"/>
          <w:lang w:eastAsia="zh-CN"/>
        </w:rPr>
        <w:t>优惠率</w:t>
      </w:r>
      <w:r>
        <w:rPr>
          <w:rStyle w:val="211"/>
          <w:rFonts w:hint="eastAsia" w:hAnsi="宋体" w:eastAsia="宋体" w:cs="宋体"/>
          <w:b w:val="0"/>
          <w:bCs w:val="0"/>
          <w:i w:val="0"/>
          <w:iCs/>
          <w:color w:val="auto"/>
          <w:sz w:val="24"/>
          <w:szCs w:val="24"/>
          <w:highlight w:val="none"/>
          <w:lang w:eastAsia="zh-CN"/>
        </w:rPr>
        <w:t>）。</w:t>
      </w:r>
    </w:p>
    <w:p w14:paraId="4384FCA5">
      <w:pPr>
        <w:pStyle w:val="204"/>
        <w:spacing w:line="360" w:lineRule="auto"/>
        <w:ind w:left="0" w:firstLine="0"/>
        <w:rPr>
          <w:rFonts w:hint="eastAsia" w:ascii="宋体" w:hAnsi="宋体" w:eastAsia="宋体" w:cs="宋体"/>
          <w:color w:val="auto"/>
          <w:sz w:val="24"/>
          <w:szCs w:val="24"/>
          <w:highlight w:val="none"/>
          <w:lang w:val="en-US"/>
        </w:rPr>
      </w:pPr>
      <w:r>
        <w:rPr>
          <w:rFonts w:hint="eastAsia" w:ascii="宋体" w:hAnsi="宋体" w:eastAsia="宋体" w:cs="宋体"/>
          <w:color w:val="auto"/>
          <w:sz w:val="24"/>
          <w:szCs w:val="24"/>
          <w:highlight w:val="none"/>
          <w:lang w:val="en-US"/>
        </w:rPr>
        <w:t>2、价格得分计算方法：根据各投标</w:t>
      </w:r>
      <w:r>
        <w:rPr>
          <w:rFonts w:hint="eastAsia" w:hAnsi="宋体" w:eastAsia="宋体" w:cs="宋体"/>
          <w:color w:val="auto"/>
          <w:sz w:val="24"/>
          <w:szCs w:val="24"/>
          <w:highlight w:val="none"/>
          <w:lang w:val="en-US" w:eastAsia="zh-CN"/>
        </w:rPr>
        <w:t>单位</w:t>
      </w:r>
      <w:r>
        <w:rPr>
          <w:rFonts w:hint="eastAsia" w:ascii="宋体" w:hAnsi="宋体" w:eastAsia="宋体" w:cs="宋体"/>
          <w:color w:val="auto"/>
          <w:sz w:val="24"/>
          <w:szCs w:val="24"/>
          <w:highlight w:val="none"/>
          <w:lang w:val="en-US"/>
        </w:rPr>
        <w:t>通过符合性审查的有效投标优惠</w:t>
      </w:r>
      <w:r>
        <w:rPr>
          <w:rFonts w:hint="eastAsia" w:hAnsi="宋体" w:eastAsia="宋体" w:cs="宋体"/>
          <w:color w:val="auto"/>
          <w:sz w:val="24"/>
          <w:szCs w:val="24"/>
          <w:highlight w:val="none"/>
          <w:lang w:val="en-US" w:eastAsia="zh-CN"/>
        </w:rPr>
        <w:t>率</w:t>
      </w:r>
      <w:r>
        <w:rPr>
          <w:rFonts w:hint="eastAsia" w:ascii="宋体" w:hAnsi="宋体" w:eastAsia="宋体" w:cs="宋体"/>
          <w:color w:val="auto"/>
          <w:sz w:val="24"/>
          <w:szCs w:val="24"/>
          <w:highlight w:val="none"/>
          <w:lang w:val="en-US"/>
        </w:rPr>
        <w:t>中的最高优惠率作为评标基准</w:t>
      </w:r>
      <w:r>
        <w:rPr>
          <w:rFonts w:hint="eastAsia" w:hAnsi="宋体" w:eastAsia="宋体" w:cs="宋体"/>
          <w:color w:val="auto"/>
          <w:sz w:val="24"/>
          <w:szCs w:val="24"/>
          <w:highlight w:val="none"/>
          <w:lang w:val="en-US" w:eastAsia="zh-CN"/>
        </w:rPr>
        <w:t>价</w:t>
      </w:r>
      <w:r>
        <w:rPr>
          <w:rFonts w:hint="eastAsia" w:ascii="宋体" w:hAnsi="宋体" w:eastAsia="宋体" w:cs="宋体"/>
          <w:color w:val="auto"/>
          <w:sz w:val="24"/>
          <w:szCs w:val="24"/>
          <w:highlight w:val="none"/>
          <w:lang w:val="en-US"/>
        </w:rPr>
        <w:t>，其价格分为满分。</w:t>
      </w:r>
    </w:p>
    <w:p w14:paraId="1C79B980">
      <w:pPr>
        <w:pStyle w:val="204"/>
        <w:spacing w:line="360" w:lineRule="auto"/>
        <w:ind w:left="0"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rPr>
        <w:t>价格得分=（1-评审基准价）/（1-优惠率）×价格权重；（计算结果四舍五入保留两位小数）。</w:t>
      </w:r>
    </w:p>
    <w:p w14:paraId="1A49F721">
      <w:pPr>
        <w:pStyle w:val="204"/>
        <w:spacing w:line="360" w:lineRule="auto"/>
        <w:ind w:left="0" w:firstLine="0"/>
        <w:rPr>
          <w:rFonts w:hint="eastAsia" w:ascii="宋体" w:hAnsi="宋体" w:eastAsia="宋体" w:cs="宋体"/>
          <w:b/>
          <w:bCs/>
          <w:color w:val="auto"/>
          <w:sz w:val="24"/>
          <w:szCs w:val="24"/>
          <w:highlight w:val="none"/>
          <w:lang w:val="en-US" w:eastAsia="zh-CN"/>
        </w:rPr>
      </w:pPr>
      <w:r>
        <w:rPr>
          <w:rFonts w:hint="eastAsia" w:ascii="宋体" w:hAnsi="宋体" w:eastAsia="宋体" w:cs="宋体"/>
          <w:b/>
          <w:color w:val="auto"/>
          <w:sz w:val="24"/>
          <w:szCs w:val="24"/>
          <w:highlight w:val="none"/>
          <w:lang w:val="en-US" w:eastAsia="zh-CN"/>
        </w:rPr>
        <w:t>注：（</w:t>
      </w:r>
      <w:r>
        <w:rPr>
          <w:rFonts w:hint="eastAsia" w:ascii="宋体" w:hAnsi="宋体" w:eastAsia="宋体" w:cs="宋体"/>
          <w:b/>
          <w:bCs/>
          <w:color w:val="auto"/>
          <w:sz w:val="24"/>
          <w:szCs w:val="24"/>
          <w:highlight w:val="none"/>
          <w:lang w:val="en-US" w:eastAsia="zh-CN"/>
        </w:rPr>
        <w:t>1）</w:t>
      </w:r>
      <w:r>
        <w:rPr>
          <w:rFonts w:hint="eastAsia" w:hAnsi="宋体" w:eastAsia="宋体" w:cs="宋体"/>
          <w:b/>
          <w:bCs/>
          <w:color w:val="auto"/>
          <w:sz w:val="24"/>
          <w:szCs w:val="24"/>
          <w:highlight w:val="none"/>
          <w:lang w:val="en-US" w:eastAsia="zh-CN"/>
        </w:rPr>
        <w:t>普检项目</w:t>
      </w:r>
      <w:r>
        <w:rPr>
          <w:rFonts w:hint="eastAsia" w:ascii="宋体" w:hAnsi="宋体" w:eastAsia="宋体" w:cs="宋体"/>
          <w:b/>
          <w:bCs/>
          <w:color w:val="auto"/>
          <w:sz w:val="24"/>
          <w:szCs w:val="24"/>
          <w:highlight w:val="none"/>
          <w:lang w:val="en-US" w:eastAsia="zh-CN"/>
        </w:rPr>
        <w:t xml:space="preserve"> ：优惠率处于【80%（含）-100%（含）】的，为有效投标报价，超出此范围的报价为无效响应报价。</w:t>
      </w:r>
    </w:p>
    <w:p w14:paraId="531587CA">
      <w:pPr>
        <w:pStyle w:val="204"/>
        <w:numPr>
          <w:ilvl w:val="0"/>
          <w:numId w:val="1"/>
        </w:numPr>
        <w:spacing w:line="360" w:lineRule="auto"/>
        <w:ind w:left="0" w:firstLine="482" w:firstLineChars="200"/>
        <w:rPr>
          <w:rFonts w:hint="eastAsia" w:ascii="宋体" w:hAnsi="宋体" w:eastAsia="宋体" w:cs="宋体"/>
          <w:b/>
          <w:bCs/>
          <w:color w:val="auto"/>
          <w:sz w:val="24"/>
          <w:szCs w:val="24"/>
          <w:highlight w:val="none"/>
          <w:lang w:val="en-US" w:eastAsia="zh-CN"/>
        </w:rPr>
      </w:pPr>
      <w:r>
        <w:rPr>
          <w:rFonts w:hint="eastAsia" w:hAnsi="宋体" w:eastAsia="宋体" w:cs="宋体"/>
          <w:b/>
          <w:bCs/>
          <w:color w:val="auto"/>
          <w:sz w:val="24"/>
          <w:szCs w:val="24"/>
          <w:highlight w:val="none"/>
          <w:lang w:val="en-US" w:eastAsia="zh-CN"/>
        </w:rPr>
        <w:t>特检项目</w:t>
      </w:r>
      <w:r>
        <w:rPr>
          <w:rFonts w:hint="eastAsia" w:ascii="宋体" w:hAnsi="宋体" w:eastAsia="宋体" w:cs="宋体"/>
          <w:b/>
          <w:bCs/>
          <w:color w:val="auto"/>
          <w:sz w:val="24"/>
          <w:szCs w:val="24"/>
          <w:highlight w:val="none"/>
          <w:lang w:val="en-US" w:eastAsia="zh-CN"/>
        </w:rPr>
        <w:t>：优惠率处于【</w:t>
      </w:r>
      <w:r>
        <w:rPr>
          <w:rFonts w:hint="eastAsia" w:hAnsi="宋体" w:eastAsia="宋体" w:cs="宋体"/>
          <w:b/>
          <w:bCs/>
          <w:color w:val="auto"/>
          <w:sz w:val="24"/>
          <w:szCs w:val="24"/>
          <w:highlight w:val="none"/>
          <w:lang w:val="en-US" w:eastAsia="zh-CN"/>
        </w:rPr>
        <w:t>7</w:t>
      </w:r>
      <w:r>
        <w:rPr>
          <w:rFonts w:hint="eastAsia" w:ascii="宋体" w:hAnsi="宋体" w:eastAsia="宋体" w:cs="宋体"/>
          <w:b/>
          <w:bCs/>
          <w:color w:val="auto"/>
          <w:sz w:val="24"/>
          <w:szCs w:val="24"/>
          <w:highlight w:val="none"/>
          <w:lang w:val="en-US" w:eastAsia="zh-CN"/>
        </w:rPr>
        <w:t>0%（含）-100%（含）】的，为有效投标报价，超出此范围的报价为无效响应报价。</w:t>
      </w:r>
    </w:p>
    <w:p w14:paraId="5843C214">
      <w:pPr>
        <w:pStyle w:val="204"/>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val="0"/>
          <w:bCs w:val="0"/>
          <w:color w:val="auto"/>
          <w:sz w:val="24"/>
          <w:szCs w:val="24"/>
          <w:highlight w:val="none"/>
          <w:lang w:val="en-US" w:eastAsia="zh-CN"/>
        </w:rPr>
      </w:pPr>
      <w:r>
        <w:rPr>
          <w:rFonts w:hint="eastAsia" w:hAnsi="宋体" w:eastAsia="宋体" w:cs="宋体"/>
          <w:b/>
          <w:bCs/>
          <w:color w:val="auto"/>
          <w:sz w:val="24"/>
          <w:szCs w:val="24"/>
          <w:highlight w:val="none"/>
          <w:lang w:val="en-US" w:eastAsia="zh-CN"/>
        </w:rPr>
        <w:t>（3）填报的投标优惠率为【普检项目优惠率+特殊优惠率的合计】</w:t>
      </w:r>
      <w:r>
        <w:rPr>
          <w:rFonts w:hint="eastAsia" w:ascii="宋体" w:hAnsi="宋体" w:eastAsia="宋体" w:cs="宋体"/>
          <w:b/>
          <w:bCs/>
          <w:color w:val="auto"/>
          <w:sz w:val="24"/>
          <w:szCs w:val="24"/>
          <w:highlight w:val="none"/>
          <w:lang w:val="en-US" w:eastAsia="zh-CN"/>
        </w:rPr>
        <w:t>，</w:t>
      </w:r>
      <w:r>
        <w:rPr>
          <w:rFonts w:hint="eastAsia" w:hAnsi="宋体" w:eastAsia="宋体" w:cs="宋体"/>
          <w:b/>
          <w:bCs/>
          <w:color w:val="auto"/>
          <w:sz w:val="24"/>
          <w:szCs w:val="24"/>
          <w:highlight w:val="none"/>
          <w:lang w:val="en-US" w:eastAsia="zh-CN"/>
        </w:rPr>
        <w:t>如：普检项目优惠率80%、特检项目优惠率70%，则投标优惠率填报150（即80+70）。</w:t>
      </w:r>
    </w:p>
    <w:p w14:paraId="029711E8">
      <w:pPr>
        <w:pStyle w:val="204"/>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lang w:val="en-US" w:eastAsia="zh-CN"/>
        </w:rPr>
        <w:t>【</w:t>
      </w:r>
      <w:r>
        <w:rPr>
          <w:rFonts w:hint="eastAsia" w:hAnsi="宋体" w:eastAsia="宋体" w:cs="宋体"/>
          <w:b w:val="0"/>
          <w:bCs w:val="0"/>
          <w:color w:val="auto"/>
          <w:sz w:val="24"/>
          <w:szCs w:val="24"/>
          <w:highlight w:val="none"/>
          <w:lang w:val="en-US" w:eastAsia="zh-CN"/>
        </w:rPr>
        <w:t>最终</w:t>
      </w:r>
      <w:r>
        <w:rPr>
          <w:rFonts w:hint="eastAsia" w:ascii="宋体" w:hAnsi="宋体" w:eastAsia="宋体" w:cs="宋体"/>
          <w:b w:val="0"/>
          <w:bCs w:val="0"/>
          <w:color w:val="auto"/>
          <w:sz w:val="24"/>
          <w:szCs w:val="24"/>
          <w:highlight w:val="none"/>
          <w:lang w:val="en-US" w:eastAsia="zh-CN"/>
        </w:rPr>
        <w:t>结算金额=实际检测数量*项目收费</w:t>
      </w:r>
      <w:r>
        <w:rPr>
          <w:rFonts w:hint="eastAsia" w:hAnsi="宋体" w:eastAsia="宋体" w:cs="宋体"/>
          <w:b w:val="0"/>
          <w:bCs w:val="0"/>
          <w:color w:val="auto"/>
          <w:sz w:val="24"/>
          <w:szCs w:val="24"/>
          <w:highlight w:val="none"/>
          <w:lang w:val="en-US" w:eastAsia="zh-CN"/>
        </w:rPr>
        <w:t>标准</w:t>
      </w:r>
      <w:r>
        <w:rPr>
          <w:rFonts w:hint="eastAsia" w:ascii="宋体" w:hAnsi="宋体" w:eastAsia="宋体" w:cs="宋体"/>
          <w:b w:val="0"/>
          <w:bCs w:val="0"/>
          <w:color w:val="auto"/>
          <w:sz w:val="24"/>
          <w:szCs w:val="24"/>
          <w:highlight w:val="none"/>
          <w:lang w:val="en-US" w:eastAsia="zh-CN"/>
        </w:rPr>
        <w:t>价格*（1-优惠率）】</w:t>
      </w:r>
    </w:p>
    <w:p w14:paraId="6E7204CA">
      <w:pPr>
        <w:rPr>
          <w:rFonts w:hint="eastAsia" w:ascii="宋体" w:hAnsi="宋体"/>
          <w:b/>
          <w:color w:val="auto"/>
          <w:sz w:val="24"/>
          <w:szCs w:val="24"/>
          <w:highlight w:val="none"/>
        </w:rPr>
      </w:pPr>
      <w:r>
        <w:rPr>
          <w:rFonts w:hint="eastAsia" w:ascii="宋体" w:hAnsi="宋体"/>
          <w:b/>
          <w:color w:val="auto"/>
          <w:sz w:val="24"/>
          <w:szCs w:val="24"/>
          <w:highlight w:val="none"/>
        </w:rPr>
        <w:br w:type="page"/>
      </w:r>
    </w:p>
    <w:p w14:paraId="2FA9E734">
      <w:pPr>
        <w:spacing w:line="360" w:lineRule="auto"/>
        <w:ind w:left="0" w:firstLine="0"/>
        <w:contextualSpacing/>
        <w:rPr>
          <w:rFonts w:hint="eastAsia" w:ascii="宋体" w:hAnsi="宋体" w:eastAsia="宋体" w:cs="宋体"/>
          <w:color w:val="auto"/>
          <w:sz w:val="24"/>
          <w:szCs w:val="24"/>
          <w:highlight w:val="none"/>
        </w:rPr>
      </w:pPr>
      <w:r>
        <w:rPr>
          <w:rFonts w:hint="eastAsia" w:ascii="宋体" w:hAnsi="宋体"/>
          <w:b/>
          <w:color w:val="auto"/>
          <w:sz w:val="24"/>
          <w:szCs w:val="24"/>
          <w:highlight w:val="none"/>
        </w:rPr>
        <w:t>（二）</w:t>
      </w:r>
      <w:r>
        <w:rPr>
          <w:rFonts w:hint="eastAsia" w:ascii="宋体" w:hAnsi="宋体" w:eastAsia="宋体" w:cs="宋体"/>
          <w:b/>
          <w:bCs/>
          <w:color w:val="auto"/>
          <w:sz w:val="24"/>
          <w:szCs w:val="24"/>
          <w:highlight w:val="none"/>
          <w:lang w:val="en-US"/>
        </w:rPr>
        <w:t>服务方案</w:t>
      </w:r>
      <w:r>
        <w:rPr>
          <w:rFonts w:hint="eastAsia" w:ascii="宋体" w:hAnsi="宋体" w:cs="宋体"/>
          <w:b/>
          <w:bCs/>
          <w:color w:val="auto"/>
          <w:sz w:val="24"/>
          <w:szCs w:val="24"/>
          <w:highlight w:val="none"/>
          <w:lang w:val="en-US" w:eastAsia="zh-CN"/>
        </w:rPr>
        <w:t>比较</w:t>
      </w:r>
      <w:r>
        <w:rPr>
          <w:rFonts w:hint="eastAsia" w:ascii="宋体" w:hAnsi="宋体" w:eastAsia="宋体" w:cs="宋体"/>
          <w:b/>
          <w:bCs/>
          <w:color w:val="auto"/>
          <w:sz w:val="24"/>
          <w:szCs w:val="24"/>
          <w:highlight w:val="none"/>
          <w:lang w:val="en-US"/>
        </w:rPr>
        <w:t>（</w:t>
      </w:r>
      <w:r>
        <w:rPr>
          <w:rFonts w:hint="eastAsia" w:ascii="宋体" w:hAnsi="宋体" w:cs="宋体"/>
          <w:b/>
          <w:bCs/>
          <w:color w:val="auto"/>
          <w:sz w:val="24"/>
          <w:szCs w:val="24"/>
          <w:highlight w:val="none"/>
          <w:lang w:val="en-US" w:eastAsia="zh-CN"/>
        </w:rPr>
        <w:t>48</w:t>
      </w:r>
      <w:r>
        <w:rPr>
          <w:rFonts w:hint="eastAsia" w:ascii="宋体" w:hAnsi="宋体" w:eastAsia="宋体" w:cs="宋体"/>
          <w:b/>
          <w:bCs/>
          <w:color w:val="auto"/>
          <w:sz w:val="24"/>
          <w:szCs w:val="24"/>
          <w:highlight w:val="none"/>
          <w:lang w:val="en-US"/>
        </w:rPr>
        <w:t>分）</w:t>
      </w:r>
    </w:p>
    <w:p w14:paraId="1A151130">
      <w:pPr>
        <w:spacing w:line="360" w:lineRule="auto"/>
        <w:rPr>
          <w:rFonts w:hint="default" w:ascii="宋体" w:hAnsi="宋体" w:cs="宋体"/>
          <w:b/>
          <w:bCs/>
          <w:color w:val="auto"/>
          <w:sz w:val="24"/>
          <w:szCs w:val="24"/>
          <w:highlight w:val="none"/>
          <w:lang w:val="en-US" w:eastAsia="zh-CN"/>
        </w:rPr>
      </w:pPr>
      <w:r>
        <w:rPr>
          <w:rFonts w:hint="eastAsia" w:ascii="宋体" w:hAnsi="宋体" w:cs="宋体"/>
          <w:b/>
          <w:bCs/>
          <w:color w:val="auto"/>
          <w:sz w:val="24"/>
          <w:szCs w:val="24"/>
          <w:highlight w:val="none"/>
          <w:lang w:val="en-US" w:eastAsia="zh-CN"/>
        </w:rPr>
        <w:t>1、项目总体实施方案：10分</w:t>
      </w:r>
    </w:p>
    <w:p w14:paraId="3519AED6">
      <w:pPr>
        <w:spacing w:line="360" w:lineRule="auto"/>
        <w:ind w:firstLine="480" w:firstLineChars="200"/>
        <w:rPr>
          <w:rFonts w:hint="eastAsia" w:ascii="宋体" w:hAnsi="宋体" w:cs="宋体"/>
          <w:color w:val="auto"/>
          <w:sz w:val="24"/>
          <w:highlight w:val="none"/>
          <w:lang w:eastAsia="zh-CN"/>
        </w:rPr>
      </w:pPr>
      <w:r>
        <w:rPr>
          <w:rFonts w:ascii="宋体" w:hAnsi="宋体" w:eastAsia="宋体" w:cs="宋体"/>
          <w:color w:val="auto"/>
          <w:kern w:val="0"/>
          <w:sz w:val="24"/>
          <w:szCs w:val="24"/>
          <w:highlight w:val="none"/>
          <w:lang w:val="en-US" w:eastAsia="zh-CN" w:bidi="ar"/>
        </w:rPr>
        <w:t>投标人须提供完整的项目总体实施方案，内容须涵盖</w:t>
      </w:r>
      <w:r>
        <w:rPr>
          <w:rFonts w:hint="eastAsia" w:ascii="宋体" w:hAnsi="宋体" w:cs="宋体"/>
          <w:color w:val="auto"/>
          <w:sz w:val="24"/>
          <w:highlight w:val="none"/>
          <w:lang w:val="en-US" w:eastAsia="zh-CN"/>
        </w:rPr>
        <w:t>：①标本处理方案；②各检验环节操作流程；③所用试剂及仪器设备配置；④</w:t>
      </w:r>
      <w:r>
        <w:rPr>
          <w:rFonts w:ascii="宋体" w:hAnsi="宋体" w:eastAsia="宋体" w:cs="宋体"/>
          <w:color w:val="auto"/>
          <w:kern w:val="0"/>
          <w:sz w:val="24"/>
          <w:szCs w:val="24"/>
          <w:highlight w:val="none"/>
          <w:lang w:val="en-US" w:eastAsia="zh-CN" w:bidi="ar"/>
        </w:rPr>
        <w:t>各检验岗位人员资质与专业能力要求</w:t>
      </w:r>
      <w:r>
        <w:rPr>
          <w:rFonts w:hint="eastAsia" w:ascii="宋体" w:hAnsi="宋体" w:cs="宋体"/>
          <w:color w:val="auto"/>
          <w:sz w:val="24"/>
          <w:highlight w:val="none"/>
          <w:lang w:val="en-US" w:eastAsia="zh-CN"/>
        </w:rPr>
        <w:t>；⑤</w:t>
      </w:r>
      <w:r>
        <w:rPr>
          <w:rFonts w:ascii="宋体" w:hAnsi="宋体" w:eastAsia="宋体" w:cs="宋体"/>
          <w:color w:val="auto"/>
          <w:kern w:val="0"/>
          <w:sz w:val="24"/>
          <w:szCs w:val="24"/>
          <w:highlight w:val="none"/>
          <w:lang w:val="en-US" w:eastAsia="zh-CN" w:bidi="ar"/>
        </w:rPr>
        <w:t>检测报告出具、审核的人员岗位配置</w:t>
      </w:r>
      <w:r>
        <w:rPr>
          <w:rFonts w:hint="eastAsia" w:ascii="宋体" w:hAnsi="宋体" w:cs="宋体"/>
          <w:color w:val="auto"/>
          <w:sz w:val="24"/>
          <w:highlight w:val="none"/>
          <w:lang w:val="en-US" w:eastAsia="zh-CN"/>
        </w:rPr>
        <w:t>：</w:t>
      </w:r>
    </w:p>
    <w:p w14:paraId="116C4FB1">
      <w:pPr>
        <w:spacing w:line="360" w:lineRule="auto"/>
        <w:ind w:firstLine="480" w:firstLineChars="200"/>
        <w:rPr>
          <w:rFonts w:hint="eastAsia" w:ascii="宋体" w:hAnsi="宋体" w:eastAsia="宋体" w:cs="宋体"/>
          <w:b w:val="0"/>
          <w:bCs w:val="0"/>
          <w:color w:val="auto"/>
          <w:sz w:val="24"/>
          <w:szCs w:val="24"/>
          <w:highlight w:val="none"/>
          <w:lang w:val="en-US" w:eastAsia="zh-CN"/>
        </w:rPr>
      </w:pPr>
      <w:r>
        <w:rPr>
          <w:rFonts w:hint="eastAsia" w:ascii="宋体" w:hAnsi="宋体" w:cs="宋体"/>
          <w:color w:val="auto"/>
          <w:sz w:val="24"/>
          <w:highlight w:val="none"/>
          <w:lang w:val="en-US" w:eastAsia="zh-CN"/>
        </w:rPr>
        <w:t>上述每项应逐条叙述，</w:t>
      </w:r>
      <w:r>
        <w:rPr>
          <w:rFonts w:hint="eastAsia" w:ascii="宋体" w:hAnsi="宋体" w:eastAsia="宋体" w:cs="宋体"/>
          <w:b w:val="0"/>
          <w:bCs w:val="0"/>
          <w:color w:val="auto"/>
          <w:kern w:val="0"/>
          <w:sz w:val="24"/>
          <w:szCs w:val="24"/>
          <w:highlight w:val="none"/>
          <w:lang w:val="en-US" w:eastAsia="zh-CN" w:bidi="ar"/>
        </w:rPr>
        <w:t>各项方案</w:t>
      </w:r>
      <w:r>
        <w:rPr>
          <w:rStyle w:val="36"/>
          <w:rFonts w:hint="eastAsia" w:ascii="宋体" w:hAnsi="宋体" w:eastAsia="宋体" w:cs="宋体"/>
          <w:b w:val="0"/>
          <w:bCs w:val="0"/>
          <w:color w:val="auto"/>
          <w:kern w:val="0"/>
          <w:sz w:val="24"/>
          <w:szCs w:val="24"/>
          <w:highlight w:val="none"/>
          <w:lang w:val="en-US" w:eastAsia="zh-CN" w:bidi="ar"/>
        </w:rPr>
        <w:t>科学规范、贴合项目实际、可行性高、实操性强</w:t>
      </w:r>
      <w:r>
        <w:rPr>
          <w:rFonts w:hint="eastAsia" w:ascii="宋体" w:hAnsi="宋体" w:eastAsia="宋体" w:cs="宋体"/>
          <w:b w:val="0"/>
          <w:bCs w:val="0"/>
          <w:color w:val="auto"/>
          <w:kern w:val="0"/>
          <w:sz w:val="24"/>
          <w:szCs w:val="24"/>
          <w:highlight w:val="none"/>
          <w:lang w:val="en-US" w:eastAsia="zh-CN" w:bidi="ar"/>
        </w:rPr>
        <w:t>的，每项得2分；各项方案</w:t>
      </w:r>
      <w:r>
        <w:rPr>
          <w:rStyle w:val="36"/>
          <w:rFonts w:hint="eastAsia" w:ascii="宋体" w:hAnsi="宋体" w:eastAsia="宋体" w:cs="宋体"/>
          <w:b w:val="0"/>
          <w:bCs w:val="0"/>
          <w:color w:val="auto"/>
          <w:kern w:val="0"/>
          <w:sz w:val="24"/>
          <w:szCs w:val="24"/>
          <w:highlight w:val="none"/>
          <w:lang w:val="en-US" w:eastAsia="zh-CN" w:bidi="ar"/>
        </w:rPr>
        <w:t>基本合规合理、具备一定可行性与可操作性、基本契合项目实际</w:t>
      </w:r>
      <w:r>
        <w:rPr>
          <w:rFonts w:hint="eastAsia" w:ascii="宋体" w:hAnsi="宋体" w:eastAsia="宋体" w:cs="宋体"/>
          <w:b w:val="0"/>
          <w:bCs w:val="0"/>
          <w:color w:val="auto"/>
          <w:kern w:val="0"/>
          <w:sz w:val="24"/>
          <w:szCs w:val="24"/>
          <w:highlight w:val="none"/>
          <w:lang w:val="en-US" w:eastAsia="zh-CN" w:bidi="ar"/>
        </w:rPr>
        <w:t>的，每项得1分；各项内容</w:t>
      </w:r>
      <w:r>
        <w:rPr>
          <w:rStyle w:val="36"/>
          <w:rFonts w:hint="eastAsia" w:ascii="宋体" w:hAnsi="宋体" w:eastAsia="宋体" w:cs="宋体"/>
          <w:b w:val="0"/>
          <w:bCs w:val="0"/>
          <w:color w:val="auto"/>
          <w:kern w:val="0"/>
          <w:sz w:val="24"/>
          <w:szCs w:val="24"/>
          <w:highlight w:val="none"/>
          <w:lang w:val="en-US" w:eastAsia="zh-CN" w:bidi="ar"/>
        </w:rPr>
        <w:t>严重偏离采购需求、表述残缺不全或未完整阐述</w:t>
      </w:r>
      <w:r>
        <w:rPr>
          <w:rFonts w:hint="eastAsia" w:ascii="宋体" w:hAnsi="宋体" w:eastAsia="宋体" w:cs="宋体"/>
          <w:b w:val="0"/>
          <w:bCs w:val="0"/>
          <w:color w:val="auto"/>
          <w:kern w:val="0"/>
          <w:sz w:val="24"/>
          <w:szCs w:val="24"/>
          <w:highlight w:val="none"/>
          <w:lang w:val="en-US" w:eastAsia="zh-CN" w:bidi="ar"/>
        </w:rPr>
        <w:t>的，不得分</w:t>
      </w:r>
      <w:r>
        <w:rPr>
          <w:rFonts w:hint="eastAsia" w:ascii="宋体" w:hAnsi="宋体" w:eastAsia="宋体" w:cs="宋体"/>
          <w:b w:val="0"/>
          <w:bCs w:val="0"/>
          <w:color w:val="auto"/>
          <w:sz w:val="24"/>
          <w:highlight w:val="none"/>
          <w:lang w:val="en-US" w:eastAsia="zh-CN"/>
        </w:rPr>
        <w:t>。</w:t>
      </w:r>
    </w:p>
    <w:p w14:paraId="7E0840D3">
      <w:pPr>
        <w:numPr>
          <w:ilvl w:val="0"/>
          <w:numId w:val="0"/>
        </w:numPr>
        <w:spacing w:line="360" w:lineRule="auto"/>
        <w:rPr>
          <w:rFonts w:hint="default" w:ascii="宋体" w:hAnsi="宋体" w:eastAsia="宋体" w:cs="宋体"/>
          <w:b/>
          <w:bCs/>
          <w:color w:val="auto"/>
          <w:sz w:val="24"/>
          <w:szCs w:val="24"/>
          <w:highlight w:val="none"/>
          <w:lang w:val="en-US" w:eastAsia="zh-CN"/>
        </w:rPr>
      </w:pPr>
      <w:r>
        <w:rPr>
          <w:rFonts w:hint="eastAsia" w:ascii="宋体" w:hAnsi="宋体" w:cs="宋体"/>
          <w:b/>
          <w:bCs/>
          <w:color w:val="auto"/>
          <w:sz w:val="24"/>
          <w:szCs w:val="24"/>
          <w:highlight w:val="none"/>
          <w:lang w:val="en-US" w:eastAsia="zh-CN"/>
        </w:rPr>
        <w:t>2、质量保障方案</w:t>
      </w:r>
      <w:r>
        <w:rPr>
          <w:rFonts w:hint="eastAsia" w:ascii="宋体" w:hAnsi="宋体" w:cs="宋体"/>
          <w:b/>
          <w:bCs/>
          <w:color w:val="auto"/>
          <w:sz w:val="24"/>
          <w:szCs w:val="24"/>
          <w:highlight w:val="none"/>
        </w:rPr>
        <w:t>：</w:t>
      </w:r>
      <w:r>
        <w:rPr>
          <w:rFonts w:hint="eastAsia" w:ascii="宋体" w:hAnsi="宋体" w:cs="宋体"/>
          <w:b/>
          <w:bCs/>
          <w:color w:val="auto"/>
          <w:sz w:val="24"/>
          <w:szCs w:val="24"/>
          <w:highlight w:val="none"/>
          <w:lang w:val="en-US" w:eastAsia="zh-CN"/>
        </w:rPr>
        <w:t>10分</w:t>
      </w:r>
    </w:p>
    <w:p w14:paraId="4A4D31FD">
      <w:pPr>
        <w:numPr>
          <w:ilvl w:val="0"/>
          <w:numId w:val="0"/>
        </w:numPr>
        <w:spacing w:line="360" w:lineRule="auto"/>
        <w:ind w:firstLine="480" w:firstLineChars="200"/>
        <w:rPr>
          <w:rFonts w:hint="eastAsia" w:ascii="宋体" w:hAnsi="宋体" w:cs="宋体"/>
          <w:b w:val="0"/>
          <w:bCs w:val="0"/>
          <w:color w:val="auto"/>
          <w:sz w:val="24"/>
          <w:szCs w:val="24"/>
          <w:highlight w:val="none"/>
        </w:rPr>
      </w:pPr>
      <w:r>
        <w:rPr>
          <w:rFonts w:ascii="宋体" w:hAnsi="宋体" w:eastAsia="宋体" w:cs="宋体"/>
          <w:color w:val="auto"/>
          <w:kern w:val="0"/>
          <w:sz w:val="24"/>
          <w:szCs w:val="24"/>
          <w:highlight w:val="none"/>
          <w:lang w:val="en-US" w:eastAsia="zh-CN" w:bidi="ar"/>
        </w:rPr>
        <w:t>投标人须提供完善的质量保障方案，内容须包含</w:t>
      </w:r>
      <w:r>
        <w:rPr>
          <w:rFonts w:hint="eastAsia" w:ascii="宋体" w:hAnsi="宋体" w:cs="宋体"/>
          <w:b w:val="0"/>
          <w:bCs w:val="0"/>
          <w:color w:val="auto"/>
          <w:sz w:val="24"/>
          <w:szCs w:val="24"/>
          <w:highlight w:val="none"/>
          <w:lang w:val="en-US" w:eastAsia="zh-CN"/>
        </w:rPr>
        <w:t>：</w:t>
      </w:r>
      <w:r>
        <w:rPr>
          <w:rFonts w:ascii="宋体" w:hAnsi="宋体" w:eastAsia="宋体" w:cs="宋体"/>
          <w:color w:val="auto"/>
          <w:kern w:val="0"/>
          <w:sz w:val="24"/>
          <w:szCs w:val="24"/>
          <w:highlight w:val="none"/>
          <w:lang w:val="en-US" w:eastAsia="zh-CN" w:bidi="ar"/>
        </w:rPr>
        <w:t>①检测全过程质量控制措施；②报告审核与分析质量管控措施；③检验过</w:t>
      </w:r>
      <w:r>
        <w:rPr>
          <w:rFonts w:hint="eastAsia" w:ascii="宋体" w:hAnsi="宋体" w:cs="宋体"/>
          <w:color w:val="auto"/>
          <w:kern w:val="0"/>
          <w:sz w:val="24"/>
          <w:szCs w:val="24"/>
          <w:highlight w:val="none"/>
          <w:lang w:val="en-US" w:eastAsia="zh-CN" w:bidi="ar"/>
        </w:rPr>
        <w:t>程中</w:t>
      </w:r>
      <w:r>
        <w:rPr>
          <w:rFonts w:ascii="宋体" w:hAnsi="宋体" w:eastAsia="宋体" w:cs="宋体"/>
          <w:color w:val="auto"/>
          <w:kern w:val="0"/>
          <w:sz w:val="24"/>
          <w:szCs w:val="24"/>
          <w:highlight w:val="none"/>
          <w:lang w:val="en-US" w:eastAsia="zh-CN" w:bidi="ar"/>
        </w:rPr>
        <w:t>人为操作失误、仪器设备故障等异常情况处置流程；④采购人对检测结果提出异议的受理及响应处置措施；⑤患者隐私及信息安全保障管理措施</w:t>
      </w:r>
      <w:r>
        <w:rPr>
          <w:rFonts w:hint="eastAsia" w:ascii="宋体" w:hAnsi="宋体" w:cs="宋体"/>
          <w:b w:val="0"/>
          <w:bCs w:val="0"/>
          <w:color w:val="auto"/>
          <w:sz w:val="24"/>
          <w:szCs w:val="24"/>
          <w:highlight w:val="none"/>
          <w:lang w:val="en-US" w:eastAsia="zh-CN"/>
        </w:rPr>
        <w:t>：</w:t>
      </w:r>
    </w:p>
    <w:p w14:paraId="1AAD38E8">
      <w:pPr>
        <w:spacing w:line="360" w:lineRule="auto"/>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上述每项应逐条叙述，每项内容方案科学严谨、合理规范、可行性及可操作性强、完全贴合项目实际需求的，每项得2分；每项内容方案基本科学合理、具备一定可行性与可操作性、与项目实际基本相符的，每项得1分；每项内容完全偏离采购需求、表述缺失或未完整阐述的，不得分。</w:t>
      </w:r>
    </w:p>
    <w:p w14:paraId="03FAED9F">
      <w:pPr>
        <w:numPr>
          <w:ilvl w:val="0"/>
          <w:numId w:val="0"/>
        </w:numPr>
        <w:tabs>
          <w:tab w:val="left" w:pos="567"/>
        </w:tabs>
        <w:spacing w:line="360" w:lineRule="auto"/>
        <w:rPr>
          <w:rFonts w:hint="default" w:ascii="宋体" w:hAnsi="宋体" w:eastAsia="宋体" w:cs="宋体"/>
          <w:b/>
          <w:bCs/>
          <w:color w:val="auto"/>
          <w:sz w:val="24"/>
          <w:szCs w:val="24"/>
          <w:highlight w:val="none"/>
          <w:lang w:val="en-US" w:eastAsia="zh-CN"/>
        </w:rPr>
      </w:pPr>
      <w:r>
        <w:rPr>
          <w:rFonts w:hint="eastAsia" w:ascii="宋体" w:hAnsi="宋体" w:cs="宋体"/>
          <w:b/>
          <w:bCs/>
          <w:color w:val="auto"/>
          <w:sz w:val="24"/>
          <w:szCs w:val="24"/>
          <w:highlight w:val="none"/>
          <w:lang w:val="en-US" w:eastAsia="zh-CN"/>
        </w:rPr>
        <w:t>3、样本的验收及分析后样本处理</w:t>
      </w:r>
      <w:r>
        <w:rPr>
          <w:rFonts w:hint="eastAsia" w:ascii="宋体" w:hAnsi="宋体" w:cs="宋体"/>
          <w:b/>
          <w:bCs/>
          <w:color w:val="auto"/>
          <w:sz w:val="24"/>
          <w:szCs w:val="24"/>
          <w:highlight w:val="none"/>
        </w:rPr>
        <w:t>：</w:t>
      </w:r>
      <w:r>
        <w:rPr>
          <w:rFonts w:hint="eastAsia" w:ascii="宋体" w:hAnsi="宋体" w:cs="宋体"/>
          <w:b/>
          <w:bCs/>
          <w:color w:val="auto"/>
          <w:sz w:val="24"/>
          <w:szCs w:val="24"/>
          <w:highlight w:val="none"/>
          <w:lang w:val="en-US" w:eastAsia="zh-CN"/>
        </w:rPr>
        <w:t>10分</w:t>
      </w:r>
    </w:p>
    <w:p w14:paraId="0275D766">
      <w:pPr>
        <w:numPr>
          <w:ilvl w:val="0"/>
          <w:numId w:val="0"/>
        </w:numPr>
        <w:tabs>
          <w:tab w:val="left" w:pos="567"/>
        </w:tabs>
        <w:spacing w:line="360" w:lineRule="auto"/>
        <w:ind w:firstLine="480" w:firstLineChars="200"/>
        <w:rPr>
          <w:rFonts w:hint="eastAsia" w:ascii="宋体" w:hAnsi="宋体" w:cs="宋体"/>
          <w:color w:val="auto"/>
          <w:sz w:val="24"/>
          <w:szCs w:val="24"/>
          <w:highlight w:val="none"/>
        </w:rPr>
      </w:pPr>
      <w:r>
        <w:rPr>
          <w:rFonts w:ascii="宋体" w:hAnsi="宋体" w:eastAsia="宋体" w:cs="宋体"/>
          <w:color w:val="auto"/>
          <w:sz w:val="24"/>
          <w:szCs w:val="24"/>
          <w:highlight w:val="none"/>
        </w:rPr>
        <w:t>投标人须提供完整的样本验收规范及检测完成后样本处理专项方案，须逐条涵盖以下五项内容：①明确本项目标本技术要求，包含标本类型、标本采集方法、采集及转运注意事项、标本采集管规格类型、所需标本用量等；②明确标本拒收判定标准及拒收情形；③规范标本接收流程、标本登记留存记录、双方标本交接管理流程；④制定甲乙双方就标本类型、标本用量产生分歧争议时的协调处置方案；⑤制定检测剩余标本留存保存管理方案、废弃标本无害化销毁方案，须明确规范销毁作业流程，并建立完整销毁台账及留存记录</w:t>
      </w:r>
      <w:r>
        <w:rPr>
          <w:rFonts w:hint="eastAsia" w:ascii="宋体" w:hAnsi="宋体" w:cs="宋体"/>
          <w:color w:val="auto"/>
          <w:sz w:val="24"/>
          <w:szCs w:val="24"/>
          <w:highlight w:val="none"/>
          <w:lang w:val="en-US" w:eastAsia="zh-CN"/>
        </w:rPr>
        <w:t>：</w:t>
      </w:r>
    </w:p>
    <w:p w14:paraId="4409B97D">
      <w:pPr>
        <w:numPr>
          <w:ilvl w:val="0"/>
          <w:numId w:val="0"/>
        </w:numPr>
        <w:tabs>
          <w:tab w:val="left" w:pos="567"/>
        </w:tabs>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szCs w:val="24"/>
          <w:highlight w:val="none"/>
          <w:lang w:val="en-US" w:eastAsia="zh-CN"/>
        </w:rPr>
        <w:t>上述每项应逐条叙述，</w:t>
      </w:r>
      <w:r>
        <w:rPr>
          <w:rFonts w:hint="eastAsia" w:ascii="宋体" w:hAnsi="宋体" w:eastAsia="宋体" w:cs="宋体"/>
          <w:color w:val="auto"/>
          <w:sz w:val="24"/>
          <w:highlight w:val="none"/>
          <w:lang w:val="en-US" w:eastAsia="zh-CN"/>
        </w:rPr>
        <w:t>每项内容方案科学严谨、合理规范、可行性及可操作性强、完全贴合项目实际需求的，每项得2分；每项内容方案基本科学合理、具备一定可行性与可操作性、与项目实际基本相符的，每项得1分；每项内容完全偏离采购需求、表述缺失或未完整阐述的，不得分</w:t>
      </w:r>
      <w:r>
        <w:rPr>
          <w:rFonts w:hint="eastAsia" w:ascii="宋体" w:hAnsi="宋体" w:cs="宋体"/>
          <w:color w:val="auto"/>
          <w:sz w:val="24"/>
          <w:szCs w:val="24"/>
          <w:highlight w:val="none"/>
          <w:lang w:val="en-US" w:eastAsia="zh-CN"/>
        </w:rPr>
        <w:t>。</w:t>
      </w:r>
    </w:p>
    <w:p w14:paraId="7C7A746B">
      <w:pPr>
        <w:numPr>
          <w:ilvl w:val="0"/>
          <w:numId w:val="0"/>
        </w:numPr>
        <w:tabs>
          <w:tab w:val="left" w:pos="420"/>
        </w:tabs>
        <w:spacing w:line="360" w:lineRule="auto"/>
        <w:rPr>
          <w:rFonts w:hint="eastAsia" w:ascii="宋体" w:hAnsi="宋体" w:cs="宋体"/>
          <w:color w:val="auto"/>
          <w:sz w:val="24"/>
          <w:szCs w:val="24"/>
          <w:highlight w:val="none"/>
          <w:lang w:val="en-US" w:eastAsia="zh-CN"/>
        </w:rPr>
      </w:pPr>
      <w:r>
        <w:rPr>
          <w:rFonts w:hint="eastAsia" w:ascii="宋体" w:hAnsi="宋体" w:cs="宋体"/>
          <w:b/>
          <w:bCs/>
          <w:color w:val="auto"/>
          <w:sz w:val="24"/>
          <w:szCs w:val="24"/>
          <w:highlight w:val="none"/>
          <w:lang w:val="en-US" w:eastAsia="zh-CN"/>
        </w:rPr>
        <w:t>4、样本运输方案</w:t>
      </w:r>
      <w:r>
        <w:rPr>
          <w:rFonts w:hint="eastAsia" w:ascii="宋体" w:hAnsi="宋体" w:cs="宋体"/>
          <w:b/>
          <w:bCs/>
          <w:color w:val="auto"/>
          <w:sz w:val="24"/>
          <w:szCs w:val="24"/>
          <w:highlight w:val="none"/>
        </w:rPr>
        <w:t>：</w:t>
      </w:r>
      <w:r>
        <w:rPr>
          <w:rFonts w:hint="eastAsia" w:ascii="宋体" w:hAnsi="宋体" w:cs="宋体"/>
          <w:b/>
          <w:bCs/>
          <w:color w:val="auto"/>
          <w:sz w:val="24"/>
          <w:szCs w:val="24"/>
          <w:highlight w:val="none"/>
          <w:lang w:val="en-US" w:eastAsia="zh-CN"/>
        </w:rPr>
        <w:t>5分</w:t>
      </w:r>
    </w:p>
    <w:p w14:paraId="350D1518">
      <w:pPr>
        <w:numPr>
          <w:ilvl w:val="0"/>
          <w:numId w:val="0"/>
        </w:numPr>
        <w:tabs>
          <w:tab w:val="left" w:pos="420"/>
        </w:tabs>
        <w:spacing w:line="360" w:lineRule="auto"/>
        <w:ind w:firstLine="480" w:firstLineChars="200"/>
        <w:rPr>
          <w:rFonts w:hint="eastAsia" w:ascii="宋体" w:hAnsi="宋体" w:cs="宋体"/>
          <w:color w:val="auto"/>
          <w:sz w:val="24"/>
          <w:szCs w:val="24"/>
          <w:highlight w:val="none"/>
        </w:rPr>
      </w:pPr>
      <w:r>
        <w:rPr>
          <w:rFonts w:ascii="宋体" w:hAnsi="宋体" w:eastAsia="宋体" w:cs="宋体"/>
          <w:color w:val="auto"/>
          <w:sz w:val="24"/>
          <w:szCs w:val="24"/>
          <w:highlight w:val="none"/>
        </w:rPr>
        <w:t>投标人须提供完善的</w:t>
      </w:r>
      <w:r>
        <w:rPr>
          <w:rFonts w:hint="eastAsia" w:ascii="宋体" w:hAnsi="宋体" w:cs="宋体"/>
          <w:color w:val="auto"/>
          <w:sz w:val="24"/>
          <w:szCs w:val="24"/>
          <w:highlight w:val="none"/>
          <w:lang w:val="en-US" w:eastAsia="zh-CN"/>
        </w:rPr>
        <w:t>样本</w:t>
      </w:r>
      <w:r>
        <w:rPr>
          <w:rFonts w:ascii="宋体" w:hAnsi="宋体" w:eastAsia="宋体" w:cs="宋体"/>
          <w:color w:val="auto"/>
          <w:sz w:val="24"/>
          <w:szCs w:val="24"/>
          <w:highlight w:val="none"/>
        </w:rPr>
        <w:t>运输方案，须逐条包含以下内容：①本项目拟投入的运输车辆及专业物流箱配置方案；②</w:t>
      </w:r>
      <w:r>
        <w:rPr>
          <w:rFonts w:hint="eastAsia" w:ascii="宋体" w:hAnsi="宋体" w:cs="宋体"/>
          <w:color w:val="auto"/>
          <w:sz w:val="24"/>
          <w:szCs w:val="24"/>
          <w:highlight w:val="none"/>
          <w:lang w:val="en-US" w:eastAsia="zh-CN"/>
        </w:rPr>
        <w:t>样本</w:t>
      </w:r>
      <w:r>
        <w:rPr>
          <w:rFonts w:ascii="宋体" w:hAnsi="宋体" w:eastAsia="宋体" w:cs="宋体"/>
          <w:color w:val="auto"/>
          <w:sz w:val="24"/>
          <w:szCs w:val="24"/>
          <w:highlight w:val="none"/>
        </w:rPr>
        <w:t>运输各环节温度管控、超限报警及全程溯源管理方案；③运输岗位人员配置及岗位职责安排方案；④</w:t>
      </w:r>
      <w:r>
        <w:rPr>
          <w:rFonts w:hint="eastAsia" w:ascii="宋体" w:hAnsi="宋体" w:cs="宋体"/>
          <w:color w:val="auto"/>
          <w:sz w:val="24"/>
          <w:szCs w:val="24"/>
          <w:highlight w:val="none"/>
          <w:lang w:val="en-US" w:eastAsia="zh-CN"/>
        </w:rPr>
        <w:t>样本</w:t>
      </w:r>
      <w:r>
        <w:rPr>
          <w:rFonts w:ascii="宋体" w:hAnsi="宋体" w:eastAsia="宋体" w:cs="宋体"/>
          <w:color w:val="auto"/>
          <w:sz w:val="24"/>
          <w:szCs w:val="24"/>
          <w:highlight w:val="none"/>
        </w:rPr>
        <w:t>转运交接流程及运输安全管理制度；⑤运输专业配套设备配置方案，以及运输途中各类突发事件应急处置预案</w:t>
      </w:r>
      <w:r>
        <w:rPr>
          <w:rFonts w:hint="eastAsia" w:ascii="宋体" w:hAnsi="宋体" w:cs="宋体"/>
          <w:color w:val="auto"/>
          <w:sz w:val="24"/>
          <w:szCs w:val="24"/>
          <w:highlight w:val="none"/>
          <w:lang w:val="en-US" w:eastAsia="zh-CN"/>
        </w:rPr>
        <w:t>：</w:t>
      </w:r>
    </w:p>
    <w:p w14:paraId="232EDA67">
      <w:pPr>
        <w:numPr>
          <w:ilvl w:val="0"/>
          <w:numId w:val="0"/>
        </w:numPr>
        <w:tabs>
          <w:tab w:val="left" w:pos="420"/>
        </w:tabs>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上述每项应逐条叙述，</w:t>
      </w:r>
      <w:r>
        <w:rPr>
          <w:rFonts w:hint="eastAsia" w:ascii="宋体" w:hAnsi="宋体" w:eastAsia="宋体" w:cs="宋体"/>
          <w:color w:val="auto"/>
          <w:sz w:val="24"/>
          <w:highlight w:val="none"/>
          <w:lang w:val="en-US" w:eastAsia="zh-CN"/>
        </w:rPr>
        <w:t>每项内容方案科学严谨、合理规范、可行性及可操作性强、完全贴合项目实际需求的，每项得</w:t>
      </w:r>
      <w:r>
        <w:rPr>
          <w:rFonts w:hint="eastAsia" w:ascii="宋体" w:hAnsi="宋体" w:cs="宋体"/>
          <w:color w:val="auto"/>
          <w:sz w:val="24"/>
          <w:highlight w:val="none"/>
          <w:lang w:val="en-US" w:eastAsia="zh-CN"/>
        </w:rPr>
        <w:t>1</w:t>
      </w:r>
      <w:r>
        <w:rPr>
          <w:rFonts w:hint="eastAsia" w:ascii="宋体" w:hAnsi="宋体" w:eastAsia="宋体" w:cs="宋体"/>
          <w:color w:val="auto"/>
          <w:sz w:val="24"/>
          <w:highlight w:val="none"/>
          <w:lang w:val="en-US" w:eastAsia="zh-CN"/>
        </w:rPr>
        <w:t>分；每项内容方案基本科学合理、具备一定可行性与可操作性、与项目实际基本相符的，每项得</w:t>
      </w:r>
      <w:r>
        <w:rPr>
          <w:rFonts w:hint="eastAsia" w:ascii="宋体" w:hAnsi="宋体" w:cs="宋体"/>
          <w:color w:val="auto"/>
          <w:sz w:val="24"/>
          <w:highlight w:val="none"/>
          <w:lang w:val="en-US" w:eastAsia="zh-CN"/>
        </w:rPr>
        <w:t>0.5</w:t>
      </w:r>
      <w:r>
        <w:rPr>
          <w:rFonts w:hint="eastAsia" w:ascii="宋体" w:hAnsi="宋体" w:eastAsia="宋体" w:cs="宋体"/>
          <w:color w:val="auto"/>
          <w:sz w:val="24"/>
          <w:highlight w:val="none"/>
          <w:lang w:val="en-US" w:eastAsia="zh-CN"/>
        </w:rPr>
        <w:t>分；每项内容完全偏离采购需求、表述缺失或未完整阐述的，不得分</w:t>
      </w:r>
      <w:r>
        <w:rPr>
          <w:rFonts w:hint="eastAsia" w:ascii="宋体" w:hAnsi="宋体" w:cs="宋体"/>
          <w:color w:val="auto"/>
          <w:sz w:val="24"/>
          <w:szCs w:val="24"/>
          <w:highlight w:val="none"/>
          <w:lang w:val="en-US" w:eastAsia="zh-CN"/>
        </w:rPr>
        <w:t>。</w:t>
      </w:r>
    </w:p>
    <w:p w14:paraId="18F0F3FC">
      <w:pPr>
        <w:numPr>
          <w:ilvl w:val="0"/>
          <w:numId w:val="0"/>
        </w:numPr>
        <w:tabs>
          <w:tab w:val="left" w:pos="420"/>
        </w:tabs>
        <w:spacing w:line="360" w:lineRule="auto"/>
        <w:rPr>
          <w:rFonts w:hint="eastAsia" w:ascii="宋体" w:hAnsi="宋体" w:cs="宋体"/>
          <w:color w:val="auto"/>
          <w:sz w:val="24"/>
          <w:szCs w:val="24"/>
          <w:highlight w:val="none"/>
          <w:lang w:val="en-US" w:eastAsia="zh-CN"/>
        </w:rPr>
      </w:pPr>
      <w:r>
        <w:rPr>
          <w:rFonts w:hint="eastAsia" w:ascii="宋体" w:hAnsi="宋体" w:cs="宋体"/>
          <w:b/>
          <w:bCs/>
          <w:color w:val="auto"/>
          <w:sz w:val="24"/>
          <w:szCs w:val="24"/>
          <w:highlight w:val="none"/>
          <w:lang w:val="en-US" w:eastAsia="zh-CN"/>
        </w:rPr>
        <w:t>5、样本储存方案</w:t>
      </w:r>
      <w:r>
        <w:rPr>
          <w:rFonts w:hint="eastAsia" w:ascii="宋体" w:hAnsi="宋体" w:cs="宋体"/>
          <w:color w:val="auto"/>
          <w:sz w:val="24"/>
          <w:szCs w:val="24"/>
          <w:highlight w:val="none"/>
        </w:rPr>
        <w:t>：</w:t>
      </w:r>
      <w:r>
        <w:rPr>
          <w:rFonts w:hint="eastAsia" w:ascii="宋体" w:hAnsi="宋体" w:cs="宋体"/>
          <w:b/>
          <w:bCs/>
          <w:color w:val="auto"/>
          <w:sz w:val="24"/>
          <w:szCs w:val="24"/>
          <w:highlight w:val="none"/>
          <w:lang w:val="en-US" w:eastAsia="zh-CN"/>
        </w:rPr>
        <w:t>5分</w:t>
      </w:r>
    </w:p>
    <w:p w14:paraId="57975E28">
      <w:pPr>
        <w:numPr>
          <w:ilvl w:val="0"/>
          <w:numId w:val="0"/>
        </w:numPr>
        <w:tabs>
          <w:tab w:val="left" w:pos="420"/>
        </w:tabs>
        <w:spacing w:line="360" w:lineRule="auto"/>
        <w:ind w:firstLine="480" w:firstLineChars="200"/>
        <w:rPr>
          <w:rFonts w:hint="eastAsia" w:ascii="宋体" w:hAnsi="宋体" w:cs="宋体"/>
          <w:color w:val="auto"/>
          <w:sz w:val="24"/>
          <w:szCs w:val="24"/>
          <w:highlight w:val="none"/>
        </w:rPr>
      </w:pPr>
      <w:r>
        <w:rPr>
          <w:rFonts w:ascii="宋体" w:hAnsi="宋体" w:eastAsia="宋体" w:cs="宋体"/>
          <w:color w:val="auto"/>
          <w:sz w:val="24"/>
          <w:szCs w:val="24"/>
          <w:highlight w:val="none"/>
        </w:rPr>
        <w:t>投标人须提供完善的样品储存专项方案，包含以下内容：①自有生物样本库建设及配套设施配置情况；②不同类型样本分类储存管理方案；③各类样本规范储存时限及留存周期说明；④在存标本定期质量检查与管控方案；⑤临床需调取标本复检或用于科研用途时，专项标本转运及调配运输保障方案</w:t>
      </w:r>
      <w:r>
        <w:rPr>
          <w:rFonts w:hint="eastAsia" w:ascii="宋体" w:hAnsi="宋体" w:cs="宋体"/>
          <w:color w:val="auto"/>
          <w:sz w:val="24"/>
          <w:szCs w:val="24"/>
          <w:highlight w:val="none"/>
          <w:lang w:val="en-US" w:eastAsia="zh-CN"/>
        </w:rPr>
        <w:t>：</w:t>
      </w:r>
    </w:p>
    <w:p w14:paraId="7C105B0E">
      <w:pPr>
        <w:numPr>
          <w:ilvl w:val="0"/>
          <w:numId w:val="0"/>
        </w:numPr>
        <w:tabs>
          <w:tab w:val="left" w:pos="420"/>
        </w:tabs>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上述每项应逐条叙述，</w:t>
      </w:r>
      <w:r>
        <w:rPr>
          <w:rFonts w:hint="eastAsia" w:ascii="宋体" w:hAnsi="宋体" w:eastAsia="宋体" w:cs="宋体"/>
          <w:color w:val="auto"/>
          <w:sz w:val="24"/>
          <w:highlight w:val="none"/>
          <w:lang w:val="en-US" w:eastAsia="zh-CN"/>
        </w:rPr>
        <w:t>每项内容方案科学严谨、合理规范、可行性及可操作性强、完全贴合项目实际需求的，每项得</w:t>
      </w:r>
      <w:r>
        <w:rPr>
          <w:rFonts w:hint="eastAsia" w:ascii="宋体" w:hAnsi="宋体" w:cs="宋体"/>
          <w:color w:val="auto"/>
          <w:sz w:val="24"/>
          <w:highlight w:val="none"/>
          <w:lang w:val="en-US" w:eastAsia="zh-CN"/>
        </w:rPr>
        <w:t>1</w:t>
      </w:r>
      <w:r>
        <w:rPr>
          <w:rFonts w:hint="eastAsia" w:ascii="宋体" w:hAnsi="宋体" w:eastAsia="宋体" w:cs="宋体"/>
          <w:color w:val="auto"/>
          <w:sz w:val="24"/>
          <w:highlight w:val="none"/>
          <w:lang w:val="en-US" w:eastAsia="zh-CN"/>
        </w:rPr>
        <w:t>分；每项内容方案基本科学合理、具备一定可行性与可操作性、与项目实际基本相符的，每项得</w:t>
      </w:r>
      <w:r>
        <w:rPr>
          <w:rFonts w:hint="eastAsia" w:ascii="宋体" w:hAnsi="宋体" w:cs="宋体"/>
          <w:color w:val="auto"/>
          <w:sz w:val="24"/>
          <w:highlight w:val="none"/>
          <w:lang w:val="en-US" w:eastAsia="zh-CN"/>
        </w:rPr>
        <w:t>0.5</w:t>
      </w:r>
      <w:r>
        <w:rPr>
          <w:rFonts w:hint="eastAsia" w:ascii="宋体" w:hAnsi="宋体" w:eastAsia="宋体" w:cs="宋体"/>
          <w:color w:val="auto"/>
          <w:sz w:val="24"/>
          <w:highlight w:val="none"/>
          <w:lang w:val="en-US" w:eastAsia="zh-CN"/>
        </w:rPr>
        <w:t>分；每项内容完全偏离采购需求、表述缺失或未完整阐述的，不得分</w:t>
      </w:r>
      <w:r>
        <w:rPr>
          <w:rFonts w:hint="eastAsia" w:ascii="宋体" w:hAnsi="宋体" w:cs="宋体"/>
          <w:color w:val="auto"/>
          <w:sz w:val="24"/>
          <w:szCs w:val="24"/>
          <w:highlight w:val="none"/>
          <w:lang w:val="en-US" w:eastAsia="zh-CN"/>
        </w:rPr>
        <w:t>。</w:t>
      </w:r>
    </w:p>
    <w:p w14:paraId="63419C72">
      <w:pPr>
        <w:numPr>
          <w:ilvl w:val="0"/>
          <w:numId w:val="0"/>
        </w:numPr>
        <w:tabs>
          <w:tab w:val="left" w:pos="567"/>
        </w:tabs>
        <w:spacing w:line="360" w:lineRule="auto"/>
        <w:rPr>
          <w:rFonts w:hint="default" w:ascii="宋体" w:hAnsi="宋体" w:eastAsia="宋体" w:cs="宋体"/>
          <w:b/>
          <w:bCs/>
          <w:color w:val="auto"/>
          <w:sz w:val="24"/>
          <w:highlight w:val="none"/>
          <w:lang w:val="en-US" w:eastAsia="zh-CN"/>
        </w:rPr>
      </w:pPr>
      <w:r>
        <w:rPr>
          <w:rFonts w:hint="eastAsia" w:ascii="宋体" w:hAnsi="宋体" w:cs="宋体"/>
          <w:b/>
          <w:bCs/>
          <w:color w:val="auto"/>
          <w:sz w:val="24"/>
          <w:highlight w:val="none"/>
          <w:lang w:val="en-US" w:eastAsia="zh-CN"/>
        </w:rPr>
        <w:t>6、应急处理方案</w:t>
      </w:r>
      <w:r>
        <w:rPr>
          <w:rFonts w:hint="eastAsia" w:ascii="宋体" w:hAnsi="宋体" w:cs="宋体"/>
          <w:b/>
          <w:bCs/>
          <w:color w:val="auto"/>
          <w:sz w:val="24"/>
          <w:highlight w:val="none"/>
        </w:rPr>
        <w:t>：</w:t>
      </w:r>
      <w:r>
        <w:rPr>
          <w:rFonts w:hint="eastAsia" w:ascii="宋体" w:hAnsi="宋体" w:cs="宋体"/>
          <w:b/>
          <w:bCs/>
          <w:color w:val="auto"/>
          <w:sz w:val="24"/>
          <w:highlight w:val="none"/>
          <w:lang w:val="en-US" w:eastAsia="zh-CN"/>
        </w:rPr>
        <w:t>4分</w:t>
      </w:r>
    </w:p>
    <w:p w14:paraId="083DAA4F">
      <w:pPr>
        <w:numPr>
          <w:ilvl w:val="0"/>
          <w:numId w:val="0"/>
        </w:numPr>
        <w:tabs>
          <w:tab w:val="left" w:pos="567"/>
        </w:tabs>
        <w:spacing w:line="360" w:lineRule="auto"/>
        <w:ind w:firstLine="480" w:firstLineChars="200"/>
        <w:rPr>
          <w:rFonts w:hint="eastAsia" w:ascii="宋体" w:hAnsi="宋体" w:eastAsia="宋体" w:cs="宋体"/>
          <w:color w:val="auto"/>
          <w:sz w:val="24"/>
          <w:szCs w:val="24"/>
          <w:highlight w:val="none"/>
          <w:lang w:eastAsia="zh-CN"/>
        </w:rPr>
      </w:pPr>
      <w:r>
        <w:rPr>
          <w:rFonts w:ascii="宋体" w:hAnsi="宋体" w:eastAsia="宋体" w:cs="宋体"/>
          <w:color w:val="auto"/>
          <w:sz w:val="24"/>
          <w:szCs w:val="24"/>
          <w:highlight w:val="none"/>
        </w:rPr>
        <w:t>投标人须提供完善的应急处理专项方案，须逐条包含以下内容：①危急重症患者检测标本的加急处置流程及专项方案，明确涵盖加急通知传达、标本优先收取、快速检验实施、检测结果及时反馈等全流程内容；②针对标本管破损渗漏、检验过程中仪器设备故障等各类紧急突发情况，制定规范的应急响应流程及闭环处置方案</w:t>
      </w:r>
      <w:r>
        <w:rPr>
          <w:rFonts w:hint="eastAsia" w:ascii="宋体" w:hAnsi="宋体" w:eastAsia="宋体" w:cs="宋体"/>
          <w:color w:val="auto"/>
          <w:sz w:val="24"/>
          <w:szCs w:val="24"/>
          <w:highlight w:val="none"/>
          <w:lang w:eastAsia="zh-CN"/>
        </w:rPr>
        <w:t>：</w:t>
      </w:r>
    </w:p>
    <w:p w14:paraId="5030C2AA">
      <w:pPr>
        <w:numPr>
          <w:ilvl w:val="0"/>
          <w:numId w:val="0"/>
        </w:numPr>
        <w:tabs>
          <w:tab w:val="left" w:pos="567"/>
        </w:tabs>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szCs w:val="24"/>
          <w:highlight w:val="none"/>
          <w:lang w:val="en-US" w:eastAsia="zh-CN"/>
        </w:rPr>
        <w:t>上述每项应逐条叙述，</w:t>
      </w:r>
      <w:r>
        <w:rPr>
          <w:rFonts w:hint="eastAsia" w:ascii="宋体" w:hAnsi="宋体" w:eastAsia="宋体" w:cs="宋体"/>
          <w:color w:val="auto"/>
          <w:sz w:val="24"/>
          <w:highlight w:val="none"/>
          <w:lang w:val="en-US" w:eastAsia="zh-CN"/>
        </w:rPr>
        <w:t>每项内容方案科学严谨、合理规范、可行性及可操作性强、完全贴合项目实际需求的，每项得2分；每项内容方案基本科学合理、具备一定可行性与可操作性、与项目实际基本相符的，每项得1分；每项内容完全偏离采购需求、表述缺失或未完整阐述的，不得分</w:t>
      </w:r>
      <w:r>
        <w:rPr>
          <w:rFonts w:hint="eastAsia" w:ascii="宋体" w:hAnsi="宋体" w:cs="宋体"/>
          <w:color w:val="auto"/>
          <w:sz w:val="24"/>
          <w:szCs w:val="24"/>
          <w:highlight w:val="none"/>
          <w:lang w:val="en-US" w:eastAsia="zh-CN"/>
        </w:rPr>
        <w:t>。</w:t>
      </w:r>
      <w:r>
        <w:rPr>
          <w:rFonts w:hint="eastAsia" w:ascii="宋体" w:hAnsi="宋体" w:cs="宋体"/>
          <w:color w:val="auto"/>
          <w:sz w:val="24"/>
          <w:highlight w:val="none"/>
        </w:rPr>
        <w:t xml:space="preserve"> </w:t>
      </w:r>
    </w:p>
    <w:p w14:paraId="084499A0">
      <w:pPr>
        <w:numPr>
          <w:ilvl w:val="0"/>
          <w:numId w:val="0"/>
        </w:numPr>
        <w:spacing w:line="360" w:lineRule="auto"/>
        <w:rPr>
          <w:rFonts w:hint="default" w:ascii="宋体" w:hAnsi="宋体" w:eastAsia="宋体" w:cs="宋体"/>
          <w:b/>
          <w:bCs/>
          <w:color w:val="auto"/>
          <w:sz w:val="24"/>
          <w:szCs w:val="24"/>
          <w:highlight w:val="none"/>
          <w:lang w:val="en-US" w:eastAsia="zh-CN"/>
        </w:rPr>
      </w:pPr>
      <w:r>
        <w:rPr>
          <w:rFonts w:hint="eastAsia" w:ascii="宋体" w:hAnsi="宋体" w:cs="宋体"/>
          <w:b/>
          <w:bCs/>
          <w:color w:val="auto"/>
          <w:sz w:val="24"/>
          <w:szCs w:val="24"/>
          <w:highlight w:val="none"/>
          <w:lang w:val="en-US" w:eastAsia="zh-CN"/>
        </w:rPr>
        <w:t>7、学科建设及科研支持方案</w:t>
      </w:r>
      <w:r>
        <w:rPr>
          <w:rFonts w:hint="eastAsia" w:ascii="宋体" w:hAnsi="宋体" w:cs="宋体"/>
          <w:b/>
          <w:bCs/>
          <w:color w:val="auto"/>
          <w:sz w:val="24"/>
          <w:szCs w:val="24"/>
          <w:highlight w:val="none"/>
        </w:rPr>
        <w:t>：</w:t>
      </w:r>
      <w:r>
        <w:rPr>
          <w:rFonts w:hint="eastAsia" w:ascii="宋体" w:hAnsi="宋体" w:cs="宋体"/>
          <w:b/>
          <w:bCs/>
          <w:color w:val="auto"/>
          <w:sz w:val="24"/>
          <w:szCs w:val="24"/>
          <w:highlight w:val="none"/>
          <w:lang w:val="en-US" w:eastAsia="zh-CN"/>
        </w:rPr>
        <w:t>4分</w:t>
      </w:r>
    </w:p>
    <w:p w14:paraId="3979D25D">
      <w:pPr>
        <w:numPr>
          <w:ilvl w:val="0"/>
          <w:numId w:val="0"/>
        </w:numPr>
        <w:spacing w:line="360" w:lineRule="auto"/>
        <w:ind w:firstLine="480" w:firstLineChars="200"/>
        <w:rPr>
          <w:rFonts w:hint="eastAsia" w:ascii="宋体" w:hAnsi="宋体" w:cs="宋体"/>
          <w:color w:val="auto"/>
          <w:sz w:val="24"/>
          <w:highlight w:val="none"/>
        </w:rPr>
      </w:pPr>
      <w:r>
        <w:rPr>
          <w:rFonts w:ascii="宋体" w:hAnsi="宋体" w:eastAsia="宋体" w:cs="宋体"/>
          <w:color w:val="auto"/>
          <w:sz w:val="24"/>
          <w:szCs w:val="24"/>
          <w:highlight w:val="none"/>
        </w:rPr>
        <w:t>投标人须提供完善的学科建设及科研支持专项方案，须逐条包含以下内容：①针对疑难病症患者，配合临床医师开展病例沟通、协助明确诊断方向的专项协作方案；②检验过程中发现临床相关新成果、新线索时，及时向临床科室反馈、同步推进成果转化的方案；③协助临床科室开展相关医学科研探索、支撑科研项目申报（含资料整理、技术支持等）的专项方案；④协助临床培养检验专业人才、完善人才储备体系（含带教、培训、技能提升等）的实施方案</w:t>
      </w:r>
      <w:r>
        <w:rPr>
          <w:rFonts w:hint="eastAsia" w:ascii="宋体" w:hAnsi="宋体" w:cs="宋体"/>
          <w:color w:val="auto"/>
          <w:sz w:val="24"/>
          <w:highlight w:val="none"/>
          <w:lang w:val="en-US" w:eastAsia="zh-CN"/>
        </w:rPr>
        <w:t>：</w:t>
      </w:r>
    </w:p>
    <w:p w14:paraId="0D62A4AB">
      <w:pPr>
        <w:numPr>
          <w:ilvl w:val="0"/>
          <w:numId w:val="0"/>
        </w:numPr>
        <w:spacing w:line="360" w:lineRule="auto"/>
        <w:ind w:firstLine="480" w:firstLineChars="200"/>
        <w:rPr>
          <w:rFonts w:hint="eastAsia" w:ascii="宋体" w:hAnsi="宋体" w:cs="宋体"/>
          <w:b/>
          <w:bCs/>
          <w:color w:val="auto"/>
          <w:sz w:val="24"/>
          <w:szCs w:val="24"/>
          <w:highlight w:val="none"/>
        </w:rPr>
      </w:pPr>
      <w:r>
        <w:rPr>
          <w:rFonts w:hint="eastAsia" w:ascii="宋体" w:hAnsi="宋体" w:cs="宋体"/>
          <w:color w:val="auto"/>
          <w:sz w:val="24"/>
          <w:highlight w:val="none"/>
          <w:lang w:val="en-US" w:eastAsia="zh-CN"/>
        </w:rPr>
        <w:t>上述每项应逐条叙述，</w:t>
      </w:r>
      <w:r>
        <w:rPr>
          <w:rFonts w:hint="eastAsia" w:ascii="宋体" w:hAnsi="宋体" w:eastAsia="宋体" w:cs="宋体"/>
          <w:color w:val="auto"/>
          <w:sz w:val="24"/>
          <w:highlight w:val="none"/>
          <w:lang w:val="en-US" w:eastAsia="zh-CN"/>
        </w:rPr>
        <w:t>每项内容方案科学严谨、合理规范、可行性及可操作性强、完全贴合项目实际需求的，每项得</w:t>
      </w:r>
      <w:r>
        <w:rPr>
          <w:rFonts w:hint="eastAsia" w:ascii="宋体" w:hAnsi="宋体" w:cs="宋体"/>
          <w:color w:val="auto"/>
          <w:sz w:val="24"/>
          <w:highlight w:val="none"/>
          <w:lang w:val="en-US" w:eastAsia="zh-CN"/>
        </w:rPr>
        <w:t>1</w:t>
      </w:r>
      <w:r>
        <w:rPr>
          <w:rFonts w:hint="eastAsia" w:ascii="宋体" w:hAnsi="宋体" w:eastAsia="宋体" w:cs="宋体"/>
          <w:color w:val="auto"/>
          <w:sz w:val="24"/>
          <w:highlight w:val="none"/>
          <w:lang w:val="en-US" w:eastAsia="zh-CN"/>
        </w:rPr>
        <w:t>分；每项内容方案基本科学合理、具备一定可行性与可操作性、与项目实际基本相符的，每项得</w:t>
      </w:r>
      <w:r>
        <w:rPr>
          <w:rFonts w:hint="eastAsia" w:ascii="宋体" w:hAnsi="宋体" w:cs="宋体"/>
          <w:color w:val="auto"/>
          <w:sz w:val="24"/>
          <w:highlight w:val="none"/>
          <w:lang w:val="en-US" w:eastAsia="zh-CN"/>
        </w:rPr>
        <w:t>0.5</w:t>
      </w:r>
      <w:r>
        <w:rPr>
          <w:rFonts w:hint="eastAsia" w:ascii="宋体" w:hAnsi="宋体" w:eastAsia="宋体" w:cs="宋体"/>
          <w:color w:val="auto"/>
          <w:sz w:val="24"/>
          <w:highlight w:val="none"/>
          <w:lang w:val="en-US" w:eastAsia="zh-CN"/>
        </w:rPr>
        <w:t>分；每项内容完全偏离采购需求、表述缺失或未完整阐述的，不得分</w:t>
      </w:r>
      <w:r>
        <w:rPr>
          <w:rFonts w:hint="eastAsia" w:ascii="宋体" w:hAnsi="宋体" w:cs="宋体"/>
          <w:color w:val="auto"/>
          <w:sz w:val="24"/>
          <w:highlight w:val="none"/>
          <w:lang w:val="en-US" w:eastAsia="zh-CN"/>
        </w:rPr>
        <w:t>。</w:t>
      </w:r>
    </w:p>
    <w:p w14:paraId="4FF75051">
      <w:pPr>
        <w:widowControl/>
        <w:spacing w:line="360" w:lineRule="auto"/>
        <w:ind w:right="50"/>
        <w:jc w:val="left"/>
        <w:rPr>
          <w:rFonts w:hint="default"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rPr>
        <w:t>（三）</w:t>
      </w:r>
      <w:r>
        <w:rPr>
          <w:rFonts w:hint="eastAsia" w:ascii="宋体" w:hAnsi="宋体" w:cs="宋体"/>
          <w:b/>
          <w:bCs/>
          <w:color w:val="auto"/>
          <w:sz w:val="24"/>
          <w:szCs w:val="24"/>
          <w:highlight w:val="none"/>
          <w:lang w:val="en-US" w:eastAsia="zh-CN"/>
        </w:rPr>
        <w:t>投标单位技术能力比较（13分）</w:t>
      </w:r>
    </w:p>
    <w:p w14:paraId="083827EB">
      <w:pPr>
        <w:pStyle w:val="12"/>
        <w:spacing w:line="360" w:lineRule="auto"/>
        <w:ind w:firstLine="0"/>
        <w:rPr>
          <w:rFonts w:hint="eastAsia" w:ascii="宋体" w:hAnsi="宋体" w:eastAsia="宋体" w:cs="宋体"/>
          <w:b/>
          <w:bCs/>
          <w:color w:val="auto"/>
          <w:szCs w:val="24"/>
          <w:highlight w:val="none"/>
          <w:lang w:val="en-US" w:eastAsia="zh-CN"/>
        </w:rPr>
      </w:pPr>
      <w:r>
        <w:rPr>
          <w:rFonts w:hint="eastAsia" w:ascii="宋体" w:hAnsi="宋体" w:eastAsia="宋体" w:cs="宋体"/>
          <w:b/>
          <w:bCs/>
          <w:color w:val="auto"/>
          <w:szCs w:val="24"/>
          <w:highlight w:val="none"/>
        </w:rPr>
        <w:t>1、</w:t>
      </w:r>
      <w:r>
        <w:rPr>
          <w:rFonts w:hint="eastAsia" w:ascii="宋体" w:hAnsi="宋体" w:eastAsia="宋体" w:cs="宋体"/>
          <w:b/>
          <w:bCs/>
          <w:color w:val="auto"/>
          <w:szCs w:val="24"/>
          <w:highlight w:val="none"/>
          <w:lang w:val="en-US" w:eastAsia="zh-CN"/>
        </w:rPr>
        <w:t>医学实验室质量：4分</w:t>
      </w:r>
    </w:p>
    <w:p w14:paraId="6DD00E57">
      <w:pPr>
        <w:pStyle w:val="12"/>
        <w:spacing w:line="360" w:lineRule="auto"/>
        <w:ind w:firstLine="480" w:firstLineChars="200"/>
        <w:rPr>
          <w:rFonts w:hint="eastAsia" w:ascii="宋体" w:hAnsi="宋体" w:eastAsia="宋体" w:cs="宋体"/>
          <w:color w:val="auto"/>
          <w:szCs w:val="24"/>
          <w:highlight w:val="none"/>
        </w:rPr>
      </w:pPr>
      <w:r>
        <w:rPr>
          <w:rFonts w:hint="eastAsia" w:ascii="宋体" w:hAnsi="宋体" w:eastAsia="宋体" w:cs="宋体"/>
          <w:color w:val="auto"/>
          <w:szCs w:val="24"/>
          <w:highlight w:val="none"/>
        </w:rPr>
        <w:t>通过ISO15189实验室认可</w:t>
      </w:r>
      <w:r>
        <w:rPr>
          <w:rFonts w:hint="eastAsia" w:ascii="宋体" w:hAnsi="宋体" w:eastAsia="宋体" w:cs="宋体"/>
          <w:color w:val="auto"/>
          <w:szCs w:val="24"/>
          <w:highlight w:val="none"/>
          <w:lang w:val="en-US" w:eastAsia="zh-CN"/>
        </w:rPr>
        <w:t>的</w:t>
      </w:r>
      <w:r>
        <w:rPr>
          <w:rFonts w:hint="eastAsia" w:ascii="宋体" w:hAnsi="宋体" w:eastAsia="宋体" w:cs="宋体"/>
          <w:color w:val="auto"/>
          <w:szCs w:val="24"/>
          <w:highlight w:val="none"/>
        </w:rPr>
        <w:t>得</w:t>
      </w:r>
      <w:r>
        <w:rPr>
          <w:rFonts w:hint="eastAsia" w:ascii="宋体" w:hAnsi="宋体" w:eastAsia="宋体" w:cs="宋体"/>
          <w:color w:val="auto"/>
          <w:szCs w:val="24"/>
          <w:highlight w:val="none"/>
          <w:lang w:val="en-US" w:eastAsia="zh-CN"/>
        </w:rPr>
        <w:t>4</w:t>
      </w:r>
      <w:r>
        <w:rPr>
          <w:rFonts w:hint="eastAsia" w:ascii="宋体" w:hAnsi="宋体" w:eastAsia="宋体" w:cs="宋体"/>
          <w:color w:val="auto"/>
          <w:szCs w:val="24"/>
          <w:highlight w:val="none"/>
        </w:rPr>
        <w:t>分（</w:t>
      </w:r>
      <w:r>
        <w:rPr>
          <w:rFonts w:hint="eastAsia" w:ascii="宋体" w:hAnsi="宋体" w:eastAsia="宋体" w:cs="宋体"/>
          <w:color w:val="auto"/>
          <w:kern w:val="2"/>
          <w:szCs w:val="24"/>
          <w:highlight w:val="none"/>
          <w:lang w:eastAsia="zh-CN"/>
        </w:rPr>
        <w:t>投标文件</w:t>
      </w:r>
      <w:r>
        <w:rPr>
          <w:rFonts w:hint="eastAsia" w:ascii="宋体" w:hAnsi="宋体" w:eastAsia="宋体" w:cs="宋体"/>
          <w:color w:val="auto"/>
          <w:kern w:val="2"/>
          <w:szCs w:val="24"/>
          <w:highlight w:val="none"/>
        </w:rPr>
        <w:t>中需提供</w:t>
      </w:r>
      <w:r>
        <w:rPr>
          <w:rFonts w:hint="eastAsia" w:ascii="宋体" w:hAnsi="宋体" w:eastAsia="宋体" w:cs="宋体"/>
          <w:color w:val="auto"/>
          <w:kern w:val="2"/>
          <w:szCs w:val="24"/>
          <w:highlight w:val="none"/>
          <w:lang w:val="en-US" w:eastAsia="zh-CN"/>
        </w:rPr>
        <w:t>检验实验室认可相关</w:t>
      </w:r>
      <w:r>
        <w:rPr>
          <w:rFonts w:hint="eastAsia" w:ascii="宋体" w:hAnsi="宋体" w:eastAsia="宋体" w:cs="宋体"/>
          <w:color w:val="auto"/>
          <w:kern w:val="2"/>
          <w:szCs w:val="24"/>
          <w:highlight w:val="none"/>
        </w:rPr>
        <w:t>证明材料，</w:t>
      </w:r>
      <w:r>
        <w:rPr>
          <w:rFonts w:hint="eastAsia" w:ascii="宋体" w:hAnsi="宋体" w:eastAsia="宋体" w:cs="宋体"/>
          <w:color w:val="auto"/>
          <w:kern w:val="2"/>
          <w:szCs w:val="24"/>
          <w:highlight w:val="none"/>
          <w:lang w:val="en-US" w:eastAsia="zh-CN"/>
        </w:rPr>
        <w:t>未</w:t>
      </w:r>
      <w:r>
        <w:rPr>
          <w:rFonts w:hint="eastAsia" w:ascii="宋体" w:hAnsi="宋体" w:eastAsia="宋体" w:cs="宋体"/>
          <w:color w:val="auto"/>
          <w:kern w:val="2"/>
          <w:szCs w:val="24"/>
          <w:highlight w:val="none"/>
        </w:rPr>
        <w:t>提供的不得分）</w:t>
      </w:r>
      <w:r>
        <w:rPr>
          <w:rFonts w:hint="eastAsia" w:ascii="宋体" w:hAnsi="宋体" w:eastAsia="宋体" w:cs="宋体"/>
          <w:color w:val="auto"/>
          <w:szCs w:val="24"/>
          <w:highlight w:val="none"/>
        </w:rPr>
        <w:t>。</w:t>
      </w:r>
    </w:p>
    <w:p w14:paraId="1349536A">
      <w:pPr>
        <w:spacing w:line="360" w:lineRule="auto"/>
        <w:jc w:val="left"/>
        <w:rPr>
          <w:rFonts w:hint="eastAsia" w:ascii="宋体" w:hAnsi="宋体" w:cs="宋体"/>
          <w:b/>
          <w:bCs/>
          <w:color w:val="auto"/>
          <w:sz w:val="24"/>
          <w:szCs w:val="24"/>
          <w:highlight w:val="none"/>
        </w:rPr>
      </w:pPr>
      <w:r>
        <w:rPr>
          <w:rFonts w:hint="eastAsia" w:ascii="宋体" w:hAnsi="宋体" w:cs="宋体"/>
          <w:b/>
          <w:bCs/>
          <w:color w:val="auto"/>
          <w:sz w:val="24"/>
          <w:szCs w:val="24"/>
          <w:highlight w:val="none"/>
          <w:lang w:val="en-US" w:eastAsia="zh-CN"/>
        </w:rPr>
        <w:t>2</w:t>
      </w:r>
      <w:r>
        <w:rPr>
          <w:rFonts w:hint="eastAsia" w:ascii="宋体" w:hAnsi="宋体" w:cs="宋体"/>
          <w:b/>
          <w:bCs/>
          <w:color w:val="auto"/>
          <w:sz w:val="24"/>
          <w:szCs w:val="24"/>
          <w:highlight w:val="none"/>
        </w:rPr>
        <w:t>、</w:t>
      </w:r>
      <w:r>
        <w:rPr>
          <w:rFonts w:hint="eastAsia" w:ascii="宋体" w:hAnsi="宋体" w:cs="宋体"/>
          <w:b/>
          <w:bCs/>
          <w:color w:val="auto"/>
          <w:sz w:val="24"/>
          <w:szCs w:val="24"/>
          <w:highlight w:val="none"/>
          <w:lang w:val="en-US" w:eastAsia="zh-CN"/>
        </w:rPr>
        <w:t>室间质评证书：5分</w:t>
      </w:r>
    </w:p>
    <w:p w14:paraId="70F6D7F1">
      <w:pPr>
        <w:numPr>
          <w:ilvl w:val="0"/>
          <w:numId w:val="0"/>
        </w:numPr>
        <w:spacing w:line="360" w:lineRule="auto"/>
        <w:ind w:firstLine="480" w:firstLineChars="200"/>
        <w:rPr>
          <w:rFonts w:hint="eastAsia" w:ascii="宋体" w:hAnsi="宋体" w:eastAsia="宋体" w:cs="宋体"/>
          <w:color w:val="auto"/>
          <w:sz w:val="24"/>
          <w:highlight w:val="none"/>
          <w:lang w:val="en-US" w:eastAsia="zh-CN"/>
        </w:rPr>
      </w:pPr>
      <w:r>
        <w:rPr>
          <w:rFonts w:hint="default" w:ascii="宋体" w:hAnsi="宋体" w:eastAsia="宋体" w:cs="宋体"/>
          <w:color w:val="auto"/>
          <w:sz w:val="24"/>
          <w:highlight w:val="none"/>
          <w:lang w:val="en-US" w:eastAsia="zh-CN"/>
        </w:rPr>
        <w:t>具备2024 年度及以后国家临床检验中心室间质评合格报告或证书：</w:t>
      </w:r>
      <w:r>
        <w:rPr>
          <w:rFonts w:hint="eastAsia" w:ascii="宋体" w:hAnsi="宋体" w:eastAsia="宋体" w:cs="宋体"/>
          <w:color w:val="auto"/>
          <w:sz w:val="24"/>
          <w:highlight w:val="none"/>
          <w:lang w:val="en-US" w:eastAsia="zh-CN"/>
        </w:rPr>
        <w:t>提供与本项目相关质评报告/证书15份及以上得5分；提供与本项目相关质评报告/证书10～14份得3分；提供与本项目相关质评报告/证书10份以下得1分【投标文件中需提供相关室间质评证书复印件，未拿到证书的提供临检中心发送的检测结果报告，相关材料提供不齐全或不提供的不得分。（质评报告或证书结果须为合格，质评报告或证书同一项目按1份计算）】。</w:t>
      </w:r>
    </w:p>
    <w:p w14:paraId="6A915F04">
      <w:pPr>
        <w:widowControl/>
        <w:spacing w:line="360" w:lineRule="auto"/>
        <w:ind w:right="50"/>
        <w:jc w:val="left"/>
        <w:rPr>
          <w:rFonts w:hint="default" w:ascii="宋体" w:hAnsi="宋体" w:cs="宋体"/>
          <w:b/>
          <w:bCs/>
          <w:color w:val="auto"/>
          <w:sz w:val="24"/>
          <w:szCs w:val="24"/>
          <w:highlight w:val="none"/>
          <w:lang w:val="en-US" w:eastAsia="zh-CN"/>
        </w:rPr>
      </w:pPr>
      <w:r>
        <w:rPr>
          <w:rFonts w:hint="eastAsia" w:ascii="宋体" w:hAnsi="宋体" w:cs="宋体"/>
          <w:b/>
          <w:bCs/>
          <w:color w:val="auto"/>
          <w:sz w:val="24"/>
          <w:szCs w:val="24"/>
          <w:highlight w:val="none"/>
          <w:lang w:val="en-US" w:eastAsia="zh-CN"/>
        </w:rPr>
        <w:t>3、报告时效：4分</w:t>
      </w:r>
    </w:p>
    <w:p w14:paraId="2E531A8C">
      <w:pPr>
        <w:widowControl/>
        <w:spacing w:line="360" w:lineRule="auto"/>
        <w:ind w:right="50" w:firstLine="480" w:firstLineChars="200"/>
        <w:jc w:val="left"/>
        <w:rPr>
          <w:rFonts w:hint="default" w:ascii="宋体" w:hAnsi="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投标单位自采样至发放临床报告周期：在全部满足项目需求的基础上，报告周期优于项目需求的项目数占总项目数比例超过50%的得4分；报告周期优于项目需求的项目数占总项目数比例未达50%的得2分；报告周期全部满足项目需求或未提供说明的不得分【投标文件中需提供采购需求项目报告周期的对比清单（格式自拟），否则不得分】。</w:t>
      </w:r>
    </w:p>
    <w:p w14:paraId="36621EE7">
      <w:pPr>
        <w:widowControl/>
        <w:spacing w:line="360" w:lineRule="auto"/>
        <w:ind w:right="50"/>
        <w:jc w:val="left"/>
        <w:rPr>
          <w:rFonts w:hint="eastAsia" w:ascii="宋体" w:hAnsi="宋体" w:eastAsia="宋体" w:cs="宋体"/>
          <w:color w:val="auto"/>
          <w:sz w:val="24"/>
          <w:szCs w:val="24"/>
          <w:highlight w:val="none"/>
        </w:rPr>
      </w:pPr>
      <w:r>
        <w:rPr>
          <w:rFonts w:hint="eastAsia" w:ascii="宋体" w:hAnsi="宋体" w:cs="宋体"/>
          <w:b/>
          <w:bCs/>
          <w:color w:val="auto"/>
          <w:sz w:val="24"/>
          <w:szCs w:val="24"/>
          <w:highlight w:val="none"/>
          <w:lang w:val="en-US" w:eastAsia="zh-CN"/>
        </w:rPr>
        <w:t>（四）投标</w:t>
      </w:r>
      <w:r>
        <w:rPr>
          <w:rFonts w:hint="eastAsia" w:ascii="宋体" w:hAnsi="宋体" w:eastAsia="宋体" w:cs="宋体"/>
          <w:b/>
          <w:bCs/>
          <w:color w:val="auto"/>
          <w:sz w:val="24"/>
          <w:szCs w:val="24"/>
          <w:highlight w:val="none"/>
        </w:rPr>
        <w:t>单位</w:t>
      </w:r>
      <w:r>
        <w:rPr>
          <w:rFonts w:hint="eastAsia" w:ascii="宋体" w:hAnsi="宋体" w:eastAsia="宋体" w:cs="宋体"/>
          <w:b/>
          <w:bCs/>
          <w:color w:val="auto"/>
          <w:sz w:val="24"/>
          <w:szCs w:val="24"/>
          <w:highlight w:val="none"/>
          <w:lang w:eastAsia="zh-CN"/>
        </w:rPr>
        <w:t>综合</w:t>
      </w:r>
      <w:r>
        <w:rPr>
          <w:rFonts w:hint="eastAsia" w:ascii="宋体" w:hAnsi="宋体" w:eastAsia="宋体" w:cs="宋体"/>
          <w:b/>
          <w:bCs/>
          <w:color w:val="auto"/>
          <w:sz w:val="24"/>
          <w:szCs w:val="24"/>
          <w:highlight w:val="none"/>
        </w:rPr>
        <w:t>履约能力（</w:t>
      </w:r>
      <w:r>
        <w:rPr>
          <w:rFonts w:hint="eastAsia" w:ascii="宋体" w:hAnsi="宋体" w:cs="宋体"/>
          <w:b/>
          <w:bCs/>
          <w:color w:val="auto"/>
          <w:sz w:val="24"/>
          <w:szCs w:val="24"/>
          <w:highlight w:val="none"/>
          <w:lang w:val="en-US" w:eastAsia="zh-CN"/>
        </w:rPr>
        <w:t>19</w:t>
      </w:r>
      <w:r>
        <w:rPr>
          <w:rFonts w:hint="eastAsia" w:ascii="宋体" w:hAnsi="宋体" w:eastAsia="宋体" w:cs="宋体"/>
          <w:b/>
          <w:bCs/>
          <w:color w:val="auto"/>
          <w:sz w:val="24"/>
          <w:szCs w:val="24"/>
          <w:highlight w:val="none"/>
        </w:rPr>
        <w:t>分）</w:t>
      </w:r>
    </w:p>
    <w:p w14:paraId="77667C7B">
      <w:pPr>
        <w:pStyle w:val="53"/>
        <w:spacing w:line="360" w:lineRule="auto"/>
        <w:ind w:left="0" w:leftChars="0" w:firstLine="0" w:firstLineChars="0"/>
        <w:jc w:val="left"/>
        <w:rPr>
          <w:rFonts w:hint="default" w:ascii="宋体" w:hAnsi="宋体" w:cs="宋体"/>
          <w:b/>
          <w:bCs/>
          <w:color w:val="auto"/>
          <w:sz w:val="24"/>
          <w:szCs w:val="24"/>
          <w:highlight w:val="none"/>
          <w:lang w:val="en-US" w:eastAsia="zh-CN"/>
        </w:rPr>
      </w:pPr>
      <w:r>
        <w:rPr>
          <w:rFonts w:hint="eastAsia" w:ascii="宋体" w:hAnsi="宋体" w:cs="宋体"/>
          <w:b/>
          <w:bCs/>
          <w:color w:val="auto"/>
          <w:sz w:val="24"/>
          <w:szCs w:val="24"/>
          <w:highlight w:val="none"/>
        </w:rPr>
        <w:t>1、服务团队</w:t>
      </w:r>
      <w:r>
        <w:rPr>
          <w:rFonts w:hint="eastAsia" w:ascii="宋体" w:hAnsi="宋体" w:cs="宋体"/>
          <w:b/>
          <w:bCs/>
          <w:color w:val="auto"/>
          <w:sz w:val="24"/>
          <w:szCs w:val="24"/>
          <w:highlight w:val="none"/>
          <w:lang w:val="en-US" w:eastAsia="zh-CN"/>
        </w:rPr>
        <w:t>成员</w:t>
      </w:r>
      <w:r>
        <w:rPr>
          <w:rFonts w:hint="eastAsia" w:ascii="宋体" w:hAnsi="宋体" w:cs="宋体"/>
          <w:b/>
          <w:bCs/>
          <w:color w:val="auto"/>
          <w:sz w:val="24"/>
          <w:szCs w:val="24"/>
          <w:highlight w:val="none"/>
          <w:lang w:eastAsia="zh-CN"/>
        </w:rPr>
        <w:t>：</w:t>
      </w:r>
      <w:r>
        <w:rPr>
          <w:rFonts w:hint="eastAsia" w:ascii="宋体" w:hAnsi="宋体" w:cs="宋体"/>
          <w:b/>
          <w:bCs/>
          <w:color w:val="auto"/>
          <w:sz w:val="24"/>
          <w:szCs w:val="24"/>
          <w:highlight w:val="none"/>
          <w:lang w:val="en-US" w:eastAsia="zh-CN"/>
        </w:rPr>
        <w:t>9分</w:t>
      </w:r>
    </w:p>
    <w:p w14:paraId="0132F6D1">
      <w:pPr>
        <w:pStyle w:val="53"/>
        <w:spacing w:line="360" w:lineRule="auto"/>
        <w:ind w:left="0" w:leftChars="0" w:firstLine="0" w:firstLineChars="0"/>
        <w:jc w:val="left"/>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1.1</w:t>
      </w:r>
      <w:r>
        <w:rPr>
          <w:rFonts w:hint="eastAsia" w:ascii="宋体" w:hAnsi="宋体" w:cs="宋体"/>
          <w:color w:val="auto"/>
          <w:sz w:val="24"/>
          <w:szCs w:val="24"/>
          <w:highlight w:val="none"/>
        </w:rPr>
        <w:t>具有</w:t>
      </w:r>
      <w:r>
        <w:rPr>
          <w:rFonts w:hint="eastAsia" w:ascii="宋体" w:hAnsi="宋体" w:cs="宋体"/>
          <w:color w:val="auto"/>
          <w:sz w:val="24"/>
          <w:szCs w:val="24"/>
          <w:highlight w:val="none"/>
          <w:lang w:val="en-US" w:eastAsia="zh-CN"/>
        </w:rPr>
        <w:t>检验专业高级职称的</w:t>
      </w:r>
      <w:r>
        <w:rPr>
          <w:rFonts w:hint="eastAsia" w:ascii="宋体" w:hAnsi="宋体" w:cs="宋体"/>
          <w:color w:val="auto"/>
          <w:sz w:val="24"/>
          <w:szCs w:val="24"/>
          <w:highlight w:val="none"/>
        </w:rPr>
        <w:t>，每有1人得</w:t>
      </w:r>
      <w:r>
        <w:rPr>
          <w:rFonts w:hint="eastAsia" w:ascii="宋体" w:hAnsi="宋体" w:cs="宋体"/>
          <w:color w:val="auto"/>
          <w:sz w:val="24"/>
          <w:szCs w:val="24"/>
          <w:highlight w:val="none"/>
          <w:lang w:val="en-US" w:eastAsia="zh-CN"/>
        </w:rPr>
        <w:t>3</w:t>
      </w:r>
      <w:r>
        <w:rPr>
          <w:rFonts w:hint="eastAsia" w:ascii="宋体" w:hAnsi="宋体" w:cs="宋体"/>
          <w:color w:val="auto"/>
          <w:sz w:val="24"/>
          <w:szCs w:val="24"/>
          <w:highlight w:val="none"/>
        </w:rPr>
        <w:t>分</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最高得3分</w:t>
      </w:r>
      <w:r>
        <w:rPr>
          <w:rFonts w:hint="eastAsia" w:ascii="宋体" w:hAnsi="宋体" w:cs="宋体"/>
          <w:color w:val="auto"/>
          <w:sz w:val="24"/>
          <w:szCs w:val="24"/>
          <w:highlight w:val="none"/>
        </w:rPr>
        <w:t>；</w:t>
      </w:r>
    </w:p>
    <w:p w14:paraId="1DD46422">
      <w:pPr>
        <w:pStyle w:val="53"/>
        <w:spacing w:line="360" w:lineRule="auto"/>
        <w:ind w:left="0" w:leftChars="0" w:firstLine="0" w:firstLineChars="0"/>
        <w:jc w:val="left"/>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lang w:val="en-US" w:eastAsia="zh-CN"/>
        </w:rPr>
        <w:t>1.2</w:t>
      </w:r>
      <w:r>
        <w:rPr>
          <w:rFonts w:hint="eastAsia" w:ascii="宋体" w:hAnsi="宋体" w:cs="宋体"/>
          <w:color w:val="auto"/>
          <w:sz w:val="24"/>
          <w:szCs w:val="24"/>
          <w:highlight w:val="none"/>
        </w:rPr>
        <w:t>具有</w:t>
      </w:r>
      <w:r>
        <w:rPr>
          <w:rFonts w:hint="eastAsia" w:ascii="宋体" w:hAnsi="宋体" w:cs="宋体"/>
          <w:color w:val="auto"/>
          <w:sz w:val="24"/>
          <w:szCs w:val="24"/>
          <w:highlight w:val="none"/>
          <w:lang w:val="en-US" w:eastAsia="zh-CN"/>
        </w:rPr>
        <w:t>检验专业中级职称的</w:t>
      </w:r>
      <w:r>
        <w:rPr>
          <w:rFonts w:hint="eastAsia" w:ascii="宋体" w:hAnsi="宋体" w:cs="宋体"/>
          <w:color w:val="auto"/>
          <w:sz w:val="24"/>
          <w:szCs w:val="24"/>
          <w:highlight w:val="none"/>
        </w:rPr>
        <w:t>，每有1人得</w:t>
      </w:r>
      <w:r>
        <w:rPr>
          <w:rFonts w:hint="eastAsia" w:ascii="宋体" w:hAnsi="宋体" w:cs="宋体"/>
          <w:color w:val="auto"/>
          <w:sz w:val="24"/>
          <w:szCs w:val="24"/>
          <w:highlight w:val="none"/>
          <w:lang w:val="en-US" w:eastAsia="zh-CN"/>
        </w:rPr>
        <w:t>1</w:t>
      </w:r>
      <w:r>
        <w:rPr>
          <w:rFonts w:hint="eastAsia" w:ascii="宋体" w:hAnsi="宋体" w:cs="宋体"/>
          <w:color w:val="auto"/>
          <w:sz w:val="24"/>
          <w:szCs w:val="24"/>
          <w:highlight w:val="none"/>
        </w:rPr>
        <w:t>分</w:t>
      </w:r>
      <w:r>
        <w:rPr>
          <w:rFonts w:hint="eastAsia" w:ascii="宋体" w:hAnsi="宋体" w:cs="宋体"/>
          <w:color w:val="auto"/>
          <w:sz w:val="24"/>
          <w:szCs w:val="24"/>
          <w:highlight w:val="none"/>
          <w:lang w:val="en-US" w:eastAsia="zh-CN"/>
        </w:rPr>
        <w:t>；具有检验专业初级职称的每有一人得0.5分，本项最高得6</w:t>
      </w:r>
      <w:r>
        <w:rPr>
          <w:rFonts w:hint="eastAsia" w:ascii="宋体" w:hAnsi="宋体" w:cs="宋体"/>
          <w:color w:val="auto"/>
          <w:sz w:val="24"/>
          <w:szCs w:val="24"/>
          <w:highlight w:val="none"/>
        </w:rPr>
        <w:t>分</w:t>
      </w:r>
      <w:r>
        <w:rPr>
          <w:rFonts w:hint="eastAsia" w:ascii="宋体" w:hAnsi="宋体" w:cs="宋体"/>
          <w:color w:val="auto"/>
          <w:sz w:val="24"/>
          <w:szCs w:val="24"/>
          <w:highlight w:val="none"/>
          <w:lang w:eastAsia="zh-CN"/>
        </w:rPr>
        <w:t>。</w:t>
      </w:r>
    </w:p>
    <w:p w14:paraId="172F75B9">
      <w:pPr>
        <w:pStyle w:val="53"/>
        <w:spacing w:line="360" w:lineRule="auto"/>
        <w:ind w:left="0" w:leftChars="0" w:firstLine="0" w:firstLineChars="0"/>
        <w:jc w:val="left"/>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【注：</w:t>
      </w:r>
      <w:r>
        <w:rPr>
          <w:rFonts w:hint="eastAsia" w:ascii="宋体" w:hAnsi="宋体" w:cs="宋体"/>
          <w:color w:val="auto"/>
          <w:sz w:val="24"/>
          <w:szCs w:val="24"/>
          <w:highlight w:val="none"/>
          <w:lang w:eastAsia="zh-CN"/>
        </w:rPr>
        <w:t>投标文件</w:t>
      </w:r>
      <w:r>
        <w:rPr>
          <w:rFonts w:hint="eastAsia" w:ascii="宋体" w:hAnsi="宋体" w:cs="宋体"/>
          <w:color w:val="auto"/>
          <w:sz w:val="24"/>
          <w:szCs w:val="24"/>
          <w:highlight w:val="none"/>
        </w:rPr>
        <w:t>中需提供上述人员的相关证书复印件及近</w:t>
      </w:r>
      <w:r>
        <w:rPr>
          <w:rFonts w:hint="eastAsia" w:ascii="宋体" w:hAnsi="宋体" w:cs="宋体"/>
          <w:color w:val="auto"/>
          <w:sz w:val="24"/>
          <w:szCs w:val="24"/>
          <w:highlight w:val="none"/>
          <w:lang w:val="en-US" w:eastAsia="zh-CN"/>
        </w:rPr>
        <w:t>期</w:t>
      </w:r>
      <w:r>
        <w:rPr>
          <w:rFonts w:hint="eastAsia" w:ascii="宋体" w:hAnsi="宋体" w:cs="宋体"/>
          <w:color w:val="auto"/>
          <w:sz w:val="24"/>
          <w:szCs w:val="24"/>
          <w:highlight w:val="none"/>
        </w:rPr>
        <w:t>缴纳社保复印件，材料不完整或未提供的不得分。</w:t>
      </w:r>
      <w:r>
        <w:rPr>
          <w:rFonts w:hint="eastAsia" w:ascii="宋体" w:hAnsi="宋体" w:cs="宋体"/>
          <w:b/>
          <w:bCs/>
          <w:color w:val="auto"/>
          <w:sz w:val="24"/>
          <w:szCs w:val="24"/>
          <w:highlight w:val="none"/>
          <w:lang w:val="en-US" w:eastAsia="zh-CN"/>
        </w:rPr>
        <w:t>每位人员若有多个职称，只计最高职称，不重复计算得分】</w:t>
      </w:r>
      <w:r>
        <w:rPr>
          <w:rFonts w:hint="eastAsia" w:ascii="宋体" w:hAnsi="宋体" w:cs="宋体"/>
          <w:color w:val="auto"/>
          <w:sz w:val="24"/>
          <w:szCs w:val="24"/>
          <w:highlight w:val="none"/>
          <w:lang w:val="en-US" w:eastAsia="zh-CN"/>
        </w:rPr>
        <w:t>。</w:t>
      </w:r>
    </w:p>
    <w:p w14:paraId="706A26EC">
      <w:pPr>
        <w:spacing w:line="360" w:lineRule="auto"/>
        <w:jc w:val="left"/>
        <w:rPr>
          <w:rFonts w:hint="default" w:ascii="宋体" w:hAnsi="宋体" w:eastAsia="宋体" w:cs="宋体"/>
          <w:b/>
          <w:bCs/>
          <w:color w:val="auto"/>
          <w:sz w:val="24"/>
          <w:szCs w:val="24"/>
          <w:highlight w:val="none"/>
          <w:lang w:val="en-US" w:eastAsia="zh-CN"/>
        </w:rPr>
      </w:pPr>
      <w:r>
        <w:rPr>
          <w:rFonts w:hint="eastAsia" w:ascii="宋体" w:hAnsi="宋体" w:cs="宋体"/>
          <w:b/>
          <w:bCs/>
          <w:color w:val="auto"/>
          <w:sz w:val="24"/>
          <w:szCs w:val="24"/>
          <w:highlight w:val="none"/>
        </w:rPr>
        <w:t>2、</w:t>
      </w:r>
      <w:r>
        <w:rPr>
          <w:rFonts w:hint="eastAsia" w:ascii="宋体" w:hAnsi="宋体" w:cs="宋体"/>
          <w:b/>
          <w:bCs/>
          <w:color w:val="auto"/>
          <w:sz w:val="24"/>
          <w:szCs w:val="24"/>
          <w:highlight w:val="none"/>
          <w:lang w:val="en-US" w:eastAsia="zh-CN"/>
        </w:rPr>
        <w:t>类似业绩：10分</w:t>
      </w:r>
    </w:p>
    <w:p w14:paraId="460295E1">
      <w:pPr>
        <w:spacing w:line="360" w:lineRule="auto"/>
        <w:jc w:val="left"/>
        <w:rPr>
          <w:rFonts w:ascii="宋体" w:hAnsi="宋体" w:cs="宋体"/>
          <w:color w:val="auto"/>
          <w:sz w:val="24"/>
          <w:szCs w:val="24"/>
          <w:highlight w:val="none"/>
        </w:rPr>
      </w:pPr>
      <w:r>
        <w:rPr>
          <w:rFonts w:hint="eastAsia" w:ascii="宋体" w:hAnsi="宋体" w:cs="宋体"/>
          <w:color w:val="auto"/>
          <w:sz w:val="24"/>
          <w:szCs w:val="24"/>
          <w:highlight w:val="none"/>
          <w:lang w:eastAsia="zh-CN"/>
        </w:rPr>
        <w:t>投标单位</w:t>
      </w:r>
      <w:r>
        <w:rPr>
          <w:rFonts w:hint="eastAsia" w:ascii="宋体" w:hAnsi="宋体" w:cs="宋体"/>
          <w:color w:val="auto"/>
          <w:sz w:val="24"/>
          <w:szCs w:val="24"/>
          <w:highlight w:val="none"/>
        </w:rPr>
        <w:t>自202</w:t>
      </w:r>
      <w:r>
        <w:rPr>
          <w:rFonts w:hint="eastAsia" w:ascii="宋体" w:hAnsi="宋体" w:cs="宋体"/>
          <w:color w:val="auto"/>
          <w:sz w:val="24"/>
          <w:szCs w:val="24"/>
          <w:highlight w:val="none"/>
          <w:lang w:val="en-US" w:eastAsia="zh-CN"/>
        </w:rPr>
        <w:t>3</w:t>
      </w:r>
      <w:r>
        <w:rPr>
          <w:rFonts w:hint="eastAsia" w:ascii="宋体" w:hAnsi="宋体" w:cs="宋体"/>
          <w:color w:val="auto"/>
          <w:sz w:val="24"/>
          <w:szCs w:val="24"/>
          <w:highlight w:val="none"/>
        </w:rPr>
        <w:t>年1月1日（以合同签订时间为准）以来承担过的类似业绩，每提供一个</w:t>
      </w:r>
      <w:r>
        <w:rPr>
          <w:rFonts w:hint="eastAsia" w:ascii="宋体" w:hAnsi="宋体" w:cs="宋体"/>
          <w:color w:val="auto"/>
          <w:sz w:val="24"/>
          <w:szCs w:val="24"/>
          <w:highlight w:val="none"/>
          <w:lang w:val="en-US" w:eastAsia="zh-CN"/>
        </w:rPr>
        <w:t>业绩的</w:t>
      </w:r>
      <w:r>
        <w:rPr>
          <w:rFonts w:hint="eastAsia" w:ascii="宋体" w:hAnsi="宋体" w:cs="宋体"/>
          <w:color w:val="auto"/>
          <w:sz w:val="24"/>
          <w:szCs w:val="24"/>
          <w:highlight w:val="none"/>
        </w:rPr>
        <w:t>得</w:t>
      </w:r>
      <w:r>
        <w:rPr>
          <w:rFonts w:hint="eastAsia" w:ascii="宋体" w:hAnsi="宋体" w:cs="宋体"/>
          <w:color w:val="auto"/>
          <w:sz w:val="24"/>
          <w:szCs w:val="24"/>
          <w:highlight w:val="none"/>
          <w:lang w:val="en-US" w:eastAsia="zh-CN"/>
        </w:rPr>
        <w:t>2</w:t>
      </w:r>
      <w:r>
        <w:rPr>
          <w:rFonts w:hint="eastAsia" w:ascii="宋体" w:hAnsi="宋体" w:cs="宋体"/>
          <w:color w:val="auto"/>
          <w:sz w:val="24"/>
          <w:szCs w:val="24"/>
          <w:highlight w:val="none"/>
        </w:rPr>
        <w:t>分，最高得</w:t>
      </w:r>
      <w:r>
        <w:rPr>
          <w:rFonts w:hint="eastAsia" w:ascii="宋体" w:hAnsi="宋体" w:cs="宋体"/>
          <w:color w:val="auto"/>
          <w:sz w:val="24"/>
          <w:szCs w:val="24"/>
          <w:highlight w:val="none"/>
          <w:lang w:val="en-US" w:eastAsia="zh-CN"/>
        </w:rPr>
        <w:t>10</w:t>
      </w:r>
      <w:r>
        <w:rPr>
          <w:rFonts w:hint="eastAsia" w:ascii="宋体" w:hAnsi="宋体" w:cs="宋体"/>
          <w:color w:val="auto"/>
          <w:sz w:val="24"/>
          <w:szCs w:val="24"/>
          <w:highlight w:val="none"/>
        </w:rPr>
        <w:t>分（</w:t>
      </w:r>
      <w:r>
        <w:rPr>
          <w:rFonts w:hint="eastAsia" w:ascii="宋体" w:hAnsi="宋体" w:cs="宋体"/>
          <w:color w:val="auto"/>
          <w:sz w:val="24"/>
          <w:szCs w:val="24"/>
          <w:highlight w:val="none"/>
          <w:lang w:eastAsia="zh-CN"/>
        </w:rPr>
        <w:t>投标文件</w:t>
      </w:r>
      <w:r>
        <w:rPr>
          <w:rFonts w:hint="eastAsia" w:ascii="宋体" w:hAnsi="宋体" w:cs="宋体"/>
          <w:color w:val="auto"/>
          <w:sz w:val="24"/>
          <w:szCs w:val="24"/>
          <w:highlight w:val="none"/>
        </w:rPr>
        <w:t>中需提供合同扫描件或复印件，提供不</w:t>
      </w:r>
      <w:r>
        <w:rPr>
          <w:rFonts w:hint="eastAsia" w:ascii="宋体" w:hAnsi="宋体" w:cs="宋体"/>
          <w:color w:val="auto"/>
          <w:sz w:val="24"/>
          <w:szCs w:val="24"/>
          <w:highlight w:val="none"/>
          <w:lang w:val="en-US" w:eastAsia="zh-CN"/>
        </w:rPr>
        <w:t>符</w:t>
      </w:r>
      <w:r>
        <w:rPr>
          <w:rFonts w:hint="eastAsia" w:ascii="宋体" w:hAnsi="宋体" w:cs="宋体"/>
          <w:color w:val="auto"/>
          <w:sz w:val="24"/>
          <w:szCs w:val="24"/>
          <w:highlight w:val="none"/>
        </w:rPr>
        <w:t>或未提供的不得分）。</w:t>
      </w:r>
    </w:p>
    <w:p w14:paraId="40488CBE">
      <w:pPr>
        <w:spacing w:line="360" w:lineRule="auto"/>
        <w:contextualSpacing/>
        <w:jc w:val="center"/>
        <w:rPr>
          <w:color w:val="auto"/>
          <w:highlight w:val="none"/>
        </w:rPr>
      </w:pPr>
      <w:r>
        <w:rPr>
          <w:rFonts w:hint="eastAsia" w:ascii="宋体" w:hAnsi="宋体" w:cs="宋体"/>
          <w:b/>
          <w:color w:val="auto"/>
          <w:sz w:val="24"/>
          <w:szCs w:val="24"/>
          <w:highlight w:val="none"/>
        </w:rPr>
        <w:t>（全文完）</w:t>
      </w:r>
    </w:p>
    <w:p w14:paraId="4B0B1A9E">
      <w:pPr>
        <w:pStyle w:val="15"/>
        <w:rPr>
          <w:rFonts w:hint="eastAsia"/>
          <w:color w:val="auto"/>
          <w:highlight w:val="none"/>
        </w:rPr>
      </w:pPr>
    </w:p>
    <w:sectPr>
      <w:pgSz w:w="11906" w:h="16838"/>
      <w:pgMar w:top="1440" w:right="1803" w:bottom="1440" w:left="1803" w:header="851" w:footer="992" w:gutter="0"/>
      <w:cols w:space="1701"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altName w:val="楷体"/>
    <w:panose1 w:val="02010609060101010101"/>
    <w:charset w:val="00"/>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60101010101"/>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方正大黑简体">
    <w:altName w:val="黑体"/>
    <w:panose1 w:val="020B0503020202020204"/>
    <w:charset w:val="00"/>
    <w:family w:val="auto"/>
    <w:pitch w:val="default"/>
    <w:sig w:usb0="00000000" w:usb1="00000000" w:usb2="00000000" w:usb3="00000000" w:csb0="00000000" w:csb1="00000000"/>
  </w:font>
  <w:font w:name="华文中宋">
    <w:panose1 w:val="02010600040101010101"/>
    <w:charset w:val="86"/>
    <w:family w:val="auto"/>
    <w:pitch w:val="default"/>
    <w:sig w:usb0="00000287" w:usb1="080F0000" w:usb2="00000000" w:usb3="00000000" w:csb0="0004009F" w:csb1="DFD70000"/>
  </w:font>
  <w:font w:name="Segoe UI">
    <w:panose1 w:val="020B0502040204020203"/>
    <w:charset w:val="00"/>
    <w:family w:val="auto"/>
    <w:pitch w:val="default"/>
    <w:sig w:usb0="E4002EFF" w:usb1="C000E47F" w:usb2="00000009" w:usb3="00000000" w:csb0="200001FF" w:csb1="00000000"/>
  </w:font>
  <w:font w:name="方正小标宋_GBK">
    <w:altName w:val="微软雅黑"/>
    <w:panose1 w:val="03000509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7266F2">
    <w:pPr>
      <w:pStyle w:val="42"/>
      <w:tabs>
        <w:tab w:val="left" w:pos="6702"/>
        <w:tab w:val="clear" w:pos="4153"/>
      </w:tabs>
    </w:pPr>
    <w:r>
      <w:rPr>
        <w:rFonts w:hint="eastAsia"/>
        <w:lang w:eastAsia="zh-CN"/>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752766">
    <w:pPr>
      <w:pStyle w:val="42"/>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5"/>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337CBEF">
                          <w:pPr>
                            <w:pStyle w:val="21"/>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文本框 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kWnUw9AgAAbwQAAA4AAABkcnMvZTJvRG9jLnhtbK1UwY7TMBC9I/EP&#10;lu80adGuqqjpqmxVhFTYlRbE2XWcxpLtsWy3SfkA+ANOXLjvd/U7GDtJQQuHPXCxJp7xm3lvZrK4&#10;6bQiR+G8BFPS6SSnRBgOlTT7kn76uHk1p8QHZiqmwIiSnoSnN8uXLxatLcQMGlCVcARBjC9aW9Im&#10;BFtkmeeN0MxPwAqDzhqcZgE/3T6rHGsRXatslufXWQuusg648B5v172TDojuOYBQ15KLNfCDFib0&#10;qE4oFpCSb6T1dJmqrWvBw11dexGIKikyDenEJGjv4pktF6zYO2YbyYcS2HNKeMJJM2kw6QVqzQIj&#10;Byf/gtKSO/BQhwkHnfVEkiLIYpo/0eahYVYkLii1txfR/f+D5R+O947IqqQzSgzT2PDz92/nH4/n&#10;n1/JVZSntb7AqAeLcaF7Ax0OzXjv4+WufQ8VvmOHAEmDrnY6aoHsCEaj1KeL1KILhEeI+Ww+z9HF&#10;0Td+YLaMFeNz63x4K0CTaJTUYS8TPDtufehDx5CYzcBGKpX6qQxpS3r9+ipPDy4eBFcGc0RKsfSe&#10;XOh23cBzB9UJGTno58RbvpGYfMt8uGcOBwMLxtUJd3jUCjAJDBYlDbgv/7qP8dgv9FLS4qCV1OBe&#10;UaLeGewjAobRcKOxGw1z0LeAkzvFlbQ8mfjABTWatQP9GfdpFXOgixmOmUoaRvM29MOO+8jFapWC&#10;DtbJfdM/wCm0LGzNg+UxTRTS2xV2ciOTxlGqXpVBN5zD1KVhZ+Kg//mdon7/J5a/AF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LNJWO7QAAAABQEAAA8AAAAAAAAAAQAgAAAAIgAAAGRycy9kb3ducmV2&#10;LnhtbFBLAQIUABQAAAAIAIdO4kAZFp1MPQIAAG8EAAAOAAAAAAAAAAEAIAAAAB8BAABkcnMvZTJv&#10;RG9jLnhtbFBLBQYAAAAABgAGAFkBAADOBQAAAAA=&#10;">
              <v:fill on="f" focussize="0,0"/>
              <v:stroke on="f" weight="0.5pt"/>
              <v:imagedata o:title=""/>
              <o:lock v:ext="edit" aspectratio="f"/>
              <v:textbox inset="0mm,0mm,0mm,0mm" style="mso-fit-shape-to-text:t;">
                <w:txbxContent>
                  <w:p w14:paraId="7337CBEF">
                    <w:pPr>
                      <w:pStyle w:val="21"/>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281FBA">
    <w:pPr>
      <w:pStyle w:val="42"/>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296545" cy="146050"/>
              <wp:effectExtent l="0" t="0" r="0" b="0"/>
              <wp:wrapNone/>
              <wp:docPr id="3" name="文本框 6"/>
              <wp:cNvGraphicFramePr/>
              <a:graphic xmlns:a="http://schemas.openxmlformats.org/drawingml/2006/main">
                <a:graphicData uri="http://schemas.microsoft.com/office/word/2010/wordprocessingShape">
                  <wps:wsp>
                    <wps:cNvSpPr txBox="1"/>
                    <wps:spPr bwMode="auto">
                      <a:xfrm>
                        <a:off x="0" y="0"/>
                        <a:ext cx="296267" cy="146037"/>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9EC5759">
                          <w:pPr>
                            <w:pStyle w:val="21"/>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文本框 6" o:spid="_x0000_s1026" o:spt="202" type="#_x0000_t202" style="position:absolute;left:0pt;margin-top:0pt;height:11.5pt;width:23.35pt;mso-position-horizontal:center;mso-position-horizontal-relative:margin;z-index:251660288;mso-width-relative:page;mso-height-relative:page;" filled="f" stroked="f" coordsize="21600,21600" o:gfxdata="UEsDBAoAAAAAAIdO4kAAAAAAAAAAAAAAAAAEAAAAZHJzL1BLAwQUAAAACACHTuJAN+mpktMAAAAD&#10;AQAADwAAAGRycy9kb3ducmV2LnhtbE2PS0/DMBCE70j8B2uRuFE7BRUU4vTA48ajFJDg5sRLEmGv&#10;I3uTln+P4QKXlUYzmvm2Wu+9EzPGNATSUCwUCKQ22IE6DS/PtycXIBIbssYFQg1fmGBdHx5UprRh&#10;R084b7kTuYRSaTT0zGMpZWp79CYtwoiUvY8QveEsYydtNLtc7p1cKrWS3gyUF3oz4lWP7ed28hrc&#10;W4p3jeL3+bq7582jnF5vigetj48KdQmCcc9/YfjBz+hQZ6YmTGSTcBryI/x7s3e2OgfRaFieKpB1&#10;Jf+z199QSwMEFAAAAAgAh07iQMroEn5CAgAAbwQAAA4AAABkcnMvZTJvRG9jLnhtbK1UzY7TMBC+&#10;I/EOlu80/YEuVE1XZasipMKuVBBn13EaS7bH2G6T8gDsG3Diwp3n6nMwdpKCFg574GJNZsbf+Ptm&#10;JvPrRityFM5LMDkdDYaUCMOhkGaf048f1s9eUuIDMwVTYEROT8LT68XTJ/PazsQYKlCFcARBjJ/V&#10;NqdVCHaWZZ5XQjM/ACsMBktwmgX8dPuscKxGdK2y8XA4zWpwhXXAhffoXbVB2iG6xwBCWUouVsAP&#10;WpjQojqhWEBKvpLW00V6bVkKHm7L0otAVE6RaUgnFkF7F89sMWezvWO2krx7AnvMEx5w0kwaLHqB&#10;WrHAyMHJv6C05A48lGHAQWctkaQIshgNH2izrZgViQtK7e1FdP//YPn7450jssjphBLDNDb8/O3+&#10;/P3n+cdXMo3y1NbPMGtrMS80r6HBoen9Pjp39Tso8B47BEgaNKXTUQtkRzAbpT5dpBZNIByd41fT&#10;8fSKEo6h0fPpcHIVMTM26y9b58MbAZpEI6cOO5nA2XHjQ5vap8RaBtZSqdRNZUid0+nkxTBduEQQ&#10;XBmsEQnFh7fUQrNrOpY7KE7Ix0E7Jd7ytcTiG+bDHXM4FsgEFyfc4lEqwCLQWZRU4L78yx/zsVsY&#10;paTGMcup/3xgTlCi3hrsY5zJ3nC9sesNc9A3gJM7wpW0PJl4wQXVm6UD/Qn3aRmrYIgZjrVyGnrz&#10;JrTDjvvIxXKZkg7WyX3VXsAptCxszNbyWKaVcomdLGVSOYrV6tIph3OY+tTtTBz0P79T1u//xOIX&#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N+mpktMAAAADAQAADwAAAAAAAAABACAAAAAiAAAAZHJz&#10;L2Rvd25yZXYueG1sUEsBAhQAFAAAAAgAh07iQMroEn5CAgAAbwQAAA4AAAAAAAAAAQAgAAAAIgEA&#10;AGRycy9lMm9Eb2MueG1sUEsFBgAAAAAGAAYAWQEAANYFAAAAAA==&#10;">
              <v:fill on="f" focussize="0,0"/>
              <v:stroke on="f" weight="0.5pt"/>
              <v:imagedata o:title=""/>
              <o:lock v:ext="edit" aspectratio="f"/>
              <v:textbox inset="0mm,0mm,0mm,0mm">
                <w:txbxContent>
                  <w:p w14:paraId="19EC5759">
                    <w:pPr>
                      <w:pStyle w:val="21"/>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2A742E">
    <w:pPr>
      <w:pStyle w:val="42"/>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243840" cy="146050"/>
              <wp:effectExtent l="0" t="0" r="0" b="0"/>
              <wp:wrapNone/>
              <wp:docPr id="4" name="文本框 7"/>
              <wp:cNvGraphicFramePr/>
              <a:graphic xmlns:a="http://schemas.openxmlformats.org/drawingml/2006/main">
                <a:graphicData uri="http://schemas.microsoft.com/office/word/2010/wordprocessingShape">
                  <wps:wsp>
                    <wps:cNvSpPr txBox="1"/>
                    <wps:spPr bwMode="auto">
                      <a:xfrm>
                        <a:off x="0" y="0"/>
                        <a:ext cx="243562" cy="146037"/>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CBD6A74">
                          <w:pPr>
                            <w:pStyle w:val="21"/>
                          </w:pPr>
                          <w:r>
                            <w:fldChar w:fldCharType="begin"/>
                          </w:r>
                          <w:r>
                            <w:instrText xml:space="preserve"> PAGE  \* MERGEFORMAT </w:instrText>
                          </w:r>
                          <w:r>
                            <w:fldChar w:fldCharType="separate"/>
                          </w:r>
                          <w:r>
                            <w:t>22</w:t>
                          </w:r>
                          <w:r>
                            <w:fldChar w:fldCharType="end"/>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文本框 7" o:spid="_x0000_s1026" o:spt="202" type="#_x0000_t202" style="position:absolute;left:0pt;margin-top:0pt;height:11.5pt;width:19.2pt;mso-position-horizontal:center;mso-position-horizontal-relative:margin;z-index:251661312;mso-width-relative:page;mso-height-relative:page;" filled="f" stroked="f" coordsize="21600,21600" o:gfxdata="UEsDBAoAAAAAAIdO4kAAAAAAAAAAAAAAAAAEAAAAZHJzL1BLAwQUAAAACACHTuJA7ytI29MAAAAD&#10;AQAADwAAAGRycy9kb3ducmV2LnhtbE2PS0/DMBCE70j8B2uRuFE7LUJViNMDjxuvFpDg5sRLEmGv&#10;I3uTln+P4QKXlUYzmvm22hy8EzPGNATSUCwUCKQ22IE6DS/Pt2drEIkNWeMCoYYvTLCpj48qU9qw&#10;py3OO+5ELqFUGg0981hKmdoevUmLMCJl7yNEbzjL2EkbzT6XeyeXSl1IbwbKC70Z8arH9nM3eQ3u&#10;LcW7RvH7fN3d89OjnF5vigetT08KdQmC8cB/YfjBz+hQZ6YmTGSTcBryI/x7s7dan4NoNCxXCmRd&#10;yf/s9TdQSwMEFAAAAAgAh07iQA5gmLtBAgAAbwQAAA4AAABkcnMvZTJvRG9jLnhtbK1UzY7TMBC+&#10;I/EOlu80/duCqqarslURUmFXKoiz6ziNJdtjbKfJ8gDwBnviwp3n6nMwdpqCFg574GJN5v/7ZiaL&#10;61YrchTOSzA5HQ2GlAjDoZDmkNOPHzYvXlHiAzMFU2BETu+Fp9fL588WjZ2LMVSgCuEIJjF+3tic&#10;ViHYeZZ5XgnN/ACsMGgswWkW8NMdssKxBrNrlY2Hw1nWgCusAy68R+26M9JzRveUhFCWkos18FoL&#10;E7qsTigWEJKvpPV0mbotS8HDbVl6EYjKKSIN6cUiKO/jmy0XbH5wzFaSn1tgT2nhESbNpMGil1Rr&#10;FhipnfwrlZbcgYcyDDjorAOSGEEUo+EjbnYVsyJhQaq9vZDu/19a/v5454gscjqlxDCNAz89fDt9&#10;/3n68ZW8jPQ01s/Ra2fRL7SvocWl6fU+KvfNOygwjtUBEgdt6XTkAtER9Eaq7y9UizYQjsrxdHI1&#10;G1PC0TSazoaTVCtj8z7YOh/eCNAkCjl1OMmUnB23PmBb6Nq7xFoGNlKpNE1lSJPT2eRqmAIuFoxQ&#10;BgMjoNh4By20+/aMcg/FPeJx0G2Jt3wjsfiW+XDHHK4FIsHDCbf4lAqwCJwlSipwX/6lj/44LbRS&#10;0uCa5dR/rpkTlKi3BucYd7IXXC/se8HU+gZwc0d4kpYnEQNcUL1YOtCf8J5WsQqamOFYK6ehF29C&#10;t+x4j1ysVsmptk4eqi4At9CysDU7y2OZjsoVTrKUieVIVsfLmTncw0T++Wbiov/5nbx+/yeWvwB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DvK0jb0wAAAAMBAAAPAAAAAAAAAAEAIAAAACIAAABkcnMv&#10;ZG93bnJldi54bWxQSwECFAAUAAAACACHTuJADmCYu0ECAABvBAAADgAAAAAAAAABACAAAAAiAQAA&#10;ZHJzL2Uyb0RvYy54bWxQSwUGAAAAAAYABgBZAQAA1QUAAAAA&#10;">
              <v:fill on="f" focussize="0,0"/>
              <v:stroke on="f" weight="0.5pt"/>
              <v:imagedata o:title=""/>
              <o:lock v:ext="edit" aspectratio="f"/>
              <v:textbox inset="0mm,0mm,0mm,0mm">
                <w:txbxContent>
                  <w:p w14:paraId="7CBD6A74">
                    <w:pPr>
                      <w:pStyle w:val="21"/>
                    </w:pPr>
                    <w:r>
                      <w:fldChar w:fldCharType="begin"/>
                    </w:r>
                    <w:r>
                      <w:instrText xml:space="preserve"> PAGE  \* MERGEFORMAT </w:instrText>
                    </w:r>
                    <w:r>
                      <w:fldChar w:fldCharType="separate"/>
                    </w:r>
                    <w:r>
                      <w:t>22</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F7630F">
    <w:pPr>
      <w:pStyle w:val="206"/>
      <w:jc w:val="both"/>
    </w:pPr>
    <w:r>
      <w:rPr>
        <w:rFonts w:hint="eastAsia" w:ascii="宋体" w:hAnsi="宋体" w:cs="宋体"/>
        <w:b/>
        <w:bCs/>
        <w:sz w:val="24"/>
        <w:szCs w:val="24"/>
      </w:rPr>
      <w:t>政府采购文件</w:t>
    </w:r>
    <w:r>
      <w:rPr>
        <w:rFonts w:hint="eastAsia" w:ascii="华文中宋" w:hAnsi="华文中宋" w:eastAsia="华文中宋"/>
        <w:b/>
        <w:bCs/>
        <w:sz w:val="24"/>
        <w:szCs w:val="24"/>
      </w:rPr>
      <w:t xml:space="preserve">                           </w:t>
    </w:r>
    <w:r>
      <w:rPr>
        <w:rFonts w:hint="eastAsia" w:ascii="华文中宋" w:hAnsi="华文中宋" w:eastAsia="华文中宋"/>
        <w:b/>
        <w:bCs/>
        <w:sz w:val="24"/>
        <w:szCs w:val="24"/>
        <w:lang w:val="en-US" w:eastAsia="zh-CN"/>
      </w:rPr>
      <w:t xml:space="preserve">    </w:t>
    </w:r>
    <w:r>
      <w:rPr>
        <w:rFonts w:hint="eastAsia" w:ascii="华文中宋" w:hAnsi="华文中宋" w:eastAsia="华文中宋"/>
        <w:b/>
        <w:bCs/>
        <w:sz w:val="24"/>
        <w:szCs w:val="24"/>
      </w:rPr>
      <w:t xml:space="preserve">      </w:t>
    </w:r>
    <w:r>
      <w:rPr>
        <w:rFonts w:ascii="华文中宋" w:hAnsi="华文中宋" w:eastAsia="华文中宋"/>
        <w:b/>
        <w:sz w:val="24"/>
        <w:szCs w:val="24"/>
      </w:rPr>
      <w:drawing>
        <wp:inline distT="0" distB="0" distL="0" distR="0">
          <wp:extent cx="1513205" cy="282575"/>
          <wp:effectExtent l="0" t="0" r="0" b="0"/>
          <wp:docPr id="1" name="图片 1"/>
          <wp:cNvGraphicFramePr/>
          <a:graphic xmlns:a="http://schemas.openxmlformats.org/drawingml/2006/main">
            <a:graphicData uri="http://schemas.openxmlformats.org/drawingml/2006/picture">
              <pic:pic xmlns:pic="http://schemas.openxmlformats.org/drawingml/2006/picture">
                <pic:nvPicPr>
                  <pic:cNvPr id="1" name="图片 1"/>
                  <pic:cNvPicPr/>
                </pic:nvPicPr>
                <pic:blipFill>
                  <a:blip r:embed="rId1"/>
                  <a:stretch>
                    <a:fillRect/>
                  </a:stretch>
                </pic:blipFill>
                <pic:spPr>
                  <a:xfrm>
                    <a:off x="0" y="0"/>
                    <a:ext cx="1513281" cy="282663"/>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964E509"/>
    <w:multiLevelType w:val="singleLevel"/>
    <w:tmpl w:val="7964E509"/>
    <w:lvl w:ilvl="0" w:tentative="0">
      <w:start w:val="2"/>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bordersDoNotSurroundHeader w:val="0"/>
  <w:bordersDoNotSurroundFooter w:val="0"/>
  <w:documentProtection w:enforcement="0"/>
  <w:defaultTabStop w:val="420"/>
  <w:displayHorizontalDrawingGridEvery w:val="1"/>
  <w:displayVerticalDrawingGridEvery w:val="1"/>
  <w:noPunctuationKerning w:val="1"/>
  <w:characterSpacingControl w:val="doNotCompress"/>
  <w:compat>
    <w:balanceSingleByteDoubleByteWidth/>
    <w:ulTrailSpace/>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4E685D"/>
    <w:rsid w:val="08D82247"/>
    <w:rsid w:val="0B0F156B"/>
    <w:rsid w:val="0D953957"/>
    <w:rsid w:val="0E1279C2"/>
    <w:rsid w:val="11AF1D96"/>
    <w:rsid w:val="1C80176A"/>
    <w:rsid w:val="1E3A5EBF"/>
    <w:rsid w:val="1F316E09"/>
    <w:rsid w:val="1F400809"/>
    <w:rsid w:val="20900B38"/>
    <w:rsid w:val="22FD66AC"/>
    <w:rsid w:val="24C20CF3"/>
    <w:rsid w:val="362204F6"/>
    <w:rsid w:val="41421E35"/>
    <w:rsid w:val="4ADF18C1"/>
    <w:rsid w:val="4E006B9A"/>
    <w:rsid w:val="5A4C3D30"/>
    <w:rsid w:val="5B827826"/>
    <w:rsid w:val="5C547FAC"/>
    <w:rsid w:val="638660A4"/>
    <w:rsid w:val="63A63BCF"/>
    <w:rsid w:val="63EB105C"/>
    <w:rsid w:val="70B24972"/>
    <w:rsid w:val="76B9619A"/>
    <w:rsid w:val="7AE3072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qFormat="1"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qFormat="1" w:uiPriority="99" w:semiHidden="0" w:name="table of figures"/>
    <w:lsdException w:uiPriority="99" w:name="envelope address"/>
    <w:lsdException w:uiPriority="99" w:name="envelope return"/>
    <w:lsdException w:qFormat="1" w:uiPriority="99" w:semiHidden="0" w:name="footnote reference"/>
    <w:lsdException w:uiPriority="99" w:name="annotation reference"/>
    <w:lsdException w:uiPriority="99" w:name="line number"/>
    <w:lsdException w:uiPriority="99"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nhideWhenUsed="0" w:uiPriority="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hint="default" w:ascii="Times New Roman" w:hAnsi="Times New Roman" w:eastAsia="宋体" w:cs="Times New Roman"/>
      <w:sz w:val="21"/>
      <w:szCs w:val="22"/>
      <w:lang w:val="en-US" w:eastAsia="zh-CN" w:bidi="ar-SA"/>
    </w:rPr>
  </w:style>
  <w:style w:type="paragraph" w:styleId="2">
    <w:name w:val="heading 1"/>
    <w:basedOn w:val="1"/>
    <w:next w:val="1"/>
    <w:link w:val="44"/>
    <w:qFormat/>
    <w:uiPriority w:val="9"/>
    <w:pPr>
      <w:keepNext/>
      <w:keepLines/>
      <w:spacing w:before="480" w:after="200"/>
      <w:outlineLvl w:val="0"/>
    </w:pPr>
    <w:rPr>
      <w:rFonts w:ascii="Arial" w:hAnsi="Arial" w:eastAsia="Arial" w:cs="Arial"/>
      <w:sz w:val="40"/>
      <w:szCs w:val="40"/>
    </w:rPr>
  </w:style>
  <w:style w:type="paragraph" w:styleId="3">
    <w:name w:val="heading 2"/>
    <w:basedOn w:val="1"/>
    <w:next w:val="1"/>
    <w:link w:val="45"/>
    <w:unhideWhenUsed/>
    <w:qFormat/>
    <w:uiPriority w:val="9"/>
    <w:pPr>
      <w:keepNext/>
      <w:keepLines/>
      <w:spacing w:before="360" w:after="200"/>
      <w:outlineLvl w:val="1"/>
    </w:pPr>
    <w:rPr>
      <w:rFonts w:ascii="Arial" w:hAnsi="Arial" w:eastAsia="Arial" w:cs="Arial"/>
      <w:sz w:val="34"/>
    </w:rPr>
  </w:style>
  <w:style w:type="paragraph" w:styleId="4">
    <w:name w:val="heading 3"/>
    <w:basedOn w:val="1"/>
    <w:next w:val="1"/>
    <w:link w:val="46"/>
    <w:unhideWhenUsed/>
    <w:qFormat/>
    <w:uiPriority w:val="9"/>
    <w:pPr>
      <w:keepNext/>
      <w:keepLines/>
      <w:spacing w:before="320" w:after="200"/>
      <w:outlineLvl w:val="2"/>
    </w:pPr>
    <w:rPr>
      <w:rFonts w:ascii="Arial" w:hAnsi="Arial" w:eastAsia="Arial" w:cs="Arial"/>
      <w:sz w:val="30"/>
      <w:szCs w:val="30"/>
    </w:rPr>
  </w:style>
  <w:style w:type="paragraph" w:styleId="5">
    <w:name w:val="heading 4"/>
    <w:basedOn w:val="1"/>
    <w:next w:val="1"/>
    <w:link w:val="47"/>
    <w:unhideWhenUsed/>
    <w:qFormat/>
    <w:uiPriority w:val="9"/>
    <w:pPr>
      <w:keepNext/>
      <w:keepLines/>
      <w:spacing w:before="320" w:after="200"/>
      <w:outlineLvl w:val="3"/>
    </w:pPr>
    <w:rPr>
      <w:rFonts w:ascii="Arial" w:hAnsi="Arial" w:eastAsia="Arial" w:cs="Arial"/>
      <w:b/>
      <w:bCs/>
      <w:sz w:val="26"/>
      <w:szCs w:val="26"/>
    </w:rPr>
  </w:style>
  <w:style w:type="paragraph" w:styleId="6">
    <w:name w:val="heading 5"/>
    <w:basedOn w:val="1"/>
    <w:next w:val="1"/>
    <w:link w:val="48"/>
    <w:unhideWhenUsed/>
    <w:qFormat/>
    <w:uiPriority w:val="9"/>
    <w:pPr>
      <w:keepNext/>
      <w:keepLines/>
      <w:spacing w:before="320" w:after="200"/>
      <w:outlineLvl w:val="4"/>
    </w:pPr>
    <w:rPr>
      <w:rFonts w:ascii="Arial" w:hAnsi="Arial" w:eastAsia="Arial" w:cs="Arial"/>
      <w:b/>
      <w:bCs/>
      <w:sz w:val="24"/>
      <w:szCs w:val="24"/>
    </w:rPr>
  </w:style>
  <w:style w:type="paragraph" w:styleId="7">
    <w:name w:val="heading 6"/>
    <w:basedOn w:val="1"/>
    <w:next w:val="1"/>
    <w:link w:val="49"/>
    <w:unhideWhenUsed/>
    <w:qFormat/>
    <w:uiPriority w:val="9"/>
    <w:pPr>
      <w:keepNext/>
      <w:keepLines/>
      <w:spacing w:before="320" w:after="200"/>
      <w:outlineLvl w:val="5"/>
    </w:pPr>
    <w:rPr>
      <w:rFonts w:ascii="Arial" w:hAnsi="Arial" w:eastAsia="Arial" w:cs="Arial"/>
      <w:b/>
      <w:bCs/>
      <w:sz w:val="22"/>
      <w:szCs w:val="22"/>
    </w:rPr>
  </w:style>
  <w:style w:type="paragraph" w:styleId="8">
    <w:name w:val="heading 7"/>
    <w:basedOn w:val="1"/>
    <w:next w:val="1"/>
    <w:link w:val="50"/>
    <w:unhideWhenUsed/>
    <w:qFormat/>
    <w:uiPriority w:val="9"/>
    <w:pPr>
      <w:keepNext/>
      <w:keepLines/>
      <w:spacing w:before="320" w:after="200"/>
      <w:outlineLvl w:val="6"/>
    </w:pPr>
    <w:rPr>
      <w:rFonts w:ascii="Arial" w:hAnsi="Arial" w:eastAsia="Arial" w:cs="Arial"/>
      <w:b/>
      <w:bCs/>
      <w:i/>
      <w:iCs/>
      <w:sz w:val="22"/>
      <w:szCs w:val="22"/>
    </w:rPr>
  </w:style>
  <w:style w:type="paragraph" w:styleId="9">
    <w:name w:val="heading 8"/>
    <w:basedOn w:val="1"/>
    <w:next w:val="1"/>
    <w:link w:val="51"/>
    <w:unhideWhenUsed/>
    <w:qFormat/>
    <w:uiPriority w:val="9"/>
    <w:pPr>
      <w:keepNext/>
      <w:keepLines/>
      <w:spacing w:before="320" w:after="200"/>
      <w:outlineLvl w:val="7"/>
    </w:pPr>
    <w:rPr>
      <w:rFonts w:ascii="Arial" w:hAnsi="Arial" w:eastAsia="Arial" w:cs="Arial"/>
      <w:i/>
      <w:iCs/>
      <w:sz w:val="22"/>
      <w:szCs w:val="22"/>
    </w:rPr>
  </w:style>
  <w:style w:type="paragraph" w:styleId="10">
    <w:name w:val="heading 9"/>
    <w:basedOn w:val="1"/>
    <w:next w:val="1"/>
    <w:link w:val="52"/>
    <w:unhideWhenUsed/>
    <w:qFormat/>
    <w:uiPriority w:val="9"/>
    <w:pPr>
      <w:keepNext/>
      <w:keepLines/>
      <w:spacing w:before="320" w:after="200"/>
      <w:outlineLvl w:val="8"/>
    </w:pPr>
    <w:rPr>
      <w:rFonts w:ascii="Arial" w:hAnsi="Arial" w:eastAsia="Arial" w:cs="Arial"/>
      <w:i/>
      <w:iCs/>
      <w:sz w:val="21"/>
      <w:szCs w:val="21"/>
    </w:rPr>
  </w:style>
  <w:style w:type="character" w:default="1" w:styleId="35">
    <w:name w:val="Default Paragraph Font"/>
    <w:semiHidden/>
    <w:qFormat/>
    <w:uiPriority w:val="0"/>
  </w:style>
  <w:style w:type="table" w:default="1" w:styleId="33">
    <w:name w:val="Normal Table"/>
    <w:semiHidden/>
    <w:qFormat/>
    <w:uiPriority w:val="0"/>
    <w:tblPr>
      <w:tblCellMar>
        <w:top w:w="0" w:type="dxa"/>
        <w:left w:w="108" w:type="dxa"/>
        <w:bottom w:w="0" w:type="dxa"/>
        <w:right w:w="108" w:type="dxa"/>
      </w:tblCellMar>
    </w:tblPr>
  </w:style>
  <w:style w:type="paragraph" w:styleId="11">
    <w:name w:val="toc 7"/>
    <w:basedOn w:val="1"/>
    <w:next w:val="1"/>
    <w:unhideWhenUsed/>
    <w:qFormat/>
    <w:uiPriority w:val="39"/>
    <w:pPr>
      <w:spacing w:after="57"/>
      <w:ind w:left="1701" w:right="0" w:firstLine="0"/>
    </w:pPr>
  </w:style>
  <w:style w:type="paragraph" w:styleId="12">
    <w:name w:val="Normal Indent"/>
    <w:basedOn w:val="1"/>
    <w:next w:val="1"/>
    <w:qFormat/>
    <w:uiPriority w:val="0"/>
    <w:pPr>
      <w:widowControl w:val="0"/>
      <w:ind w:firstLine="420"/>
      <w:jc w:val="left"/>
    </w:pPr>
    <w:rPr>
      <w:rFonts w:hint="default" w:ascii="Times New Roman" w:hAnsi="Times New Roman" w:eastAsia="楷体_GB2312" w:cs="Times New Roman"/>
      <w:sz w:val="24"/>
      <w:lang w:val="en-US" w:eastAsia="zh-CN" w:bidi="ar-SA"/>
    </w:rPr>
  </w:style>
  <w:style w:type="paragraph" w:styleId="13">
    <w:name w:val="caption"/>
    <w:basedOn w:val="1"/>
    <w:next w:val="1"/>
    <w:semiHidden/>
    <w:unhideWhenUsed/>
    <w:qFormat/>
    <w:uiPriority w:val="35"/>
    <w:pPr>
      <w:spacing w:line="276" w:lineRule="auto"/>
    </w:pPr>
    <w:rPr>
      <w:b/>
      <w:bCs/>
      <w:color w:val="4874CB" w:themeColor="accent1"/>
      <w:sz w:val="18"/>
      <w:szCs w:val="18"/>
      <w14:textFill>
        <w14:solidFill>
          <w14:schemeClr w14:val="accent1"/>
        </w14:solidFill>
      </w14:textFill>
    </w:rPr>
  </w:style>
  <w:style w:type="paragraph" w:styleId="14">
    <w:name w:val="annotation text"/>
    <w:basedOn w:val="1"/>
    <w:qFormat/>
    <w:uiPriority w:val="0"/>
    <w:pPr>
      <w:jc w:val="left"/>
    </w:pPr>
  </w:style>
  <w:style w:type="paragraph" w:styleId="15">
    <w:name w:val="Body Text"/>
    <w:basedOn w:val="1"/>
    <w:next w:val="12"/>
    <w:qFormat/>
    <w:uiPriority w:val="0"/>
    <w:pPr>
      <w:widowControl w:val="0"/>
      <w:spacing w:line="400" w:lineRule="exact"/>
      <w:jc w:val="both"/>
    </w:pPr>
    <w:rPr>
      <w:rFonts w:ascii="楷体_GB2312" w:hAnsi="Times New Roman" w:eastAsia="楷体_GB2312" w:cs="Times New Roman"/>
      <w:sz w:val="28"/>
      <w:lang w:val="en-US" w:eastAsia="zh-CN" w:bidi="ar-SA"/>
    </w:rPr>
  </w:style>
  <w:style w:type="paragraph" w:styleId="16">
    <w:name w:val="Body Text Indent"/>
    <w:basedOn w:val="1"/>
    <w:next w:val="1"/>
    <w:qFormat/>
    <w:uiPriority w:val="0"/>
    <w:pPr>
      <w:spacing w:line="560" w:lineRule="exact"/>
      <w:ind w:firstLine="560"/>
    </w:pPr>
    <w:rPr>
      <w:rFonts w:ascii="宋体" w:hAnsi="宋体"/>
    </w:rPr>
  </w:style>
  <w:style w:type="paragraph" w:styleId="17">
    <w:name w:val="toc 5"/>
    <w:basedOn w:val="1"/>
    <w:next w:val="1"/>
    <w:unhideWhenUsed/>
    <w:qFormat/>
    <w:uiPriority w:val="39"/>
    <w:pPr>
      <w:spacing w:after="57"/>
      <w:ind w:left="1134" w:right="0" w:firstLine="0"/>
    </w:pPr>
  </w:style>
  <w:style w:type="paragraph" w:styleId="18">
    <w:name w:val="toc 3"/>
    <w:basedOn w:val="1"/>
    <w:next w:val="1"/>
    <w:unhideWhenUsed/>
    <w:qFormat/>
    <w:uiPriority w:val="39"/>
    <w:pPr>
      <w:spacing w:after="57"/>
      <w:ind w:left="567" w:right="0" w:firstLine="0"/>
    </w:pPr>
  </w:style>
  <w:style w:type="paragraph" w:styleId="19">
    <w:name w:val="toc 8"/>
    <w:basedOn w:val="1"/>
    <w:next w:val="1"/>
    <w:unhideWhenUsed/>
    <w:qFormat/>
    <w:uiPriority w:val="39"/>
    <w:pPr>
      <w:spacing w:after="57"/>
      <w:ind w:left="1984" w:right="0" w:firstLine="0"/>
    </w:pPr>
  </w:style>
  <w:style w:type="paragraph" w:styleId="20">
    <w:name w:val="endnote text"/>
    <w:basedOn w:val="1"/>
    <w:link w:val="190"/>
    <w:semiHidden/>
    <w:unhideWhenUsed/>
    <w:qFormat/>
    <w:uiPriority w:val="99"/>
    <w:pPr>
      <w:spacing w:after="0" w:line="240" w:lineRule="auto"/>
    </w:pPr>
    <w:rPr>
      <w:sz w:val="20"/>
    </w:rPr>
  </w:style>
  <w:style w:type="paragraph" w:styleId="21">
    <w:name w:val="footer"/>
    <w:unhideWhenUsed/>
    <w:qFormat/>
    <w:uiPriority w:val="99"/>
    <w:pPr>
      <w:tabs>
        <w:tab w:val="center" w:pos="7143"/>
        <w:tab w:val="right" w:pos="14287"/>
      </w:tabs>
    </w:pPr>
    <w:rPr>
      <w:rFonts w:hint="default" w:ascii="Times New Roman" w:hAnsi="Times New Roman" w:eastAsia="宋体" w:cs="Times New Roman"/>
      <w:lang w:val="en-US" w:eastAsia="zh-CN" w:bidi="ar-SA"/>
    </w:rPr>
  </w:style>
  <w:style w:type="paragraph" w:styleId="22">
    <w:name w:val="header"/>
    <w:basedOn w:val="1"/>
    <w:link w:val="61"/>
    <w:unhideWhenUsed/>
    <w:qFormat/>
    <w:uiPriority w:val="99"/>
    <w:pPr>
      <w:tabs>
        <w:tab w:val="center" w:pos="7143"/>
        <w:tab w:val="right" w:pos="14287"/>
      </w:tabs>
      <w:spacing w:after="0" w:line="240" w:lineRule="auto"/>
    </w:pPr>
  </w:style>
  <w:style w:type="paragraph" w:styleId="23">
    <w:name w:val="toc 1"/>
    <w:basedOn w:val="1"/>
    <w:next w:val="1"/>
    <w:unhideWhenUsed/>
    <w:qFormat/>
    <w:uiPriority w:val="39"/>
    <w:pPr>
      <w:spacing w:after="57"/>
      <w:ind w:left="0" w:right="0" w:firstLine="0"/>
    </w:pPr>
  </w:style>
  <w:style w:type="paragraph" w:styleId="24">
    <w:name w:val="toc 4"/>
    <w:basedOn w:val="1"/>
    <w:next w:val="1"/>
    <w:unhideWhenUsed/>
    <w:qFormat/>
    <w:uiPriority w:val="39"/>
    <w:pPr>
      <w:spacing w:after="57"/>
      <w:ind w:left="850" w:right="0" w:firstLine="0"/>
    </w:pPr>
  </w:style>
  <w:style w:type="paragraph" w:styleId="25">
    <w:name w:val="Subtitle"/>
    <w:basedOn w:val="1"/>
    <w:next w:val="1"/>
    <w:link w:val="56"/>
    <w:qFormat/>
    <w:uiPriority w:val="11"/>
    <w:pPr>
      <w:spacing w:before="200" w:after="200"/>
    </w:pPr>
    <w:rPr>
      <w:sz w:val="24"/>
      <w:szCs w:val="24"/>
    </w:rPr>
  </w:style>
  <w:style w:type="paragraph" w:styleId="26">
    <w:name w:val="footnote text"/>
    <w:basedOn w:val="1"/>
    <w:link w:val="189"/>
    <w:semiHidden/>
    <w:unhideWhenUsed/>
    <w:qFormat/>
    <w:uiPriority w:val="99"/>
    <w:pPr>
      <w:spacing w:after="40" w:line="240" w:lineRule="auto"/>
    </w:pPr>
    <w:rPr>
      <w:sz w:val="18"/>
    </w:rPr>
  </w:style>
  <w:style w:type="paragraph" w:styleId="27">
    <w:name w:val="toc 6"/>
    <w:basedOn w:val="1"/>
    <w:next w:val="1"/>
    <w:unhideWhenUsed/>
    <w:qFormat/>
    <w:uiPriority w:val="39"/>
    <w:pPr>
      <w:spacing w:after="57"/>
      <w:ind w:left="1417" w:right="0" w:firstLine="0"/>
    </w:pPr>
  </w:style>
  <w:style w:type="paragraph" w:styleId="28">
    <w:name w:val="table of figures"/>
    <w:basedOn w:val="1"/>
    <w:next w:val="1"/>
    <w:unhideWhenUsed/>
    <w:qFormat/>
    <w:uiPriority w:val="99"/>
    <w:pPr>
      <w:spacing w:after="0" w:afterAutospacing="0"/>
    </w:pPr>
  </w:style>
  <w:style w:type="paragraph" w:styleId="29">
    <w:name w:val="toc 2"/>
    <w:basedOn w:val="1"/>
    <w:next w:val="1"/>
    <w:unhideWhenUsed/>
    <w:qFormat/>
    <w:uiPriority w:val="39"/>
    <w:pPr>
      <w:spacing w:after="57"/>
      <w:ind w:left="283" w:right="0" w:firstLine="0"/>
    </w:pPr>
  </w:style>
  <w:style w:type="paragraph" w:styleId="30">
    <w:name w:val="toc 9"/>
    <w:basedOn w:val="1"/>
    <w:next w:val="1"/>
    <w:unhideWhenUsed/>
    <w:qFormat/>
    <w:uiPriority w:val="39"/>
    <w:pPr>
      <w:spacing w:after="57"/>
      <w:ind w:left="2268" w:right="0" w:firstLine="0"/>
    </w:pPr>
  </w:style>
  <w:style w:type="paragraph" w:styleId="31">
    <w:name w:val="Title"/>
    <w:basedOn w:val="1"/>
    <w:next w:val="1"/>
    <w:link w:val="55"/>
    <w:qFormat/>
    <w:uiPriority w:val="10"/>
    <w:pPr>
      <w:spacing w:before="300" w:after="200"/>
      <w:contextualSpacing/>
    </w:pPr>
    <w:rPr>
      <w:sz w:val="48"/>
      <w:szCs w:val="48"/>
    </w:rPr>
  </w:style>
  <w:style w:type="paragraph" w:styleId="32">
    <w:name w:val="Body Text First Indent 2"/>
    <w:basedOn w:val="16"/>
    <w:next w:val="1"/>
    <w:unhideWhenUsed/>
    <w:qFormat/>
    <w:uiPriority w:val="99"/>
    <w:pPr>
      <w:ind w:firstLine="420"/>
    </w:pPr>
  </w:style>
  <w:style w:type="table" w:styleId="34">
    <w:name w:val="Table Grid"/>
    <w:basedOn w:val="33"/>
    <w:qFormat/>
    <w:uiPriority w:val="0"/>
    <w:pPr>
      <w:widowControl w:val="0"/>
      <w:jc w:val="both"/>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36">
    <w:name w:val="Strong"/>
    <w:basedOn w:val="35"/>
    <w:qFormat/>
    <w:uiPriority w:val="0"/>
    <w:rPr>
      <w:b/>
    </w:rPr>
  </w:style>
  <w:style w:type="character" w:styleId="37">
    <w:name w:val="endnote reference"/>
    <w:basedOn w:val="35"/>
    <w:semiHidden/>
    <w:unhideWhenUsed/>
    <w:qFormat/>
    <w:uiPriority w:val="99"/>
    <w:rPr>
      <w:vertAlign w:val="superscript"/>
    </w:rPr>
  </w:style>
  <w:style w:type="character" w:styleId="38">
    <w:name w:val="Hyperlink"/>
    <w:unhideWhenUsed/>
    <w:qFormat/>
    <w:uiPriority w:val="99"/>
    <w:rPr>
      <w:color w:val="0026E5" w:themeColor="hyperlink"/>
      <w:u w:val="single"/>
      <w14:textFill>
        <w14:solidFill>
          <w14:schemeClr w14:val="hlink"/>
        </w14:solidFill>
      </w14:textFill>
    </w:rPr>
  </w:style>
  <w:style w:type="character" w:styleId="39">
    <w:name w:val="footnote reference"/>
    <w:basedOn w:val="35"/>
    <w:unhideWhenUsed/>
    <w:qFormat/>
    <w:uiPriority w:val="99"/>
    <w:rPr>
      <w:vertAlign w:val="superscript"/>
    </w:rPr>
  </w:style>
  <w:style w:type="paragraph" w:customStyle="1" w:styleId="40">
    <w:name w:val="首行缩进"/>
    <w:basedOn w:val="1"/>
    <w:qFormat/>
    <w:uiPriority w:val="0"/>
    <w:pPr>
      <w:ind w:firstLine="480"/>
    </w:pPr>
    <w:rPr>
      <w:lang w:val="zh-CN"/>
    </w:rPr>
  </w:style>
  <w:style w:type="paragraph" w:customStyle="1" w:styleId="41">
    <w:name w:val="正文文本11"/>
    <w:basedOn w:val="1"/>
    <w:unhideWhenUsed/>
    <w:qFormat/>
    <w:uiPriority w:val="0"/>
    <w:pPr>
      <w:spacing w:after="120"/>
    </w:pPr>
    <w:rPr>
      <w:sz w:val="20"/>
    </w:rPr>
  </w:style>
  <w:style w:type="paragraph" w:customStyle="1" w:styleId="42">
    <w:name w:val="页脚1"/>
    <w:basedOn w:val="1"/>
    <w:next w:val="43"/>
    <w:unhideWhenUsed/>
    <w:qFormat/>
    <w:uiPriority w:val="99"/>
    <w:pPr>
      <w:tabs>
        <w:tab w:val="center" w:pos="4153"/>
        <w:tab w:val="right" w:pos="8306"/>
      </w:tabs>
      <w:jc w:val="left"/>
    </w:pPr>
    <w:rPr>
      <w:sz w:val="18"/>
      <w:szCs w:val="18"/>
    </w:rPr>
  </w:style>
  <w:style w:type="paragraph" w:customStyle="1" w:styleId="43">
    <w:name w:val="TOC Heading1"/>
    <w:next w:val="1"/>
    <w:qFormat/>
    <w:uiPriority w:val="0"/>
    <w:rPr>
      <w:rFonts w:hint="default" w:ascii="Times New Roman" w:hAnsi="Times New Roman" w:eastAsia="宋体" w:cs="Times New Roman"/>
      <w:sz w:val="32"/>
      <w:lang w:val="en-US" w:eastAsia="zh-CN" w:bidi="ar-SA"/>
    </w:rPr>
  </w:style>
  <w:style w:type="character" w:customStyle="1" w:styleId="44">
    <w:name w:val="Heading 1 Char"/>
    <w:basedOn w:val="35"/>
    <w:link w:val="2"/>
    <w:qFormat/>
    <w:uiPriority w:val="9"/>
    <w:rPr>
      <w:rFonts w:ascii="Arial" w:hAnsi="Arial" w:eastAsia="Arial" w:cs="Arial"/>
      <w:sz w:val="40"/>
      <w:szCs w:val="40"/>
    </w:rPr>
  </w:style>
  <w:style w:type="character" w:customStyle="1" w:styleId="45">
    <w:name w:val="Heading 2 Char"/>
    <w:basedOn w:val="35"/>
    <w:link w:val="3"/>
    <w:qFormat/>
    <w:uiPriority w:val="9"/>
    <w:rPr>
      <w:rFonts w:ascii="Arial" w:hAnsi="Arial" w:eastAsia="Arial" w:cs="Arial"/>
      <w:sz w:val="34"/>
    </w:rPr>
  </w:style>
  <w:style w:type="character" w:customStyle="1" w:styleId="46">
    <w:name w:val="Heading 3 Char"/>
    <w:basedOn w:val="35"/>
    <w:link w:val="4"/>
    <w:qFormat/>
    <w:uiPriority w:val="9"/>
    <w:rPr>
      <w:rFonts w:ascii="Arial" w:hAnsi="Arial" w:eastAsia="Arial" w:cs="Arial"/>
      <w:sz w:val="30"/>
      <w:szCs w:val="30"/>
    </w:rPr>
  </w:style>
  <w:style w:type="character" w:customStyle="1" w:styleId="47">
    <w:name w:val="Heading 4 Char"/>
    <w:basedOn w:val="35"/>
    <w:link w:val="5"/>
    <w:qFormat/>
    <w:uiPriority w:val="9"/>
    <w:rPr>
      <w:rFonts w:ascii="Arial" w:hAnsi="Arial" w:eastAsia="Arial" w:cs="Arial"/>
      <w:b/>
      <w:bCs/>
      <w:sz w:val="26"/>
      <w:szCs w:val="26"/>
    </w:rPr>
  </w:style>
  <w:style w:type="character" w:customStyle="1" w:styleId="48">
    <w:name w:val="Heading 5 Char"/>
    <w:basedOn w:val="35"/>
    <w:link w:val="6"/>
    <w:qFormat/>
    <w:uiPriority w:val="9"/>
    <w:rPr>
      <w:rFonts w:ascii="Arial" w:hAnsi="Arial" w:eastAsia="Arial" w:cs="Arial"/>
      <w:b/>
      <w:bCs/>
      <w:sz w:val="24"/>
      <w:szCs w:val="24"/>
    </w:rPr>
  </w:style>
  <w:style w:type="character" w:customStyle="1" w:styleId="49">
    <w:name w:val="Heading 6 Char"/>
    <w:basedOn w:val="35"/>
    <w:link w:val="7"/>
    <w:qFormat/>
    <w:uiPriority w:val="9"/>
    <w:rPr>
      <w:rFonts w:ascii="Arial" w:hAnsi="Arial" w:eastAsia="Arial" w:cs="Arial"/>
      <w:b/>
      <w:bCs/>
      <w:sz w:val="22"/>
      <w:szCs w:val="22"/>
    </w:rPr>
  </w:style>
  <w:style w:type="character" w:customStyle="1" w:styleId="50">
    <w:name w:val="Heading 7 Char"/>
    <w:basedOn w:val="35"/>
    <w:link w:val="8"/>
    <w:qFormat/>
    <w:uiPriority w:val="9"/>
    <w:rPr>
      <w:rFonts w:ascii="Arial" w:hAnsi="Arial" w:eastAsia="Arial" w:cs="Arial"/>
      <w:b/>
      <w:bCs/>
      <w:i/>
      <w:iCs/>
      <w:sz w:val="22"/>
      <w:szCs w:val="22"/>
    </w:rPr>
  </w:style>
  <w:style w:type="character" w:customStyle="1" w:styleId="51">
    <w:name w:val="Heading 8 Char"/>
    <w:basedOn w:val="35"/>
    <w:link w:val="9"/>
    <w:qFormat/>
    <w:uiPriority w:val="9"/>
    <w:rPr>
      <w:rFonts w:ascii="Arial" w:hAnsi="Arial" w:eastAsia="Arial" w:cs="Arial"/>
      <w:i/>
      <w:iCs/>
      <w:sz w:val="22"/>
      <w:szCs w:val="22"/>
    </w:rPr>
  </w:style>
  <w:style w:type="character" w:customStyle="1" w:styleId="52">
    <w:name w:val="Heading 9 Char"/>
    <w:basedOn w:val="35"/>
    <w:link w:val="10"/>
    <w:qFormat/>
    <w:uiPriority w:val="9"/>
    <w:rPr>
      <w:rFonts w:ascii="Arial" w:hAnsi="Arial" w:eastAsia="Arial" w:cs="Arial"/>
      <w:i/>
      <w:iCs/>
      <w:sz w:val="21"/>
      <w:szCs w:val="21"/>
    </w:rPr>
  </w:style>
  <w:style w:type="paragraph" w:styleId="53">
    <w:name w:val="List Paragraph"/>
    <w:basedOn w:val="1"/>
    <w:qFormat/>
    <w:uiPriority w:val="34"/>
    <w:pPr>
      <w:ind w:left="720"/>
      <w:contextualSpacing/>
    </w:pPr>
  </w:style>
  <w:style w:type="paragraph" w:styleId="54">
    <w:name w:val="No Spacing"/>
    <w:qFormat/>
    <w:uiPriority w:val="1"/>
    <w:pPr>
      <w:spacing w:before="0" w:after="0" w:line="240" w:lineRule="auto"/>
    </w:pPr>
    <w:rPr>
      <w:rFonts w:hint="default" w:asciiTheme="minorHAnsi" w:hAnsiTheme="minorHAnsi" w:eastAsiaTheme="minorEastAsia" w:cstheme="minorBidi"/>
    </w:rPr>
  </w:style>
  <w:style w:type="character" w:customStyle="1" w:styleId="55">
    <w:name w:val="Title Char"/>
    <w:basedOn w:val="35"/>
    <w:link w:val="31"/>
    <w:qFormat/>
    <w:uiPriority w:val="10"/>
    <w:rPr>
      <w:sz w:val="48"/>
      <w:szCs w:val="48"/>
    </w:rPr>
  </w:style>
  <w:style w:type="character" w:customStyle="1" w:styleId="56">
    <w:name w:val="Subtitle Char"/>
    <w:basedOn w:val="35"/>
    <w:link w:val="25"/>
    <w:qFormat/>
    <w:uiPriority w:val="11"/>
    <w:rPr>
      <w:sz w:val="24"/>
      <w:szCs w:val="24"/>
    </w:rPr>
  </w:style>
  <w:style w:type="paragraph" w:styleId="57">
    <w:name w:val="Quote"/>
    <w:basedOn w:val="1"/>
    <w:next w:val="1"/>
    <w:link w:val="58"/>
    <w:qFormat/>
    <w:uiPriority w:val="29"/>
    <w:pPr>
      <w:ind w:left="720" w:right="720"/>
    </w:pPr>
    <w:rPr>
      <w:i/>
    </w:rPr>
  </w:style>
  <w:style w:type="character" w:customStyle="1" w:styleId="58">
    <w:name w:val="Quote Char"/>
    <w:link w:val="57"/>
    <w:qFormat/>
    <w:uiPriority w:val="29"/>
    <w:rPr>
      <w:i/>
    </w:rPr>
  </w:style>
  <w:style w:type="paragraph" w:styleId="59">
    <w:name w:val="Intense Quote"/>
    <w:basedOn w:val="1"/>
    <w:next w:val="1"/>
    <w:link w:val="60"/>
    <w:qFormat/>
    <w:uiPriority w:val="30"/>
    <w:pPr>
      <w:pBdr>
        <w:top w:val="single" w:color="FFFFFF" w:sz="4" w:space="5"/>
        <w:left w:val="single" w:color="FFFFFF" w:sz="4" w:space="10"/>
        <w:bottom w:val="single" w:color="FFFFFF" w:sz="4" w:space="5"/>
        <w:right w:val="single" w:color="FFFFFF" w:sz="4" w:space="10"/>
      </w:pBdr>
      <w:shd w:val="clear" w:color="auto" w:fill="F2F2F2"/>
      <w:ind w:left="720" w:right="720"/>
      <w:contextualSpacing w:val="0"/>
    </w:pPr>
    <w:rPr>
      <w:i/>
    </w:rPr>
  </w:style>
  <w:style w:type="character" w:customStyle="1" w:styleId="60">
    <w:name w:val="Intense Quote Char"/>
    <w:link w:val="59"/>
    <w:qFormat/>
    <w:uiPriority w:val="30"/>
    <w:rPr>
      <w:i/>
    </w:rPr>
  </w:style>
  <w:style w:type="character" w:customStyle="1" w:styleId="61">
    <w:name w:val="Header Char"/>
    <w:basedOn w:val="35"/>
    <w:link w:val="22"/>
    <w:qFormat/>
    <w:uiPriority w:val="99"/>
  </w:style>
  <w:style w:type="character" w:customStyle="1" w:styleId="62">
    <w:name w:val="Footer Char"/>
    <w:basedOn w:val="35"/>
    <w:qFormat/>
    <w:uiPriority w:val="99"/>
  </w:style>
  <w:style w:type="character" w:customStyle="1" w:styleId="63">
    <w:name w:val="Caption Char"/>
    <w:qFormat/>
    <w:uiPriority w:val="99"/>
  </w:style>
  <w:style w:type="table" w:customStyle="1" w:styleId="64">
    <w:name w:val="Table Grid Light"/>
    <w:basedOn w:val="33"/>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style>
  <w:style w:type="table" w:customStyle="1" w:styleId="65">
    <w:name w:val="Plain Table 1"/>
    <w:basedOn w:val="33"/>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F1F1F1" w:themeColor="text1" w:themeTint="0D" w:fill="F1F1F1" w:themeFill="text1" w:themeFillTint="0D"/>
      </w:tcPr>
    </w:tblStylePr>
    <w:tblStylePr w:type="band1Horz">
      <w:tcPr>
        <w:shd w:val="clear" w:color="F1F1F1" w:themeColor="text1" w:themeTint="0D" w:fill="F1F1F1" w:themeFill="text1" w:themeFillTint="0D"/>
      </w:tcPr>
    </w:tblStylePr>
  </w:style>
  <w:style w:type="table" w:customStyle="1" w:styleId="66">
    <w:name w:val="Plain Table 2"/>
    <w:basedOn w:val="33"/>
    <w:qFormat/>
    <w:uiPriority w:val="59"/>
    <w:pPr>
      <w:spacing w:after="0" w:line="240" w:lineRule="auto"/>
    </w:pPr>
    <w:tblPr>
      <w:tblBorders>
        <w:top w:val="single" w:color="000000" w:themeColor="text1" w:sz="4" w:space="0"/>
        <w:left w:val="none" w:color="000000" w:themeColor="text1" w:sz="4" w:space="0"/>
        <w:bottom w:val="single" w:color="000000" w:themeColor="text1" w:sz="4" w:space="0"/>
        <w:right w:val="none" w:color="000000" w:themeColor="text1" w:sz="4" w:space="0"/>
      </w:tblBorders>
      <w:tblCellMar>
        <w:top w:w="0" w:type="dxa"/>
        <w:left w:w="108" w:type="dxa"/>
        <w:bottom w:w="0" w:type="dxa"/>
        <w:right w:w="108" w:type="dxa"/>
      </w:tblCellMar>
    </w:tbl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band1Horz">
      <w:tcPr>
        <w:tcBorders>
          <w:top w:val="single" w:color="000000" w:themeColor="text1" w:sz="4" w:space="0"/>
          <w:bottom w:val="single" w:color="000000" w:themeColor="text1" w:sz="4" w:space="0"/>
        </w:tcBorders>
      </w:tcPr>
    </w:tblStylePr>
  </w:style>
  <w:style w:type="table" w:customStyle="1" w:styleId="67">
    <w:name w:val="Plain Table 3"/>
    <w:basedOn w:val="33"/>
    <w:qFormat/>
    <w:uiPriority w:val="99"/>
    <w:pPr>
      <w:spacing w:after="0" w:line="240" w:lineRule="auto"/>
    </w:pPr>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68">
    <w:name w:val="Plain Table 4"/>
    <w:basedOn w:val="33"/>
    <w:qFormat/>
    <w:uiPriority w:val="99"/>
    <w:pPr>
      <w:spacing w:after="0" w:line="240" w:lineRule="auto"/>
    </w:p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69">
    <w:name w:val="Plain Table 5"/>
    <w:basedOn w:val="33"/>
    <w:qFormat/>
    <w:uiPriority w:val="99"/>
    <w:pPr>
      <w:spacing w:after="0" w:line="240" w:lineRule="auto"/>
    </w:pPr>
    <w:tblStylePr w:type="firstRow">
      <w:rPr>
        <w:i/>
        <w:color w:val="404040"/>
      </w:rPr>
      <w:tcPr>
        <w:tcBorders>
          <w:left w:val="nil"/>
          <w:bottom w:val="single" w:color="404040" w:sz="4" w:space="0"/>
          <w:right w:val="nil"/>
        </w:tcBorders>
        <w:shd w:val="clear" w:color="FFFFFF" w:fill="auto"/>
      </w:tcPr>
    </w:tblStylePr>
    <w:tblStylePr w:type="lastRow">
      <w:rPr>
        <w:i/>
        <w:color w:val="404040"/>
      </w:rPr>
      <w:tcPr>
        <w:tcBorders>
          <w:top w:val="single" w:color="404040" w:sz="4" w:space="0"/>
          <w:left w:val="nil"/>
          <w:right w:val="nil"/>
        </w:tcBorders>
        <w:shd w:val="clear" w:color="FFFFFF" w:fill="auto"/>
      </w:tcPr>
    </w:tblStylePr>
    <w:tblStylePr w:type="firstCol">
      <w:pPr>
        <w:jc w:val="right"/>
      </w:pPr>
      <w:rPr>
        <w:i/>
        <w:color w:val="404040"/>
      </w:rPr>
      <w:tcPr>
        <w:tcBorders>
          <w:right w:val="single" w:color="404040" w:sz="4" w:space="0"/>
        </w:tcBorders>
        <w:shd w:val="clear" w:color="FFFFFF" w:fill="auto"/>
      </w:tcPr>
    </w:tblStylePr>
    <w:tblStylePr w:type="lastCol">
      <w:rPr>
        <w:i/>
        <w:color w:val="404040"/>
      </w:rPr>
      <w:tcPr>
        <w:tcBorders>
          <w:left w:val="single" w:color="404040" w:sz="4" w:space="0"/>
        </w:tcBorders>
        <w:shd w:val="clear" w:color="FFFFFF" w:fill="auto"/>
      </w:tc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70">
    <w:name w:val="Grid Table 1 Light"/>
    <w:basedOn w:val="33"/>
    <w:qFormat/>
    <w:uiPriority w:val="99"/>
    <w:pPr>
      <w:spacing w:after="0" w:line="240" w:lineRule="auto"/>
    </w:pPr>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Pr>
    <w:tblStylePr w:type="firstRow">
      <w:rPr>
        <w:b/>
        <w:color w:val="404040"/>
      </w:rPr>
      <w:tcPr>
        <w:tcBorders>
          <w:bottom w:val="single" w:color="696969" w:themeColor="tex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style>
  <w:style w:type="table" w:customStyle="1" w:styleId="71">
    <w:name w:val="Grid Table 1 Light - Accent 1"/>
    <w:basedOn w:val="33"/>
    <w:qFormat/>
    <w:uiPriority w:val="99"/>
    <w:pPr>
      <w:spacing w:after="0" w:line="240" w:lineRule="auto"/>
    </w:pPr>
    <w:tblPr>
      <w:tblBorders>
        <w:top w:val="single" w:color="B5C6E9" w:themeColor="accent1" w:themeTint="67" w:sz="4" w:space="0"/>
        <w:left w:val="single" w:color="B5C6E9" w:themeColor="accent1" w:themeTint="67" w:sz="4" w:space="0"/>
        <w:bottom w:val="single" w:color="B5C6E9" w:themeColor="accent1" w:themeTint="67" w:sz="4" w:space="0"/>
        <w:right w:val="single" w:color="B5C6E9" w:themeColor="accent1" w:themeTint="67" w:sz="4" w:space="0"/>
        <w:insideH w:val="single" w:color="B5C6E9" w:themeColor="accent1" w:themeTint="67" w:sz="4" w:space="0"/>
        <w:insideV w:val="single" w:color="B5C6E9" w:themeColor="accent1" w:themeTint="67" w:sz="4" w:space="0"/>
      </w:tblBorders>
    </w:tblPr>
    <w:tblStylePr w:type="firstRow">
      <w:rPr>
        <w:b/>
        <w:color w:val="404040"/>
      </w:rPr>
      <w:tcPr>
        <w:tcBorders>
          <w:bottom w:val="single" w:color="94ADE0" w:themeColor="accen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5C6E9" w:themeColor="accent1" w:themeTint="67" w:sz="4" w:space="0"/>
          <w:left w:val="single" w:color="B5C6E9" w:themeColor="accent1" w:themeTint="67" w:sz="4" w:space="0"/>
          <w:bottom w:val="single" w:color="B5C6E9" w:themeColor="accent1" w:themeTint="67" w:sz="4" w:space="0"/>
          <w:right w:val="single" w:color="B5C6E9" w:themeColor="accent1" w:themeTint="67" w:sz="4" w:space="0"/>
        </w:tcBorders>
      </w:tcPr>
    </w:tblStylePr>
  </w:style>
  <w:style w:type="table" w:customStyle="1" w:styleId="72">
    <w:name w:val="Grid Table 1 Light - Accent 2"/>
    <w:basedOn w:val="33"/>
    <w:qFormat/>
    <w:uiPriority w:val="99"/>
    <w:pPr>
      <w:spacing w:after="0" w:line="240" w:lineRule="auto"/>
    </w:pPr>
    <w:tblPr>
      <w:tblBorders>
        <w:top w:val="single" w:color="F8CCAA" w:themeColor="accent2" w:themeTint="67" w:sz="4" w:space="0"/>
        <w:left w:val="single" w:color="F8CCAA" w:themeColor="accent2" w:themeTint="67" w:sz="4" w:space="0"/>
        <w:bottom w:val="single" w:color="F8CCAA" w:themeColor="accent2" w:themeTint="67" w:sz="4" w:space="0"/>
        <w:right w:val="single" w:color="F8CCAA" w:themeColor="accent2" w:themeTint="67" w:sz="4" w:space="0"/>
        <w:insideH w:val="single" w:color="F8CCAA" w:themeColor="accent2" w:themeTint="67" w:sz="4" w:space="0"/>
        <w:insideV w:val="single" w:color="F8CCAA" w:themeColor="accent2" w:themeTint="67" w:sz="4" w:space="0"/>
      </w:tblBorders>
    </w:tblPr>
    <w:tblStylePr w:type="firstRow">
      <w:rPr>
        <w:b/>
        <w:color w:val="404040"/>
      </w:rPr>
      <w:tcPr>
        <w:tcBorders>
          <w:bottom w:val="single" w:color="F5B585" w:themeColor="accent2"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F8CCAA" w:themeColor="accent2" w:themeTint="67" w:sz="4" w:space="0"/>
          <w:left w:val="single" w:color="F8CCAA" w:themeColor="accent2" w:themeTint="67" w:sz="4" w:space="0"/>
          <w:bottom w:val="single" w:color="F8CCAA" w:themeColor="accent2" w:themeTint="67" w:sz="4" w:space="0"/>
          <w:right w:val="single" w:color="F8CCAA" w:themeColor="accent2" w:themeTint="67" w:sz="4" w:space="0"/>
        </w:tcBorders>
      </w:tcPr>
    </w:tblStylePr>
  </w:style>
  <w:style w:type="table" w:customStyle="1" w:styleId="73">
    <w:name w:val="Grid Table 1 Light - Accent 3"/>
    <w:basedOn w:val="33"/>
    <w:qFormat/>
    <w:uiPriority w:val="99"/>
    <w:pPr>
      <w:spacing w:after="0" w:line="240" w:lineRule="auto"/>
    </w:pPr>
    <w:tblPr>
      <w:tblBorders>
        <w:top w:val="single" w:color="FEE594" w:themeColor="accent3" w:themeTint="67" w:sz="4" w:space="0"/>
        <w:left w:val="single" w:color="FEE594" w:themeColor="accent3" w:themeTint="67" w:sz="4" w:space="0"/>
        <w:bottom w:val="single" w:color="FEE594" w:themeColor="accent3" w:themeTint="67" w:sz="4" w:space="0"/>
        <w:right w:val="single" w:color="FEE594" w:themeColor="accent3" w:themeTint="67" w:sz="4" w:space="0"/>
        <w:insideH w:val="single" w:color="FEE594" w:themeColor="accent3" w:themeTint="67" w:sz="4" w:space="0"/>
        <w:insideV w:val="single" w:color="FEE594" w:themeColor="accent3" w:themeTint="67" w:sz="4" w:space="0"/>
      </w:tblBorders>
    </w:tblPr>
    <w:tblStylePr w:type="firstRow">
      <w:rPr>
        <w:b/>
        <w:color w:val="404040"/>
      </w:rPr>
      <w:tcPr>
        <w:tcBorders>
          <w:bottom w:val="single" w:color="FDDA64" w:themeColor="accent3"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FEE594" w:themeColor="accent3" w:themeTint="67" w:sz="4" w:space="0"/>
          <w:left w:val="single" w:color="FEE594" w:themeColor="accent3" w:themeTint="67" w:sz="4" w:space="0"/>
          <w:bottom w:val="single" w:color="FEE594" w:themeColor="accent3" w:themeTint="67" w:sz="4" w:space="0"/>
          <w:right w:val="single" w:color="FEE594" w:themeColor="accent3" w:themeTint="67" w:sz="4" w:space="0"/>
        </w:tcBorders>
      </w:tcPr>
    </w:tblStylePr>
  </w:style>
  <w:style w:type="table" w:customStyle="1" w:styleId="74">
    <w:name w:val="Grid Table 1 Light - Accent 4"/>
    <w:basedOn w:val="33"/>
    <w:qFormat/>
    <w:uiPriority w:val="99"/>
    <w:pPr>
      <w:spacing w:after="0" w:line="240" w:lineRule="auto"/>
    </w:pPr>
    <w:tblPr>
      <w:tblBorders>
        <w:top w:val="single" w:color="C7E4B2" w:themeColor="accent4" w:themeTint="67" w:sz="4" w:space="0"/>
        <w:left w:val="single" w:color="C7E4B2" w:themeColor="accent4" w:themeTint="67" w:sz="4" w:space="0"/>
        <w:bottom w:val="single" w:color="C7E4B2" w:themeColor="accent4" w:themeTint="67" w:sz="4" w:space="0"/>
        <w:right w:val="single" w:color="C7E4B2" w:themeColor="accent4" w:themeTint="67" w:sz="4" w:space="0"/>
        <w:insideH w:val="single" w:color="C7E4B2" w:themeColor="accent4" w:themeTint="67" w:sz="4" w:space="0"/>
        <w:insideV w:val="single" w:color="C7E4B2" w:themeColor="accent4" w:themeTint="67" w:sz="4" w:space="0"/>
      </w:tblBorders>
    </w:tblPr>
    <w:tblStylePr w:type="firstRow">
      <w:rPr>
        <w:b/>
        <w:color w:val="404040"/>
      </w:rPr>
      <w:tcPr>
        <w:tcBorders>
          <w:bottom w:val="single" w:color="AED890" w:themeColor="accent4"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C7E4B2" w:themeColor="accent4" w:themeTint="67" w:sz="4" w:space="0"/>
          <w:left w:val="single" w:color="C7E4B2" w:themeColor="accent4" w:themeTint="67" w:sz="4" w:space="0"/>
          <w:bottom w:val="single" w:color="C7E4B2" w:themeColor="accent4" w:themeTint="67" w:sz="4" w:space="0"/>
          <w:right w:val="single" w:color="C7E4B2" w:themeColor="accent4" w:themeTint="67" w:sz="4" w:space="0"/>
        </w:tcBorders>
      </w:tcPr>
    </w:tblStylePr>
  </w:style>
  <w:style w:type="table" w:customStyle="1" w:styleId="75">
    <w:name w:val="Grid Table 1 Light - Accent 5"/>
    <w:basedOn w:val="33"/>
    <w:qFormat/>
    <w:uiPriority w:val="99"/>
    <w:pPr>
      <w:spacing w:after="0" w:line="240" w:lineRule="auto"/>
    </w:pPr>
    <w:tblPr>
      <w:tblBorders>
        <w:top w:val="single" w:color="A7E9E3" w:themeColor="accent5" w:themeTint="67" w:sz="4" w:space="0"/>
        <w:left w:val="single" w:color="A7E9E3" w:themeColor="accent5" w:themeTint="67" w:sz="4" w:space="0"/>
        <w:bottom w:val="single" w:color="A7E9E3" w:themeColor="accent5" w:themeTint="67" w:sz="4" w:space="0"/>
        <w:right w:val="single" w:color="A7E9E3" w:themeColor="accent5" w:themeTint="67" w:sz="4" w:space="0"/>
        <w:insideH w:val="single" w:color="A7E9E3" w:themeColor="accent5" w:themeTint="67" w:sz="4" w:space="0"/>
        <w:insideV w:val="single" w:color="A7E9E3" w:themeColor="accent5" w:themeTint="67" w:sz="4" w:space="0"/>
      </w:tblBorders>
    </w:tblPr>
    <w:tblStylePr w:type="firstRow">
      <w:rPr>
        <w:b/>
        <w:color w:val="404040"/>
      </w:rPr>
      <w:tcPr>
        <w:tcBorders>
          <w:bottom w:val="single" w:color="80DFD7" w:themeColor="accent5"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A7E9E3" w:themeColor="accent5" w:themeTint="67" w:sz="4" w:space="0"/>
          <w:left w:val="single" w:color="A7E9E3" w:themeColor="accent5" w:themeTint="67" w:sz="4" w:space="0"/>
          <w:bottom w:val="single" w:color="A7E9E3" w:themeColor="accent5" w:themeTint="67" w:sz="4" w:space="0"/>
          <w:right w:val="single" w:color="A7E9E3" w:themeColor="accent5" w:themeTint="67" w:sz="4" w:space="0"/>
        </w:tcBorders>
      </w:tcPr>
    </w:tblStylePr>
  </w:style>
  <w:style w:type="table" w:customStyle="1" w:styleId="76">
    <w:name w:val="Grid Table 1 Light - Accent 6"/>
    <w:basedOn w:val="33"/>
    <w:qFormat/>
    <w:uiPriority w:val="99"/>
    <w:pPr>
      <w:spacing w:after="0" w:line="240" w:lineRule="auto"/>
    </w:pPr>
    <w:tblPr>
      <w:tblBorders>
        <w:top w:val="single" w:color="F4B6BD" w:themeColor="accent6" w:themeTint="67" w:sz="4" w:space="0"/>
        <w:left w:val="single" w:color="F4B6BD" w:themeColor="accent6" w:themeTint="67" w:sz="4" w:space="0"/>
        <w:bottom w:val="single" w:color="F4B6BD" w:themeColor="accent6" w:themeTint="67" w:sz="4" w:space="0"/>
        <w:right w:val="single" w:color="F4B6BD" w:themeColor="accent6" w:themeTint="67" w:sz="4" w:space="0"/>
        <w:insideH w:val="single" w:color="F4B6BD" w:themeColor="accent6" w:themeTint="67" w:sz="4" w:space="0"/>
        <w:insideV w:val="single" w:color="F4B6BD" w:themeColor="accent6" w:themeTint="67" w:sz="4" w:space="0"/>
      </w:tblBorders>
    </w:tblPr>
    <w:tblStylePr w:type="firstRow">
      <w:rPr>
        <w:b/>
        <w:color w:val="404040"/>
      </w:rPr>
      <w:tcPr>
        <w:tcBorders>
          <w:bottom w:val="single" w:color="EF96A0" w:themeColor="accent6"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F4B6BD" w:themeColor="accent6" w:themeTint="67" w:sz="4" w:space="0"/>
          <w:left w:val="single" w:color="F4B6BD" w:themeColor="accent6" w:themeTint="67" w:sz="4" w:space="0"/>
          <w:bottom w:val="single" w:color="F4B6BD" w:themeColor="accent6" w:themeTint="67" w:sz="4" w:space="0"/>
          <w:right w:val="single" w:color="F4B6BD" w:themeColor="accent6" w:themeTint="67" w:sz="4" w:space="0"/>
        </w:tcBorders>
      </w:tcPr>
    </w:tblStylePr>
  </w:style>
  <w:style w:type="table" w:customStyle="1" w:styleId="77">
    <w:name w:val="Grid Table 2"/>
    <w:basedOn w:val="33"/>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single" w:color="696969" w:themeColor="text1" w:themeTint="95" w:sz="12" w:space="0"/>
          <w:right w:val="nil"/>
        </w:tcBorders>
        <w:shd w:val="clear" w:color="FFFFFF" w:fill="auto"/>
      </w:tcPr>
    </w:tblStylePr>
    <w:tblStylePr w:type="lastRow">
      <w:rPr>
        <w:b/>
        <w:color w:val="404040"/>
      </w:rPr>
      <w:tcPr>
        <w:tcBorders>
          <w:top w:val="single" w:color="696969" w:themeColor="text1" w:themeTint="9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78">
    <w:name w:val="Grid Table 2 - Accent 1"/>
    <w:basedOn w:val="33"/>
    <w:qFormat/>
    <w:uiPriority w:val="99"/>
    <w:pPr>
      <w:spacing w:after="0" w:line="240" w:lineRule="auto"/>
    </w:pPr>
    <w:tblPr>
      <w:tblBorders>
        <w:bottom w:val="single" w:color="577FCF" w:themeColor="accent1" w:themeTint="EA" w:sz="4" w:space="0"/>
        <w:insideH w:val="single" w:color="577FCF" w:themeColor="accent1" w:themeTint="EA" w:sz="4" w:space="0"/>
        <w:insideV w:val="single" w:color="577FCF" w:themeColor="accent1" w:themeTint="EA" w:sz="4" w:space="0"/>
      </w:tblBorders>
    </w:tblPr>
    <w:tblStylePr w:type="firstRow">
      <w:rPr>
        <w:b/>
        <w:color w:val="404040"/>
      </w:rPr>
      <w:tcPr>
        <w:tcBorders>
          <w:top w:val="nil"/>
          <w:left w:val="nil"/>
          <w:bottom w:val="single" w:color="577FCF" w:themeColor="accent1" w:themeTint="EA" w:sz="12" w:space="0"/>
          <w:right w:val="nil"/>
        </w:tcBorders>
        <w:shd w:val="clear" w:color="FFFFFF" w:fill="auto"/>
      </w:tcPr>
    </w:tblStylePr>
    <w:tblStylePr w:type="lastRow">
      <w:rPr>
        <w:b/>
        <w:color w:val="404040"/>
      </w:rPr>
      <w:tcPr>
        <w:tcBorders>
          <w:top w:val="single" w:color="577FCF" w:themeColor="accent1" w:themeTint="E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9E2F4" w:themeColor="accent1" w:themeTint="34" w:fill="D9E2F4" w:themeFill="accent1" w:themeFillTint="34"/>
      </w:tcPr>
    </w:tblStylePr>
    <w:tblStylePr w:type="band1Horz">
      <w:rPr>
        <w:rFonts w:ascii="Arial" w:hAnsi="Arial"/>
        <w:color w:val="404040"/>
        <w:sz w:val="22"/>
      </w:rPr>
      <w:tcPr>
        <w:shd w:val="clear" w:color="D9E2F4" w:themeColor="accent1" w:themeTint="34" w:fill="D9E2F4" w:themeFill="accent1" w:themeFillTint="34"/>
      </w:tcPr>
    </w:tblStylePr>
  </w:style>
  <w:style w:type="table" w:customStyle="1" w:styleId="79">
    <w:name w:val="Grid Table 2 - Accent 2"/>
    <w:basedOn w:val="33"/>
    <w:qFormat/>
    <w:uiPriority w:val="99"/>
    <w:pPr>
      <w:spacing w:after="0" w:line="240" w:lineRule="auto"/>
    </w:pPr>
    <w:tblPr>
      <w:tblBorders>
        <w:bottom w:val="single" w:color="F4B483" w:themeColor="accent2" w:themeTint="97" w:sz="4" w:space="0"/>
        <w:insideH w:val="single" w:color="F4B483" w:themeColor="accent2" w:themeTint="97" w:sz="4" w:space="0"/>
        <w:insideV w:val="single" w:color="F4B483" w:themeColor="accent2" w:themeTint="97" w:sz="4" w:space="0"/>
      </w:tblBorders>
    </w:tblPr>
    <w:tblStylePr w:type="firstRow">
      <w:rPr>
        <w:b/>
        <w:color w:val="404040"/>
      </w:rPr>
      <w:tcPr>
        <w:tcBorders>
          <w:top w:val="nil"/>
          <w:left w:val="nil"/>
          <w:bottom w:val="single" w:color="F4B483" w:themeColor="accent2" w:themeTint="97" w:sz="12" w:space="0"/>
          <w:right w:val="nil"/>
        </w:tcBorders>
        <w:shd w:val="clear" w:color="FFFFFF" w:fill="auto"/>
      </w:tcPr>
    </w:tblStylePr>
    <w:tblStylePr w:type="lastRow">
      <w:rPr>
        <w:b/>
        <w:color w:val="404040"/>
      </w:rPr>
      <w:tcPr>
        <w:tcBorders>
          <w:top w:val="single" w:color="F4B483" w:themeColor="accent2" w:themeTint="97"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BE6D6" w:themeColor="accent2" w:themeTint="32" w:fill="FBE6D6" w:themeFill="accent2" w:themeFillTint="32"/>
      </w:tcPr>
    </w:tblStylePr>
    <w:tblStylePr w:type="band1Horz">
      <w:rPr>
        <w:rFonts w:ascii="Arial" w:hAnsi="Arial"/>
        <w:color w:val="404040"/>
        <w:sz w:val="22"/>
      </w:rPr>
      <w:tcPr>
        <w:shd w:val="clear" w:color="FBE6D6" w:themeColor="accent2" w:themeTint="32" w:fill="FBE6D6" w:themeFill="accent2" w:themeFillTint="32"/>
      </w:tcPr>
    </w:tblStylePr>
  </w:style>
  <w:style w:type="table" w:customStyle="1" w:styleId="80">
    <w:name w:val="Grid Table 2 - Accent 3"/>
    <w:basedOn w:val="33"/>
    <w:qFormat/>
    <w:uiPriority w:val="99"/>
    <w:pPr>
      <w:spacing w:after="0" w:line="240" w:lineRule="auto"/>
    </w:pPr>
    <w:tblPr>
      <w:tblBorders>
        <w:bottom w:val="single" w:color="F3BA02" w:themeColor="accent3" w:themeTint="FE" w:sz="4" w:space="0"/>
        <w:insideH w:val="single" w:color="F3BA02" w:themeColor="accent3" w:themeTint="FE" w:sz="4" w:space="0"/>
        <w:insideV w:val="single" w:color="F3BA02" w:themeColor="accent3" w:themeTint="FE" w:sz="4" w:space="0"/>
      </w:tblBorders>
    </w:tblPr>
    <w:tblStylePr w:type="firstRow">
      <w:rPr>
        <w:b/>
        <w:color w:val="404040"/>
      </w:rPr>
      <w:tcPr>
        <w:tcBorders>
          <w:top w:val="nil"/>
          <w:left w:val="nil"/>
          <w:bottom w:val="single" w:color="F3BA02" w:themeColor="accent3" w:themeTint="FE" w:sz="12" w:space="0"/>
          <w:right w:val="nil"/>
        </w:tcBorders>
        <w:shd w:val="clear" w:color="FFFFFF" w:fill="auto"/>
      </w:tcPr>
    </w:tblStylePr>
    <w:tblStylePr w:type="lastRow">
      <w:rPr>
        <w:b/>
        <w:color w:val="404040"/>
      </w:rPr>
      <w:tcPr>
        <w:tcBorders>
          <w:top w:val="single" w:color="F3BA02" w:themeColor="accent3" w:themeTint="FE"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EF2C9" w:themeColor="accent3" w:themeTint="34" w:fill="FEF2C9" w:themeFill="accent3" w:themeFillTint="34"/>
      </w:tcPr>
    </w:tblStylePr>
    <w:tblStylePr w:type="band1Horz">
      <w:rPr>
        <w:rFonts w:ascii="Arial" w:hAnsi="Arial"/>
        <w:color w:val="404040"/>
        <w:sz w:val="22"/>
      </w:rPr>
      <w:tcPr>
        <w:shd w:val="clear" w:color="FEF2C9" w:themeColor="accent3" w:themeTint="34" w:fill="FEF2C9" w:themeFill="accent3" w:themeFillTint="34"/>
      </w:tcPr>
    </w:tblStylePr>
  </w:style>
  <w:style w:type="table" w:customStyle="1" w:styleId="81">
    <w:name w:val="Grid Table 2 - Accent 4"/>
    <w:basedOn w:val="33"/>
    <w:qFormat/>
    <w:uiPriority w:val="99"/>
    <w:pPr>
      <w:spacing w:after="0" w:line="240" w:lineRule="auto"/>
    </w:pPr>
    <w:tblPr>
      <w:tblBorders>
        <w:bottom w:val="single" w:color="ABD78C" w:themeColor="accent4" w:themeTint="9A" w:sz="4" w:space="0"/>
        <w:insideH w:val="single" w:color="ABD78C" w:themeColor="accent4" w:themeTint="9A" w:sz="4" w:space="0"/>
        <w:insideV w:val="single" w:color="ABD78C" w:themeColor="accent4" w:themeTint="9A" w:sz="4" w:space="0"/>
      </w:tblBorders>
    </w:tblPr>
    <w:tblStylePr w:type="firstRow">
      <w:rPr>
        <w:b/>
        <w:color w:val="404040"/>
      </w:rPr>
      <w:tcPr>
        <w:tcBorders>
          <w:top w:val="nil"/>
          <w:left w:val="nil"/>
          <w:bottom w:val="single" w:color="ABD78C" w:themeColor="accent4" w:themeTint="9A" w:sz="12" w:space="0"/>
          <w:right w:val="nil"/>
        </w:tcBorders>
        <w:shd w:val="clear" w:color="FFFFFF" w:fill="auto"/>
      </w:tcPr>
    </w:tblStylePr>
    <w:tblStylePr w:type="lastRow">
      <w:rPr>
        <w:b/>
        <w:color w:val="404040"/>
      </w:rPr>
      <w:tcPr>
        <w:tcBorders>
          <w:top w:val="single" w:color="ABD78C" w:themeColor="accent4" w:themeTint="9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2F1D8" w:themeColor="accent4" w:themeTint="34" w:fill="E2F1D8" w:themeFill="accent4" w:themeFillTint="34"/>
      </w:tcPr>
    </w:tblStylePr>
    <w:tblStylePr w:type="band1Horz">
      <w:rPr>
        <w:rFonts w:ascii="Arial" w:hAnsi="Arial"/>
        <w:color w:val="404040"/>
        <w:sz w:val="22"/>
      </w:rPr>
      <w:tcPr>
        <w:shd w:val="clear" w:color="E2F1D8" w:themeColor="accent4" w:themeTint="34" w:fill="E2F1D8" w:themeFill="accent4" w:themeFillTint="34"/>
      </w:tcPr>
    </w:tblStylePr>
  </w:style>
  <w:style w:type="table" w:customStyle="1" w:styleId="82">
    <w:name w:val="Grid Table 2 - Accent 5"/>
    <w:basedOn w:val="33"/>
    <w:qFormat/>
    <w:uiPriority w:val="99"/>
    <w:pPr>
      <w:spacing w:after="0" w:line="240" w:lineRule="auto"/>
    </w:pPr>
    <w:tblPr>
      <w:tblBorders>
        <w:bottom w:val="single" w:color="30C0B4" w:themeColor="accent5" w:sz="4" w:space="0"/>
        <w:insideH w:val="single" w:color="30C0B4" w:themeColor="accent5" w:sz="4" w:space="0"/>
        <w:insideV w:val="single" w:color="30C0B4" w:themeColor="accent5" w:sz="4" w:space="0"/>
      </w:tblBorders>
    </w:tblPr>
    <w:tblStylePr w:type="firstRow">
      <w:rPr>
        <w:b/>
        <w:color w:val="404040"/>
      </w:rPr>
      <w:tcPr>
        <w:tcBorders>
          <w:top w:val="nil"/>
          <w:left w:val="nil"/>
          <w:bottom w:val="single" w:color="30C0B4" w:themeColor="accent5" w:sz="12" w:space="0"/>
          <w:right w:val="nil"/>
        </w:tcBorders>
        <w:shd w:val="clear" w:color="FFFFFF" w:fill="auto"/>
      </w:tcPr>
    </w:tblStylePr>
    <w:tblStylePr w:type="lastRow">
      <w:rPr>
        <w:b/>
        <w:color w:val="404040"/>
      </w:rPr>
      <w:tcPr>
        <w:tcBorders>
          <w:top w:val="single" w:color="30C0B4" w:themeColor="accent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2F3F1" w:themeColor="accent5" w:themeTint="34" w:fill="D2F3F1" w:themeFill="accent5" w:themeFillTint="34"/>
      </w:tcPr>
    </w:tblStylePr>
    <w:tblStylePr w:type="band1Horz">
      <w:rPr>
        <w:rFonts w:ascii="Arial" w:hAnsi="Arial"/>
        <w:color w:val="404040"/>
        <w:sz w:val="22"/>
      </w:rPr>
      <w:tcPr>
        <w:shd w:val="clear" w:color="D2F3F1" w:themeColor="accent5" w:themeTint="34" w:fill="D2F3F1" w:themeFill="accent5" w:themeFillTint="34"/>
      </w:tcPr>
    </w:tblStylePr>
  </w:style>
  <w:style w:type="table" w:customStyle="1" w:styleId="83">
    <w:name w:val="Grid Table 2 - Accent 6"/>
    <w:basedOn w:val="33"/>
    <w:qFormat/>
    <w:uiPriority w:val="99"/>
    <w:pPr>
      <w:spacing w:after="0" w:line="240" w:lineRule="auto"/>
    </w:pPr>
    <w:tblPr>
      <w:tblBorders>
        <w:bottom w:val="single" w:color="E54C5E" w:themeColor="accent6" w:sz="4" w:space="0"/>
        <w:insideH w:val="single" w:color="E54C5E" w:themeColor="accent6" w:sz="4" w:space="0"/>
        <w:insideV w:val="single" w:color="E54C5E" w:themeColor="accent6" w:sz="4" w:space="0"/>
      </w:tblBorders>
    </w:tblPr>
    <w:tblStylePr w:type="firstRow">
      <w:rPr>
        <w:b/>
        <w:color w:val="404040"/>
      </w:rPr>
      <w:tcPr>
        <w:tcBorders>
          <w:top w:val="nil"/>
          <w:left w:val="nil"/>
          <w:bottom w:val="single" w:color="E54C5E" w:themeColor="accent6" w:sz="12" w:space="0"/>
          <w:right w:val="nil"/>
        </w:tcBorders>
        <w:shd w:val="clear" w:color="FFFFFF" w:fill="auto"/>
      </w:tcPr>
    </w:tblStylePr>
    <w:tblStylePr w:type="lastRow">
      <w:rPr>
        <w:b/>
        <w:color w:val="404040"/>
      </w:rPr>
      <w:tcPr>
        <w:tcBorders>
          <w:top w:val="single" w:color="E54C5E" w:themeColor="accent6"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9DADE" w:themeColor="accent6" w:themeTint="34" w:fill="F9DADE" w:themeFill="accent6" w:themeFillTint="34"/>
      </w:tcPr>
    </w:tblStylePr>
    <w:tblStylePr w:type="band1Horz">
      <w:rPr>
        <w:rFonts w:ascii="Arial" w:hAnsi="Arial"/>
        <w:color w:val="404040"/>
        <w:sz w:val="22"/>
      </w:rPr>
      <w:tcPr>
        <w:shd w:val="clear" w:color="F9DADE" w:themeColor="accent6" w:themeTint="34" w:fill="F9DADE" w:themeFill="accent6" w:themeFillTint="34"/>
      </w:tcPr>
    </w:tblStylePr>
  </w:style>
  <w:style w:type="table" w:customStyle="1" w:styleId="84">
    <w:name w:val="Grid Table 3"/>
    <w:basedOn w:val="33"/>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85">
    <w:name w:val="Grid Table 3 - Accent 1"/>
    <w:basedOn w:val="33"/>
    <w:qFormat/>
    <w:uiPriority w:val="99"/>
    <w:pPr>
      <w:spacing w:after="0" w:line="240" w:lineRule="auto"/>
    </w:pPr>
    <w:tblPr>
      <w:tblBorders>
        <w:bottom w:val="single" w:color="577FCF" w:themeColor="accent1" w:themeTint="EA" w:sz="4" w:space="0"/>
        <w:insideH w:val="single" w:color="577FCF" w:themeColor="accent1" w:themeTint="EA" w:sz="4" w:space="0"/>
        <w:insideV w:val="single" w:color="577FCF" w:themeColor="accent1" w:themeTint="E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9E2F4" w:themeColor="accent1" w:themeTint="34" w:fill="D9E2F4" w:themeFill="accent1" w:themeFillTint="34"/>
      </w:tcPr>
    </w:tblStylePr>
    <w:tblStylePr w:type="band1Horz">
      <w:rPr>
        <w:rFonts w:ascii="Arial" w:hAnsi="Arial"/>
        <w:color w:val="404040"/>
        <w:sz w:val="22"/>
      </w:rPr>
      <w:tcPr>
        <w:shd w:val="clear" w:color="D9E2F4" w:themeColor="accent1" w:themeTint="34" w:fill="D9E2F4" w:themeFill="accent1" w:themeFillTint="34"/>
      </w:tcPr>
    </w:tblStylePr>
  </w:style>
  <w:style w:type="table" w:customStyle="1" w:styleId="86">
    <w:name w:val="Grid Table 3 - Accent 2"/>
    <w:basedOn w:val="33"/>
    <w:qFormat/>
    <w:uiPriority w:val="99"/>
    <w:pPr>
      <w:spacing w:after="0" w:line="240" w:lineRule="auto"/>
    </w:pPr>
    <w:tblPr>
      <w:tblBorders>
        <w:bottom w:val="single" w:color="F4B483" w:themeColor="accent2" w:themeTint="97" w:sz="4" w:space="0"/>
        <w:insideH w:val="single" w:color="F4B483" w:themeColor="accent2" w:themeTint="97" w:sz="4" w:space="0"/>
        <w:insideV w:val="single" w:color="F4B483" w:themeColor="accent2" w:themeTint="97"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BE6D6" w:themeColor="accent2" w:themeTint="32" w:fill="FBE6D6" w:themeFill="accent2" w:themeFillTint="32"/>
      </w:tcPr>
    </w:tblStylePr>
    <w:tblStylePr w:type="band1Horz">
      <w:rPr>
        <w:rFonts w:ascii="Arial" w:hAnsi="Arial"/>
        <w:color w:val="404040"/>
        <w:sz w:val="22"/>
      </w:rPr>
      <w:tcPr>
        <w:shd w:val="clear" w:color="FBE6D6" w:themeColor="accent2" w:themeTint="32" w:fill="FBE6D6" w:themeFill="accent2" w:themeFillTint="32"/>
      </w:tcPr>
    </w:tblStylePr>
  </w:style>
  <w:style w:type="table" w:customStyle="1" w:styleId="87">
    <w:name w:val="Grid Table 3 - Accent 3"/>
    <w:basedOn w:val="33"/>
    <w:qFormat/>
    <w:uiPriority w:val="99"/>
    <w:pPr>
      <w:spacing w:after="0" w:line="240" w:lineRule="auto"/>
    </w:pPr>
    <w:tblPr>
      <w:tblBorders>
        <w:bottom w:val="single" w:color="F3BA02" w:themeColor="accent3" w:themeTint="FE" w:sz="4" w:space="0"/>
        <w:insideH w:val="single" w:color="F3BA02" w:themeColor="accent3" w:themeTint="FE" w:sz="4" w:space="0"/>
        <w:insideV w:val="single" w:color="F3BA02" w:themeColor="accent3" w:themeTint="FE"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EF2C9" w:themeColor="accent3" w:themeTint="34" w:fill="FEF2C9" w:themeFill="accent3" w:themeFillTint="34"/>
      </w:tcPr>
    </w:tblStylePr>
    <w:tblStylePr w:type="band1Horz">
      <w:rPr>
        <w:rFonts w:ascii="Arial" w:hAnsi="Arial"/>
        <w:color w:val="404040"/>
        <w:sz w:val="22"/>
      </w:rPr>
      <w:tcPr>
        <w:shd w:val="clear" w:color="FEF2C9" w:themeColor="accent3" w:themeTint="34" w:fill="FEF2C9" w:themeFill="accent3" w:themeFillTint="34"/>
      </w:tcPr>
    </w:tblStylePr>
  </w:style>
  <w:style w:type="table" w:customStyle="1" w:styleId="88">
    <w:name w:val="Grid Table 3 - Accent 4"/>
    <w:basedOn w:val="33"/>
    <w:qFormat/>
    <w:uiPriority w:val="99"/>
    <w:pPr>
      <w:spacing w:after="0" w:line="240" w:lineRule="auto"/>
    </w:pPr>
    <w:tblPr>
      <w:tblBorders>
        <w:bottom w:val="single" w:color="ABD78C" w:themeColor="accent4" w:themeTint="9A" w:sz="4" w:space="0"/>
        <w:insideH w:val="single" w:color="ABD78C" w:themeColor="accent4" w:themeTint="9A" w:sz="4" w:space="0"/>
        <w:insideV w:val="single" w:color="ABD78C" w:themeColor="accent4" w:themeTint="9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2F1D8" w:themeColor="accent4" w:themeTint="34" w:fill="E2F1D8" w:themeFill="accent4" w:themeFillTint="34"/>
      </w:tcPr>
    </w:tblStylePr>
    <w:tblStylePr w:type="band1Horz">
      <w:rPr>
        <w:rFonts w:ascii="Arial" w:hAnsi="Arial"/>
        <w:color w:val="404040"/>
        <w:sz w:val="22"/>
      </w:rPr>
      <w:tcPr>
        <w:shd w:val="clear" w:color="E2F1D8" w:themeColor="accent4" w:themeTint="34" w:fill="E2F1D8" w:themeFill="accent4" w:themeFillTint="34"/>
      </w:tcPr>
    </w:tblStylePr>
  </w:style>
  <w:style w:type="table" w:customStyle="1" w:styleId="89">
    <w:name w:val="Grid Table 3 - Accent 5"/>
    <w:basedOn w:val="33"/>
    <w:qFormat/>
    <w:uiPriority w:val="99"/>
    <w:pPr>
      <w:spacing w:after="0" w:line="240" w:lineRule="auto"/>
    </w:pPr>
    <w:tblPr>
      <w:tblBorders>
        <w:bottom w:val="single" w:color="30C0B4" w:themeColor="accent5" w:sz="4" w:space="0"/>
        <w:insideH w:val="single" w:color="30C0B4" w:themeColor="accent5" w:sz="4" w:space="0"/>
        <w:insideV w:val="single" w:color="30C0B4" w:themeColor="accent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2F3F1" w:themeColor="accent5" w:themeTint="34" w:fill="D2F3F1" w:themeFill="accent5" w:themeFillTint="34"/>
      </w:tcPr>
    </w:tblStylePr>
    <w:tblStylePr w:type="band1Horz">
      <w:rPr>
        <w:rFonts w:ascii="Arial" w:hAnsi="Arial"/>
        <w:color w:val="404040"/>
        <w:sz w:val="22"/>
      </w:rPr>
      <w:tcPr>
        <w:shd w:val="clear" w:color="D2F3F1" w:themeColor="accent5" w:themeTint="34" w:fill="D2F3F1" w:themeFill="accent5" w:themeFillTint="34"/>
      </w:tcPr>
    </w:tblStylePr>
  </w:style>
  <w:style w:type="table" w:customStyle="1" w:styleId="90">
    <w:name w:val="Grid Table 3 - Accent 6"/>
    <w:basedOn w:val="33"/>
    <w:qFormat/>
    <w:uiPriority w:val="99"/>
    <w:pPr>
      <w:spacing w:after="0" w:line="240" w:lineRule="auto"/>
    </w:pPr>
    <w:tblPr>
      <w:tblBorders>
        <w:bottom w:val="single" w:color="E54C5E" w:themeColor="accent6" w:sz="4" w:space="0"/>
        <w:insideH w:val="single" w:color="E54C5E" w:themeColor="accent6" w:sz="4" w:space="0"/>
        <w:insideV w:val="single" w:color="E54C5E" w:themeColor="accent6"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9DADE" w:themeColor="accent6" w:themeTint="34" w:fill="F9DADE" w:themeFill="accent6" w:themeFillTint="34"/>
      </w:tcPr>
    </w:tblStylePr>
    <w:tblStylePr w:type="band1Horz">
      <w:rPr>
        <w:rFonts w:ascii="Arial" w:hAnsi="Arial"/>
        <w:color w:val="404040"/>
        <w:sz w:val="22"/>
      </w:rPr>
      <w:tcPr>
        <w:shd w:val="clear" w:color="F9DADE" w:themeColor="accent6" w:themeTint="34" w:fill="F9DADE" w:themeFill="accent6" w:themeFillTint="34"/>
      </w:tcPr>
    </w:tblStylePr>
  </w:style>
  <w:style w:type="table" w:customStyle="1" w:styleId="91">
    <w:name w:val="Grid Table 4"/>
    <w:basedOn w:val="33"/>
    <w:qFormat/>
    <w:uiPriority w:val="59"/>
    <w:pPr>
      <w:spacing w:after="0" w:line="240" w:lineRule="auto"/>
    </w:pPr>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Pr>
    <w:tblStylePr w:type="firstRow">
      <w:rPr>
        <w:rFonts w:ascii="Arial" w:hAnsi="Arial"/>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themeColor="text1" w:fill="000000" w:themeFill="text1"/>
      </w:tcPr>
    </w:tblStylePr>
    <w:tblStylePr w:type="lastRow">
      <w:rPr>
        <w:b/>
        <w:color w:val="404040"/>
      </w:rPr>
      <w:tcPr>
        <w:tcBorders>
          <w:top w:val="single" w:color="000000" w:themeColor="text1"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92">
    <w:name w:val="Grid Table 4 - Accent 1"/>
    <w:basedOn w:val="33"/>
    <w:qFormat/>
    <w:uiPriority w:val="59"/>
    <w:pPr>
      <w:spacing w:after="0" w:line="240" w:lineRule="auto"/>
    </w:pPr>
    <w:tblPr>
      <w:tblBorders>
        <w:top w:val="single" w:color="97B0E1" w:themeColor="accent1" w:themeTint="90" w:sz="4" w:space="0"/>
        <w:left w:val="single" w:color="97B0E1" w:themeColor="accent1" w:themeTint="90" w:sz="4" w:space="0"/>
        <w:bottom w:val="single" w:color="97B0E1" w:themeColor="accent1" w:themeTint="90" w:sz="4" w:space="0"/>
        <w:right w:val="single" w:color="97B0E1" w:themeColor="accent1" w:themeTint="90" w:sz="4" w:space="0"/>
        <w:insideH w:val="single" w:color="97B0E1" w:themeColor="accent1" w:themeTint="90" w:sz="4" w:space="0"/>
        <w:insideV w:val="single" w:color="97B0E1" w:themeColor="accent1" w:themeTint="90" w:sz="4" w:space="0"/>
      </w:tblBorders>
    </w:tblPr>
    <w:tblStylePr w:type="firstRow">
      <w:rPr>
        <w:rFonts w:ascii="Arial" w:hAnsi="Arial"/>
        <w:b/>
        <w:color w:val="FFFFFF"/>
        <w:sz w:val="22"/>
      </w:rPr>
      <w:tcPr>
        <w:tcBorders>
          <w:top w:val="single" w:color="577FCF" w:themeColor="accent1" w:themeTint="EA" w:sz="4" w:space="0"/>
          <w:left w:val="single" w:color="577FCF" w:themeColor="accent1" w:themeTint="EA" w:sz="4" w:space="0"/>
          <w:bottom w:val="single" w:color="577FCF" w:themeColor="accent1" w:themeTint="EA" w:sz="4" w:space="0"/>
          <w:right w:val="single" w:color="577FCF" w:themeColor="accent1" w:themeTint="EA" w:sz="4" w:space="0"/>
        </w:tcBorders>
        <w:shd w:val="clear" w:color="577FCF" w:themeColor="accent1" w:themeTint="EA" w:fill="577FCF" w:themeFill="accent1" w:themeFillTint="EA"/>
      </w:tcPr>
    </w:tblStylePr>
    <w:tblStylePr w:type="lastRow">
      <w:rPr>
        <w:b/>
        <w:color w:val="404040"/>
      </w:rPr>
      <w:tcPr>
        <w:tcBorders>
          <w:top w:val="single" w:color="577FCF" w:themeColor="accent1" w:themeTint="E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BE3F4" w:themeColor="accent1" w:themeTint="32" w:fill="DBE3F4" w:themeFill="accent1" w:themeFillTint="32"/>
      </w:tcPr>
    </w:tblStylePr>
    <w:tblStylePr w:type="band1Horz">
      <w:rPr>
        <w:rFonts w:ascii="Arial" w:hAnsi="Arial"/>
        <w:color w:val="404040"/>
        <w:sz w:val="22"/>
      </w:rPr>
      <w:tcPr>
        <w:shd w:val="clear" w:color="DBE3F4" w:themeColor="accent1" w:themeTint="32" w:fill="DBE3F4" w:themeFill="accent1" w:themeFillTint="32"/>
      </w:tcPr>
    </w:tblStylePr>
  </w:style>
  <w:style w:type="table" w:customStyle="1" w:styleId="93">
    <w:name w:val="Grid Table 4 - Accent 2"/>
    <w:basedOn w:val="33"/>
    <w:qFormat/>
    <w:uiPriority w:val="59"/>
    <w:pPr>
      <w:spacing w:after="0" w:line="240" w:lineRule="auto"/>
    </w:pPr>
    <w:tblPr>
      <w:tblBorders>
        <w:top w:val="single" w:color="F5B889" w:themeColor="accent2" w:themeTint="90" w:sz="4" w:space="0"/>
        <w:left w:val="single" w:color="F5B889" w:themeColor="accent2" w:themeTint="90" w:sz="4" w:space="0"/>
        <w:bottom w:val="single" w:color="F5B889" w:themeColor="accent2" w:themeTint="90" w:sz="4" w:space="0"/>
        <w:right w:val="single" w:color="F5B889" w:themeColor="accent2" w:themeTint="90" w:sz="4" w:space="0"/>
        <w:insideH w:val="single" w:color="F5B889" w:themeColor="accent2" w:themeTint="90" w:sz="4" w:space="0"/>
        <w:insideV w:val="single" w:color="F5B889" w:themeColor="accent2" w:themeTint="90" w:sz="4" w:space="0"/>
      </w:tblBorders>
    </w:tblPr>
    <w:tblStylePr w:type="firstRow">
      <w:rPr>
        <w:rFonts w:ascii="Arial" w:hAnsi="Arial"/>
        <w:b/>
        <w:color w:val="FFFFFF"/>
        <w:sz w:val="22"/>
      </w:rPr>
      <w:tcPr>
        <w:tcBorders>
          <w:top w:val="single" w:color="F4B483" w:themeColor="accent2" w:themeTint="97" w:sz="4" w:space="0"/>
          <w:left w:val="single" w:color="F4B483" w:themeColor="accent2" w:themeTint="97" w:sz="4" w:space="0"/>
          <w:bottom w:val="single" w:color="F4B483" w:themeColor="accent2" w:themeTint="97" w:sz="4" w:space="0"/>
          <w:right w:val="single" w:color="F4B483" w:themeColor="accent2" w:themeTint="97" w:sz="4" w:space="0"/>
        </w:tcBorders>
        <w:shd w:val="clear" w:color="F4B483" w:themeColor="accent2" w:themeTint="97" w:fill="F4B483" w:themeFill="accent2" w:themeFillTint="97"/>
      </w:tcPr>
    </w:tblStylePr>
    <w:tblStylePr w:type="lastRow">
      <w:rPr>
        <w:b/>
        <w:color w:val="404040"/>
      </w:rPr>
      <w:tcPr>
        <w:tcBorders>
          <w:top w:val="single" w:color="F4B483" w:themeColor="accent2" w:themeTint="97"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BE6D6" w:themeColor="accent2" w:themeTint="32" w:fill="FBE6D6" w:themeFill="accent2" w:themeFillTint="32"/>
      </w:tcPr>
    </w:tblStylePr>
    <w:tblStylePr w:type="band1Horz">
      <w:rPr>
        <w:rFonts w:ascii="Arial" w:hAnsi="Arial"/>
        <w:color w:val="404040"/>
        <w:sz w:val="22"/>
      </w:rPr>
      <w:tcPr>
        <w:shd w:val="clear" w:color="FBE6D6" w:themeColor="accent2" w:themeTint="32" w:fill="FBE6D6" w:themeFill="accent2" w:themeFillTint="32"/>
      </w:tcPr>
    </w:tblStylePr>
  </w:style>
  <w:style w:type="table" w:customStyle="1" w:styleId="94">
    <w:name w:val="Grid Table 4 - Accent 3"/>
    <w:basedOn w:val="33"/>
    <w:qFormat/>
    <w:uiPriority w:val="59"/>
    <w:pPr>
      <w:spacing w:after="0" w:line="240" w:lineRule="auto"/>
    </w:pPr>
    <w:tblPr>
      <w:tblBorders>
        <w:top w:val="single" w:color="FDDB6A" w:themeColor="accent3" w:themeTint="90" w:sz="4" w:space="0"/>
        <w:left w:val="single" w:color="FDDB6A" w:themeColor="accent3" w:themeTint="90" w:sz="4" w:space="0"/>
        <w:bottom w:val="single" w:color="FDDB6A" w:themeColor="accent3" w:themeTint="90" w:sz="4" w:space="0"/>
        <w:right w:val="single" w:color="FDDB6A" w:themeColor="accent3" w:themeTint="90" w:sz="4" w:space="0"/>
        <w:insideH w:val="single" w:color="FDDB6A" w:themeColor="accent3" w:themeTint="90" w:sz="4" w:space="0"/>
        <w:insideV w:val="single" w:color="FDDB6A" w:themeColor="accent3" w:themeTint="90" w:sz="4" w:space="0"/>
      </w:tblBorders>
    </w:tblPr>
    <w:tblStylePr w:type="firstRow">
      <w:rPr>
        <w:rFonts w:ascii="Arial" w:hAnsi="Arial"/>
        <w:b/>
        <w:color w:val="FFFFFF"/>
        <w:sz w:val="22"/>
      </w:rPr>
      <w:tcPr>
        <w:tcBorders>
          <w:top w:val="single" w:color="F3BA02" w:themeColor="accent3" w:themeTint="FE" w:sz="4" w:space="0"/>
          <w:left w:val="single" w:color="F3BA02" w:themeColor="accent3" w:themeTint="FE" w:sz="4" w:space="0"/>
          <w:bottom w:val="single" w:color="F3BA02" w:themeColor="accent3" w:themeTint="FE" w:sz="4" w:space="0"/>
          <w:right w:val="single" w:color="F3BA02" w:themeColor="accent3" w:themeTint="FE" w:sz="4" w:space="0"/>
        </w:tcBorders>
        <w:shd w:val="clear" w:color="F3BA02" w:themeColor="accent3" w:themeTint="FE" w:fill="F3BA02" w:themeFill="accent3" w:themeFillTint="FE"/>
      </w:tcPr>
    </w:tblStylePr>
    <w:tblStylePr w:type="lastRow">
      <w:rPr>
        <w:b/>
        <w:color w:val="404040"/>
      </w:rPr>
      <w:tcPr>
        <w:tcBorders>
          <w:top w:val="single" w:color="F3BA02" w:themeColor="accent3" w:themeTint="FE"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EF2C9" w:themeColor="accent3" w:themeTint="34" w:fill="FEF2C9" w:themeFill="accent3" w:themeFillTint="34"/>
      </w:tcPr>
    </w:tblStylePr>
    <w:tblStylePr w:type="band1Horz">
      <w:rPr>
        <w:rFonts w:ascii="Arial" w:hAnsi="Arial"/>
        <w:color w:val="404040"/>
        <w:sz w:val="22"/>
      </w:rPr>
      <w:tcPr>
        <w:shd w:val="clear" w:color="FEF2C9" w:themeColor="accent3" w:themeTint="34" w:fill="FEF2C9" w:themeFill="accent3" w:themeFillTint="34"/>
      </w:tcPr>
    </w:tblStylePr>
  </w:style>
  <w:style w:type="table" w:customStyle="1" w:styleId="95">
    <w:name w:val="Grid Table 4 - Accent 4"/>
    <w:basedOn w:val="33"/>
    <w:qFormat/>
    <w:uiPriority w:val="59"/>
    <w:pPr>
      <w:spacing w:after="0" w:line="240" w:lineRule="auto"/>
    </w:pPr>
    <w:tblPr>
      <w:tblBorders>
        <w:top w:val="single" w:color="B1D994" w:themeColor="accent4" w:themeTint="90" w:sz="4" w:space="0"/>
        <w:left w:val="single" w:color="B1D994" w:themeColor="accent4" w:themeTint="90" w:sz="4" w:space="0"/>
        <w:bottom w:val="single" w:color="B1D994" w:themeColor="accent4" w:themeTint="90" w:sz="4" w:space="0"/>
        <w:right w:val="single" w:color="B1D994" w:themeColor="accent4" w:themeTint="90" w:sz="4" w:space="0"/>
        <w:insideH w:val="single" w:color="B1D994" w:themeColor="accent4" w:themeTint="90" w:sz="4" w:space="0"/>
        <w:insideV w:val="single" w:color="B1D994" w:themeColor="accent4" w:themeTint="90" w:sz="4" w:space="0"/>
      </w:tblBorders>
    </w:tblPr>
    <w:tblStylePr w:type="firstRow">
      <w:rPr>
        <w:rFonts w:ascii="Arial" w:hAnsi="Arial"/>
        <w:b/>
        <w:color w:val="FFFFFF"/>
        <w:sz w:val="22"/>
      </w:rPr>
      <w:tcPr>
        <w:tcBorders>
          <w:top w:val="single" w:color="ABD78C" w:themeColor="accent4" w:themeTint="9A" w:sz="4" w:space="0"/>
          <w:left w:val="single" w:color="ABD78C" w:themeColor="accent4" w:themeTint="9A" w:sz="4" w:space="0"/>
          <w:bottom w:val="single" w:color="ABD78C" w:themeColor="accent4" w:themeTint="9A" w:sz="4" w:space="0"/>
          <w:right w:val="single" w:color="ABD78C" w:themeColor="accent4" w:themeTint="9A" w:sz="4" w:space="0"/>
        </w:tcBorders>
        <w:shd w:val="clear" w:color="ABD78C" w:themeColor="accent4" w:themeTint="9A" w:fill="ABD78C" w:themeFill="accent4" w:themeFillTint="9A"/>
      </w:tcPr>
    </w:tblStylePr>
    <w:tblStylePr w:type="lastRow">
      <w:rPr>
        <w:b/>
        <w:color w:val="404040"/>
      </w:rPr>
      <w:tcPr>
        <w:tcBorders>
          <w:top w:val="single" w:color="ABD78C" w:themeColor="accent4" w:themeTint="9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2F1D8" w:themeColor="accent4" w:themeTint="34" w:fill="E2F1D8" w:themeFill="accent4" w:themeFillTint="34"/>
      </w:tcPr>
    </w:tblStylePr>
    <w:tblStylePr w:type="band1Horz">
      <w:rPr>
        <w:rFonts w:ascii="Arial" w:hAnsi="Arial"/>
        <w:color w:val="404040"/>
        <w:sz w:val="22"/>
      </w:rPr>
      <w:tcPr>
        <w:shd w:val="clear" w:color="E2F1D8" w:themeColor="accent4" w:themeTint="34" w:fill="E2F1D8" w:themeFill="accent4" w:themeFillTint="34"/>
      </w:tcPr>
    </w:tblStylePr>
  </w:style>
  <w:style w:type="table" w:customStyle="1" w:styleId="96">
    <w:name w:val="Grid Table 4 - Accent 5"/>
    <w:basedOn w:val="33"/>
    <w:qFormat/>
    <w:uiPriority w:val="59"/>
    <w:pPr>
      <w:spacing w:after="0" w:line="240" w:lineRule="auto"/>
    </w:pPr>
    <w:tblPr>
      <w:tblBorders>
        <w:top w:val="single" w:color="85E0D8" w:themeColor="accent5" w:themeTint="90" w:sz="4" w:space="0"/>
        <w:left w:val="single" w:color="85E0D8" w:themeColor="accent5" w:themeTint="90" w:sz="4" w:space="0"/>
        <w:bottom w:val="single" w:color="85E0D8" w:themeColor="accent5" w:themeTint="90" w:sz="4" w:space="0"/>
        <w:right w:val="single" w:color="85E0D8" w:themeColor="accent5" w:themeTint="90" w:sz="4" w:space="0"/>
        <w:insideH w:val="single" w:color="85E0D8" w:themeColor="accent5" w:themeTint="90" w:sz="4" w:space="0"/>
        <w:insideV w:val="single" w:color="85E0D8" w:themeColor="accent5" w:themeTint="90" w:sz="4" w:space="0"/>
      </w:tblBorders>
    </w:tblPr>
    <w:tblStylePr w:type="firstRow">
      <w:rPr>
        <w:rFonts w:ascii="Arial" w:hAnsi="Arial"/>
        <w:b/>
        <w:color w:val="FFFFFF"/>
        <w:sz w:val="22"/>
      </w:rPr>
      <w:tcPr>
        <w:tcBorders>
          <w:top w:val="single" w:color="30C0B4" w:themeColor="accent5" w:sz="4" w:space="0"/>
          <w:left w:val="single" w:color="30C0B4" w:themeColor="accent5" w:sz="4" w:space="0"/>
          <w:bottom w:val="single" w:color="30C0B4" w:themeColor="accent5" w:sz="4" w:space="0"/>
          <w:right w:val="single" w:color="30C0B4" w:themeColor="accent5" w:sz="4" w:space="0"/>
        </w:tcBorders>
        <w:shd w:val="clear" w:color="30C0B4" w:themeColor="accent5" w:fill="30C0B4" w:themeFill="accent5"/>
      </w:tcPr>
    </w:tblStylePr>
    <w:tblStylePr w:type="lastRow">
      <w:rPr>
        <w:b/>
        <w:color w:val="404040"/>
      </w:rPr>
      <w:tcPr>
        <w:tcBorders>
          <w:top w:val="single" w:color="30C0B4" w:themeColor="accent5"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2F3F1" w:themeColor="accent5" w:themeTint="34" w:fill="D2F3F1" w:themeFill="accent5" w:themeFillTint="34"/>
      </w:tcPr>
    </w:tblStylePr>
    <w:tblStylePr w:type="band1Horz">
      <w:rPr>
        <w:rFonts w:ascii="Arial" w:hAnsi="Arial"/>
        <w:color w:val="404040"/>
        <w:sz w:val="22"/>
      </w:rPr>
      <w:tcPr>
        <w:shd w:val="clear" w:color="D2F3F1" w:themeColor="accent5" w:themeTint="34" w:fill="D2F3F1" w:themeFill="accent5" w:themeFillTint="34"/>
      </w:tcPr>
    </w:tblStylePr>
  </w:style>
  <w:style w:type="table" w:customStyle="1" w:styleId="97">
    <w:name w:val="Grid Table 4 - Accent 6"/>
    <w:basedOn w:val="33"/>
    <w:qFormat/>
    <w:uiPriority w:val="59"/>
    <w:pPr>
      <w:spacing w:after="0" w:line="240" w:lineRule="auto"/>
    </w:pPr>
    <w:tblPr>
      <w:tblBorders>
        <w:top w:val="single" w:color="F099A4" w:themeColor="accent6" w:themeTint="90" w:sz="4" w:space="0"/>
        <w:left w:val="single" w:color="F099A4" w:themeColor="accent6" w:themeTint="90" w:sz="4" w:space="0"/>
        <w:bottom w:val="single" w:color="F099A4" w:themeColor="accent6" w:themeTint="90" w:sz="4" w:space="0"/>
        <w:right w:val="single" w:color="F099A4" w:themeColor="accent6" w:themeTint="90" w:sz="4" w:space="0"/>
        <w:insideH w:val="single" w:color="F099A4" w:themeColor="accent6" w:themeTint="90" w:sz="4" w:space="0"/>
        <w:insideV w:val="single" w:color="F099A4" w:themeColor="accent6" w:themeTint="90" w:sz="4" w:space="0"/>
      </w:tblBorders>
    </w:tblPr>
    <w:tblStylePr w:type="firstRow">
      <w:rPr>
        <w:rFonts w:ascii="Arial" w:hAnsi="Arial"/>
        <w:b/>
        <w:color w:val="FFFFFF"/>
        <w:sz w:val="22"/>
      </w:rPr>
      <w:tcPr>
        <w:tcBorders>
          <w:top w:val="single" w:color="E54C5E" w:themeColor="accent6" w:sz="4" w:space="0"/>
          <w:left w:val="single" w:color="E54C5E" w:themeColor="accent6" w:sz="4" w:space="0"/>
          <w:bottom w:val="single" w:color="E54C5E" w:themeColor="accent6" w:sz="4" w:space="0"/>
          <w:right w:val="single" w:color="E54C5E" w:themeColor="accent6" w:sz="4" w:space="0"/>
        </w:tcBorders>
        <w:shd w:val="clear" w:color="E54C5E" w:themeColor="accent6" w:fill="E54C5E" w:themeFill="accent6"/>
      </w:tcPr>
    </w:tblStylePr>
    <w:tblStylePr w:type="lastRow">
      <w:rPr>
        <w:b/>
        <w:color w:val="404040"/>
      </w:rPr>
      <w:tcPr>
        <w:tcBorders>
          <w:top w:val="single" w:color="E54C5E" w:themeColor="accent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9DADE" w:themeColor="accent6" w:themeTint="34" w:fill="F9DADE" w:themeFill="accent6" w:themeFillTint="34"/>
      </w:tcPr>
    </w:tblStylePr>
    <w:tblStylePr w:type="band1Horz">
      <w:rPr>
        <w:rFonts w:ascii="Arial" w:hAnsi="Arial"/>
        <w:color w:val="404040"/>
        <w:sz w:val="22"/>
      </w:rPr>
      <w:tcPr>
        <w:shd w:val="clear" w:color="F9DADE" w:themeColor="accent6" w:themeTint="34" w:fill="F9DADE" w:themeFill="accent6" w:themeFillTint="34"/>
      </w:tcPr>
    </w:tblStylePr>
  </w:style>
  <w:style w:type="table" w:customStyle="1" w:styleId="98">
    <w:name w:val="Grid Table 5 Dark"/>
    <w:basedOn w:val="33"/>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000000" w:themeColor="text1" w:fill="000000" w:themeFill="text1"/>
      </w:tcPr>
    </w:tblStylePr>
    <w:tblStylePr w:type="lastRow">
      <w:rPr>
        <w:rFonts w:ascii="Arial" w:hAnsi="Arial"/>
        <w:b/>
        <w:color w:val="FFFFFF"/>
        <w:sz w:val="22"/>
      </w:rPr>
      <w:tcPr>
        <w:tcBorders>
          <w:top w:val="single" w:color="FFFFFF" w:themeColor="light1" w:sz="4" w:space="0"/>
        </w:tcBorders>
        <w:shd w:val="clear" w:color="000000" w:themeColor="text1" w:fill="000000" w:themeFill="text1"/>
      </w:tcPr>
    </w:tblStylePr>
    <w:tblStylePr w:type="firstCol">
      <w:rPr>
        <w:rFonts w:ascii="Arial" w:hAnsi="Arial"/>
        <w:b/>
        <w:color w:val="FFFFFF"/>
        <w:sz w:val="22"/>
      </w:rPr>
      <w:tcPr>
        <w:shd w:val="clear" w:color="000000" w:themeColor="text1" w:fill="000000" w:themeFill="text1"/>
      </w:tcPr>
    </w:tblStylePr>
    <w:tblStylePr w:type="lastCol">
      <w:rPr>
        <w:rFonts w:ascii="Arial" w:hAnsi="Arial"/>
        <w:b/>
        <w:color w:val="FFFFFF"/>
        <w:sz w:val="22"/>
      </w:rPr>
      <w:tcPr>
        <w:shd w:val="clear" w:color="000000" w:themeColor="text1" w:fill="000000" w:themeFill="text1"/>
      </w:tcPr>
    </w:tblStylePr>
    <w:tblStylePr w:type="band1Vert">
      <w:tcPr>
        <w:shd w:val="clear" w:color="898989" w:themeColor="text1" w:themeTint="75" w:fill="898989" w:themeFill="text1" w:themeFillTint="75"/>
      </w:tcPr>
    </w:tblStylePr>
    <w:tblStylePr w:type="band1Horz">
      <w:tcPr>
        <w:shd w:val="clear" w:color="898989" w:themeColor="text1" w:themeTint="75" w:fill="898989" w:themeFill="text1" w:themeFillTint="75"/>
      </w:tcPr>
    </w:tblStylePr>
  </w:style>
  <w:style w:type="table" w:customStyle="1" w:styleId="99">
    <w:name w:val="Grid Table 5 Dark- Accent 1"/>
    <w:basedOn w:val="33"/>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4874CB" w:themeColor="accent1" w:fill="4874CB" w:themeFill="accent1"/>
      </w:tcPr>
    </w:tblStylePr>
    <w:tblStylePr w:type="lastRow">
      <w:rPr>
        <w:rFonts w:ascii="Arial" w:hAnsi="Arial"/>
        <w:b/>
        <w:color w:val="FFFFFF"/>
        <w:sz w:val="22"/>
      </w:rPr>
      <w:tcPr>
        <w:tcBorders>
          <w:top w:val="single" w:color="FFFFFF" w:themeColor="light1" w:sz="4" w:space="0"/>
        </w:tcBorders>
        <w:shd w:val="clear" w:color="4874CB" w:themeColor="accent1" w:fill="4874CB" w:themeFill="accent1"/>
      </w:tcPr>
    </w:tblStylePr>
    <w:tblStylePr w:type="firstCol">
      <w:rPr>
        <w:rFonts w:ascii="Arial" w:hAnsi="Arial"/>
        <w:b/>
        <w:color w:val="FFFFFF"/>
        <w:sz w:val="22"/>
      </w:rPr>
      <w:tcPr>
        <w:shd w:val="clear" w:color="4874CB" w:themeColor="accent1" w:fill="4874CB" w:themeFill="accent1"/>
      </w:tcPr>
    </w:tblStylePr>
    <w:tblStylePr w:type="lastCol">
      <w:rPr>
        <w:rFonts w:ascii="Arial" w:hAnsi="Arial"/>
        <w:b/>
        <w:color w:val="FFFFFF"/>
        <w:sz w:val="22"/>
      </w:rPr>
      <w:tcPr>
        <w:shd w:val="clear" w:color="4874CB" w:themeColor="accent1" w:fill="4874CB" w:themeFill="accent1"/>
      </w:tcPr>
    </w:tblStylePr>
    <w:tblStylePr w:type="band1Vert">
      <w:tcPr>
        <w:shd w:val="clear" w:color="ABBFE7" w:themeColor="accent1" w:themeTint="75" w:fill="ABBFE7" w:themeFill="accent1" w:themeFillTint="75"/>
      </w:tcPr>
    </w:tblStylePr>
    <w:tblStylePr w:type="band1Horz">
      <w:tcPr>
        <w:shd w:val="clear" w:color="ABBFE7" w:themeColor="accent1" w:themeTint="75" w:fill="ABBFE7" w:themeFill="accent1" w:themeFillTint="75"/>
      </w:tcPr>
    </w:tblStylePr>
  </w:style>
  <w:style w:type="table" w:customStyle="1" w:styleId="100">
    <w:name w:val="Grid Table 5 Dark - Accent 2"/>
    <w:basedOn w:val="33"/>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EE822F" w:themeColor="accent2" w:fill="EE822F" w:themeFill="accent2"/>
      </w:tcPr>
    </w:tblStylePr>
    <w:tblStylePr w:type="lastRow">
      <w:rPr>
        <w:rFonts w:ascii="Arial" w:hAnsi="Arial"/>
        <w:b/>
        <w:color w:val="FFFFFF"/>
        <w:sz w:val="22"/>
      </w:rPr>
      <w:tcPr>
        <w:tcBorders>
          <w:top w:val="single" w:color="FFFFFF" w:themeColor="light1" w:sz="4" w:space="0"/>
        </w:tcBorders>
        <w:shd w:val="clear" w:color="EE822F" w:themeColor="accent2" w:fill="EE822F" w:themeFill="accent2"/>
      </w:tcPr>
    </w:tblStylePr>
    <w:tblStylePr w:type="firstCol">
      <w:rPr>
        <w:rFonts w:ascii="Arial" w:hAnsi="Arial"/>
        <w:b/>
        <w:color w:val="FFFFFF"/>
        <w:sz w:val="22"/>
      </w:rPr>
      <w:tcPr>
        <w:shd w:val="clear" w:color="EE822F" w:themeColor="accent2" w:fill="EE822F" w:themeFill="accent2"/>
      </w:tcPr>
    </w:tblStylePr>
    <w:tblStylePr w:type="lastCol">
      <w:rPr>
        <w:rFonts w:ascii="Arial" w:hAnsi="Arial"/>
        <w:b/>
        <w:color w:val="FFFFFF"/>
        <w:sz w:val="22"/>
      </w:rPr>
      <w:tcPr>
        <w:shd w:val="clear" w:color="EE822F" w:themeColor="accent2" w:fill="EE822F" w:themeFill="accent2"/>
      </w:tcPr>
    </w:tblStylePr>
    <w:tblStylePr w:type="band1Vert">
      <w:tcPr>
        <w:shd w:val="clear" w:color="F7C59F" w:themeColor="accent2" w:themeTint="75" w:fill="F7C59F" w:themeFill="accent2" w:themeFillTint="75"/>
      </w:tcPr>
    </w:tblStylePr>
    <w:tblStylePr w:type="band1Horz">
      <w:tcPr>
        <w:shd w:val="clear" w:color="F7C59F" w:themeColor="accent2" w:themeTint="75" w:fill="F7C59F" w:themeFill="accent2" w:themeFillTint="75"/>
      </w:tcPr>
    </w:tblStylePr>
  </w:style>
  <w:style w:type="table" w:customStyle="1" w:styleId="101">
    <w:name w:val="Grid Table 5 Dark - Accent 3"/>
    <w:basedOn w:val="33"/>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2BA02" w:themeColor="accent3" w:fill="F2BA02" w:themeFill="accent3"/>
      </w:tcPr>
    </w:tblStylePr>
    <w:tblStylePr w:type="lastRow">
      <w:rPr>
        <w:rFonts w:ascii="Arial" w:hAnsi="Arial"/>
        <w:b/>
        <w:color w:val="FFFFFF"/>
        <w:sz w:val="22"/>
      </w:rPr>
      <w:tcPr>
        <w:tcBorders>
          <w:top w:val="single" w:color="FFFFFF" w:themeColor="light1" w:sz="4" w:space="0"/>
        </w:tcBorders>
        <w:shd w:val="clear" w:color="F2BA02" w:themeColor="accent3" w:fill="F2BA02" w:themeFill="accent3"/>
      </w:tcPr>
    </w:tblStylePr>
    <w:tblStylePr w:type="firstCol">
      <w:rPr>
        <w:rFonts w:ascii="Arial" w:hAnsi="Arial"/>
        <w:b/>
        <w:color w:val="FFFFFF"/>
        <w:sz w:val="22"/>
      </w:rPr>
      <w:tcPr>
        <w:shd w:val="clear" w:color="F2BA02" w:themeColor="accent3" w:fill="F2BA02" w:themeFill="accent3"/>
      </w:tcPr>
    </w:tblStylePr>
    <w:tblStylePr w:type="lastCol">
      <w:rPr>
        <w:rFonts w:ascii="Arial" w:hAnsi="Arial"/>
        <w:b/>
        <w:color w:val="FFFFFF"/>
        <w:sz w:val="22"/>
      </w:rPr>
      <w:tcPr>
        <w:shd w:val="clear" w:color="F2BA02" w:themeColor="accent3" w:fill="F2BA02" w:themeFill="accent3"/>
      </w:tcPr>
    </w:tblStylePr>
    <w:tblStylePr w:type="band1Vert">
      <w:tcPr>
        <w:shd w:val="clear" w:color="FDE185" w:themeColor="accent3" w:themeTint="75" w:fill="FDE185" w:themeFill="accent3" w:themeFillTint="75"/>
      </w:tcPr>
    </w:tblStylePr>
    <w:tblStylePr w:type="band1Horz">
      <w:tcPr>
        <w:shd w:val="clear" w:color="FDE185" w:themeColor="accent3" w:themeTint="75" w:fill="FDE185" w:themeFill="accent3" w:themeFillTint="75"/>
      </w:tcPr>
    </w:tblStylePr>
  </w:style>
  <w:style w:type="table" w:customStyle="1" w:styleId="102">
    <w:name w:val="Grid Table 5 Dark- Accent 4"/>
    <w:basedOn w:val="33"/>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75BD42" w:themeColor="accent4" w:fill="75BD42" w:themeFill="accent4"/>
      </w:tcPr>
    </w:tblStylePr>
    <w:tblStylePr w:type="lastRow">
      <w:rPr>
        <w:rFonts w:ascii="Arial" w:hAnsi="Arial"/>
        <w:b/>
        <w:color w:val="FFFFFF"/>
        <w:sz w:val="22"/>
      </w:rPr>
      <w:tcPr>
        <w:tcBorders>
          <w:top w:val="single" w:color="FFFFFF" w:themeColor="light1" w:sz="4" w:space="0"/>
        </w:tcBorders>
        <w:shd w:val="clear" w:color="75BD42" w:themeColor="accent4" w:fill="75BD42" w:themeFill="accent4"/>
      </w:tcPr>
    </w:tblStylePr>
    <w:tblStylePr w:type="firstCol">
      <w:rPr>
        <w:rFonts w:ascii="Arial" w:hAnsi="Arial"/>
        <w:b/>
        <w:color w:val="FFFFFF"/>
        <w:sz w:val="22"/>
      </w:rPr>
      <w:tcPr>
        <w:shd w:val="clear" w:color="75BD42" w:themeColor="accent4" w:fill="75BD42" w:themeFill="accent4"/>
      </w:tcPr>
    </w:tblStylePr>
    <w:tblStylePr w:type="lastCol">
      <w:rPr>
        <w:rFonts w:ascii="Arial" w:hAnsi="Arial"/>
        <w:b/>
        <w:color w:val="FFFFFF"/>
        <w:sz w:val="22"/>
      </w:rPr>
      <w:tcPr>
        <w:shd w:val="clear" w:color="75BD42" w:themeColor="accent4" w:fill="75BD42" w:themeFill="accent4"/>
      </w:tcPr>
    </w:tblStylePr>
    <w:tblStylePr w:type="band1Vert">
      <w:tcPr>
        <w:shd w:val="clear" w:color="BFE0A8" w:themeColor="accent4" w:themeTint="75" w:fill="BFE0A8" w:themeFill="accent4" w:themeFillTint="75"/>
      </w:tcPr>
    </w:tblStylePr>
    <w:tblStylePr w:type="band1Horz">
      <w:tcPr>
        <w:shd w:val="clear" w:color="BFE0A8" w:themeColor="accent4" w:themeTint="75" w:fill="BFE0A8" w:themeFill="accent4" w:themeFillTint="75"/>
      </w:tcPr>
    </w:tblStylePr>
  </w:style>
  <w:style w:type="table" w:customStyle="1" w:styleId="103">
    <w:name w:val="Grid Table 5 Dark - Accent 5"/>
    <w:basedOn w:val="33"/>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30C0B4" w:themeColor="accent5" w:fill="30C0B4" w:themeFill="accent5"/>
      </w:tcPr>
    </w:tblStylePr>
    <w:tblStylePr w:type="lastRow">
      <w:rPr>
        <w:rFonts w:ascii="Arial" w:hAnsi="Arial"/>
        <w:b/>
        <w:color w:val="FFFFFF"/>
        <w:sz w:val="22"/>
      </w:rPr>
      <w:tcPr>
        <w:tcBorders>
          <w:top w:val="single" w:color="FFFFFF" w:themeColor="light1" w:sz="4" w:space="0"/>
        </w:tcBorders>
        <w:shd w:val="clear" w:color="30C0B4" w:themeColor="accent5" w:fill="30C0B4" w:themeFill="accent5"/>
      </w:tcPr>
    </w:tblStylePr>
    <w:tblStylePr w:type="firstCol">
      <w:rPr>
        <w:rFonts w:ascii="Arial" w:hAnsi="Arial"/>
        <w:b/>
        <w:color w:val="FFFFFF"/>
        <w:sz w:val="22"/>
      </w:rPr>
      <w:tcPr>
        <w:shd w:val="clear" w:color="30C0B4" w:themeColor="accent5" w:fill="30C0B4" w:themeFill="accent5"/>
      </w:tcPr>
    </w:tblStylePr>
    <w:tblStylePr w:type="lastCol">
      <w:rPr>
        <w:rFonts w:ascii="Arial" w:hAnsi="Arial"/>
        <w:b/>
        <w:color w:val="FFFFFF"/>
        <w:sz w:val="22"/>
      </w:rPr>
      <w:tcPr>
        <w:shd w:val="clear" w:color="30C0B4" w:themeColor="accent5" w:fill="30C0B4" w:themeFill="accent5"/>
      </w:tcPr>
    </w:tblStylePr>
    <w:tblStylePr w:type="band1Vert">
      <w:tcPr>
        <w:shd w:val="clear" w:color="9BE6E0" w:themeColor="accent5" w:themeTint="75" w:fill="9BE6E0" w:themeFill="accent5" w:themeFillTint="75"/>
      </w:tcPr>
    </w:tblStylePr>
    <w:tblStylePr w:type="band1Horz">
      <w:tcPr>
        <w:shd w:val="clear" w:color="9BE6E0" w:themeColor="accent5" w:themeTint="75" w:fill="9BE6E0" w:themeFill="accent5" w:themeFillTint="75"/>
      </w:tcPr>
    </w:tblStylePr>
  </w:style>
  <w:style w:type="table" w:customStyle="1" w:styleId="104">
    <w:name w:val="Grid Table 5 Dark - Accent 6"/>
    <w:basedOn w:val="33"/>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E54C5E" w:themeColor="accent6" w:fill="E54C5E" w:themeFill="accent6"/>
      </w:tcPr>
    </w:tblStylePr>
    <w:tblStylePr w:type="lastRow">
      <w:rPr>
        <w:rFonts w:ascii="Arial" w:hAnsi="Arial"/>
        <w:b/>
        <w:color w:val="FFFFFF"/>
        <w:sz w:val="22"/>
      </w:rPr>
      <w:tcPr>
        <w:tcBorders>
          <w:top w:val="single" w:color="FFFFFF" w:themeColor="light1" w:sz="4" w:space="0"/>
        </w:tcBorders>
        <w:shd w:val="clear" w:color="E54C5E" w:themeColor="accent6" w:fill="E54C5E" w:themeFill="accent6"/>
      </w:tcPr>
    </w:tblStylePr>
    <w:tblStylePr w:type="firstCol">
      <w:rPr>
        <w:rFonts w:ascii="Arial" w:hAnsi="Arial"/>
        <w:b/>
        <w:color w:val="FFFFFF"/>
        <w:sz w:val="22"/>
      </w:rPr>
      <w:tcPr>
        <w:shd w:val="clear" w:color="E54C5E" w:themeColor="accent6" w:fill="E54C5E" w:themeFill="accent6"/>
      </w:tcPr>
    </w:tblStylePr>
    <w:tblStylePr w:type="lastCol">
      <w:rPr>
        <w:rFonts w:ascii="Arial" w:hAnsi="Arial"/>
        <w:b/>
        <w:color w:val="FFFFFF"/>
        <w:sz w:val="22"/>
      </w:rPr>
      <w:tcPr>
        <w:shd w:val="clear" w:color="E54C5E" w:themeColor="accent6" w:fill="E54C5E" w:themeFill="accent6"/>
      </w:tcPr>
    </w:tblStylePr>
    <w:tblStylePr w:type="band1Vert">
      <w:tcPr>
        <w:shd w:val="clear" w:color="F3ACB5" w:themeColor="accent6" w:themeTint="75" w:fill="F3ACB5" w:themeFill="accent6" w:themeFillTint="75"/>
      </w:tcPr>
    </w:tblStylePr>
    <w:tblStylePr w:type="band1Horz">
      <w:tcPr>
        <w:shd w:val="clear" w:color="F3ACB5" w:themeColor="accent6" w:themeTint="75" w:fill="F3ACB5" w:themeFill="accent6" w:themeFillTint="75"/>
      </w:tcPr>
    </w:tblStylePr>
  </w:style>
  <w:style w:type="table" w:customStyle="1" w:styleId="105">
    <w:name w:val="Grid Table 6 Colorful"/>
    <w:basedOn w:val="33"/>
    <w:qFormat/>
    <w:uiPriority w:val="99"/>
    <w:pPr>
      <w:spacing w:after="0" w:line="240" w:lineRule="auto"/>
    </w:pPr>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b/>
        <w:color w:val="808080" w:themeColor="text1" w:themeTint="80"/>
        <w14:textFill>
          <w14:solidFill>
            <w14:schemeClr w14:val="tx1">
              <w14:lumMod w14:val="50000"/>
              <w14:lumOff w14:val="50000"/>
            </w14:schemeClr>
          </w14:solidFill>
        </w14:textFill>
      </w:rPr>
      <w:tcPr>
        <w:tcBorders>
          <w:bottom w:val="single" w:color="7E7E7E" w:themeColor="text1" w:themeTint="80" w:sz="12" w:space="0"/>
        </w:tcBorders>
      </w:tcPr>
    </w:tblStylePr>
    <w:tblStylePr w:type="lastRow">
      <w:rPr>
        <w:b/>
        <w:color w:val="808080" w:themeColor="text1" w:themeTint="80"/>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lastCol">
      <w:rPr>
        <w:b/>
        <w:color w:val="808080" w:themeColor="text1" w:themeTint="80"/>
        <w14:textFill>
          <w14:solidFill>
            <w14:schemeClr w14:val="tx1">
              <w14:lumMod w14:val="50000"/>
              <w14:lumOff w14:val="50000"/>
            </w14:schemeClr>
          </w14:solidFill>
        </w14:textFill>
      </w:rPr>
    </w:tblStylePr>
    <w:tblStylePr w:type="band1Vert">
      <w:tcPr>
        <w:shd w:val="clear" w:color="CACACA" w:themeColor="text1" w:themeTint="34" w:fill="CACACA" w:themeFill="text1" w:themeFillTint="34"/>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themeColor="text1" w:themeTint="34" w:fill="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06">
    <w:name w:val="Grid Table 6 Colorful - Accent 1"/>
    <w:basedOn w:val="33"/>
    <w:qFormat/>
    <w:uiPriority w:val="99"/>
    <w:pPr>
      <w:spacing w:after="0" w:line="240" w:lineRule="auto"/>
    </w:pPr>
    <w:tblPr>
      <w:tblBorders>
        <w:top w:val="single" w:color="A3B9E4" w:themeColor="accent1" w:themeTint="80" w:sz="4" w:space="0"/>
        <w:left w:val="single" w:color="A3B9E4" w:themeColor="accent1" w:themeTint="80" w:sz="4" w:space="0"/>
        <w:bottom w:val="single" w:color="A3B9E4" w:themeColor="accent1" w:themeTint="80" w:sz="4" w:space="0"/>
        <w:right w:val="single" w:color="A3B9E4" w:themeColor="accent1" w:themeTint="80" w:sz="4" w:space="0"/>
        <w:insideH w:val="single" w:color="A3B9E4" w:themeColor="accent1" w:themeTint="80" w:sz="4" w:space="0"/>
        <w:insideV w:val="single" w:color="A3B9E4" w:themeColor="accent1" w:themeTint="80" w:sz="4" w:space="0"/>
      </w:tblBorders>
    </w:tblPr>
    <w:tblStylePr w:type="firstRow">
      <w:rPr>
        <w:b/>
        <w:color w:val="A4BAE5" w:themeColor="accent1" w:themeTint="80"/>
        <w14:textFill>
          <w14:solidFill>
            <w14:schemeClr w14:val="accent1">
              <w14:lumMod w14:val="50000"/>
              <w14:lumOff w14:val="50000"/>
            </w14:schemeClr>
          </w14:solidFill>
        </w14:textFill>
      </w:rPr>
      <w:tcPr>
        <w:tcBorders>
          <w:bottom w:val="single" w:color="A3B9E4" w:themeColor="accent1" w:themeTint="80" w:sz="12" w:space="0"/>
        </w:tcBorders>
      </w:tcPr>
    </w:tblStylePr>
    <w:tblStylePr w:type="lastRow">
      <w:rPr>
        <w:b/>
        <w:color w:val="A4BAE5" w:themeColor="accent1" w:themeTint="80"/>
        <w14:textFill>
          <w14:solidFill>
            <w14:schemeClr w14:val="accent1">
              <w14:lumMod w14:val="50000"/>
              <w14:lumOff w14:val="50000"/>
            </w14:schemeClr>
          </w14:solidFill>
        </w14:textFill>
      </w:rPr>
    </w:tblStylePr>
    <w:tblStylePr w:type="firstCol">
      <w:rPr>
        <w:b/>
        <w:color w:val="A4BAE5" w:themeColor="accent1" w:themeTint="80"/>
        <w14:textFill>
          <w14:solidFill>
            <w14:schemeClr w14:val="accent1">
              <w14:lumMod w14:val="50000"/>
              <w14:lumOff w14:val="50000"/>
            </w14:schemeClr>
          </w14:solidFill>
        </w14:textFill>
      </w:rPr>
    </w:tblStylePr>
    <w:tblStylePr w:type="lastCol">
      <w:rPr>
        <w:b/>
        <w:color w:val="A4BAE5" w:themeColor="accent1" w:themeTint="80"/>
        <w14:textFill>
          <w14:solidFill>
            <w14:schemeClr w14:val="accent1">
              <w14:lumMod w14:val="50000"/>
              <w14:lumOff w14:val="50000"/>
            </w14:schemeClr>
          </w14:solidFill>
        </w14:textFill>
      </w:rPr>
    </w:tblStylePr>
    <w:tblStylePr w:type="band1Vert">
      <w:tcPr>
        <w:shd w:val="clear" w:color="D9E2F4" w:themeColor="accent1" w:themeTint="34" w:fill="D9E2F4" w:themeFill="accent1" w:themeFillTint="34"/>
      </w:tcPr>
    </w:tblStylePr>
    <w:tblStylePr w:type="band1Horz">
      <w:rPr>
        <w:rFonts w:ascii="Arial" w:hAnsi="Arial"/>
        <w:color w:val="A4BAE5" w:themeColor="accent1" w:themeTint="80"/>
        <w:sz w:val="22"/>
        <w14:textFill>
          <w14:solidFill>
            <w14:schemeClr w14:val="accent1">
              <w14:lumMod w14:val="50000"/>
              <w14:lumOff w14:val="50000"/>
            </w14:schemeClr>
          </w14:solidFill>
        </w14:textFill>
      </w:rPr>
      <w:tcPr>
        <w:shd w:val="clear" w:color="D9E2F4" w:themeColor="accent1" w:themeTint="34" w:fill="D9E2F4" w:themeFill="accent1" w:themeFillTint="34"/>
      </w:tcPr>
    </w:tblStylePr>
    <w:tblStylePr w:type="band2Horz">
      <w:rPr>
        <w:rFonts w:ascii="Arial" w:hAnsi="Arial"/>
        <w:color w:val="A4BAE5" w:themeColor="accent1" w:themeTint="80"/>
        <w:sz w:val="22"/>
        <w14:textFill>
          <w14:solidFill>
            <w14:schemeClr w14:val="accent1">
              <w14:lumMod w14:val="50000"/>
              <w14:lumOff w14:val="50000"/>
            </w14:schemeClr>
          </w14:solidFill>
        </w14:textFill>
      </w:rPr>
    </w:tblStylePr>
  </w:style>
  <w:style w:type="table" w:customStyle="1" w:styleId="107">
    <w:name w:val="Grid Table 6 Colorful - Accent 2"/>
    <w:basedOn w:val="33"/>
    <w:qFormat/>
    <w:uiPriority w:val="99"/>
    <w:pPr>
      <w:spacing w:after="0" w:line="240" w:lineRule="auto"/>
    </w:pPr>
    <w:tblPr>
      <w:tblBorders>
        <w:top w:val="single" w:color="F4B483" w:themeColor="accent2" w:themeTint="97" w:sz="4" w:space="0"/>
        <w:left w:val="single" w:color="F4B483" w:themeColor="accent2" w:themeTint="97" w:sz="4" w:space="0"/>
        <w:bottom w:val="single" w:color="F4B483" w:themeColor="accent2" w:themeTint="97" w:sz="4" w:space="0"/>
        <w:right w:val="single" w:color="F4B483" w:themeColor="accent2" w:themeTint="97" w:sz="4" w:space="0"/>
        <w:insideH w:val="single" w:color="F4B483" w:themeColor="accent2" w:themeTint="97" w:sz="4" w:space="0"/>
        <w:insideV w:val="single" w:color="F4B483" w:themeColor="accent2" w:themeTint="97" w:sz="4" w:space="0"/>
      </w:tblBorders>
    </w:tblPr>
    <w:tblStylePr w:type="firstRow">
      <w:rPr>
        <w:b/>
        <w:color w:val="F5B584" w:themeColor="accent2" w:themeTint="96"/>
        <w14:textFill>
          <w14:solidFill>
            <w14:schemeClr w14:val="accent2">
              <w14:lumMod w14:val="59000"/>
              <w14:lumOff w14:val="41000"/>
            </w14:schemeClr>
          </w14:solidFill>
        </w14:textFill>
      </w:rPr>
      <w:tcPr>
        <w:tcBorders>
          <w:bottom w:val="single" w:color="F4B483" w:themeColor="accent2" w:themeTint="97" w:sz="12" w:space="0"/>
        </w:tcBorders>
      </w:tcPr>
    </w:tblStylePr>
    <w:tblStylePr w:type="lastRow">
      <w:rPr>
        <w:b/>
        <w:color w:val="F5B584" w:themeColor="accent2" w:themeTint="96"/>
        <w14:textFill>
          <w14:solidFill>
            <w14:schemeClr w14:val="accent2">
              <w14:lumMod w14:val="59000"/>
              <w14:lumOff w14:val="41000"/>
            </w14:schemeClr>
          </w14:solidFill>
        </w14:textFill>
      </w:rPr>
    </w:tblStylePr>
    <w:tblStylePr w:type="firstCol">
      <w:rPr>
        <w:b/>
        <w:color w:val="F5B584" w:themeColor="accent2" w:themeTint="96"/>
        <w14:textFill>
          <w14:solidFill>
            <w14:schemeClr w14:val="accent2">
              <w14:lumMod w14:val="59000"/>
              <w14:lumOff w14:val="41000"/>
            </w14:schemeClr>
          </w14:solidFill>
        </w14:textFill>
      </w:rPr>
    </w:tblStylePr>
    <w:tblStylePr w:type="lastCol">
      <w:rPr>
        <w:b/>
        <w:color w:val="F5B584" w:themeColor="accent2" w:themeTint="96"/>
        <w14:textFill>
          <w14:solidFill>
            <w14:schemeClr w14:val="accent2">
              <w14:lumMod w14:val="59000"/>
              <w14:lumOff w14:val="41000"/>
            </w14:schemeClr>
          </w14:solidFill>
        </w14:textFill>
      </w:rPr>
    </w:tblStylePr>
    <w:tblStylePr w:type="band1Vert">
      <w:tcPr>
        <w:shd w:val="clear" w:color="FBE6D6" w:themeColor="accent2" w:themeTint="32" w:fill="FBE6D6" w:themeFill="accent2" w:themeFillTint="32"/>
      </w:tcPr>
    </w:tblStylePr>
    <w:tblStylePr w:type="band1Horz">
      <w:rPr>
        <w:rFonts w:ascii="Arial" w:hAnsi="Arial"/>
        <w:color w:val="F5B584" w:themeColor="accent2" w:themeTint="96"/>
        <w:sz w:val="22"/>
        <w14:textFill>
          <w14:solidFill>
            <w14:schemeClr w14:val="accent2">
              <w14:lumMod w14:val="59000"/>
              <w14:lumOff w14:val="41000"/>
            </w14:schemeClr>
          </w14:solidFill>
        </w14:textFill>
      </w:rPr>
      <w:tcPr>
        <w:shd w:val="clear" w:color="FBE6D6" w:themeColor="accent2" w:themeTint="32" w:fill="FBE6D6" w:themeFill="accent2" w:themeFillTint="32"/>
      </w:tcPr>
    </w:tblStylePr>
    <w:tblStylePr w:type="band2Horz">
      <w:rPr>
        <w:rFonts w:ascii="Arial" w:hAnsi="Arial"/>
        <w:color w:val="F5B584" w:themeColor="accent2" w:themeTint="96"/>
        <w:sz w:val="22"/>
        <w14:textFill>
          <w14:solidFill>
            <w14:schemeClr w14:val="accent2">
              <w14:lumMod w14:val="59000"/>
              <w14:lumOff w14:val="41000"/>
            </w14:schemeClr>
          </w14:solidFill>
        </w14:textFill>
      </w:rPr>
    </w:tblStylePr>
  </w:style>
  <w:style w:type="table" w:customStyle="1" w:styleId="108">
    <w:name w:val="Grid Table 6 Colorful - Accent 3"/>
    <w:basedOn w:val="33"/>
    <w:qFormat/>
    <w:uiPriority w:val="99"/>
    <w:pPr>
      <w:spacing w:after="0" w:line="240" w:lineRule="auto"/>
    </w:pPr>
    <w:tblPr>
      <w:tblBorders>
        <w:top w:val="single" w:color="F3BA02" w:themeColor="accent3" w:themeTint="FE" w:sz="4" w:space="0"/>
        <w:left w:val="single" w:color="F3BA02" w:themeColor="accent3" w:themeTint="FE" w:sz="4" w:space="0"/>
        <w:bottom w:val="single" w:color="F3BA02" w:themeColor="accent3" w:themeTint="FE" w:sz="4" w:space="0"/>
        <w:right w:val="single" w:color="F3BA02" w:themeColor="accent3" w:themeTint="FE" w:sz="4" w:space="0"/>
        <w:insideH w:val="single" w:color="F3BA02" w:themeColor="accent3" w:themeTint="FE" w:sz="4" w:space="0"/>
        <w:insideV w:val="single" w:color="F3BA02" w:themeColor="accent3" w:themeTint="FE" w:sz="4" w:space="0"/>
      </w:tblBorders>
    </w:tblPr>
    <w:tblStylePr w:type="firstRow">
      <w:rPr>
        <w:b/>
        <w:color w:val="F2BA02" w:themeColor="accent3" w:themeTint="FF"/>
        <w14:textFill>
          <w14:solidFill>
            <w14:schemeClr w14:val="accent3">
              <w14:lumMod w14:val="100000"/>
              <w14:lumOff w14:val="0"/>
            </w14:schemeClr>
          </w14:solidFill>
        </w14:textFill>
      </w:rPr>
      <w:tcPr>
        <w:tcBorders>
          <w:bottom w:val="single" w:color="F3BA02" w:themeColor="accent3" w:themeTint="FE" w:sz="12" w:space="0"/>
        </w:tcBorders>
      </w:tcPr>
    </w:tblStylePr>
    <w:tblStylePr w:type="lastRow">
      <w:rPr>
        <w:b/>
        <w:color w:val="F2BA02" w:themeColor="accent3" w:themeTint="FF"/>
        <w14:textFill>
          <w14:solidFill>
            <w14:schemeClr w14:val="accent3">
              <w14:lumMod w14:val="100000"/>
              <w14:lumOff w14:val="0"/>
            </w14:schemeClr>
          </w14:solidFill>
        </w14:textFill>
      </w:rPr>
    </w:tblStylePr>
    <w:tblStylePr w:type="firstCol">
      <w:rPr>
        <w:b/>
        <w:color w:val="F2BA02" w:themeColor="accent3" w:themeTint="FF"/>
        <w14:textFill>
          <w14:solidFill>
            <w14:schemeClr w14:val="accent3">
              <w14:lumMod w14:val="100000"/>
              <w14:lumOff w14:val="0"/>
            </w14:schemeClr>
          </w14:solidFill>
        </w14:textFill>
      </w:rPr>
    </w:tblStylePr>
    <w:tblStylePr w:type="lastCol">
      <w:rPr>
        <w:b/>
        <w:color w:val="F2BA02" w:themeColor="accent3" w:themeTint="FF"/>
        <w14:textFill>
          <w14:solidFill>
            <w14:schemeClr w14:val="accent3">
              <w14:lumMod w14:val="100000"/>
              <w14:lumOff w14:val="0"/>
            </w14:schemeClr>
          </w14:solidFill>
        </w14:textFill>
      </w:rPr>
    </w:tblStylePr>
    <w:tblStylePr w:type="band1Vert">
      <w:tcPr>
        <w:shd w:val="clear" w:color="FEF2C9" w:themeColor="accent3" w:themeTint="34" w:fill="FEF2C9" w:themeFill="accent3" w:themeFillTint="34"/>
      </w:tcPr>
    </w:tblStylePr>
    <w:tblStylePr w:type="band1Horz">
      <w:rPr>
        <w:rFonts w:ascii="Arial" w:hAnsi="Arial"/>
        <w:color w:val="F2BA02" w:themeColor="accent3" w:themeTint="FF"/>
        <w:sz w:val="22"/>
        <w14:textFill>
          <w14:solidFill>
            <w14:schemeClr w14:val="accent3">
              <w14:lumMod w14:val="100000"/>
              <w14:lumOff w14:val="0"/>
            </w14:schemeClr>
          </w14:solidFill>
        </w14:textFill>
      </w:rPr>
      <w:tcPr>
        <w:shd w:val="clear" w:color="FEF2C9" w:themeColor="accent3" w:themeTint="34" w:fill="FEF2C9" w:themeFill="accent3" w:themeFillTint="34"/>
      </w:tcPr>
    </w:tblStylePr>
    <w:tblStylePr w:type="band2Horz">
      <w:rPr>
        <w:rFonts w:ascii="Arial" w:hAnsi="Arial"/>
        <w:color w:val="F2BA02" w:themeColor="accent3" w:themeTint="FF"/>
        <w:sz w:val="22"/>
        <w14:textFill>
          <w14:solidFill>
            <w14:schemeClr w14:val="accent3">
              <w14:lumMod w14:val="100000"/>
              <w14:lumOff w14:val="0"/>
            </w14:schemeClr>
          </w14:solidFill>
        </w14:textFill>
      </w:rPr>
    </w:tblStylePr>
  </w:style>
  <w:style w:type="table" w:customStyle="1" w:styleId="109">
    <w:name w:val="Grid Table 6 Colorful - Accent 4"/>
    <w:basedOn w:val="33"/>
    <w:qFormat/>
    <w:uiPriority w:val="99"/>
    <w:pPr>
      <w:spacing w:after="0" w:line="240" w:lineRule="auto"/>
    </w:pPr>
    <w:tblPr>
      <w:tblBorders>
        <w:top w:val="single" w:color="ABD78C" w:themeColor="accent4" w:themeTint="9A" w:sz="4" w:space="0"/>
        <w:left w:val="single" w:color="ABD78C" w:themeColor="accent4" w:themeTint="9A" w:sz="4" w:space="0"/>
        <w:bottom w:val="single" w:color="ABD78C" w:themeColor="accent4" w:themeTint="9A" w:sz="4" w:space="0"/>
        <w:right w:val="single" w:color="ABD78C" w:themeColor="accent4" w:themeTint="9A" w:sz="4" w:space="0"/>
        <w:insideH w:val="single" w:color="ABD78C" w:themeColor="accent4" w:themeTint="9A" w:sz="4" w:space="0"/>
        <w:insideV w:val="single" w:color="ABD78C" w:themeColor="accent4" w:themeTint="9A" w:sz="4" w:space="0"/>
      </w:tblBorders>
    </w:tblPr>
    <w:tblStylePr w:type="firstRow">
      <w:rPr>
        <w:b/>
        <w:color w:val="ACD78E" w:themeColor="accent4" w:themeTint="99"/>
        <w14:textFill>
          <w14:solidFill>
            <w14:schemeClr w14:val="accent4">
              <w14:lumMod w14:val="60000"/>
              <w14:lumOff w14:val="40000"/>
            </w14:schemeClr>
          </w14:solidFill>
        </w14:textFill>
      </w:rPr>
      <w:tcPr>
        <w:tcBorders>
          <w:bottom w:val="single" w:color="ABD78C" w:themeColor="accent4" w:themeTint="9A" w:sz="12" w:space="0"/>
        </w:tcBorders>
      </w:tcPr>
    </w:tblStylePr>
    <w:tblStylePr w:type="lastRow">
      <w:rPr>
        <w:b/>
        <w:color w:val="ACD78E" w:themeColor="accent4" w:themeTint="99"/>
        <w14:textFill>
          <w14:solidFill>
            <w14:schemeClr w14:val="accent4">
              <w14:lumMod w14:val="60000"/>
              <w14:lumOff w14:val="40000"/>
            </w14:schemeClr>
          </w14:solidFill>
        </w14:textFill>
      </w:rPr>
    </w:tblStylePr>
    <w:tblStylePr w:type="firstCol">
      <w:rPr>
        <w:b/>
        <w:color w:val="ACD78E" w:themeColor="accent4" w:themeTint="99"/>
        <w14:textFill>
          <w14:solidFill>
            <w14:schemeClr w14:val="accent4">
              <w14:lumMod w14:val="60000"/>
              <w14:lumOff w14:val="40000"/>
            </w14:schemeClr>
          </w14:solidFill>
        </w14:textFill>
      </w:rPr>
    </w:tblStylePr>
    <w:tblStylePr w:type="lastCol">
      <w:rPr>
        <w:b/>
        <w:color w:val="ACD78E" w:themeColor="accent4" w:themeTint="99"/>
        <w14:textFill>
          <w14:solidFill>
            <w14:schemeClr w14:val="accent4">
              <w14:lumMod w14:val="60000"/>
              <w14:lumOff w14:val="40000"/>
            </w14:schemeClr>
          </w14:solidFill>
        </w14:textFill>
      </w:rPr>
    </w:tblStylePr>
    <w:tblStylePr w:type="band1Vert">
      <w:tcPr>
        <w:shd w:val="clear" w:color="E2F1D8" w:themeColor="accent4" w:themeTint="34" w:fill="E2F1D8" w:themeFill="accent4" w:themeFillTint="34"/>
      </w:tcPr>
    </w:tblStylePr>
    <w:tblStylePr w:type="band1Horz">
      <w:rPr>
        <w:rFonts w:ascii="Arial" w:hAnsi="Arial"/>
        <w:color w:val="ACD78E" w:themeColor="accent4" w:themeTint="99"/>
        <w:sz w:val="22"/>
        <w14:textFill>
          <w14:solidFill>
            <w14:schemeClr w14:val="accent4">
              <w14:lumMod w14:val="60000"/>
              <w14:lumOff w14:val="40000"/>
            </w14:schemeClr>
          </w14:solidFill>
        </w14:textFill>
      </w:rPr>
      <w:tcPr>
        <w:shd w:val="clear" w:color="E2F1D8" w:themeColor="accent4" w:themeTint="34" w:fill="E2F1D8" w:themeFill="accent4" w:themeFillTint="34"/>
      </w:tcPr>
    </w:tblStylePr>
    <w:tblStylePr w:type="band2Horz">
      <w:rPr>
        <w:rFonts w:ascii="Arial" w:hAnsi="Arial"/>
        <w:color w:val="ACD78E" w:themeColor="accent4" w:themeTint="99"/>
        <w:sz w:val="22"/>
        <w14:textFill>
          <w14:solidFill>
            <w14:schemeClr w14:val="accent4">
              <w14:lumMod w14:val="60000"/>
              <w14:lumOff w14:val="40000"/>
            </w14:schemeClr>
          </w14:solidFill>
        </w14:textFill>
      </w:rPr>
    </w:tblStylePr>
  </w:style>
  <w:style w:type="table" w:customStyle="1" w:styleId="110">
    <w:name w:val="Grid Table 6 Colorful - Accent 5"/>
    <w:basedOn w:val="33"/>
    <w:qFormat/>
    <w:uiPriority w:val="99"/>
    <w:pPr>
      <w:spacing w:after="0" w:line="240" w:lineRule="auto"/>
    </w:pPr>
    <w:tblPr>
      <w:tblBorders>
        <w:top w:val="single" w:color="30C0B4" w:themeColor="accent5" w:sz="4" w:space="0"/>
        <w:left w:val="single" w:color="30C0B4" w:themeColor="accent5" w:sz="4" w:space="0"/>
        <w:bottom w:val="single" w:color="30C0B4" w:themeColor="accent5" w:sz="4" w:space="0"/>
        <w:right w:val="single" w:color="30C0B4" w:themeColor="accent5" w:sz="4" w:space="0"/>
        <w:insideH w:val="single" w:color="30C0B4" w:themeColor="accent5" w:sz="4" w:space="0"/>
        <w:insideV w:val="single" w:color="30C0B4" w:themeColor="accent5" w:sz="4" w:space="0"/>
      </w:tblBorders>
    </w:tblPr>
    <w:tblStylePr w:type="firstRow">
      <w:rPr>
        <w:b/>
        <w:color w:val="1C6F68" w:themeColor="accent5" w:themeShade="94"/>
      </w:rPr>
      <w:tcPr>
        <w:tcBorders>
          <w:bottom w:val="single" w:color="30C0B4" w:themeColor="accent5" w:sz="12" w:space="0"/>
        </w:tcBorders>
      </w:tcPr>
    </w:tblStylePr>
    <w:tblStylePr w:type="lastRow">
      <w:rPr>
        <w:b/>
        <w:color w:val="1C6F68" w:themeColor="accent5" w:themeShade="94"/>
      </w:rPr>
    </w:tblStylePr>
    <w:tblStylePr w:type="firstCol">
      <w:rPr>
        <w:b/>
        <w:color w:val="1C6F68" w:themeColor="accent5" w:themeShade="94"/>
      </w:rPr>
    </w:tblStylePr>
    <w:tblStylePr w:type="lastCol">
      <w:rPr>
        <w:b/>
        <w:color w:val="1C6F68" w:themeColor="accent5" w:themeShade="94"/>
      </w:rPr>
    </w:tblStylePr>
    <w:tblStylePr w:type="band1Vert">
      <w:tcPr>
        <w:shd w:val="clear" w:color="D2F3F1" w:themeColor="accent5" w:themeTint="34" w:fill="D2F3F1" w:themeFill="accent5" w:themeFillTint="34"/>
      </w:tcPr>
    </w:tblStylePr>
    <w:tblStylePr w:type="band1Horz">
      <w:rPr>
        <w:rFonts w:ascii="Arial" w:hAnsi="Arial"/>
        <w:color w:val="1C6F68" w:themeColor="accent5" w:themeShade="94"/>
        <w:sz w:val="22"/>
      </w:rPr>
      <w:tcPr>
        <w:shd w:val="clear" w:color="D2F3F1" w:themeColor="accent5" w:themeTint="34" w:fill="D2F3F1" w:themeFill="accent5" w:themeFillTint="34"/>
      </w:tcPr>
    </w:tblStylePr>
    <w:tblStylePr w:type="band2Horz">
      <w:rPr>
        <w:rFonts w:ascii="Arial" w:hAnsi="Arial"/>
        <w:color w:val="1C6F68" w:themeColor="accent5" w:themeShade="94"/>
        <w:sz w:val="22"/>
      </w:rPr>
    </w:tblStylePr>
  </w:style>
  <w:style w:type="table" w:customStyle="1" w:styleId="111">
    <w:name w:val="Grid Table 6 Colorful - Accent 6"/>
    <w:basedOn w:val="33"/>
    <w:qFormat/>
    <w:uiPriority w:val="99"/>
    <w:pPr>
      <w:spacing w:after="0" w:line="240" w:lineRule="auto"/>
    </w:pPr>
    <w:tblPr>
      <w:tblBorders>
        <w:top w:val="single" w:color="E54C5E" w:themeColor="accent6" w:sz="4" w:space="0"/>
        <w:left w:val="single" w:color="E54C5E" w:themeColor="accent6" w:sz="4" w:space="0"/>
        <w:bottom w:val="single" w:color="E54C5E" w:themeColor="accent6" w:sz="4" w:space="0"/>
        <w:right w:val="single" w:color="E54C5E" w:themeColor="accent6" w:sz="4" w:space="0"/>
        <w:insideH w:val="single" w:color="E54C5E" w:themeColor="accent6" w:sz="4" w:space="0"/>
        <w:insideV w:val="single" w:color="E54C5E" w:themeColor="accent6" w:sz="4" w:space="0"/>
      </w:tblBorders>
    </w:tblPr>
    <w:tblStylePr w:type="firstRow">
      <w:rPr>
        <w:b/>
        <w:color w:val="1C6F68" w:themeColor="accent5" w:themeShade="94"/>
      </w:rPr>
      <w:tcPr>
        <w:tcBorders>
          <w:bottom w:val="single" w:color="E54C5E" w:themeColor="accent6" w:sz="12" w:space="0"/>
        </w:tcBorders>
      </w:tcPr>
    </w:tblStylePr>
    <w:tblStylePr w:type="lastRow">
      <w:rPr>
        <w:b/>
        <w:color w:val="1C6F68" w:themeColor="accent5" w:themeShade="94"/>
      </w:rPr>
    </w:tblStylePr>
    <w:tblStylePr w:type="firstCol">
      <w:rPr>
        <w:b/>
        <w:color w:val="1C6F68" w:themeColor="accent5" w:themeShade="94"/>
      </w:rPr>
    </w:tblStylePr>
    <w:tblStylePr w:type="lastCol">
      <w:rPr>
        <w:b/>
        <w:color w:val="1C6F68" w:themeColor="accent5" w:themeShade="94"/>
      </w:rPr>
    </w:tblStylePr>
    <w:tblStylePr w:type="band1Vert">
      <w:tcPr>
        <w:shd w:val="clear" w:color="F9DADE" w:themeColor="accent6" w:themeTint="34" w:fill="F9DADE" w:themeFill="accent6" w:themeFillTint="34"/>
      </w:tcPr>
    </w:tblStylePr>
    <w:tblStylePr w:type="band1Horz">
      <w:rPr>
        <w:rFonts w:ascii="Arial" w:hAnsi="Arial"/>
        <w:color w:val="1C6F68" w:themeColor="accent5" w:themeShade="94"/>
        <w:sz w:val="22"/>
      </w:rPr>
      <w:tcPr>
        <w:shd w:val="clear" w:color="F9DADE" w:themeColor="accent6" w:themeTint="34" w:fill="F9DADE" w:themeFill="accent6" w:themeFillTint="34"/>
      </w:tcPr>
    </w:tblStylePr>
    <w:tblStylePr w:type="band2Horz">
      <w:rPr>
        <w:rFonts w:ascii="Arial" w:hAnsi="Arial"/>
        <w:color w:val="1C6F68" w:themeColor="accent5" w:themeShade="94"/>
        <w:sz w:val="22"/>
      </w:rPr>
    </w:tblStylePr>
  </w:style>
  <w:style w:type="table" w:customStyle="1" w:styleId="112">
    <w:name w:val="Grid Table 7 Colorful"/>
    <w:basedOn w:val="33"/>
    <w:qFormat/>
    <w:uiPriority w:val="99"/>
    <w:pPr>
      <w:spacing w:after="0" w:line="240" w:lineRule="auto"/>
    </w:pPr>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rFonts w:ascii="Arial" w:hAnsi="Arial"/>
        <w:b/>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F1F1F1" w:themeColor="text1" w:themeTint="0D" w:fill="F1F1F1" w:themeFill="text1" w:themeFillTint="0D"/>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themeColor="text1" w:themeTint="0D" w:fill="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13">
    <w:name w:val="Grid Table 7 Colorful - Accent 1"/>
    <w:basedOn w:val="33"/>
    <w:qFormat/>
    <w:uiPriority w:val="99"/>
    <w:pPr>
      <w:spacing w:after="0" w:line="240" w:lineRule="auto"/>
    </w:pPr>
    <w:tblPr>
      <w:tblBorders>
        <w:bottom w:val="single" w:color="A3B9E4" w:themeColor="accent1" w:themeTint="80" w:sz="4" w:space="0"/>
        <w:right w:val="single" w:color="A3B9E4" w:themeColor="accent1" w:themeTint="80" w:sz="4" w:space="0"/>
        <w:insideH w:val="single" w:color="A3B9E4" w:themeColor="accent1" w:themeTint="80" w:sz="4" w:space="0"/>
        <w:insideV w:val="single" w:color="A3B9E4" w:themeColor="accent1" w:themeTint="80" w:sz="4" w:space="0"/>
      </w:tblBorders>
    </w:tblPr>
    <w:tblStylePr w:type="firstRow">
      <w:rPr>
        <w:rFonts w:ascii="Arial" w:hAnsi="Arial"/>
        <w:b/>
        <w:color w:val="A4BAE5" w:themeColor="accent1" w:themeTint="80"/>
        <w:sz w:val="22"/>
        <w14:textFill>
          <w14:solidFill>
            <w14:schemeClr w14:val="accent1">
              <w14:lumMod w14:val="50000"/>
              <w14:lumOff w14:val="50000"/>
            </w14:schemeClr>
          </w14:solidFill>
        </w14:textFill>
      </w:rPr>
      <w:tcPr>
        <w:tcBorders>
          <w:top w:val="nil"/>
          <w:left w:val="nil"/>
          <w:bottom w:val="single" w:color="A3B9E4" w:themeColor="accent1" w:themeTint="80" w:sz="4" w:space="0"/>
          <w:right w:val="nil"/>
        </w:tcBorders>
        <w:shd w:val="clear" w:color="FFFFFF" w:themeColor="light1" w:fill="FFFFFF" w:themeFill="light1"/>
      </w:tcPr>
    </w:tblStylePr>
    <w:tblStylePr w:type="lastRow">
      <w:rPr>
        <w:rFonts w:ascii="Arial" w:hAnsi="Arial"/>
        <w:b/>
        <w:color w:val="A4BAE5" w:themeColor="accent1" w:themeTint="80"/>
        <w:sz w:val="22"/>
        <w14:textFill>
          <w14:solidFill>
            <w14:schemeClr w14:val="accent1">
              <w14:lumMod w14:val="50000"/>
              <w14:lumOff w14:val="50000"/>
            </w14:schemeClr>
          </w14:solidFill>
        </w14:textFill>
      </w:rPr>
      <w:tcPr>
        <w:tcBorders>
          <w:top w:val="single" w:color="A3B9E4" w:themeColor="accent1" w:themeTint="80" w:sz="4" w:space="0"/>
          <w:left w:val="nil"/>
          <w:bottom w:val="nil"/>
          <w:right w:val="nil"/>
        </w:tcBorders>
        <w:shd w:val="clear" w:color="FFFFFF" w:themeColor="light1" w:fill="FFFFFF" w:themeFill="light1"/>
      </w:tcPr>
    </w:tblStylePr>
    <w:tblStylePr w:type="firstCol">
      <w:pPr>
        <w:jc w:val="right"/>
      </w:pPr>
      <w:rPr>
        <w:rFonts w:ascii="Arial" w:hAnsi="Arial"/>
        <w:i/>
        <w:color w:val="A4BAE5" w:themeColor="accent1" w:themeTint="80"/>
        <w:sz w:val="22"/>
        <w14:textFill>
          <w14:solidFill>
            <w14:schemeClr w14:val="accent1">
              <w14:lumMod w14:val="50000"/>
              <w14:lumOff w14:val="50000"/>
            </w14:schemeClr>
          </w14:solidFill>
        </w14:textFill>
      </w:rPr>
      <w:tcPr>
        <w:tcBorders>
          <w:top w:val="nil"/>
          <w:left w:val="nil"/>
          <w:bottom w:val="nil"/>
          <w:right w:val="single" w:color="A3B9E4" w:themeColor="accent1" w:themeTint="80" w:sz="4" w:space="0"/>
        </w:tcBorders>
        <w:shd w:val="clear" w:color="FFFFFF" w:fill="auto"/>
      </w:tcPr>
    </w:tblStylePr>
    <w:tblStylePr w:type="lastCol">
      <w:rPr>
        <w:rFonts w:ascii="Arial" w:hAnsi="Arial"/>
        <w:i/>
        <w:color w:val="A4BAE5" w:themeColor="accent1" w:themeTint="80"/>
        <w:sz w:val="22"/>
        <w14:textFill>
          <w14:solidFill>
            <w14:schemeClr w14:val="accent1">
              <w14:lumMod w14:val="50000"/>
              <w14:lumOff w14:val="50000"/>
            </w14:schemeClr>
          </w14:solidFill>
        </w14:textFill>
      </w:rPr>
      <w:tcPr>
        <w:tcBorders>
          <w:top w:val="nil"/>
          <w:left w:val="single" w:color="A3B9E4" w:themeColor="accent1" w:themeTint="80" w:sz="4" w:space="0"/>
          <w:bottom w:val="nil"/>
          <w:right w:val="nil"/>
        </w:tcBorders>
        <w:shd w:val="clear" w:color="FFFFFF" w:fill="auto"/>
      </w:tcPr>
    </w:tblStylePr>
    <w:tblStylePr w:type="band1Vert">
      <w:tcPr>
        <w:shd w:val="clear" w:color="D9E2F4" w:themeColor="accent1" w:themeTint="34" w:fill="D9E2F4" w:themeFill="accent1" w:themeFillTint="34"/>
      </w:tcPr>
    </w:tblStylePr>
    <w:tblStylePr w:type="band1Horz">
      <w:rPr>
        <w:rFonts w:ascii="Arial" w:hAnsi="Arial"/>
        <w:color w:val="A4BAE5" w:themeColor="accent1" w:themeTint="80"/>
        <w:sz w:val="22"/>
        <w14:textFill>
          <w14:solidFill>
            <w14:schemeClr w14:val="accent1">
              <w14:lumMod w14:val="50000"/>
              <w14:lumOff w14:val="50000"/>
            </w14:schemeClr>
          </w14:solidFill>
        </w14:textFill>
      </w:rPr>
      <w:tcPr>
        <w:shd w:val="clear" w:color="D9E2F4" w:themeColor="accent1" w:themeTint="34" w:fill="D9E2F4" w:themeFill="accent1" w:themeFillTint="34"/>
      </w:tcPr>
    </w:tblStylePr>
    <w:tblStylePr w:type="band2Horz">
      <w:rPr>
        <w:rFonts w:ascii="Arial" w:hAnsi="Arial"/>
        <w:color w:val="A4BAE5" w:themeColor="accent1" w:themeTint="80"/>
        <w:sz w:val="22"/>
        <w14:textFill>
          <w14:solidFill>
            <w14:schemeClr w14:val="accent1">
              <w14:lumMod w14:val="50000"/>
              <w14:lumOff w14:val="50000"/>
            </w14:schemeClr>
          </w14:solidFill>
        </w14:textFill>
      </w:rPr>
    </w:tblStylePr>
  </w:style>
  <w:style w:type="table" w:customStyle="1" w:styleId="114">
    <w:name w:val="Grid Table 7 Colorful - Accent 2"/>
    <w:basedOn w:val="33"/>
    <w:qFormat/>
    <w:uiPriority w:val="99"/>
    <w:pPr>
      <w:spacing w:after="0" w:line="240" w:lineRule="auto"/>
    </w:pPr>
    <w:tblPr>
      <w:tblBorders>
        <w:bottom w:val="single" w:color="F4B483" w:themeColor="accent2" w:themeTint="97" w:sz="4" w:space="0"/>
        <w:right w:val="single" w:color="F4B483" w:themeColor="accent2" w:themeTint="97" w:sz="4" w:space="0"/>
        <w:insideH w:val="single" w:color="F4B483" w:themeColor="accent2" w:themeTint="97" w:sz="4" w:space="0"/>
        <w:insideV w:val="single" w:color="F4B483" w:themeColor="accent2" w:themeTint="97" w:sz="4" w:space="0"/>
      </w:tblBorders>
    </w:tblPr>
    <w:tblStylePr w:type="firstRow">
      <w:rPr>
        <w:rFonts w:ascii="Arial" w:hAnsi="Arial"/>
        <w:b/>
        <w:color w:val="F5B584" w:themeColor="accent2" w:themeTint="96"/>
        <w:sz w:val="22"/>
        <w14:textFill>
          <w14:solidFill>
            <w14:schemeClr w14:val="accent2">
              <w14:lumMod w14:val="59000"/>
              <w14:lumOff w14:val="41000"/>
            </w14:schemeClr>
          </w14:solidFill>
        </w14:textFill>
      </w:rPr>
      <w:tcPr>
        <w:tcBorders>
          <w:top w:val="nil"/>
          <w:left w:val="nil"/>
          <w:bottom w:val="single" w:color="F4B483" w:themeColor="accent2" w:themeTint="97" w:sz="4" w:space="0"/>
          <w:right w:val="nil"/>
        </w:tcBorders>
        <w:shd w:val="clear" w:color="FFFFFF" w:themeColor="light1" w:fill="FFFFFF" w:themeFill="light1"/>
      </w:tcPr>
    </w:tblStylePr>
    <w:tblStylePr w:type="lastRow">
      <w:rPr>
        <w:rFonts w:ascii="Arial" w:hAnsi="Arial"/>
        <w:b/>
        <w:color w:val="F5B584" w:themeColor="accent2" w:themeTint="96"/>
        <w:sz w:val="22"/>
        <w14:textFill>
          <w14:solidFill>
            <w14:schemeClr w14:val="accent2">
              <w14:lumMod w14:val="59000"/>
              <w14:lumOff w14:val="41000"/>
            </w14:schemeClr>
          </w14:solidFill>
        </w14:textFill>
      </w:rPr>
      <w:tcPr>
        <w:tcBorders>
          <w:top w:val="single" w:color="F4B483"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F5B584" w:themeColor="accent2" w:themeTint="96"/>
        <w:sz w:val="22"/>
        <w14:textFill>
          <w14:solidFill>
            <w14:schemeClr w14:val="accent2">
              <w14:lumMod w14:val="59000"/>
              <w14:lumOff w14:val="41000"/>
            </w14:schemeClr>
          </w14:solidFill>
        </w14:textFill>
      </w:rPr>
      <w:tcPr>
        <w:tcBorders>
          <w:top w:val="nil"/>
          <w:left w:val="nil"/>
          <w:bottom w:val="nil"/>
          <w:right w:val="single" w:color="F4B483" w:themeColor="accent2" w:themeTint="97" w:sz="4" w:space="0"/>
        </w:tcBorders>
        <w:shd w:val="clear" w:color="FFFFFF" w:fill="auto"/>
      </w:tcPr>
    </w:tblStylePr>
    <w:tblStylePr w:type="lastCol">
      <w:rPr>
        <w:rFonts w:ascii="Arial" w:hAnsi="Arial"/>
        <w:i/>
        <w:color w:val="F5B584" w:themeColor="accent2" w:themeTint="96"/>
        <w:sz w:val="22"/>
        <w14:textFill>
          <w14:solidFill>
            <w14:schemeClr w14:val="accent2">
              <w14:lumMod w14:val="59000"/>
              <w14:lumOff w14:val="41000"/>
            </w14:schemeClr>
          </w14:solidFill>
        </w14:textFill>
      </w:rPr>
      <w:tcPr>
        <w:tcBorders>
          <w:top w:val="nil"/>
          <w:left w:val="single" w:color="F4B483" w:themeColor="accent2" w:themeTint="97" w:sz="4" w:space="0"/>
          <w:bottom w:val="nil"/>
          <w:right w:val="nil"/>
        </w:tcBorders>
        <w:shd w:val="clear" w:color="FFFFFF" w:fill="auto"/>
      </w:tcPr>
    </w:tblStylePr>
    <w:tblStylePr w:type="band1Vert">
      <w:tcPr>
        <w:shd w:val="clear" w:color="FBE6D6" w:themeColor="accent2" w:themeTint="32" w:fill="FBE6D6" w:themeFill="accent2" w:themeFillTint="32"/>
      </w:tcPr>
    </w:tblStylePr>
    <w:tblStylePr w:type="band1Horz">
      <w:rPr>
        <w:rFonts w:ascii="Arial" w:hAnsi="Arial"/>
        <w:color w:val="F5B584" w:themeColor="accent2" w:themeTint="96"/>
        <w:sz w:val="22"/>
        <w14:textFill>
          <w14:solidFill>
            <w14:schemeClr w14:val="accent2">
              <w14:lumMod w14:val="59000"/>
              <w14:lumOff w14:val="41000"/>
            </w14:schemeClr>
          </w14:solidFill>
        </w14:textFill>
      </w:rPr>
      <w:tcPr>
        <w:shd w:val="clear" w:color="FBE6D6" w:themeColor="accent2" w:themeTint="32" w:fill="FBE6D6" w:themeFill="accent2" w:themeFillTint="32"/>
      </w:tcPr>
    </w:tblStylePr>
    <w:tblStylePr w:type="band2Horz">
      <w:rPr>
        <w:rFonts w:ascii="Arial" w:hAnsi="Arial"/>
        <w:color w:val="F5B584" w:themeColor="accent2" w:themeTint="96"/>
        <w:sz w:val="22"/>
        <w14:textFill>
          <w14:solidFill>
            <w14:schemeClr w14:val="accent2">
              <w14:lumMod w14:val="59000"/>
              <w14:lumOff w14:val="41000"/>
            </w14:schemeClr>
          </w14:solidFill>
        </w14:textFill>
      </w:rPr>
    </w:tblStylePr>
  </w:style>
  <w:style w:type="table" w:customStyle="1" w:styleId="115">
    <w:name w:val="Grid Table 7 Colorful - Accent 3"/>
    <w:basedOn w:val="33"/>
    <w:qFormat/>
    <w:uiPriority w:val="99"/>
    <w:pPr>
      <w:spacing w:after="0" w:line="240" w:lineRule="auto"/>
    </w:pPr>
    <w:tblPr>
      <w:tblBorders>
        <w:bottom w:val="single" w:color="F3BA02" w:themeColor="accent3" w:themeTint="FE" w:sz="4" w:space="0"/>
        <w:right w:val="single" w:color="F3BA02" w:themeColor="accent3" w:themeTint="FE" w:sz="4" w:space="0"/>
        <w:insideH w:val="single" w:color="F3BA02" w:themeColor="accent3" w:themeTint="FE" w:sz="4" w:space="0"/>
        <w:insideV w:val="single" w:color="F3BA02" w:themeColor="accent3" w:themeTint="FE" w:sz="4" w:space="0"/>
      </w:tblBorders>
    </w:tblPr>
    <w:tblStylePr w:type="firstRow">
      <w:rPr>
        <w:rFonts w:ascii="Arial" w:hAnsi="Arial"/>
        <w:b/>
        <w:color w:val="F2BA02" w:themeColor="accent3" w:themeTint="FF"/>
        <w:sz w:val="22"/>
        <w14:textFill>
          <w14:solidFill>
            <w14:schemeClr w14:val="accent3">
              <w14:lumMod w14:val="100000"/>
              <w14:lumOff w14:val="0"/>
            </w14:schemeClr>
          </w14:solidFill>
        </w14:textFill>
      </w:rPr>
      <w:tcPr>
        <w:tcBorders>
          <w:top w:val="nil"/>
          <w:left w:val="nil"/>
          <w:bottom w:val="single" w:color="F3BA02" w:themeColor="accent3" w:themeTint="FE" w:sz="4" w:space="0"/>
          <w:right w:val="nil"/>
        </w:tcBorders>
        <w:shd w:val="clear" w:color="FFFFFF" w:themeColor="light1" w:fill="FFFFFF" w:themeFill="light1"/>
      </w:tcPr>
    </w:tblStylePr>
    <w:tblStylePr w:type="lastRow">
      <w:rPr>
        <w:rFonts w:ascii="Arial" w:hAnsi="Arial"/>
        <w:b/>
        <w:color w:val="F2BA02" w:themeColor="accent3" w:themeTint="FF"/>
        <w:sz w:val="22"/>
        <w14:textFill>
          <w14:solidFill>
            <w14:schemeClr w14:val="accent3">
              <w14:lumMod w14:val="100000"/>
              <w14:lumOff w14:val="0"/>
            </w14:schemeClr>
          </w14:solidFill>
        </w14:textFill>
      </w:rPr>
      <w:tcPr>
        <w:tcBorders>
          <w:top w:val="single" w:color="F3BA02" w:themeColor="accent3" w:themeTint="FE" w:sz="4" w:space="0"/>
          <w:left w:val="nil"/>
          <w:bottom w:val="nil"/>
          <w:right w:val="nil"/>
        </w:tcBorders>
        <w:shd w:val="clear" w:color="FFFFFF" w:themeColor="light1" w:fill="FFFFFF" w:themeFill="light1"/>
      </w:tcPr>
    </w:tblStylePr>
    <w:tblStylePr w:type="firstCol">
      <w:pPr>
        <w:jc w:val="right"/>
      </w:pPr>
      <w:rPr>
        <w:rFonts w:ascii="Arial" w:hAnsi="Arial"/>
        <w:i/>
        <w:color w:val="F2BA02" w:themeColor="accent3" w:themeTint="FF"/>
        <w:sz w:val="22"/>
        <w14:textFill>
          <w14:solidFill>
            <w14:schemeClr w14:val="accent3">
              <w14:lumMod w14:val="100000"/>
              <w14:lumOff w14:val="0"/>
            </w14:schemeClr>
          </w14:solidFill>
        </w14:textFill>
      </w:rPr>
      <w:tcPr>
        <w:tcBorders>
          <w:top w:val="nil"/>
          <w:left w:val="nil"/>
          <w:bottom w:val="nil"/>
          <w:right w:val="single" w:color="F3BA02" w:themeColor="accent3" w:themeTint="FE" w:sz="4" w:space="0"/>
        </w:tcBorders>
        <w:shd w:val="clear" w:color="FFFFFF" w:fill="auto"/>
      </w:tcPr>
    </w:tblStylePr>
    <w:tblStylePr w:type="lastCol">
      <w:rPr>
        <w:rFonts w:ascii="Arial" w:hAnsi="Arial"/>
        <w:i/>
        <w:color w:val="F2BA02" w:themeColor="accent3" w:themeTint="FF"/>
        <w:sz w:val="22"/>
        <w14:textFill>
          <w14:solidFill>
            <w14:schemeClr w14:val="accent3">
              <w14:lumMod w14:val="100000"/>
              <w14:lumOff w14:val="0"/>
            </w14:schemeClr>
          </w14:solidFill>
        </w14:textFill>
      </w:rPr>
      <w:tcPr>
        <w:tcBorders>
          <w:top w:val="nil"/>
          <w:left w:val="single" w:color="F3BA02" w:themeColor="accent3" w:themeTint="FE" w:sz="4" w:space="0"/>
          <w:bottom w:val="nil"/>
          <w:right w:val="nil"/>
        </w:tcBorders>
        <w:shd w:val="clear" w:color="FFFFFF" w:fill="auto"/>
      </w:tcPr>
    </w:tblStylePr>
    <w:tblStylePr w:type="band1Vert">
      <w:tcPr>
        <w:shd w:val="clear" w:color="FEF2C9" w:themeColor="accent3" w:themeTint="34" w:fill="FEF2C9" w:themeFill="accent3" w:themeFillTint="34"/>
      </w:tcPr>
    </w:tblStylePr>
    <w:tblStylePr w:type="band1Horz">
      <w:rPr>
        <w:rFonts w:ascii="Arial" w:hAnsi="Arial"/>
        <w:color w:val="F2BA02" w:themeColor="accent3" w:themeTint="FF"/>
        <w:sz w:val="22"/>
        <w14:textFill>
          <w14:solidFill>
            <w14:schemeClr w14:val="accent3">
              <w14:lumMod w14:val="100000"/>
              <w14:lumOff w14:val="0"/>
            </w14:schemeClr>
          </w14:solidFill>
        </w14:textFill>
      </w:rPr>
      <w:tcPr>
        <w:shd w:val="clear" w:color="FEF2C9" w:themeColor="accent3" w:themeTint="34" w:fill="FEF2C9" w:themeFill="accent3" w:themeFillTint="34"/>
      </w:tcPr>
    </w:tblStylePr>
    <w:tblStylePr w:type="band2Horz">
      <w:rPr>
        <w:rFonts w:ascii="Arial" w:hAnsi="Arial"/>
        <w:color w:val="F2BA02" w:themeColor="accent3" w:themeTint="FF"/>
        <w:sz w:val="22"/>
        <w14:textFill>
          <w14:solidFill>
            <w14:schemeClr w14:val="accent3">
              <w14:lumMod w14:val="100000"/>
              <w14:lumOff w14:val="0"/>
            </w14:schemeClr>
          </w14:solidFill>
        </w14:textFill>
      </w:rPr>
    </w:tblStylePr>
  </w:style>
  <w:style w:type="table" w:customStyle="1" w:styleId="116">
    <w:name w:val="Grid Table 7 Colorful - Accent 4"/>
    <w:basedOn w:val="33"/>
    <w:qFormat/>
    <w:uiPriority w:val="99"/>
    <w:pPr>
      <w:spacing w:after="0" w:line="240" w:lineRule="auto"/>
    </w:pPr>
    <w:tblPr>
      <w:tblBorders>
        <w:bottom w:val="single" w:color="ABD78C" w:themeColor="accent4" w:themeTint="9A" w:sz="4" w:space="0"/>
        <w:right w:val="single" w:color="ABD78C" w:themeColor="accent4" w:themeTint="9A" w:sz="4" w:space="0"/>
        <w:insideH w:val="single" w:color="ABD78C" w:themeColor="accent4" w:themeTint="9A" w:sz="4" w:space="0"/>
        <w:insideV w:val="single" w:color="ABD78C" w:themeColor="accent4" w:themeTint="9A" w:sz="4" w:space="0"/>
      </w:tblBorders>
    </w:tblPr>
    <w:tblStylePr w:type="firstRow">
      <w:rPr>
        <w:rFonts w:ascii="Arial" w:hAnsi="Arial"/>
        <w:b/>
        <w:color w:val="ACD78E" w:themeColor="accent4" w:themeTint="99"/>
        <w:sz w:val="22"/>
        <w14:textFill>
          <w14:solidFill>
            <w14:schemeClr w14:val="accent4">
              <w14:lumMod w14:val="60000"/>
              <w14:lumOff w14:val="40000"/>
            </w14:schemeClr>
          </w14:solidFill>
        </w14:textFill>
      </w:rPr>
      <w:tcPr>
        <w:tcBorders>
          <w:top w:val="nil"/>
          <w:left w:val="nil"/>
          <w:bottom w:val="single" w:color="ABD78C" w:themeColor="accent4" w:themeTint="9A" w:sz="4" w:space="0"/>
          <w:right w:val="nil"/>
        </w:tcBorders>
        <w:shd w:val="clear" w:color="FFFFFF" w:themeColor="light1" w:fill="FFFFFF" w:themeFill="light1"/>
      </w:tcPr>
    </w:tblStylePr>
    <w:tblStylePr w:type="lastRow">
      <w:rPr>
        <w:rFonts w:ascii="Arial" w:hAnsi="Arial"/>
        <w:b/>
        <w:color w:val="ACD78E" w:themeColor="accent4" w:themeTint="99"/>
        <w:sz w:val="22"/>
        <w14:textFill>
          <w14:solidFill>
            <w14:schemeClr w14:val="accent4">
              <w14:lumMod w14:val="60000"/>
              <w14:lumOff w14:val="40000"/>
            </w14:schemeClr>
          </w14:solidFill>
        </w14:textFill>
      </w:rPr>
      <w:tcPr>
        <w:tcBorders>
          <w:top w:val="single" w:color="ABD78C"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ACD78E" w:themeColor="accent4" w:themeTint="99"/>
        <w:sz w:val="22"/>
        <w14:textFill>
          <w14:solidFill>
            <w14:schemeClr w14:val="accent4">
              <w14:lumMod w14:val="60000"/>
              <w14:lumOff w14:val="40000"/>
            </w14:schemeClr>
          </w14:solidFill>
        </w14:textFill>
      </w:rPr>
      <w:tcPr>
        <w:tcBorders>
          <w:top w:val="nil"/>
          <w:left w:val="nil"/>
          <w:bottom w:val="nil"/>
          <w:right w:val="single" w:color="ABD78C" w:themeColor="accent4" w:themeTint="9A" w:sz="4" w:space="0"/>
        </w:tcBorders>
        <w:shd w:val="clear" w:color="FFFFFF" w:fill="auto"/>
      </w:tcPr>
    </w:tblStylePr>
    <w:tblStylePr w:type="lastCol">
      <w:rPr>
        <w:rFonts w:ascii="Arial" w:hAnsi="Arial"/>
        <w:i/>
        <w:color w:val="ACD78E" w:themeColor="accent4" w:themeTint="99"/>
        <w:sz w:val="22"/>
        <w14:textFill>
          <w14:solidFill>
            <w14:schemeClr w14:val="accent4">
              <w14:lumMod w14:val="60000"/>
              <w14:lumOff w14:val="40000"/>
            </w14:schemeClr>
          </w14:solidFill>
        </w14:textFill>
      </w:rPr>
      <w:tcPr>
        <w:tcBorders>
          <w:top w:val="nil"/>
          <w:left w:val="single" w:color="ABD78C" w:themeColor="accent4" w:themeTint="9A" w:sz="4" w:space="0"/>
          <w:bottom w:val="nil"/>
          <w:right w:val="nil"/>
        </w:tcBorders>
        <w:shd w:val="clear" w:color="FFFFFF" w:fill="auto"/>
      </w:tcPr>
    </w:tblStylePr>
    <w:tblStylePr w:type="band1Vert">
      <w:tcPr>
        <w:shd w:val="clear" w:color="E2F1D8" w:themeColor="accent4" w:themeTint="34" w:fill="E2F1D8" w:themeFill="accent4" w:themeFillTint="34"/>
      </w:tcPr>
    </w:tblStylePr>
    <w:tblStylePr w:type="band1Horz">
      <w:rPr>
        <w:rFonts w:ascii="Arial" w:hAnsi="Arial"/>
        <w:color w:val="ACD78E" w:themeColor="accent4" w:themeTint="99"/>
        <w:sz w:val="22"/>
        <w14:textFill>
          <w14:solidFill>
            <w14:schemeClr w14:val="accent4">
              <w14:lumMod w14:val="60000"/>
              <w14:lumOff w14:val="40000"/>
            </w14:schemeClr>
          </w14:solidFill>
        </w14:textFill>
      </w:rPr>
      <w:tcPr>
        <w:shd w:val="clear" w:color="E2F1D8" w:themeColor="accent4" w:themeTint="34" w:fill="E2F1D8" w:themeFill="accent4" w:themeFillTint="34"/>
      </w:tcPr>
    </w:tblStylePr>
    <w:tblStylePr w:type="band2Horz">
      <w:rPr>
        <w:rFonts w:ascii="Arial" w:hAnsi="Arial"/>
        <w:color w:val="ACD78E" w:themeColor="accent4" w:themeTint="99"/>
        <w:sz w:val="22"/>
        <w14:textFill>
          <w14:solidFill>
            <w14:schemeClr w14:val="accent4">
              <w14:lumMod w14:val="60000"/>
              <w14:lumOff w14:val="40000"/>
            </w14:schemeClr>
          </w14:solidFill>
        </w14:textFill>
      </w:rPr>
    </w:tblStylePr>
  </w:style>
  <w:style w:type="table" w:customStyle="1" w:styleId="117">
    <w:name w:val="Grid Table 7 Colorful - Accent 5"/>
    <w:basedOn w:val="33"/>
    <w:qFormat/>
    <w:uiPriority w:val="99"/>
    <w:pPr>
      <w:spacing w:after="0" w:line="240" w:lineRule="auto"/>
    </w:pPr>
    <w:tblPr>
      <w:tblBorders>
        <w:bottom w:val="single" w:color="85E0D8" w:themeColor="accent5" w:themeTint="90" w:sz="4" w:space="0"/>
        <w:right w:val="single" w:color="85E0D8" w:themeColor="accent5" w:themeTint="90" w:sz="4" w:space="0"/>
        <w:insideH w:val="single" w:color="85E0D8" w:themeColor="accent5" w:themeTint="90" w:sz="4" w:space="0"/>
        <w:insideV w:val="single" w:color="85E0D8" w:themeColor="accent5" w:themeTint="90" w:sz="4" w:space="0"/>
      </w:tblBorders>
    </w:tblPr>
    <w:tblStylePr w:type="firstRow">
      <w:rPr>
        <w:rFonts w:ascii="Arial" w:hAnsi="Arial"/>
        <w:b/>
        <w:color w:val="1C6F68" w:themeColor="accent5" w:themeShade="94"/>
        <w:sz w:val="22"/>
      </w:rPr>
      <w:tcPr>
        <w:tcBorders>
          <w:top w:val="nil"/>
          <w:left w:val="nil"/>
          <w:bottom w:val="single" w:color="85E0D8" w:themeColor="accent5" w:themeTint="90" w:sz="4" w:space="0"/>
          <w:right w:val="nil"/>
        </w:tcBorders>
        <w:shd w:val="clear" w:color="FFFFFF" w:themeColor="light1" w:fill="FFFFFF" w:themeFill="light1"/>
      </w:tcPr>
    </w:tblStylePr>
    <w:tblStylePr w:type="lastRow">
      <w:rPr>
        <w:rFonts w:ascii="Arial" w:hAnsi="Arial"/>
        <w:b/>
        <w:color w:val="1C6F68" w:themeColor="accent5" w:themeShade="94"/>
        <w:sz w:val="22"/>
      </w:rPr>
      <w:tcPr>
        <w:tcBorders>
          <w:top w:val="single" w:color="85E0D8" w:themeColor="accent5" w:themeTint="90" w:sz="4" w:space="0"/>
          <w:left w:val="nil"/>
          <w:bottom w:val="nil"/>
          <w:right w:val="nil"/>
        </w:tcBorders>
        <w:shd w:val="clear" w:color="FFFFFF" w:themeColor="light1" w:fill="FFFFFF" w:themeFill="light1"/>
      </w:tcPr>
    </w:tblStylePr>
    <w:tblStylePr w:type="firstCol">
      <w:pPr>
        <w:jc w:val="right"/>
      </w:pPr>
      <w:rPr>
        <w:rFonts w:ascii="Arial" w:hAnsi="Arial"/>
        <w:i/>
        <w:color w:val="1C6F68" w:themeColor="accent5" w:themeShade="94"/>
        <w:sz w:val="22"/>
      </w:rPr>
      <w:tcPr>
        <w:tcBorders>
          <w:top w:val="nil"/>
          <w:left w:val="nil"/>
          <w:bottom w:val="nil"/>
          <w:right w:val="single" w:color="85E0D8" w:themeColor="accent5" w:themeTint="90" w:sz="4" w:space="0"/>
        </w:tcBorders>
        <w:shd w:val="clear" w:color="FFFFFF" w:fill="auto"/>
      </w:tcPr>
    </w:tblStylePr>
    <w:tblStylePr w:type="lastCol">
      <w:rPr>
        <w:rFonts w:ascii="Arial" w:hAnsi="Arial"/>
        <w:i/>
        <w:color w:val="1C6F68" w:themeColor="accent5" w:themeShade="94"/>
        <w:sz w:val="22"/>
      </w:rPr>
      <w:tcPr>
        <w:tcBorders>
          <w:top w:val="nil"/>
          <w:left w:val="single" w:color="85E0D8" w:themeColor="accent5" w:themeTint="90" w:sz="4" w:space="0"/>
          <w:bottom w:val="nil"/>
          <w:right w:val="nil"/>
        </w:tcBorders>
        <w:shd w:val="clear" w:color="FFFFFF" w:fill="auto"/>
      </w:tcPr>
    </w:tblStylePr>
    <w:tblStylePr w:type="band1Vert">
      <w:tcPr>
        <w:shd w:val="clear" w:color="D2F3F1" w:themeColor="accent5" w:themeTint="34" w:fill="D2F3F1" w:themeFill="accent5" w:themeFillTint="34"/>
      </w:tcPr>
    </w:tblStylePr>
    <w:tblStylePr w:type="band1Horz">
      <w:rPr>
        <w:rFonts w:ascii="Arial" w:hAnsi="Arial"/>
        <w:color w:val="1C6F68" w:themeColor="accent5" w:themeShade="94"/>
        <w:sz w:val="22"/>
      </w:rPr>
      <w:tcPr>
        <w:shd w:val="clear" w:color="D2F3F1" w:themeColor="accent5" w:themeTint="34" w:fill="D2F3F1" w:themeFill="accent5" w:themeFillTint="34"/>
      </w:tcPr>
    </w:tblStylePr>
    <w:tblStylePr w:type="band2Horz">
      <w:rPr>
        <w:rFonts w:ascii="Arial" w:hAnsi="Arial"/>
        <w:color w:val="1C6F68" w:themeColor="accent5" w:themeShade="94"/>
        <w:sz w:val="22"/>
      </w:rPr>
    </w:tblStylePr>
  </w:style>
  <w:style w:type="table" w:customStyle="1" w:styleId="118">
    <w:name w:val="Grid Table 7 Colorful - Accent 6"/>
    <w:basedOn w:val="33"/>
    <w:qFormat/>
    <w:uiPriority w:val="99"/>
    <w:pPr>
      <w:spacing w:after="0" w:line="240" w:lineRule="auto"/>
    </w:pPr>
    <w:tblPr>
      <w:tblBorders>
        <w:bottom w:val="single" w:color="F099A4" w:themeColor="accent6" w:themeTint="90" w:sz="4" w:space="0"/>
        <w:right w:val="single" w:color="F099A4" w:themeColor="accent6" w:themeTint="90" w:sz="4" w:space="0"/>
        <w:insideH w:val="single" w:color="F099A4" w:themeColor="accent6" w:themeTint="90" w:sz="4" w:space="0"/>
        <w:insideV w:val="single" w:color="F099A4" w:themeColor="accent6" w:themeTint="90" w:sz="4" w:space="0"/>
      </w:tblBorders>
    </w:tblPr>
    <w:tblStylePr w:type="firstRow">
      <w:rPr>
        <w:rFonts w:ascii="Arial" w:hAnsi="Arial"/>
        <w:b/>
        <w:color w:val="9A1626" w:themeColor="accent6" w:themeShade="94"/>
        <w:sz w:val="22"/>
      </w:rPr>
      <w:tcPr>
        <w:tcBorders>
          <w:top w:val="nil"/>
          <w:left w:val="nil"/>
          <w:bottom w:val="single" w:color="F099A4" w:themeColor="accent6" w:themeTint="90" w:sz="4" w:space="0"/>
          <w:right w:val="nil"/>
        </w:tcBorders>
        <w:shd w:val="clear" w:color="FFFFFF" w:themeColor="light1" w:fill="FFFFFF" w:themeFill="light1"/>
      </w:tcPr>
    </w:tblStylePr>
    <w:tblStylePr w:type="lastRow">
      <w:rPr>
        <w:rFonts w:ascii="Arial" w:hAnsi="Arial"/>
        <w:b/>
        <w:color w:val="9A1626" w:themeColor="accent6" w:themeShade="94"/>
        <w:sz w:val="22"/>
      </w:rPr>
      <w:tcPr>
        <w:tcBorders>
          <w:top w:val="single" w:color="F099A4" w:themeColor="accent6" w:themeTint="90" w:sz="4" w:space="0"/>
          <w:left w:val="nil"/>
          <w:bottom w:val="nil"/>
          <w:right w:val="nil"/>
        </w:tcBorders>
        <w:shd w:val="clear" w:color="FFFFFF" w:themeColor="light1" w:fill="FFFFFF" w:themeFill="light1"/>
      </w:tcPr>
    </w:tblStylePr>
    <w:tblStylePr w:type="firstCol">
      <w:pPr>
        <w:jc w:val="right"/>
      </w:pPr>
      <w:rPr>
        <w:rFonts w:ascii="Arial" w:hAnsi="Arial"/>
        <w:i/>
        <w:color w:val="9A1626" w:themeColor="accent6" w:themeShade="94"/>
        <w:sz w:val="22"/>
      </w:rPr>
      <w:tcPr>
        <w:tcBorders>
          <w:top w:val="nil"/>
          <w:left w:val="nil"/>
          <w:bottom w:val="nil"/>
          <w:right w:val="single" w:color="F099A4" w:themeColor="accent6" w:themeTint="90" w:sz="4" w:space="0"/>
        </w:tcBorders>
        <w:shd w:val="clear" w:color="FFFFFF" w:fill="auto"/>
      </w:tcPr>
    </w:tblStylePr>
    <w:tblStylePr w:type="lastCol">
      <w:rPr>
        <w:rFonts w:ascii="Arial" w:hAnsi="Arial"/>
        <w:i/>
        <w:color w:val="9A1626" w:themeColor="accent6" w:themeShade="94"/>
        <w:sz w:val="22"/>
      </w:rPr>
      <w:tcPr>
        <w:tcBorders>
          <w:top w:val="nil"/>
          <w:left w:val="single" w:color="F099A4" w:themeColor="accent6" w:themeTint="90" w:sz="4" w:space="0"/>
          <w:bottom w:val="nil"/>
          <w:right w:val="nil"/>
        </w:tcBorders>
        <w:shd w:val="clear" w:color="FFFFFF" w:fill="auto"/>
      </w:tcPr>
    </w:tblStylePr>
    <w:tblStylePr w:type="band1Vert">
      <w:tcPr>
        <w:shd w:val="clear" w:color="F9DADE" w:themeColor="accent6" w:themeTint="34" w:fill="F9DADE" w:themeFill="accent6" w:themeFillTint="34"/>
      </w:tcPr>
    </w:tblStylePr>
    <w:tblStylePr w:type="band1Horz">
      <w:rPr>
        <w:rFonts w:ascii="Arial" w:hAnsi="Arial"/>
        <w:color w:val="9A1626" w:themeColor="accent6" w:themeShade="94"/>
        <w:sz w:val="22"/>
      </w:rPr>
      <w:tcPr>
        <w:shd w:val="clear" w:color="F9DADE" w:themeColor="accent6" w:themeTint="34" w:fill="F9DADE" w:themeFill="accent6" w:themeFillTint="34"/>
      </w:tcPr>
    </w:tblStylePr>
    <w:tblStylePr w:type="band2Horz">
      <w:rPr>
        <w:rFonts w:ascii="Arial" w:hAnsi="Arial"/>
        <w:color w:val="9A1626" w:themeColor="accent6" w:themeShade="94"/>
        <w:sz w:val="22"/>
      </w:rPr>
    </w:tblStylePr>
  </w:style>
  <w:style w:type="table" w:customStyle="1" w:styleId="119">
    <w:name w:val="List Table 1 Light"/>
    <w:basedOn w:val="33"/>
    <w:qFormat/>
    <w:uiPriority w:val="99"/>
    <w:pPr>
      <w:spacing w:after="0" w:line="240" w:lineRule="auto"/>
    </w:pPr>
    <w:tblStylePr w:type="firstRow">
      <w:rPr>
        <w:b/>
        <w:color w:val="404040"/>
      </w:rPr>
      <w:tcPr>
        <w:tcBorders>
          <w:top w:val="nil"/>
          <w:left w:val="nil"/>
          <w:bottom w:val="single" w:color="000000" w:themeColor="text1" w:sz="4" w:space="0"/>
          <w:right w:val="nil"/>
        </w:tcBorders>
      </w:tcPr>
    </w:tblStylePr>
    <w:tblStylePr w:type="lastRow">
      <w:rPr>
        <w:b/>
        <w:color w:val="404040"/>
      </w:rPr>
      <w:tcPr>
        <w:tcBorders>
          <w:top w:val="single" w:color="000000" w:themeColor="tex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BEBEBE" w:themeColor="text1" w:themeTint="40" w:fill="BEBEBE" w:themeFill="text1" w:themeFillTint="40"/>
      </w:tcPr>
    </w:tblStylePr>
    <w:tblStylePr w:type="band1Horz">
      <w:tcPr>
        <w:shd w:val="clear" w:color="BEBEBE" w:themeColor="text1" w:themeTint="40" w:fill="BEBEBE" w:themeFill="text1" w:themeFillTint="40"/>
      </w:tcPr>
    </w:tblStylePr>
  </w:style>
  <w:style w:type="table" w:customStyle="1" w:styleId="120">
    <w:name w:val="List Table 1 Light - Accent 1"/>
    <w:basedOn w:val="33"/>
    <w:qFormat/>
    <w:uiPriority w:val="99"/>
    <w:pPr>
      <w:spacing w:after="0" w:line="240" w:lineRule="auto"/>
    </w:pPr>
    <w:tblStylePr w:type="firstRow">
      <w:rPr>
        <w:b/>
        <w:color w:val="404040"/>
      </w:rPr>
      <w:tcPr>
        <w:tcBorders>
          <w:top w:val="nil"/>
          <w:left w:val="nil"/>
          <w:bottom w:val="single" w:color="4874CB" w:themeColor="accent1" w:sz="4" w:space="0"/>
          <w:right w:val="nil"/>
        </w:tcBorders>
      </w:tcPr>
    </w:tblStylePr>
    <w:tblStylePr w:type="lastRow">
      <w:rPr>
        <w:b/>
        <w:color w:val="404040"/>
      </w:rPr>
      <w:tcPr>
        <w:tcBorders>
          <w:top w:val="single" w:color="4874CB" w:themeColor="accen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1DCF1" w:themeColor="accent1" w:themeTint="40" w:fill="D1DCF1" w:themeFill="accent1" w:themeFillTint="40"/>
      </w:tcPr>
    </w:tblStylePr>
    <w:tblStylePr w:type="band1Horz">
      <w:tcPr>
        <w:shd w:val="clear" w:color="D1DCF1" w:themeColor="accent1" w:themeTint="40" w:fill="D1DCF1" w:themeFill="accent1" w:themeFillTint="40"/>
      </w:tcPr>
    </w:tblStylePr>
  </w:style>
  <w:style w:type="table" w:customStyle="1" w:styleId="121">
    <w:name w:val="List Table 1 Light - Accent 2"/>
    <w:basedOn w:val="33"/>
    <w:qFormat/>
    <w:uiPriority w:val="99"/>
    <w:pPr>
      <w:spacing w:after="0" w:line="240" w:lineRule="auto"/>
    </w:pPr>
    <w:tblStylePr w:type="firstRow">
      <w:rPr>
        <w:b/>
        <w:color w:val="404040"/>
      </w:rPr>
      <w:tcPr>
        <w:tcBorders>
          <w:top w:val="nil"/>
          <w:left w:val="nil"/>
          <w:bottom w:val="single" w:color="EE822F" w:themeColor="accent2" w:sz="4" w:space="0"/>
          <w:right w:val="nil"/>
        </w:tcBorders>
      </w:tcPr>
    </w:tblStylePr>
    <w:tblStylePr w:type="lastRow">
      <w:rPr>
        <w:b/>
        <w:color w:val="404040"/>
      </w:rPr>
      <w:tcPr>
        <w:tcBorders>
          <w:top w:val="single" w:color="EE822F" w:themeColor="accent2"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ADFCA" w:themeColor="accent2" w:themeTint="40" w:fill="FADFCA" w:themeFill="accent2" w:themeFillTint="40"/>
      </w:tcPr>
    </w:tblStylePr>
    <w:tblStylePr w:type="band1Horz">
      <w:tcPr>
        <w:shd w:val="clear" w:color="FADFCA" w:themeColor="accent2" w:themeTint="40" w:fill="FADFCA" w:themeFill="accent2" w:themeFillTint="40"/>
      </w:tcPr>
    </w:tblStylePr>
  </w:style>
  <w:style w:type="table" w:customStyle="1" w:styleId="122">
    <w:name w:val="List Table 1 Light - Accent 3"/>
    <w:basedOn w:val="33"/>
    <w:qFormat/>
    <w:uiPriority w:val="99"/>
    <w:pPr>
      <w:spacing w:after="0" w:line="240" w:lineRule="auto"/>
    </w:pPr>
    <w:tblStylePr w:type="firstRow">
      <w:rPr>
        <w:b/>
        <w:color w:val="404040"/>
      </w:rPr>
      <w:tcPr>
        <w:tcBorders>
          <w:top w:val="nil"/>
          <w:left w:val="nil"/>
          <w:bottom w:val="single" w:color="F2BA02" w:themeColor="accent3" w:sz="4" w:space="0"/>
          <w:right w:val="nil"/>
        </w:tcBorders>
      </w:tcPr>
    </w:tblStylePr>
    <w:tblStylePr w:type="lastRow">
      <w:rPr>
        <w:b/>
        <w:color w:val="404040"/>
      </w:rPr>
      <w:tcPr>
        <w:tcBorders>
          <w:top w:val="single" w:color="F2BA02" w:themeColor="accent3"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EEFBC" w:themeColor="accent3" w:themeTint="40" w:fill="FEEFBC" w:themeFill="accent3" w:themeFillTint="40"/>
      </w:tcPr>
    </w:tblStylePr>
    <w:tblStylePr w:type="band1Horz">
      <w:tcPr>
        <w:shd w:val="clear" w:color="FEEFBC" w:themeColor="accent3" w:themeTint="40" w:fill="FEEFBC" w:themeFill="accent3" w:themeFillTint="40"/>
      </w:tcPr>
    </w:tblStylePr>
  </w:style>
  <w:style w:type="table" w:customStyle="1" w:styleId="123">
    <w:name w:val="List Table 1 Light - Accent 4"/>
    <w:basedOn w:val="33"/>
    <w:qFormat/>
    <w:uiPriority w:val="99"/>
    <w:pPr>
      <w:spacing w:after="0" w:line="240" w:lineRule="auto"/>
    </w:pPr>
    <w:tblStylePr w:type="firstRow">
      <w:rPr>
        <w:b/>
        <w:color w:val="404040"/>
      </w:rPr>
      <w:tcPr>
        <w:tcBorders>
          <w:top w:val="nil"/>
          <w:left w:val="nil"/>
          <w:bottom w:val="single" w:color="75BD42" w:themeColor="accent4" w:sz="4" w:space="0"/>
          <w:right w:val="nil"/>
        </w:tcBorders>
      </w:tcPr>
    </w:tblStylePr>
    <w:tblStylePr w:type="lastRow">
      <w:rPr>
        <w:b/>
        <w:color w:val="404040"/>
      </w:rPr>
      <w:tcPr>
        <w:tcBorders>
          <w:top w:val="single" w:color="75BD42" w:themeColor="accent4"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CEECF" w:themeColor="accent4" w:themeTint="40" w:fill="DCEECF" w:themeFill="accent4" w:themeFillTint="40"/>
      </w:tcPr>
    </w:tblStylePr>
    <w:tblStylePr w:type="band1Horz">
      <w:tcPr>
        <w:shd w:val="clear" w:color="DCEECF" w:themeColor="accent4" w:themeTint="40" w:fill="DCEECF" w:themeFill="accent4" w:themeFillTint="40"/>
      </w:tcPr>
    </w:tblStylePr>
  </w:style>
  <w:style w:type="table" w:customStyle="1" w:styleId="124">
    <w:name w:val="List Table 1 Light - Accent 5"/>
    <w:basedOn w:val="33"/>
    <w:qFormat/>
    <w:uiPriority w:val="99"/>
    <w:pPr>
      <w:spacing w:after="0" w:line="240" w:lineRule="auto"/>
    </w:pPr>
    <w:tblStylePr w:type="firstRow">
      <w:rPr>
        <w:b/>
        <w:color w:val="404040"/>
      </w:rPr>
      <w:tcPr>
        <w:tcBorders>
          <w:top w:val="nil"/>
          <w:left w:val="nil"/>
          <w:bottom w:val="single" w:color="30C0B4" w:themeColor="accent5" w:sz="4" w:space="0"/>
          <w:right w:val="nil"/>
        </w:tcBorders>
      </w:tcPr>
    </w:tblStylePr>
    <w:tblStylePr w:type="lastRow">
      <w:rPr>
        <w:b/>
        <w:color w:val="404040"/>
      </w:rPr>
      <w:tcPr>
        <w:tcBorders>
          <w:top w:val="single" w:color="30C0B4" w:themeColor="accent5" w:sz="4" w:space="0"/>
          <w:left w:val="nil"/>
          <w:bottom w:val="nil"/>
          <w:right w:val="nil"/>
        </w:tcBorders>
      </w:tcPr>
    </w:tblStylePr>
    <w:tblStylePr w:type="firstCol">
      <w:rPr>
        <w:b/>
        <w:color w:val="404040"/>
      </w:rPr>
    </w:tblStylePr>
    <w:tblStylePr w:type="lastCol">
      <w:rPr>
        <w:b/>
        <w:color w:val="404040"/>
      </w:rPr>
    </w:tblStylePr>
    <w:tblStylePr w:type="band1Vert">
      <w:tcPr>
        <w:shd w:val="clear" w:color="C8F1EE" w:themeColor="accent5" w:themeTint="40" w:fill="C8F1EE" w:themeFill="accent5" w:themeFillTint="40"/>
      </w:tcPr>
    </w:tblStylePr>
    <w:tblStylePr w:type="band1Horz">
      <w:tcPr>
        <w:shd w:val="clear" w:color="C8F1EE" w:themeColor="accent5" w:themeTint="40" w:fill="C8F1EE" w:themeFill="accent5" w:themeFillTint="40"/>
      </w:tcPr>
    </w:tblStylePr>
  </w:style>
  <w:style w:type="table" w:customStyle="1" w:styleId="125">
    <w:name w:val="List Table 1 Light - Accent 6"/>
    <w:basedOn w:val="33"/>
    <w:qFormat/>
    <w:uiPriority w:val="99"/>
    <w:pPr>
      <w:spacing w:after="0" w:line="240" w:lineRule="auto"/>
    </w:pPr>
    <w:tblStylePr w:type="firstRow">
      <w:rPr>
        <w:b/>
        <w:color w:val="404040"/>
      </w:rPr>
      <w:tcPr>
        <w:tcBorders>
          <w:top w:val="nil"/>
          <w:left w:val="nil"/>
          <w:bottom w:val="single" w:color="E54C5E" w:themeColor="accent6" w:sz="4" w:space="0"/>
          <w:right w:val="nil"/>
        </w:tcBorders>
      </w:tcPr>
    </w:tblStylePr>
    <w:tblStylePr w:type="lastRow">
      <w:rPr>
        <w:b/>
        <w:color w:val="404040"/>
      </w:rPr>
      <w:tcPr>
        <w:tcBorders>
          <w:top w:val="single" w:color="E54C5E" w:themeColor="accent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8D2D6" w:themeColor="accent6" w:themeTint="40" w:fill="F8D2D6" w:themeFill="accent6" w:themeFillTint="40"/>
      </w:tcPr>
    </w:tblStylePr>
    <w:tblStylePr w:type="band1Horz">
      <w:tcPr>
        <w:shd w:val="clear" w:color="F8D2D6" w:themeColor="accent6" w:themeTint="40" w:fill="F8D2D6" w:themeFill="accent6" w:themeFillTint="40"/>
      </w:tcPr>
    </w:tblStylePr>
  </w:style>
  <w:style w:type="table" w:customStyle="1" w:styleId="126">
    <w:name w:val="List Table 2"/>
    <w:basedOn w:val="33"/>
    <w:qFormat/>
    <w:uiPriority w:val="99"/>
    <w:pPr>
      <w:spacing w:after="0" w:line="240" w:lineRule="auto"/>
    </w:pPr>
    <w:tblPr>
      <w:tblBorders>
        <w:top w:val="single" w:color="6E6E6E" w:themeColor="text1" w:themeTint="90" w:sz="4" w:space="0"/>
        <w:bottom w:val="single" w:color="6E6E6E" w:themeColor="text1" w:themeTint="90" w:sz="4" w:space="0"/>
        <w:insideH w:val="single" w:color="6E6E6E" w:themeColor="text1" w:themeTint="90" w:sz="4" w:space="0"/>
      </w:tblBorders>
    </w:tblPr>
    <w:tblStylePr w:type="fir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la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127">
    <w:name w:val="List Table 2 - Accent 1"/>
    <w:basedOn w:val="33"/>
    <w:qFormat/>
    <w:uiPriority w:val="99"/>
    <w:pPr>
      <w:spacing w:after="0" w:line="240" w:lineRule="auto"/>
    </w:pPr>
    <w:tblPr>
      <w:tblBorders>
        <w:top w:val="single" w:color="97B0E1" w:themeColor="accent1" w:themeTint="90" w:sz="4" w:space="0"/>
        <w:bottom w:val="single" w:color="97B0E1" w:themeColor="accent1" w:themeTint="90" w:sz="4" w:space="0"/>
        <w:insideH w:val="single" w:color="97B0E1" w:themeColor="accent1" w:themeTint="90" w:sz="4" w:space="0"/>
      </w:tblBorders>
    </w:tblPr>
    <w:tblStylePr w:type="firstRow">
      <w:rPr>
        <w:rFonts w:ascii="Arial" w:hAnsi="Arial"/>
        <w:b/>
        <w:color w:val="404040"/>
        <w:sz w:val="22"/>
      </w:rPr>
      <w:tcPr>
        <w:tcBorders>
          <w:top w:val="single" w:color="97B0E1" w:themeColor="accent1" w:themeTint="90" w:sz="4" w:space="0"/>
          <w:left w:val="nil"/>
          <w:bottom w:val="single" w:color="97B0E1" w:themeColor="accent1" w:themeTint="90" w:sz="4" w:space="0"/>
          <w:right w:val="nil"/>
        </w:tcBorders>
      </w:tcPr>
    </w:tblStylePr>
    <w:tblStylePr w:type="lastRow">
      <w:rPr>
        <w:rFonts w:ascii="Arial" w:hAnsi="Arial"/>
        <w:b/>
        <w:color w:val="404040"/>
        <w:sz w:val="22"/>
      </w:rPr>
      <w:tcPr>
        <w:tcBorders>
          <w:top w:val="single" w:color="97B0E1" w:themeColor="accent1" w:themeTint="90" w:sz="4" w:space="0"/>
          <w:left w:val="nil"/>
          <w:bottom w:val="single" w:color="97B0E1" w:themeColor="accen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1DCF1" w:themeColor="accent1" w:themeTint="40" w:fill="D1DCF1" w:themeFill="accent1" w:themeFillTint="40"/>
      </w:tcPr>
    </w:tblStylePr>
    <w:tblStylePr w:type="band1Horz">
      <w:rPr>
        <w:rFonts w:ascii="Arial" w:hAnsi="Arial"/>
        <w:color w:val="404040"/>
        <w:sz w:val="22"/>
      </w:rPr>
      <w:tcPr>
        <w:shd w:val="clear" w:color="D1DCF1" w:themeColor="accent1" w:themeTint="40" w:fill="D1DCF1" w:themeFill="accent1" w:themeFillTint="40"/>
      </w:tcPr>
    </w:tblStylePr>
  </w:style>
  <w:style w:type="table" w:customStyle="1" w:styleId="128">
    <w:name w:val="List Table 2 - Accent 2"/>
    <w:basedOn w:val="33"/>
    <w:qFormat/>
    <w:uiPriority w:val="99"/>
    <w:pPr>
      <w:spacing w:after="0" w:line="240" w:lineRule="auto"/>
    </w:pPr>
    <w:tblPr>
      <w:tblBorders>
        <w:top w:val="single" w:color="F5B889" w:themeColor="accent2" w:themeTint="90" w:sz="4" w:space="0"/>
        <w:bottom w:val="single" w:color="F5B889" w:themeColor="accent2" w:themeTint="90" w:sz="4" w:space="0"/>
        <w:insideH w:val="single" w:color="F5B889" w:themeColor="accent2" w:themeTint="90" w:sz="4" w:space="0"/>
      </w:tblBorders>
    </w:tblPr>
    <w:tblStylePr w:type="firstRow">
      <w:rPr>
        <w:rFonts w:ascii="Arial" w:hAnsi="Arial"/>
        <w:b/>
        <w:color w:val="404040"/>
        <w:sz w:val="22"/>
      </w:rPr>
      <w:tcPr>
        <w:tcBorders>
          <w:top w:val="single" w:color="F5B889" w:themeColor="accent2" w:themeTint="90" w:sz="4" w:space="0"/>
          <w:left w:val="nil"/>
          <w:bottom w:val="single" w:color="F5B889" w:themeColor="accent2" w:themeTint="90" w:sz="4" w:space="0"/>
          <w:right w:val="nil"/>
        </w:tcBorders>
      </w:tcPr>
    </w:tblStylePr>
    <w:tblStylePr w:type="lastRow">
      <w:rPr>
        <w:rFonts w:ascii="Arial" w:hAnsi="Arial"/>
        <w:b/>
        <w:color w:val="404040"/>
        <w:sz w:val="22"/>
      </w:rPr>
      <w:tcPr>
        <w:tcBorders>
          <w:top w:val="single" w:color="F5B889" w:themeColor="accent2" w:themeTint="90" w:sz="4" w:space="0"/>
          <w:left w:val="nil"/>
          <w:bottom w:val="single" w:color="F5B889" w:themeColor="accent2"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ADFCA" w:themeColor="accent2" w:themeTint="40" w:fill="FADFCA" w:themeFill="accent2" w:themeFillTint="40"/>
      </w:tcPr>
    </w:tblStylePr>
    <w:tblStylePr w:type="band1Horz">
      <w:rPr>
        <w:rFonts w:ascii="Arial" w:hAnsi="Arial"/>
        <w:color w:val="404040"/>
        <w:sz w:val="22"/>
      </w:rPr>
      <w:tcPr>
        <w:shd w:val="clear" w:color="FADFCA" w:themeColor="accent2" w:themeTint="40" w:fill="FADFCA" w:themeFill="accent2" w:themeFillTint="40"/>
      </w:tcPr>
    </w:tblStylePr>
  </w:style>
  <w:style w:type="table" w:customStyle="1" w:styleId="129">
    <w:name w:val="List Table 2 - Accent 3"/>
    <w:basedOn w:val="33"/>
    <w:qFormat/>
    <w:uiPriority w:val="99"/>
    <w:pPr>
      <w:spacing w:after="0" w:line="240" w:lineRule="auto"/>
    </w:pPr>
    <w:tblPr>
      <w:tblBorders>
        <w:top w:val="single" w:color="FDDB6A" w:themeColor="accent3" w:themeTint="90" w:sz="4" w:space="0"/>
        <w:bottom w:val="single" w:color="FDDB6A" w:themeColor="accent3" w:themeTint="90" w:sz="4" w:space="0"/>
        <w:insideH w:val="single" w:color="FDDB6A" w:themeColor="accent3" w:themeTint="90" w:sz="4" w:space="0"/>
      </w:tblBorders>
    </w:tblPr>
    <w:tblStylePr w:type="firstRow">
      <w:rPr>
        <w:rFonts w:ascii="Arial" w:hAnsi="Arial"/>
        <w:b/>
        <w:color w:val="404040"/>
        <w:sz w:val="22"/>
      </w:rPr>
      <w:tcPr>
        <w:tcBorders>
          <w:top w:val="single" w:color="FDDB6A" w:themeColor="accent3" w:themeTint="90" w:sz="4" w:space="0"/>
          <w:left w:val="nil"/>
          <w:bottom w:val="single" w:color="FDDB6A" w:themeColor="accent3" w:themeTint="90" w:sz="4" w:space="0"/>
          <w:right w:val="nil"/>
        </w:tcBorders>
      </w:tcPr>
    </w:tblStylePr>
    <w:tblStylePr w:type="lastRow">
      <w:rPr>
        <w:rFonts w:ascii="Arial" w:hAnsi="Arial"/>
        <w:b/>
        <w:color w:val="404040"/>
        <w:sz w:val="22"/>
      </w:rPr>
      <w:tcPr>
        <w:tcBorders>
          <w:top w:val="single" w:color="FDDB6A" w:themeColor="accent3" w:themeTint="90" w:sz="4" w:space="0"/>
          <w:left w:val="nil"/>
          <w:bottom w:val="single" w:color="FDDB6A" w:themeColor="accent3"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EEFBC" w:themeColor="accent3" w:themeTint="40" w:fill="FEEFBC" w:themeFill="accent3" w:themeFillTint="40"/>
      </w:tcPr>
    </w:tblStylePr>
    <w:tblStylePr w:type="band1Horz">
      <w:rPr>
        <w:rFonts w:ascii="Arial" w:hAnsi="Arial"/>
        <w:color w:val="404040"/>
        <w:sz w:val="22"/>
      </w:rPr>
      <w:tcPr>
        <w:shd w:val="clear" w:color="FEEFBC" w:themeColor="accent3" w:themeTint="40" w:fill="FEEFBC" w:themeFill="accent3" w:themeFillTint="40"/>
      </w:tcPr>
    </w:tblStylePr>
  </w:style>
  <w:style w:type="table" w:customStyle="1" w:styleId="130">
    <w:name w:val="List Table 2 - Accent 4"/>
    <w:basedOn w:val="33"/>
    <w:qFormat/>
    <w:uiPriority w:val="99"/>
    <w:pPr>
      <w:spacing w:after="0" w:line="240" w:lineRule="auto"/>
    </w:pPr>
    <w:tblPr>
      <w:tblBorders>
        <w:top w:val="single" w:color="B1D994" w:themeColor="accent4" w:themeTint="90" w:sz="4" w:space="0"/>
        <w:bottom w:val="single" w:color="B1D994" w:themeColor="accent4" w:themeTint="90" w:sz="4" w:space="0"/>
        <w:insideH w:val="single" w:color="B1D994" w:themeColor="accent4" w:themeTint="90" w:sz="4" w:space="0"/>
      </w:tblBorders>
    </w:tblPr>
    <w:tblStylePr w:type="firstRow">
      <w:rPr>
        <w:rFonts w:ascii="Arial" w:hAnsi="Arial"/>
        <w:b/>
        <w:color w:val="404040"/>
        <w:sz w:val="22"/>
      </w:rPr>
      <w:tcPr>
        <w:tcBorders>
          <w:top w:val="single" w:color="B1D994" w:themeColor="accent4" w:themeTint="90" w:sz="4" w:space="0"/>
          <w:left w:val="nil"/>
          <w:bottom w:val="single" w:color="B1D994" w:themeColor="accent4" w:themeTint="90" w:sz="4" w:space="0"/>
          <w:right w:val="nil"/>
        </w:tcBorders>
      </w:tcPr>
    </w:tblStylePr>
    <w:tblStylePr w:type="lastRow">
      <w:rPr>
        <w:rFonts w:ascii="Arial" w:hAnsi="Arial"/>
        <w:b/>
        <w:color w:val="404040"/>
        <w:sz w:val="22"/>
      </w:rPr>
      <w:tcPr>
        <w:tcBorders>
          <w:top w:val="single" w:color="B1D994" w:themeColor="accent4" w:themeTint="90" w:sz="4" w:space="0"/>
          <w:left w:val="nil"/>
          <w:bottom w:val="single" w:color="B1D994" w:themeColor="accent4"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CEECF" w:themeColor="accent4" w:themeTint="40" w:fill="DCEECF" w:themeFill="accent4" w:themeFillTint="40"/>
      </w:tcPr>
    </w:tblStylePr>
    <w:tblStylePr w:type="band1Horz">
      <w:rPr>
        <w:rFonts w:ascii="Arial" w:hAnsi="Arial"/>
        <w:color w:val="404040"/>
        <w:sz w:val="22"/>
      </w:rPr>
      <w:tcPr>
        <w:shd w:val="clear" w:color="DCEECF" w:themeColor="accent4" w:themeTint="40" w:fill="DCEECF" w:themeFill="accent4" w:themeFillTint="40"/>
      </w:tcPr>
    </w:tblStylePr>
  </w:style>
  <w:style w:type="table" w:customStyle="1" w:styleId="131">
    <w:name w:val="List Table 2 - Accent 5"/>
    <w:basedOn w:val="33"/>
    <w:qFormat/>
    <w:uiPriority w:val="99"/>
    <w:pPr>
      <w:spacing w:after="0" w:line="240" w:lineRule="auto"/>
    </w:pPr>
    <w:tblPr>
      <w:tblBorders>
        <w:top w:val="single" w:color="85E0D8" w:themeColor="accent5" w:themeTint="90" w:sz="4" w:space="0"/>
        <w:bottom w:val="single" w:color="85E0D8" w:themeColor="accent5" w:themeTint="90" w:sz="4" w:space="0"/>
        <w:insideH w:val="single" w:color="85E0D8" w:themeColor="accent5" w:themeTint="90" w:sz="4" w:space="0"/>
      </w:tblBorders>
    </w:tblPr>
    <w:tblStylePr w:type="firstRow">
      <w:rPr>
        <w:rFonts w:ascii="Arial" w:hAnsi="Arial"/>
        <w:b/>
        <w:color w:val="404040"/>
        <w:sz w:val="22"/>
      </w:rPr>
      <w:tcPr>
        <w:tcBorders>
          <w:top w:val="single" w:color="85E0D8" w:themeColor="accent5" w:themeTint="90" w:sz="4" w:space="0"/>
          <w:left w:val="nil"/>
          <w:bottom w:val="single" w:color="85E0D8" w:themeColor="accent5" w:themeTint="90" w:sz="4" w:space="0"/>
          <w:right w:val="nil"/>
        </w:tcBorders>
      </w:tcPr>
    </w:tblStylePr>
    <w:tblStylePr w:type="lastRow">
      <w:rPr>
        <w:rFonts w:ascii="Arial" w:hAnsi="Arial"/>
        <w:b/>
        <w:color w:val="404040"/>
        <w:sz w:val="22"/>
      </w:rPr>
      <w:tcPr>
        <w:tcBorders>
          <w:top w:val="single" w:color="85E0D8" w:themeColor="accent5" w:themeTint="90" w:sz="4" w:space="0"/>
          <w:left w:val="nil"/>
          <w:bottom w:val="single" w:color="85E0D8" w:themeColor="accent5"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C8F1EE" w:themeColor="accent5" w:themeTint="40" w:fill="C8F1EE" w:themeFill="accent5" w:themeFillTint="40"/>
      </w:tcPr>
    </w:tblStylePr>
    <w:tblStylePr w:type="band1Horz">
      <w:rPr>
        <w:rFonts w:ascii="Arial" w:hAnsi="Arial"/>
        <w:color w:val="404040"/>
        <w:sz w:val="22"/>
      </w:rPr>
      <w:tcPr>
        <w:shd w:val="clear" w:color="C8F1EE" w:themeColor="accent5" w:themeTint="40" w:fill="C8F1EE" w:themeFill="accent5" w:themeFillTint="40"/>
      </w:tcPr>
    </w:tblStylePr>
  </w:style>
  <w:style w:type="table" w:customStyle="1" w:styleId="132">
    <w:name w:val="List Table 2 - Accent 6"/>
    <w:basedOn w:val="33"/>
    <w:qFormat/>
    <w:uiPriority w:val="99"/>
    <w:pPr>
      <w:spacing w:after="0" w:line="240" w:lineRule="auto"/>
    </w:pPr>
    <w:tblPr>
      <w:tblBorders>
        <w:top w:val="single" w:color="F099A4" w:themeColor="accent6" w:themeTint="90" w:sz="4" w:space="0"/>
        <w:bottom w:val="single" w:color="F099A4" w:themeColor="accent6" w:themeTint="90" w:sz="4" w:space="0"/>
        <w:insideH w:val="single" w:color="F099A4" w:themeColor="accent6" w:themeTint="90" w:sz="4" w:space="0"/>
      </w:tblBorders>
    </w:tblPr>
    <w:tblStylePr w:type="firstRow">
      <w:rPr>
        <w:rFonts w:ascii="Arial" w:hAnsi="Arial"/>
        <w:b/>
        <w:color w:val="404040"/>
        <w:sz w:val="22"/>
      </w:rPr>
      <w:tcPr>
        <w:tcBorders>
          <w:top w:val="single" w:color="F099A4" w:themeColor="accent6" w:themeTint="90" w:sz="4" w:space="0"/>
          <w:left w:val="nil"/>
          <w:bottom w:val="single" w:color="F099A4" w:themeColor="accent6" w:themeTint="90" w:sz="4" w:space="0"/>
          <w:right w:val="nil"/>
        </w:tcBorders>
      </w:tcPr>
    </w:tblStylePr>
    <w:tblStylePr w:type="lastRow">
      <w:rPr>
        <w:rFonts w:ascii="Arial" w:hAnsi="Arial"/>
        <w:b/>
        <w:color w:val="404040"/>
        <w:sz w:val="22"/>
      </w:rPr>
      <w:tcPr>
        <w:tcBorders>
          <w:top w:val="single" w:color="F099A4" w:themeColor="accent6" w:themeTint="90" w:sz="4" w:space="0"/>
          <w:left w:val="nil"/>
          <w:bottom w:val="single" w:color="F099A4" w:themeColor="accent6"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8D2D6" w:themeColor="accent6" w:themeTint="40" w:fill="F8D2D6" w:themeFill="accent6" w:themeFillTint="40"/>
      </w:tcPr>
    </w:tblStylePr>
    <w:tblStylePr w:type="band1Horz">
      <w:rPr>
        <w:rFonts w:ascii="Arial" w:hAnsi="Arial"/>
        <w:color w:val="404040"/>
        <w:sz w:val="22"/>
      </w:rPr>
      <w:tcPr>
        <w:shd w:val="clear" w:color="F8D2D6" w:themeColor="accent6" w:themeTint="40" w:fill="F8D2D6" w:themeFill="accent6" w:themeFillTint="40"/>
      </w:tcPr>
    </w:tblStylePr>
  </w:style>
  <w:style w:type="table" w:customStyle="1" w:styleId="133">
    <w:name w:val="List Table 3"/>
    <w:basedOn w:val="33"/>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band1Horz">
      <w:rPr>
        <w:rFonts w:ascii="Arial" w:hAnsi="Arial"/>
        <w:color w:val="404040"/>
        <w:sz w:val="22"/>
      </w:rPr>
      <w:tcPr>
        <w:tcBorders>
          <w:top w:val="single" w:color="000000" w:themeColor="text1" w:sz="4" w:space="0"/>
          <w:bottom w:val="single" w:color="000000" w:themeColor="text1" w:sz="4" w:space="0"/>
        </w:tcBorders>
      </w:tcPr>
    </w:tblStylePr>
  </w:style>
  <w:style w:type="table" w:customStyle="1" w:styleId="134">
    <w:name w:val="List Table 3 - Accent 1"/>
    <w:basedOn w:val="33"/>
    <w:qFormat/>
    <w:uiPriority w:val="99"/>
    <w:pPr>
      <w:spacing w:after="0" w:line="240" w:lineRule="auto"/>
    </w:pPr>
    <w:tblPr>
      <w:tblBorders>
        <w:top w:val="single" w:color="4874CB" w:themeColor="accent1" w:sz="4" w:space="0"/>
        <w:left w:val="single" w:color="4874CB" w:themeColor="accent1" w:sz="4" w:space="0"/>
        <w:bottom w:val="single" w:color="4874CB" w:themeColor="accent1" w:sz="4" w:space="0"/>
        <w:right w:val="single" w:color="4874CB" w:themeColor="accent1" w:sz="4" w:space="0"/>
      </w:tblBorders>
    </w:tblPr>
    <w:tblStylePr w:type="firstRow">
      <w:rPr>
        <w:rFonts w:ascii="Arial" w:hAnsi="Arial"/>
        <w:b/>
        <w:color w:val="FFFFFF"/>
        <w:sz w:val="22"/>
      </w:rPr>
      <w:tcPr>
        <w:shd w:val="clear" w:color="4874CB" w:themeColor="accent1" w:fill="4874CB"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4874CB" w:themeColor="accent1" w:sz="4" w:space="0"/>
          <w:right w:val="single" w:color="4874CB" w:themeColor="accent1" w:sz="4" w:space="0"/>
        </w:tcBorders>
      </w:tcPr>
    </w:tblStylePr>
    <w:tblStylePr w:type="band1Horz">
      <w:rPr>
        <w:rFonts w:ascii="Arial" w:hAnsi="Arial"/>
        <w:color w:val="404040"/>
        <w:sz w:val="22"/>
      </w:rPr>
      <w:tcPr>
        <w:tcBorders>
          <w:top w:val="single" w:color="4874CB" w:themeColor="accent1" w:sz="4" w:space="0"/>
          <w:bottom w:val="single" w:color="4874CB" w:themeColor="accent1" w:sz="4" w:space="0"/>
        </w:tcBorders>
      </w:tcPr>
    </w:tblStylePr>
  </w:style>
  <w:style w:type="table" w:customStyle="1" w:styleId="135">
    <w:name w:val="List Table 3 - Accent 2"/>
    <w:basedOn w:val="33"/>
    <w:qFormat/>
    <w:uiPriority w:val="99"/>
    <w:pPr>
      <w:spacing w:after="0" w:line="240" w:lineRule="auto"/>
    </w:pPr>
    <w:tblPr>
      <w:tblBorders>
        <w:top w:val="single" w:color="F4B483" w:themeColor="accent2" w:themeTint="97" w:sz="4" w:space="0"/>
        <w:left w:val="single" w:color="F4B483" w:themeColor="accent2" w:themeTint="97" w:sz="4" w:space="0"/>
        <w:bottom w:val="single" w:color="F4B483" w:themeColor="accent2" w:themeTint="97" w:sz="4" w:space="0"/>
        <w:right w:val="single" w:color="F4B483" w:themeColor="accent2" w:themeTint="97" w:sz="4" w:space="0"/>
      </w:tblBorders>
    </w:tblPr>
    <w:tblStylePr w:type="firstRow">
      <w:rPr>
        <w:rFonts w:ascii="Arial" w:hAnsi="Arial"/>
        <w:b/>
        <w:color w:val="FFFFFF"/>
        <w:sz w:val="22"/>
      </w:rPr>
      <w:tcPr>
        <w:shd w:val="clear" w:color="F4B483" w:themeColor="accent2" w:themeTint="97" w:fill="F4B483"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4B483" w:themeColor="accent2" w:themeTint="97" w:sz="4" w:space="0"/>
          <w:right w:val="single" w:color="F4B483" w:themeColor="accent2" w:themeTint="97" w:sz="4" w:space="0"/>
        </w:tcBorders>
      </w:tcPr>
    </w:tblStylePr>
    <w:tblStylePr w:type="band1Horz">
      <w:rPr>
        <w:rFonts w:ascii="Arial" w:hAnsi="Arial"/>
        <w:color w:val="404040"/>
        <w:sz w:val="22"/>
      </w:rPr>
      <w:tcPr>
        <w:tcBorders>
          <w:top w:val="single" w:color="F4B483" w:themeColor="accent2" w:themeTint="97" w:sz="4" w:space="0"/>
          <w:bottom w:val="single" w:color="F4B483" w:themeColor="accent2" w:themeTint="97" w:sz="4" w:space="0"/>
        </w:tcBorders>
      </w:tcPr>
    </w:tblStylePr>
  </w:style>
  <w:style w:type="table" w:customStyle="1" w:styleId="136">
    <w:name w:val="List Table 3 - Accent 3"/>
    <w:basedOn w:val="33"/>
    <w:qFormat/>
    <w:uiPriority w:val="99"/>
    <w:pPr>
      <w:spacing w:after="0" w:line="240" w:lineRule="auto"/>
    </w:pPr>
    <w:tblPr>
      <w:tblBorders>
        <w:top w:val="single" w:color="FDD961" w:themeColor="accent3" w:themeTint="98" w:sz="4" w:space="0"/>
        <w:left w:val="single" w:color="FDD961" w:themeColor="accent3" w:themeTint="98" w:sz="4" w:space="0"/>
        <w:bottom w:val="single" w:color="FDD961" w:themeColor="accent3" w:themeTint="98" w:sz="4" w:space="0"/>
        <w:right w:val="single" w:color="FDD961" w:themeColor="accent3" w:themeTint="98" w:sz="4" w:space="0"/>
      </w:tblBorders>
    </w:tblPr>
    <w:tblStylePr w:type="firstRow">
      <w:rPr>
        <w:rFonts w:ascii="Arial" w:hAnsi="Arial"/>
        <w:b/>
        <w:color w:val="FFFFFF"/>
        <w:sz w:val="22"/>
      </w:rPr>
      <w:tcPr>
        <w:shd w:val="clear" w:color="FDD961" w:themeColor="accent3" w:themeTint="98" w:fill="FDD961"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DD961" w:themeColor="accent3" w:themeTint="98" w:sz="4" w:space="0"/>
          <w:right w:val="single" w:color="FDD961" w:themeColor="accent3" w:themeTint="98" w:sz="4" w:space="0"/>
        </w:tcBorders>
      </w:tcPr>
    </w:tblStylePr>
    <w:tblStylePr w:type="band1Horz">
      <w:rPr>
        <w:rFonts w:ascii="Arial" w:hAnsi="Arial"/>
        <w:color w:val="404040"/>
        <w:sz w:val="22"/>
      </w:rPr>
      <w:tcPr>
        <w:tcBorders>
          <w:top w:val="single" w:color="FDD961" w:themeColor="accent3" w:themeTint="98" w:sz="4" w:space="0"/>
          <w:bottom w:val="single" w:color="FDD961" w:themeColor="accent3" w:themeTint="98" w:sz="4" w:space="0"/>
        </w:tcBorders>
      </w:tcPr>
    </w:tblStylePr>
  </w:style>
  <w:style w:type="table" w:customStyle="1" w:styleId="137">
    <w:name w:val="List Table 3 - Accent 4"/>
    <w:basedOn w:val="33"/>
    <w:qFormat/>
    <w:uiPriority w:val="99"/>
    <w:pPr>
      <w:spacing w:after="0" w:line="240" w:lineRule="auto"/>
    </w:pPr>
    <w:tblPr>
      <w:tblBorders>
        <w:top w:val="single" w:color="ABD78C" w:themeColor="accent4" w:themeTint="9A" w:sz="4" w:space="0"/>
        <w:left w:val="single" w:color="ABD78C" w:themeColor="accent4" w:themeTint="9A" w:sz="4" w:space="0"/>
        <w:bottom w:val="single" w:color="ABD78C" w:themeColor="accent4" w:themeTint="9A" w:sz="4" w:space="0"/>
        <w:right w:val="single" w:color="ABD78C" w:themeColor="accent4" w:themeTint="9A" w:sz="4" w:space="0"/>
      </w:tblBorders>
    </w:tblPr>
    <w:tblStylePr w:type="firstRow">
      <w:rPr>
        <w:rFonts w:ascii="Arial" w:hAnsi="Arial"/>
        <w:b/>
        <w:color w:val="FFFFFF"/>
        <w:sz w:val="22"/>
      </w:rPr>
      <w:tcPr>
        <w:shd w:val="clear" w:color="ABD78C" w:themeColor="accent4" w:themeTint="9A" w:fill="ABD78C"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ABD78C" w:themeColor="accent4" w:themeTint="9A" w:sz="4" w:space="0"/>
          <w:right w:val="single" w:color="ABD78C" w:themeColor="accent4" w:themeTint="9A" w:sz="4" w:space="0"/>
        </w:tcBorders>
      </w:tcPr>
    </w:tblStylePr>
    <w:tblStylePr w:type="band1Horz">
      <w:rPr>
        <w:rFonts w:ascii="Arial" w:hAnsi="Arial"/>
        <w:color w:val="404040"/>
        <w:sz w:val="22"/>
      </w:rPr>
      <w:tcPr>
        <w:tcBorders>
          <w:top w:val="single" w:color="ABD78C" w:themeColor="accent4" w:themeTint="9A" w:sz="4" w:space="0"/>
          <w:bottom w:val="single" w:color="ABD78C" w:themeColor="accent4" w:themeTint="9A" w:sz="4" w:space="0"/>
        </w:tcBorders>
      </w:tcPr>
    </w:tblStylePr>
  </w:style>
  <w:style w:type="table" w:customStyle="1" w:styleId="138">
    <w:name w:val="List Table 3 - Accent 5"/>
    <w:basedOn w:val="33"/>
    <w:qFormat/>
    <w:uiPriority w:val="99"/>
    <w:pPr>
      <w:spacing w:after="0" w:line="240" w:lineRule="auto"/>
    </w:pPr>
    <w:tblPr>
      <w:tblBorders>
        <w:top w:val="single" w:color="7CDED6" w:themeColor="accent5" w:themeTint="9A" w:sz="4" w:space="0"/>
        <w:left w:val="single" w:color="7CDED6" w:themeColor="accent5" w:themeTint="9A" w:sz="4" w:space="0"/>
        <w:bottom w:val="single" w:color="7CDED6" w:themeColor="accent5" w:themeTint="9A" w:sz="4" w:space="0"/>
        <w:right w:val="single" w:color="7CDED6" w:themeColor="accent5" w:themeTint="9A" w:sz="4" w:space="0"/>
      </w:tblBorders>
    </w:tblPr>
    <w:tblStylePr w:type="firstRow">
      <w:rPr>
        <w:rFonts w:ascii="Arial" w:hAnsi="Arial"/>
        <w:b/>
        <w:color w:val="FFFFFF"/>
        <w:sz w:val="22"/>
      </w:rPr>
      <w:tcPr>
        <w:shd w:val="clear" w:color="7CDED6" w:themeColor="accent5" w:themeTint="9A" w:fill="7CDED6"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7CDED6" w:themeColor="accent5" w:themeTint="9A" w:sz="4" w:space="0"/>
          <w:right w:val="single" w:color="7CDED6" w:themeColor="accent5" w:themeTint="9A" w:sz="4" w:space="0"/>
        </w:tcBorders>
      </w:tcPr>
    </w:tblStylePr>
    <w:tblStylePr w:type="band1Horz">
      <w:rPr>
        <w:rFonts w:ascii="Arial" w:hAnsi="Arial"/>
        <w:color w:val="404040"/>
        <w:sz w:val="22"/>
      </w:rPr>
      <w:tcPr>
        <w:tcBorders>
          <w:top w:val="single" w:color="7CDED6" w:themeColor="accent5" w:themeTint="9A" w:sz="4" w:space="0"/>
          <w:bottom w:val="single" w:color="7CDED6" w:themeColor="accent5" w:themeTint="9A" w:sz="4" w:space="0"/>
        </w:tcBorders>
      </w:tcPr>
    </w:tblStylePr>
  </w:style>
  <w:style w:type="table" w:customStyle="1" w:styleId="139">
    <w:name w:val="List Table 3 - Accent 6"/>
    <w:basedOn w:val="33"/>
    <w:qFormat/>
    <w:uiPriority w:val="99"/>
    <w:pPr>
      <w:spacing w:after="0" w:line="240" w:lineRule="auto"/>
    </w:pPr>
    <w:tblPr>
      <w:tblBorders>
        <w:top w:val="single" w:color="EF949F" w:themeColor="accent6" w:themeTint="98" w:sz="4" w:space="0"/>
        <w:left w:val="single" w:color="EF949F" w:themeColor="accent6" w:themeTint="98" w:sz="4" w:space="0"/>
        <w:bottom w:val="single" w:color="EF949F" w:themeColor="accent6" w:themeTint="98" w:sz="4" w:space="0"/>
        <w:right w:val="single" w:color="EF949F" w:themeColor="accent6" w:themeTint="98" w:sz="4" w:space="0"/>
      </w:tblBorders>
    </w:tblPr>
    <w:tblStylePr w:type="firstRow">
      <w:rPr>
        <w:rFonts w:ascii="Arial" w:hAnsi="Arial"/>
        <w:b/>
        <w:color w:val="FFFFFF"/>
        <w:sz w:val="22"/>
      </w:rPr>
      <w:tcPr>
        <w:shd w:val="clear" w:color="EF949F" w:themeColor="accent6" w:themeTint="98" w:fill="EF949F"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EF949F" w:themeColor="accent6" w:themeTint="98" w:sz="4" w:space="0"/>
          <w:right w:val="single" w:color="EF949F" w:themeColor="accent6" w:themeTint="98" w:sz="4" w:space="0"/>
        </w:tcBorders>
      </w:tcPr>
    </w:tblStylePr>
    <w:tblStylePr w:type="band1Horz">
      <w:rPr>
        <w:rFonts w:ascii="Arial" w:hAnsi="Arial"/>
        <w:color w:val="404040"/>
        <w:sz w:val="22"/>
      </w:rPr>
      <w:tcPr>
        <w:tcBorders>
          <w:top w:val="single" w:color="EF949F" w:themeColor="accent6" w:themeTint="98" w:sz="4" w:space="0"/>
          <w:bottom w:val="single" w:color="EF949F" w:themeColor="accent6" w:themeTint="98" w:sz="4" w:space="0"/>
        </w:tcBorders>
      </w:tcPr>
    </w:tblStylePr>
  </w:style>
  <w:style w:type="table" w:customStyle="1" w:styleId="140">
    <w:name w:val="List Table 4"/>
    <w:basedOn w:val="33"/>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141">
    <w:name w:val="List Table 4 - Accent 1"/>
    <w:basedOn w:val="33"/>
    <w:qFormat/>
    <w:uiPriority w:val="99"/>
    <w:pPr>
      <w:spacing w:after="0" w:line="240" w:lineRule="auto"/>
    </w:pPr>
    <w:tblPr>
      <w:tblBorders>
        <w:top w:val="single" w:color="97B0E1" w:themeColor="accent1" w:themeTint="90" w:sz="4" w:space="0"/>
        <w:left w:val="single" w:color="97B0E1" w:themeColor="accent1" w:themeTint="90" w:sz="4" w:space="0"/>
        <w:bottom w:val="single" w:color="97B0E1" w:themeColor="accent1" w:themeTint="90" w:sz="4" w:space="0"/>
        <w:right w:val="single" w:color="97B0E1" w:themeColor="accent1" w:themeTint="90" w:sz="4" w:space="0"/>
        <w:insideH w:val="single" w:color="97B0E1" w:themeColor="accent1" w:themeTint="90" w:sz="4" w:space="0"/>
      </w:tblBorders>
    </w:tblPr>
    <w:tblStylePr w:type="firstRow">
      <w:rPr>
        <w:rFonts w:ascii="Arial" w:hAnsi="Arial"/>
        <w:b/>
        <w:color w:val="FFFFFF"/>
        <w:sz w:val="22"/>
      </w:rPr>
      <w:tcPr>
        <w:shd w:val="clear" w:color="4874CB" w:themeColor="accent1" w:fill="4874CB"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1DCF1" w:themeColor="accent1" w:themeTint="40" w:fill="D1DCF1" w:themeFill="accent1" w:themeFillTint="40"/>
      </w:tcPr>
    </w:tblStylePr>
    <w:tblStylePr w:type="band1Horz">
      <w:rPr>
        <w:rFonts w:ascii="Arial" w:hAnsi="Arial"/>
        <w:color w:val="404040"/>
        <w:sz w:val="22"/>
      </w:rPr>
      <w:tcPr>
        <w:shd w:val="clear" w:color="D1DCF1" w:themeColor="accent1" w:themeTint="40" w:fill="D1DCF1" w:themeFill="accent1" w:themeFillTint="40"/>
      </w:tcPr>
    </w:tblStylePr>
  </w:style>
  <w:style w:type="table" w:customStyle="1" w:styleId="142">
    <w:name w:val="List Table 4 - Accent 2"/>
    <w:basedOn w:val="33"/>
    <w:qFormat/>
    <w:uiPriority w:val="99"/>
    <w:pPr>
      <w:spacing w:after="0" w:line="240" w:lineRule="auto"/>
    </w:pPr>
    <w:tblPr>
      <w:tblBorders>
        <w:top w:val="single" w:color="F5B889" w:themeColor="accent2" w:themeTint="90" w:sz="4" w:space="0"/>
        <w:left w:val="single" w:color="F5B889" w:themeColor="accent2" w:themeTint="90" w:sz="4" w:space="0"/>
        <w:bottom w:val="single" w:color="F5B889" w:themeColor="accent2" w:themeTint="90" w:sz="4" w:space="0"/>
        <w:right w:val="single" w:color="F5B889" w:themeColor="accent2" w:themeTint="90" w:sz="4" w:space="0"/>
        <w:insideH w:val="single" w:color="F5B889" w:themeColor="accent2" w:themeTint="90" w:sz="4" w:space="0"/>
      </w:tblBorders>
    </w:tblPr>
    <w:tblStylePr w:type="firstRow">
      <w:rPr>
        <w:rFonts w:ascii="Arial" w:hAnsi="Arial"/>
        <w:b/>
        <w:color w:val="FFFFFF"/>
        <w:sz w:val="22"/>
      </w:rPr>
      <w:tcPr>
        <w:shd w:val="clear" w:color="EE822F" w:themeColor="accent2" w:fill="EE822F"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ADFCA" w:themeColor="accent2" w:themeTint="40" w:fill="FADFCA" w:themeFill="accent2" w:themeFillTint="40"/>
      </w:tcPr>
    </w:tblStylePr>
    <w:tblStylePr w:type="band1Horz">
      <w:rPr>
        <w:rFonts w:ascii="Arial" w:hAnsi="Arial"/>
        <w:color w:val="404040"/>
        <w:sz w:val="22"/>
      </w:rPr>
      <w:tcPr>
        <w:shd w:val="clear" w:color="FADFCA" w:themeColor="accent2" w:themeTint="40" w:fill="FADFCA" w:themeFill="accent2" w:themeFillTint="40"/>
      </w:tcPr>
    </w:tblStylePr>
  </w:style>
  <w:style w:type="table" w:customStyle="1" w:styleId="143">
    <w:name w:val="List Table 4 - Accent 3"/>
    <w:basedOn w:val="33"/>
    <w:qFormat/>
    <w:uiPriority w:val="99"/>
    <w:pPr>
      <w:spacing w:after="0" w:line="240" w:lineRule="auto"/>
    </w:pPr>
    <w:tblPr>
      <w:tblBorders>
        <w:top w:val="single" w:color="FDDB6A" w:themeColor="accent3" w:themeTint="90" w:sz="4" w:space="0"/>
        <w:left w:val="single" w:color="FDDB6A" w:themeColor="accent3" w:themeTint="90" w:sz="4" w:space="0"/>
        <w:bottom w:val="single" w:color="FDDB6A" w:themeColor="accent3" w:themeTint="90" w:sz="4" w:space="0"/>
        <w:right w:val="single" w:color="FDDB6A" w:themeColor="accent3" w:themeTint="90" w:sz="4" w:space="0"/>
        <w:insideH w:val="single" w:color="FDDB6A" w:themeColor="accent3" w:themeTint="90" w:sz="4" w:space="0"/>
      </w:tblBorders>
    </w:tblPr>
    <w:tblStylePr w:type="firstRow">
      <w:rPr>
        <w:rFonts w:ascii="Arial" w:hAnsi="Arial"/>
        <w:b/>
        <w:color w:val="FFFFFF"/>
        <w:sz w:val="22"/>
      </w:rPr>
      <w:tcPr>
        <w:shd w:val="clear" w:color="F2BA02" w:themeColor="accent3" w:fill="F2BA02"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EEFBC" w:themeColor="accent3" w:themeTint="40" w:fill="FEEFBC" w:themeFill="accent3" w:themeFillTint="40"/>
      </w:tcPr>
    </w:tblStylePr>
    <w:tblStylePr w:type="band1Horz">
      <w:rPr>
        <w:rFonts w:ascii="Arial" w:hAnsi="Arial"/>
        <w:color w:val="404040"/>
        <w:sz w:val="22"/>
      </w:rPr>
      <w:tcPr>
        <w:shd w:val="clear" w:color="FEEFBC" w:themeColor="accent3" w:themeTint="40" w:fill="FEEFBC" w:themeFill="accent3" w:themeFillTint="40"/>
      </w:tcPr>
    </w:tblStylePr>
  </w:style>
  <w:style w:type="table" w:customStyle="1" w:styleId="144">
    <w:name w:val="List Table 4 - Accent 4"/>
    <w:basedOn w:val="33"/>
    <w:qFormat/>
    <w:uiPriority w:val="99"/>
    <w:pPr>
      <w:spacing w:after="0" w:line="240" w:lineRule="auto"/>
    </w:pPr>
    <w:tblPr>
      <w:tblBorders>
        <w:top w:val="single" w:color="B1D994" w:themeColor="accent4" w:themeTint="90" w:sz="4" w:space="0"/>
        <w:left w:val="single" w:color="B1D994" w:themeColor="accent4" w:themeTint="90" w:sz="4" w:space="0"/>
        <w:bottom w:val="single" w:color="B1D994" w:themeColor="accent4" w:themeTint="90" w:sz="4" w:space="0"/>
        <w:right w:val="single" w:color="B1D994" w:themeColor="accent4" w:themeTint="90" w:sz="4" w:space="0"/>
        <w:insideH w:val="single" w:color="B1D994" w:themeColor="accent4" w:themeTint="90" w:sz="4" w:space="0"/>
      </w:tblBorders>
    </w:tblPr>
    <w:tblStylePr w:type="firstRow">
      <w:rPr>
        <w:rFonts w:ascii="Arial" w:hAnsi="Arial"/>
        <w:b/>
        <w:color w:val="FFFFFF"/>
        <w:sz w:val="22"/>
      </w:rPr>
      <w:tcPr>
        <w:shd w:val="clear" w:color="75BD42" w:themeColor="accent4" w:fill="75BD4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CEECF" w:themeColor="accent4" w:themeTint="40" w:fill="DCEECF" w:themeFill="accent4" w:themeFillTint="40"/>
      </w:tcPr>
    </w:tblStylePr>
    <w:tblStylePr w:type="band1Horz">
      <w:rPr>
        <w:rFonts w:ascii="Arial" w:hAnsi="Arial"/>
        <w:color w:val="404040"/>
        <w:sz w:val="22"/>
      </w:rPr>
      <w:tcPr>
        <w:shd w:val="clear" w:color="DCEECF" w:themeColor="accent4" w:themeTint="40" w:fill="DCEECF" w:themeFill="accent4" w:themeFillTint="40"/>
      </w:tcPr>
    </w:tblStylePr>
  </w:style>
  <w:style w:type="table" w:customStyle="1" w:styleId="145">
    <w:name w:val="List Table 4 - Accent 5"/>
    <w:basedOn w:val="33"/>
    <w:qFormat/>
    <w:uiPriority w:val="99"/>
    <w:pPr>
      <w:spacing w:after="0" w:line="240" w:lineRule="auto"/>
    </w:pPr>
    <w:tblPr>
      <w:tblBorders>
        <w:top w:val="single" w:color="85E0D8" w:themeColor="accent5" w:themeTint="90" w:sz="4" w:space="0"/>
        <w:left w:val="single" w:color="85E0D8" w:themeColor="accent5" w:themeTint="90" w:sz="4" w:space="0"/>
        <w:bottom w:val="single" w:color="85E0D8" w:themeColor="accent5" w:themeTint="90" w:sz="4" w:space="0"/>
        <w:right w:val="single" w:color="85E0D8" w:themeColor="accent5" w:themeTint="90" w:sz="4" w:space="0"/>
        <w:insideH w:val="single" w:color="85E0D8" w:themeColor="accent5" w:themeTint="90" w:sz="4" w:space="0"/>
      </w:tblBorders>
    </w:tblPr>
    <w:tblStylePr w:type="firstRow">
      <w:rPr>
        <w:rFonts w:ascii="Arial" w:hAnsi="Arial"/>
        <w:b/>
        <w:color w:val="FFFFFF"/>
        <w:sz w:val="22"/>
      </w:rPr>
      <w:tcPr>
        <w:shd w:val="clear" w:color="30C0B4" w:themeColor="accent5" w:fill="30C0B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C8F1EE" w:themeColor="accent5" w:themeTint="40" w:fill="C8F1EE" w:themeFill="accent5" w:themeFillTint="40"/>
      </w:tcPr>
    </w:tblStylePr>
    <w:tblStylePr w:type="band1Horz">
      <w:rPr>
        <w:rFonts w:ascii="Arial" w:hAnsi="Arial"/>
        <w:color w:val="404040"/>
        <w:sz w:val="22"/>
      </w:rPr>
      <w:tcPr>
        <w:shd w:val="clear" w:color="C8F1EE" w:themeColor="accent5" w:themeTint="40" w:fill="C8F1EE" w:themeFill="accent5" w:themeFillTint="40"/>
      </w:tcPr>
    </w:tblStylePr>
  </w:style>
  <w:style w:type="table" w:customStyle="1" w:styleId="146">
    <w:name w:val="List Table 4 - Accent 6"/>
    <w:basedOn w:val="33"/>
    <w:qFormat/>
    <w:uiPriority w:val="99"/>
    <w:pPr>
      <w:spacing w:after="0" w:line="240" w:lineRule="auto"/>
    </w:pPr>
    <w:tblPr>
      <w:tblBorders>
        <w:top w:val="single" w:color="F099A4" w:themeColor="accent6" w:themeTint="90" w:sz="4" w:space="0"/>
        <w:left w:val="single" w:color="F099A4" w:themeColor="accent6" w:themeTint="90" w:sz="4" w:space="0"/>
        <w:bottom w:val="single" w:color="F099A4" w:themeColor="accent6" w:themeTint="90" w:sz="4" w:space="0"/>
        <w:right w:val="single" w:color="F099A4" w:themeColor="accent6" w:themeTint="90" w:sz="4" w:space="0"/>
        <w:insideH w:val="single" w:color="F099A4" w:themeColor="accent6" w:themeTint="90" w:sz="4" w:space="0"/>
      </w:tblBorders>
    </w:tblPr>
    <w:tblStylePr w:type="firstRow">
      <w:rPr>
        <w:rFonts w:ascii="Arial" w:hAnsi="Arial"/>
        <w:b/>
        <w:color w:val="FFFFFF"/>
        <w:sz w:val="22"/>
      </w:rPr>
      <w:tcPr>
        <w:shd w:val="clear" w:color="E54C5E" w:themeColor="accent6" w:fill="E54C5E"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8D2D6" w:themeColor="accent6" w:themeTint="40" w:fill="F8D2D6" w:themeFill="accent6" w:themeFillTint="40"/>
      </w:tcPr>
    </w:tblStylePr>
    <w:tblStylePr w:type="band1Horz">
      <w:rPr>
        <w:rFonts w:ascii="Arial" w:hAnsi="Arial"/>
        <w:color w:val="404040"/>
        <w:sz w:val="22"/>
      </w:rPr>
      <w:tcPr>
        <w:shd w:val="clear" w:color="F8D2D6" w:themeColor="accent6" w:themeTint="40" w:fill="F8D2D6" w:themeFill="accent6" w:themeFillTint="40"/>
      </w:tcPr>
    </w:tblStylePr>
  </w:style>
  <w:style w:type="table" w:customStyle="1" w:styleId="147">
    <w:name w:val="List Table 5 Dark"/>
    <w:basedOn w:val="33"/>
    <w:qFormat/>
    <w:uiPriority w:val="99"/>
    <w:pPr>
      <w:spacing w:after="0" w:line="240" w:lineRule="auto"/>
    </w:pPr>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Pr>
    <w:tblStylePr w:type="firstRow">
      <w:rPr>
        <w:rFonts w:ascii="Arial" w:hAnsi="Arial"/>
        <w:b/>
        <w:color w:val="FFFFFF" w:themeColor="light1"/>
        <w:sz w:val="22"/>
        <w14:textFill>
          <w14:solidFill>
            <w14:schemeClr w14:val="lt1"/>
          </w14:solidFill>
        </w14:textFill>
      </w:rPr>
      <w:tcPr>
        <w:tcBorders>
          <w:top w:val="single" w:color="7E7E7E" w:themeColor="text1" w:themeTint="80" w:sz="32" w:space="0"/>
          <w:bottom w:val="single" w:color="FFFFFF" w:themeColor="light1" w:sz="12" w:space="0"/>
        </w:tcBorders>
        <w:shd w:val="clear" w:color="7E7E7E" w:themeColor="text1" w:themeTint="80" w:fill="7E7E7E" w:themeFill="text1" w:themeFillTint="80"/>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7E7E7E" w:themeColor="text1" w:themeTint="80" w:sz="32" w:space="0"/>
          <w:right w:val="single" w:color="FFFFFF" w:themeColor="light1" w:sz="4" w:space="0"/>
        </w:tcBorders>
      </w:tcPr>
    </w:tblStylePr>
    <w:tblStylePr w:type="lastCol">
      <w:tcPr>
        <w:tcBorders>
          <w:left w:val="single" w:color="FFFFFF" w:themeColor="light1" w:sz="4" w:space="0"/>
          <w:right w:val="single" w:color="7E7E7E" w:themeColor="text1" w:themeTint="80" w:sz="32" w:space="0"/>
        </w:tcBorders>
      </w:tcPr>
    </w:tblStylePr>
    <w:tblStylePr w:type="band1Vert">
      <w:tcPr>
        <w:tcBorders>
          <w:left w:val="single" w:color="FFFFFF" w:themeColor="light1" w:sz="4" w:space="0"/>
          <w:right w:val="single" w:color="FFFFFF" w:themeColor="light1" w:sz="4" w:space="0"/>
        </w:tcBorders>
        <w:shd w:val="clear" w:color="7E7E7E" w:themeColor="text1" w:themeTint="80" w:fill="7E7E7E" w:themeFill="text1" w:themeFillTint="80"/>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band2Horz">
      <w:tcPr>
        <w:tcBorders>
          <w:top w:val="single" w:color="FFFFFF" w:themeColor="light1" w:sz="4" w:space="0"/>
          <w:bottom w:val="single" w:color="FFFFFF" w:themeColor="light1" w:sz="4" w:space="0"/>
        </w:tcBorders>
        <w:shd w:val="clear" w:color="7E7E7E" w:themeColor="text1" w:themeTint="80" w:fill="7E7E7E" w:themeFill="text1" w:themeFillTint="80"/>
      </w:tcPr>
    </w:tblStylePr>
  </w:style>
  <w:style w:type="table" w:customStyle="1" w:styleId="148">
    <w:name w:val="List Table 5 Dark - Accent 1"/>
    <w:basedOn w:val="33"/>
    <w:qFormat/>
    <w:uiPriority w:val="99"/>
    <w:pPr>
      <w:spacing w:after="0" w:line="240" w:lineRule="auto"/>
    </w:pPr>
    <w:tblPr>
      <w:tblBorders>
        <w:top w:val="single" w:color="4874CB" w:themeColor="accent1" w:sz="32" w:space="0"/>
        <w:left w:val="single" w:color="4874CB" w:themeColor="accent1" w:sz="32" w:space="0"/>
        <w:bottom w:val="single" w:color="4874CB" w:themeColor="accent1" w:sz="32" w:space="0"/>
        <w:right w:val="single" w:color="4874CB" w:themeColor="accent1" w:sz="32" w:space="0"/>
      </w:tblBorders>
    </w:tblPr>
    <w:tblStylePr w:type="firstRow">
      <w:rPr>
        <w:rFonts w:ascii="Arial" w:hAnsi="Arial"/>
        <w:b/>
        <w:color w:val="FFFFFF" w:themeColor="light1"/>
        <w:sz w:val="22"/>
        <w14:textFill>
          <w14:solidFill>
            <w14:schemeClr w14:val="lt1"/>
          </w14:solidFill>
        </w14:textFill>
      </w:rPr>
      <w:tcPr>
        <w:tcBorders>
          <w:top w:val="single" w:color="4874CB" w:themeColor="accent1" w:sz="32" w:space="0"/>
          <w:bottom w:val="single" w:color="FFFFFF" w:themeColor="light1" w:sz="12" w:space="0"/>
        </w:tcBorders>
        <w:shd w:val="clear" w:color="4874CB" w:themeColor="accent1" w:fill="4874CB" w:themeFill="accent1"/>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4874CB" w:themeColor="accent1" w:sz="32" w:space="0"/>
          <w:right w:val="single" w:color="FFFFFF" w:themeColor="light1" w:sz="4" w:space="0"/>
        </w:tcBorders>
      </w:tcPr>
    </w:tblStylePr>
    <w:tblStylePr w:type="lastCol">
      <w:tcPr>
        <w:tcBorders>
          <w:left w:val="single" w:color="FFFFFF" w:themeColor="light1" w:sz="4" w:space="0"/>
          <w:right w:val="single" w:color="4874CB" w:themeColor="accent1" w:sz="32" w:space="0"/>
        </w:tcBorders>
      </w:tcPr>
    </w:tblStylePr>
    <w:tblStylePr w:type="band1Vert">
      <w:tcPr>
        <w:tcBorders>
          <w:left w:val="single" w:color="FFFFFF" w:themeColor="light1" w:sz="4" w:space="0"/>
          <w:right w:val="single" w:color="FFFFFF" w:themeColor="light1" w:sz="4" w:space="0"/>
        </w:tcBorders>
        <w:shd w:val="clear" w:color="4874CB" w:themeColor="accent1" w:fill="4874CB" w:themeFill="accent1"/>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4874CB" w:themeColor="accent1" w:fill="4874CB" w:themeFill="accent1"/>
      </w:tcPr>
    </w:tblStylePr>
    <w:tblStylePr w:type="band2Horz">
      <w:tcPr>
        <w:tcBorders>
          <w:top w:val="single" w:color="FFFFFF" w:themeColor="light1" w:sz="4" w:space="0"/>
          <w:bottom w:val="single" w:color="FFFFFF" w:themeColor="light1" w:sz="4" w:space="0"/>
        </w:tcBorders>
        <w:shd w:val="clear" w:color="4874CB" w:themeColor="accent1" w:fill="4874CB" w:themeFill="accent1"/>
      </w:tcPr>
    </w:tblStylePr>
  </w:style>
  <w:style w:type="table" w:customStyle="1" w:styleId="149">
    <w:name w:val="List Table 5 Dark - Accent 2"/>
    <w:basedOn w:val="33"/>
    <w:qFormat/>
    <w:uiPriority w:val="99"/>
    <w:pPr>
      <w:spacing w:after="0" w:line="240" w:lineRule="auto"/>
    </w:pPr>
    <w:tblPr>
      <w:tblBorders>
        <w:top w:val="single" w:color="F4B483" w:themeColor="accent2" w:themeTint="97" w:sz="32" w:space="0"/>
        <w:left w:val="single" w:color="F4B483" w:themeColor="accent2" w:themeTint="97" w:sz="32" w:space="0"/>
        <w:bottom w:val="single" w:color="F4B483" w:themeColor="accent2" w:themeTint="97" w:sz="32" w:space="0"/>
        <w:right w:val="single" w:color="F4B483" w:themeColor="accent2" w:themeTint="97" w:sz="32" w:space="0"/>
      </w:tblBorders>
    </w:tblPr>
    <w:tblStylePr w:type="firstRow">
      <w:rPr>
        <w:rFonts w:ascii="Arial" w:hAnsi="Arial"/>
        <w:b/>
        <w:color w:val="FFFFFF" w:themeColor="light1"/>
        <w:sz w:val="22"/>
        <w14:textFill>
          <w14:solidFill>
            <w14:schemeClr w14:val="lt1"/>
          </w14:solidFill>
        </w14:textFill>
      </w:rPr>
      <w:tcPr>
        <w:tcBorders>
          <w:top w:val="single" w:color="F4B483" w:themeColor="accent2" w:themeTint="97" w:sz="32" w:space="0"/>
          <w:bottom w:val="single" w:color="FFFFFF" w:themeColor="light1" w:sz="12" w:space="0"/>
        </w:tcBorders>
        <w:shd w:val="clear" w:color="F4B483" w:themeColor="accent2" w:themeTint="97" w:fill="F4B483" w:themeFill="accent2" w:themeFillTint="97"/>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4B483" w:themeColor="accent2" w:themeTint="97" w:sz="32" w:space="0"/>
          <w:right w:val="single" w:color="FFFFFF" w:themeColor="light1" w:sz="4" w:space="0"/>
        </w:tcBorders>
      </w:tcPr>
    </w:tblStylePr>
    <w:tblStylePr w:type="lastCol">
      <w:tcPr>
        <w:tcBorders>
          <w:left w:val="single" w:color="FFFFFF" w:themeColor="light1" w:sz="4" w:space="0"/>
          <w:right w:val="single" w:color="F4B483" w:themeColor="accent2" w:themeTint="97" w:sz="32" w:space="0"/>
        </w:tcBorders>
      </w:tcPr>
    </w:tblStylePr>
    <w:tblStylePr w:type="band1Vert">
      <w:tcPr>
        <w:tcBorders>
          <w:left w:val="single" w:color="FFFFFF" w:themeColor="light1" w:sz="4" w:space="0"/>
          <w:right w:val="single" w:color="FFFFFF" w:themeColor="light1" w:sz="4" w:space="0"/>
        </w:tcBorders>
        <w:shd w:val="clear" w:color="F4B483" w:themeColor="accent2" w:themeTint="97" w:fill="F4B483" w:themeFill="accent2" w:themeFillTint="97"/>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4B483" w:themeColor="accent2" w:themeTint="97" w:fill="F4B483" w:themeFill="accent2" w:themeFillTint="97"/>
      </w:tcPr>
    </w:tblStylePr>
    <w:tblStylePr w:type="band2Horz">
      <w:tcPr>
        <w:tcBorders>
          <w:top w:val="single" w:color="FFFFFF" w:themeColor="light1" w:sz="4" w:space="0"/>
          <w:bottom w:val="single" w:color="FFFFFF" w:themeColor="light1" w:sz="4" w:space="0"/>
        </w:tcBorders>
        <w:shd w:val="clear" w:color="F4B483" w:themeColor="accent2" w:themeTint="97" w:fill="F4B483" w:themeFill="accent2" w:themeFillTint="97"/>
      </w:tcPr>
    </w:tblStylePr>
  </w:style>
  <w:style w:type="table" w:customStyle="1" w:styleId="150">
    <w:name w:val="List Table 5 Dark - Accent 3"/>
    <w:basedOn w:val="33"/>
    <w:qFormat/>
    <w:uiPriority w:val="99"/>
    <w:pPr>
      <w:spacing w:after="0" w:line="240" w:lineRule="auto"/>
    </w:pPr>
    <w:tblPr>
      <w:tblBorders>
        <w:top w:val="single" w:color="FDD961" w:themeColor="accent3" w:themeTint="98" w:sz="32" w:space="0"/>
        <w:left w:val="single" w:color="FDD961" w:themeColor="accent3" w:themeTint="98" w:sz="32" w:space="0"/>
        <w:bottom w:val="single" w:color="FDD961" w:themeColor="accent3" w:themeTint="98" w:sz="32" w:space="0"/>
        <w:right w:val="single" w:color="FDD961" w:themeColor="accent3" w:themeTint="98" w:sz="32" w:space="0"/>
      </w:tblBorders>
    </w:tblPr>
    <w:tblStylePr w:type="firstRow">
      <w:rPr>
        <w:rFonts w:ascii="Arial" w:hAnsi="Arial"/>
        <w:b/>
        <w:color w:val="FFFFFF" w:themeColor="light1"/>
        <w:sz w:val="22"/>
        <w14:textFill>
          <w14:solidFill>
            <w14:schemeClr w14:val="lt1"/>
          </w14:solidFill>
        </w14:textFill>
      </w:rPr>
      <w:tcPr>
        <w:tcBorders>
          <w:top w:val="single" w:color="FDD961" w:themeColor="accent3" w:themeTint="98" w:sz="32" w:space="0"/>
          <w:bottom w:val="single" w:color="FFFFFF" w:themeColor="light1" w:sz="12" w:space="0"/>
        </w:tcBorders>
        <w:shd w:val="clear" w:color="FDD961" w:themeColor="accent3" w:themeTint="98" w:fill="FDD961" w:themeFill="accent3"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DD961" w:themeColor="accent3" w:themeTint="98" w:sz="32" w:space="0"/>
          <w:right w:val="single" w:color="FFFFFF" w:themeColor="light1" w:sz="4" w:space="0"/>
        </w:tcBorders>
      </w:tcPr>
    </w:tblStylePr>
    <w:tblStylePr w:type="lastCol">
      <w:tcPr>
        <w:tcBorders>
          <w:left w:val="single" w:color="FFFFFF" w:themeColor="light1" w:sz="4" w:space="0"/>
          <w:right w:val="single" w:color="FDD961" w:themeColor="accent3" w:themeTint="98" w:sz="32" w:space="0"/>
        </w:tcBorders>
      </w:tcPr>
    </w:tblStylePr>
    <w:tblStylePr w:type="band1Vert">
      <w:tcPr>
        <w:tcBorders>
          <w:left w:val="single" w:color="FFFFFF" w:themeColor="light1" w:sz="4" w:space="0"/>
          <w:right w:val="single" w:color="FFFFFF" w:themeColor="light1" w:sz="4" w:space="0"/>
        </w:tcBorders>
        <w:shd w:val="clear" w:color="FDD961" w:themeColor="accent3" w:themeTint="98" w:fill="FDD961" w:themeFill="accent3"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DD961" w:themeColor="accent3" w:themeTint="98" w:fill="FDD961" w:themeFill="accent3" w:themeFillTint="98"/>
      </w:tcPr>
    </w:tblStylePr>
    <w:tblStylePr w:type="band2Horz">
      <w:tcPr>
        <w:tcBorders>
          <w:top w:val="single" w:color="FFFFFF" w:themeColor="light1" w:sz="4" w:space="0"/>
          <w:bottom w:val="single" w:color="FFFFFF" w:themeColor="light1" w:sz="4" w:space="0"/>
        </w:tcBorders>
        <w:shd w:val="clear" w:color="FDD961" w:themeColor="accent3" w:themeTint="98" w:fill="FDD961" w:themeFill="accent3" w:themeFillTint="98"/>
      </w:tcPr>
    </w:tblStylePr>
  </w:style>
  <w:style w:type="table" w:customStyle="1" w:styleId="151">
    <w:name w:val="List Table 5 Dark - Accent 4"/>
    <w:basedOn w:val="33"/>
    <w:qFormat/>
    <w:uiPriority w:val="99"/>
    <w:pPr>
      <w:spacing w:after="0" w:line="240" w:lineRule="auto"/>
    </w:pPr>
    <w:tblPr>
      <w:tblBorders>
        <w:top w:val="single" w:color="ABD78C" w:themeColor="accent4" w:themeTint="9A" w:sz="32" w:space="0"/>
        <w:left w:val="single" w:color="ABD78C" w:themeColor="accent4" w:themeTint="9A" w:sz="32" w:space="0"/>
        <w:bottom w:val="single" w:color="ABD78C" w:themeColor="accent4" w:themeTint="9A" w:sz="32" w:space="0"/>
        <w:right w:val="single" w:color="ABD78C" w:themeColor="accent4" w:themeTint="9A" w:sz="32" w:space="0"/>
      </w:tblBorders>
    </w:tblPr>
    <w:tblStylePr w:type="firstRow">
      <w:rPr>
        <w:rFonts w:ascii="Arial" w:hAnsi="Arial"/>
        <w:b/>
        <w:color w:val="FFFFFF" w:themeColor="light1"/>
        <w:sz w:val="22"/>
        <w14:textFill>
          <w14:solidFill>
            <w14:schemeClr w14:val="lt1"/>
          </w14:solidFill>
        </w14:textFill>
      </w:rPr>
      <w:tcPr>
        <w:tcBorders>
          <w:top w:val="single" w:color="ABD78C" w:themeColor="accent4" w:themeTint="9A" w:sz="32" w:space="0"/>
          <w:bottom w:val="single" w:color="FFFFFF" w:themeColor="light1" w:sz="12" w:space="0"/>
        </w:tcBorders>
        <w:shd w:val="clear" w:color="ABD78C" w:themeColor="accent4" w:themeTint="9A" w:fill="ABD78C" w:themeFill="accent4"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ABD78C" w:themeColor="accent4" w:themeTint="9A" w:sz="32" w:space="0"/>
          <w:right w:val="single" w:color="FFFFFF" w:themeColor="light1" w:sz="4" w:space="0"/>
        </w:tcBorders>
      </w:tcPr>
    </w:tblStylePr>
    <w:tblStylePr w:type="lastCol">
      <w:tcPr>
        <w:tcBorders>
          <w:left w:val="single" w:color="FFFFFF" w:themeColor="light1" w:sz="4" w:space="0"/>
          <w:right w:val="single" w:color="ABD78C" w:themeColor="accent4" w:themeTint="9A" w:sz="32" w:space="0"/>
        </w:tcBorders>
      </w:tcPr>
    </w:tblStylePr>
    <w:tblStylePr w:type="band1Vert">
      <w:tcPr>
        <w:tcBorders>
          <w:left w:val="single" w:color="FFFFFF" w:themeColor="light1" w:sz="4" w:space="0"/>
          <w:right w:val="single" w:color="FFFFFF" w:themeColor="light1" w:sz="4" w:space="0"/>
        </w:tcBorders>
        <w:shd w:val="clear" w:color="ABD78C" w:themeColor="accent4" w:themeTint="9A" w:fill="ABD78C" w:themeFill="accent4"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ABD78C" w:themeColor="accent4" w:themeTint="9A" w:fill="ABD78C" w:themeFill="accent4" w:themeFillTint="9A"/>
      </w:tcPr>
    </w:tblStylePr>
    <w:tblStylePr w:type="band2Horz">
      <w:tcPr>
        <w:tcBorders>
          <w:top w:val="single" w:color="FFFFFF" w:themeColor="light1" w:sz="4" w:space="0"/>
          <w:bottom w:val="single" w:color="FFFFFF" w:themeColor="light1" w:sz="4" w:space="0"/>
        </w:tcBorders>
        <w:shd w:val="clear" w:color="ABD78C" w:themeColor="accent4" w:themeTint="9A" w:fill="ABD78C" w:themeFill="accent4" w:themeFillTint="9A"/>
      </w:tcPr>
    </w:tblStylePr>
  </w:style>
  <w:style w:type="table" w:customStyle="1" w:styleId="152">
    <w:name w:val="List Table 5 Dark - Accent 5"/>
    <w:basedOn w:val="33"/>
    <w:qFormat/>
    <w:uiPriority w:val="99"/>
    <w:pPr>
      <w:spacing w:after="0" w:line="240" w:lineRule="auto"/>
    </w:pPr>
    <w:tblPr>
      <w:tblBorders>
        <w:top w:val="single" w:color="7CDED6" w:themeColor="accent5" w:themeTint="9A" w:sz="32" w:space="0"/>
        <w:left w:val="single" w:color="7CDED6" w:themeColor="accent5" w:themeTint="9A" w:sz="32" w:space="0"/>
        <w:bottom w:val="single" w:color="7CDED6" w:themeColor="accent5" w:themeTint="9A" w:sz="32" w:space="0"/>
        <w:right w:val="single" w:color="7CDED6" w:themeColor="accent5" w:themeTint="9A" w:sz="32" w:space="0"/>
      </w:tblBorders>
    </w:tblPr>
    <w:tblStylePr w:type="firstRow">
      <w:rPr>
        <w:rFonts w:ascii="Arial" w:hAnsi="Arial"/>
        <w:b/>
        <w:color w:val="FFFFFF" w:themeColor="light1"/>
        <w:sz w:val="22"/>
        <w14:textFill>
          <w14:solidFill>
            <w14:schemeClr w14:val="lt1"/>
          </w14:solidFill>
        </w14:textFill>
      </w:rPr>
      <w:tcPr>
        <w:tcBorders>
          <w:top w:val="single" w:color="7CDED6" w:themeColor="accent5" w:themeTint="9A" w:sz="32" w:space="0"/>
          <w:bottom w:val="single" w:color="FFFFFF" w:themeColor="light1" w:sz="12" w:space="0"/>
        </w:tcBorders>
        <w:shd w:val="clear" w:color="7CDED6" w:themeColor="accent5" w:themeTint="9A" w:fill="7CDED6" w:themeFill="accent5"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7CDED6" w:themeColor="accent5" w:themeTint="9A" w:sz="32" w:space="0"/>
          <w:right w:val="single" w:color="FFFFFF" w:themeColor="light1" w:sz="4" w:space="0"/>
        </w:tcBorders>
      </w:tcPr>
    </w:tblStylePr>
    <w:tblStylePr w:type="lastCol">
      <w:tcPr>
        <w:tcBorders>
          <w:left w:val="single" w:color="FFFFFF" w:themeColor="light1" w:sz="4" w:space="0"/>
          <w:right w:val="single" w:color="7CDED6" w:themeColor="accent5" w:themeTint="9A" w:sz="32" w:space="0"/>
        </w:tcBorders>
      </w:tcPr>
    </w:tblStylePr>
    <w:tblStylePr w:type="band1Vert">
      <w:tcPr>
        <w:tcBorders>
          <w:left w:val="single" w:color="FFFFFF" w:themeColor="light1" w:sz="4" w:space="0"/>
          <w:right w:val="single" w:color="FFFFFF" w:themeColor="light1" w:sz="4" w:space="0"/>
        </w:tcBorders>
        <w:shd w:val="clear" w:color="7CDED6" w:themeColor="accent5" w:themeTint="9A" w:fill="7CDED6" w:themeFill="accent5"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7CDED6" w:themeColor="accent5" w:themeTint="9A" w:fill="7CDED6" w:themeFill="accent5" w:themeFillTint="9A"/>
      </w:tcPr>
    </w:tblStylePr>
    <w:tblStylePr w:type="band2Horz">
      <w:tcPr>
        <w:tcBorders>
          <w:top w:val="single" w:color="FFFFFF" w:themeColor="light1" w:sz="4" w:space="0"/>
          <w:bottom w:val="single" w:color="FFFFFF" w:themeColor="light1" w:sz="4" w:space="0"/>
        </w:tcBorders>
        <w:shd w:val="clear" w:color="7CDED6" w:themeColor="accent5" w:themeTint="9A" w:fill="7CDED6" w:themeFill="accent5" w:themeFillTint="9A"/>
      </w:tcPr>
    </w:tblStylePr>
  </w:style>
  <w:style w:type="table" w:customStyle="1" w:styleId="153">
    <w:name w:val="List Table 5 Dark - Accent 6"/>
    <w:basedOn w:val="33"/>
    <w:qFormat/>
    <w:uiPriority w:val="99"/>
    <w:pPr>
      <w:spacing w:after="0" w:line="240" w:lineRule="auto"/>
    </w:pPr>
    <w:tblPr>
      <w:tblBorders>
        <w:top w:val="single" w:color="EF949F" w:themeColor="accent6" w:themeTint="98" w:sz="32" w:space="0"/>
        <w:left w:val="single" w:color="EF949F" w:themeColor="accent6" w:themeTint="98" w:sz="32" w:space="0"/>
        <w:bottom w:val="single" w:color="EF949F" w:themeColor="accent6" w:themeTint="98" w:sz="32" w:space="0"/>
        <w:right w:val="single" w:color="EF949F" w:themeColor="accent6" w:themeTint="98" w:sz="32" w:space="0"/>
      </w:tblBorders>
    </w:tblPr>
    <w:tblStylePr w:type="firstRow">
      <w:rPr>
        <w:rFonts w:ascii="Arial" w:hAnsi="Arial"/>
        <w:b/>
        <w:color w:val="FFFFFF" w:themeColor="light1"/>
        <w:sz w:val="22"/>
        <w14:textFill>
          <w14:solidFill>
            <w14:schemeClr w14:val="lt1"/>
          </w14:solidFill>
        </w14:textFill>
      </w:rPr>
      <w:tcPr>
        <w:tcBorders>
          <w:top w:val="single" w:color="EF949F" w:themeColor="accent6" w:themeTint="98" w:sz="32" w:space="0"/>
          <w:bottom w:val="single" w:color="FFFFFF" w:themeColor="light1" w:sz="12" w:space="0"/>
        </w:tcBorders>
        <w:shd w:val="clear" w:color="EF949F" w:themeColor="accent6" w:themeTint="98" w:fill="EF949F" w:themeFill="accent6"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EF949F" w:themeColor="accent6" w:themeTint="98" w:sz="32" w:space="0"/>
          <w:right w:val="single" w:color="FFFFFF" w:themeColor="light1" w:sz="4" w:space="0"/>
        </w:tcBorders>
      </w:tcPr>
    </w:tblStylePr>
    <w:tblStylePr w:type="lastCol">
      <w:tcPr>
        <w:tcBorders>
          <w:left w:val="single" w:color="FFFFFF" w:themeColor="light1" w:sz="4" w:space="0"/>
          <w:right w:val="single" w:color="EF949F" w:themeColor="accent6" w:themeTint="98" w:sz="32" w:space="0"/>
        </w:tcBorders>
      </w:tcPr>
    </w:tblStylePr>
    <w:tblStylePr w:type="band1Vert">
      <w:tcPr>
        <w:tcBorders>
          <w:left w:val="single" w:color="FFFFFF" w:themeColor="light1" w:sz="4" w:space="0"/>
          <w:right w:val="single" w:color="FFFFFF" w:themeColor="light1" w:sz="4" w:space="0"/>
        </w:tcBorders>
        <w:shd w:val="clear" w:color="EF949F" w:themeColor="accent6" w:themeTint="98" w:fill="EF949F" w:themeFill="accent6"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EF949F" w:themeColor="accent6" w:themeTint="98" w:fill="EF949F" w:themeFill="accent6" w:themeFillTint="98"/>
      </w:tcPr>
    </w:tblStylePr>
    <w:tblStylePr w:type="band2Horz">
      <w:tcPr>
        <w:tcBorders>
          <w:top w:val="single" w:color="FFFFFF" w:themeColor="light1" w:sz="4" w:space="0"/>
          <w:bottom w:val="single" w:color="FFFFFF" w:themeColor="light1" w:sz="4" w:space="0"/>
        </w:tcBorders>
        <w:shd w:val="clear" w:color="EF949F" w:themeColor="accent6" w:themeTint="98" w:fill="EF949F" w:themeFill="accent6" w:themeFillTint="98"/>
      </w:tcPr>
    </w:tblStylePr>
  </w:style>
  <w:style w:type="table" w:customStyle="1" w:styleId="154">
    <w:name w:val="List Table 6 Colorful"/>
    <w:basedOn w:val="33"/>
    <w:qFormat/>
    <w:uiPriority w:val="99"/>
    <w:pPr>
      <w:spacing w:after="0" w:line="240" w:lineRule="auto"/>
    </w:pPr>
    <w:tblPr>
      <w:tblBorders>
        <w:top w:val="single" w:color="7E7E7E" w:themeColor="text1" w:themeTint="80" w:sz="4" w:space="0"/>
        <w:bottom w:val="single" w:color="7E7E7E" w:themeColor="text1" w:themeTint="80" w:sz="4" w:space="0"/>
      </w:tblBorders>
    </w:tblPr>
    <w:tblStylePr w:type="firstRow">
      <w:rPr>
        <w:b/>
        <w:color w:val="000000" w:themeColor="text1"/>
        <w14:textFill>
          <w14:solidFill>
            <w14:schemeClr w14:val="tx1"/>
          </w14:solidFill>
        </w14:textFill>
      </w:rPr>
      <w:tcPr>
        <w:tcBorders>
          <w:bottom w:val="single" w:color="7E7E7E" w:themeColor="text1" w:themeTint="80" w:sz="4" w:space="0"/>
        </w:tcBorders>
      </w:tcPr>
    </w:tblStylePr>
    <w:tblStylePr w:type="lastRow">
      <w:rPr>
        <w:b/>
        <w:color w:val="000000" w:themeColor="text1"/>
        <w14:textFill>
          <w14:solidFill>
            <w14:schemeClr w14:val="tx1"/>
          </w14:solidFill>
        </w14:textFill>
      </w:rPr>
      <w:tcPr>
        <w:tcBorders>
          <w:top w:val="single" w:color="7E7E7E" w:themeColor="text1" w:themeTint="80" w:sz="4" w:space="0"/>
        </w:tcBorders>
      </w:tcPr>
    </w:tblStylePr>
    <w:tblStylePr w:type="firstCol">
      <w:rPr>
        <w:b/>
        <w:color w:val="000000" w:themeColor="text1"/>
        <w14:textFill>
          <w14:solidFill>
            <w14:schemeClr w14:val="tx1"/>
          </w14:solidFill>
        </w14:textFill>
      </w:rPr>
    </w:tblStylePr>
    <w:tblStylePr w:type="lastCol">
      <w:rPr>
        <w:b/>
        <w:color w:val="000000" w:themeColor="text1"/>
        <w14:textFill>
          <w14:solidFill>
            <w14:schemeClr w14:val="tx1"/>
          </w14:solidFill>
        </w14:textFill>
      </w:rPr>
    </w:tblStylePr>
    <w:tblStylePr w:type="band1Vert">
      <w:tcPr>
        <w:shd w:val="clear" w:color="BEBEBE" w:themeColor="text1" w:themeTint="40" w:fill="BEBEBE" w:themeFill="text1" w:themeFillTint="40"/>
      </w:tcPr>
    </w:tblStylePr>
    <w:tblStylePr w:type="band1Horz">
      <w:rPr>
        <w:rFonts w:ascii="Arial" w:hAnsi="Arial"/>
        <w:color w:val="000000" w:themeColor="text1"/>
        <w:sz w:val="22"/>
        <w14:textFill>
          <w14:solidFill>
            <w14:schemeClr w14:val="tx1"/>
          </w14:solidFill>
        </w14:textFill>
      </w:rPr>
      <w:tcPr>
        <w:shd w:val="clear" w:color="BEBEBE" w:themeColor="text1" w:themeTint="40" w:fill="BEBEBE" w:themeFill="text1" w:themeFillTint="40"/>
      </w:tcPr>
    </w:tblStylePr>
    <w:tblStylePr w:type="band2Horz">
      <w:rPr>
        <w:rFonts w:ascii="Arial" w:hAnsi="Arial"/>
        <w:color w:val="000000" w:themeColor="text1"/>
        <w:sz w:val="22"/>
        <w14:textFill>
          <w14:solidFill>
            <w14:schemeClr w14:val="tx1"/>
          </w14:solidFill>
        </w14:textFill>
      </w:rPr>
    </w:tblStylePr>
  </w:style>
  <w:style w:type="table" w:customStyle="1" w:styleId="155">
    <w:name w:val="List Table 6 Colorful - Accent 1"/>
    <w:basedOn w:val="33"/>
    <w:qFormat/>
    <w:uiPriority w:val="99"/>
    <w:pPr>
      <w:spacing w:after="0" w:line="240" w:lineRule="auto"/>
    </w:pPr>
    <w:tblPr>
      <w:tblBorders>
        <w:top w:val="single" w:color="4874CB" w:themeColor="accent1" w:sz="4" w:space="0"/>
        <w:bottom w:val="single" w:color="4874CB" w:themeColor="accent1" w:sz="4" w:space="0"/>
      </w:tblBorders>
    </w:tblPr>
    <w:tblStylePr w:type="firstRow">
      <w:rPr>
        <w:b/>
        <w:color w:val="23417C" w:themeColor="accent1" w:themeShade="94"/>
      </w:rPr>
      <w:tcPr>
        <w:tcBorders>
          <w:bottom w:val="single" w:color="4874CB" w:themeColor="accent1" w:sz="4" w:space="0"/>
        </w:tcBorders>
      </w:tcPr>
    </w:tblStylePr>
    <w:tblStylePr w:type="lastRow">
      <w:rPr>
        <w:b/>
        <w:color w:val="23417C" w:themeColor="accent1" w:themeShade="94"/>
      </w:rPr>
      <w:tcPr>
        <w:tcBorders>
          <w:top w:val="single" w:color="4874CB" w:themeColor="accent1" w:sz="4" w:space="0"/>
        </w:tcBorders>
      </w:tcPr>
    </w:tblStylePr>
    <w:tblStylePr w:type="firstCol">
      <w:rPr>
        <w:b/>
        <w:color w:val="23417C" w:themeColor="accent1" w:themeShade="94"/>
      </w:rPr>
    </w:tblStylePr>
    <w:tblStylePr w:type="lastCol">
      <w:rPr>
        <w:b/>
        <w:color w:val="23417C" w:themeColor="accent1" w:themeShade="94"/>
      </w:rPr>
    </w:tblStylePr>
    <w:tblStylePr w:type="band1Vert">
      <w:tcPr>
        <w:shd w:val="clear" w:color="D1DCF1" w:themeColor="accent1" w:themeTint="40" w:fill="D1DCF1" w:themeFill="accent1" w:themeFillTint="40"/>
      </w:tcPr>
    </w:tblStylePr>
    <w:tblStylePr w:type="band1Horz">
      <w:rPr>
        <w:rFonts w:ascii="Arial" w:hAnsi="Arial"/>
        <w:color w:val="23417C" w:themeColor="accent1" w:themeShade="94"/>
        <w:sz w:val="22"/>
      </w:rPr>
      <w:tcPr>
        <w:shd w:val="clear" w:color="D1DCF1" w:themeColor="accent1" w:themeTint="40" w:fill="D1DCF1" w:themeFill="accent1" w:themeFillTint="40"/>
      </w:tcPr>
    </w:tblStylePr>
    <w:tblStylePr w:type="band2Horz">
      <w:rPr>
        <w:rFonts w:ascii="Arial" w:hAnsi="Arial"/>
        <w:color w:val="23417C" w:themeColor="accent1" w:themeShade="94"/>
        <w:sz w:val="22"/>
      </w:rPr>
    </w:tblStylePr>
  </w:style>
  <w:style w:type="table" w:customStyle="1" w:styleId="156">
    <w:name w:val="List Table 6 Colorful - Accent 2"/>
    <w:basedOn w:val="33"/>
    <w:qFormat/>
    <w:uiPriority w:val="99"/>
    <w:pPr>
      <w:spacing w:after="0" w:line="240" w:lineRule="auto"/>
    </w:pPr>
    <w:tblPr>
      <w:tblBorders>
        <w:top w:val="single" w:color="F4B483" w:themeColor="accent2" w:themeTint="97" w:sz="4" w:space="0"/>
        <w:bottom w:val="single" w:color="F4B483" w:themeColor="accent2" w:themeTint="97" w:sz="4" w:space="0"/>
      </w:tblBorders>
    </w:tblPr>
    <w:tblStylePr w:type="firstRow">
      <w:rPr>
        <w:b/>
        <w:color w:val="F5B584" w:themeColor="accent2" w:themeTint="96"/>
        <w14:textFill>
          <w14:solidFill>
            <w14:schemeClr w14:val="accent2">
              <w14:lumMod w14:val="59000"/>
              <w14:lumOff w14:val="41000"/>
            </w14:schemeClr>
          </w14:solidFill>
        </w14:textFill>
      </w:rPr>
      <w:tcPr>
        <w:tcBorders>
          <w:bottom w:val="single" w:color="F4B483" w:themeColor="accent2" w:themeTint="97" w:sz="4" w:space="0"/>
        </w:tcBorders>
      </w:tcPr>
    </w:tblStylePr>
    <w:tblStylePr w:type="lastRow">
      <w:rPr>
        <w:b/>
        <w:color w:val="F5B584" w:themeColor="accent2" w:themeTint="96"/>
        <w14:textFill>
          <w14:solidFill>
            <w14:schemeClr w14:val="accent2">
              <w14:lumMod w14:val="59000"/>
              <w14:lumOff w14:val="41000"/>
            </w14:schemeClr>
          </w14:solidFill>
        </w14:textFill>
      </w:rPr>
      <w:tcPr>
        <w:tcBorders>
          <w:top w:val="single" w:color="F4B483" w:themeColor="accent2" w:themeTint="97" w:sz="4" w:space="0"/>
        </w:tcBorders>
      </w:tcPr>
    </w:tblStylePr>
    <w:tblStylePr w:type="firstCol">
      <w:rPr>
        <w:b/>
        <w:color w:val="F5B584" w:themeColor="accent2" w:themeTint="96"/>
        <w14:textFill>
          <w14:solidFill>
            <w14:schemeClr w14:val="accent2">
              <w14:lumMod w14:val="59000"/>
              <w14:lumOff w14:val="41000"/>
            </w14:schemeClr>
          </w14:solidFill>
        </w14:textFill>
      </w:rPr>
    </w:tblStylePr>
    <w:tblStylePr w:type="lastCol">
      <w:rPr>
        <w:b/>
        <w:color w:val="F5B584" w:themeColor="accent2" w:themeTint="96"/>
        <w14:textFill>
          <w14:solidFill>
            <w14:schemeClr w14:val="accent2">
              <w14:lumMod w14:val="59000"/>
              <w14:lumOff w14:val="41000"/>
            </w14:schemeClr>
          </w14:solidFill>
        </w14:textFill>
      </w:rPr>
    </w:tblStylePr>
    <w:tblStylePr w:type="band1Vert">
      <w:tcPr>
        <w:shd w:val="clear" w:color="FADFCA" w:themeColor="accent2" w:themeTint="40" w:fill="FADFCA" w:themeFill="accent2" w:themeFillTint="40"/>
      </w:tcPr>
    </w:tblStylePr>
    <w:tblStylePr w:type="band1Horz">
      <w:rPr>
        <w:rFonts w:ascii="Arial" w:hAnsi="Arial"/>
        <w:color w:val="F5B584" w:themeColor="accent2" w:themeTint="96"/>
        <w:sz w:val="22"/>
        <w14:textFill>
          <w14:solidFill>
            <w14:schemeClr w14:val="accent2">
              <w14:lumMod w14:val="59000"/>
              <w14:lumOff w14:val="41000"/>
            </w14:schemeClr>
          </w14:solidFill>
        </w14:textFill>
      </w:rPr>
      <w:tcPr>
        <w:shd w:val="clear" w:color="FADFCA" w:themeColor="accent2" w:themeTint="40" w:fill="FADFCA" w:themeFill="accent2" w:themeFillTint="40"/>
      </w:tcPr>
    </w:tblStylePr>
    <w:tblStylePr w:type="band2Horz">
      <w:rPr>
        <w:rFonts w:ascii="Arial" w:hAnsi="Arial"/>
        <w:color w:val="F5B584" w:themeColor="accent2" w:themeTint="96"/>
        <w:sz w:val="22"/>
        <w14:textFill>
          <w14:solidFill>
            <w14:schemeClr w14:val="accent2">
              <w14:lumMod w14:val="59000"/>
              <w14:lumOff w14:val="41000"/>
            </w14:schemeClr>
          </w14:solidFill>
        </w14:textFill>
      </w:rPr>
    </w:tblStylePr>
  </w:style>
  <w:style w:type="table" w:customStyle="1" w:styleId="157">
    <w:name w:val="List Table 6 Colorful - Accent 3"/>
    <w:basedOn w:val="33"/>
    <w:qFormat/>
    <w:uiPriority w:val="99"/>
    <w:pPr>
      <w:spacing w:after="0" w:line="240" w:lineRule="auto"/>
    </w:pPr>
    <w:tblPr>
      <w:tblBorders>
        <w:top w:val="single" w:color="FDD961" w:themeColor="accent3" w:themeTint="98" w:sz="4" w:space="0"/>
        <w:bottom w:val="single" w:color="FDD961" w:themeColor="accent3" w:themeTint="98" w:sz="4" w:space="0"/>
      </w:tblBorders>
    </w:tblPr>
    <w:tblStylePr w:type="firstRow">
      <w:rPr>
        <w:b/>
        <w:color w:val="FED961" w:themeColor="accent3" w:themeTint="99"/>
        <w14:textFill>
          <w14:solidFill>
            <w14:schemeClr w14:val="accent3">
              <w14:lumMod w14:val="60000"/>
              <w14:lumOff w14:val="40000"/>
            </w14:schemeClr>
          </w14:solidFill>
        </w14:textFill>
      </w:rPr>
      <w:tcPr>
        <w:tcBorders>
          <w:bottom w:val="single" w:color="FDD961" w:themeColor="accent3" w:themeTint="98" w:sz="4" w:space="0"/>
        </w:tcBorders>
      </w:tcPr>
    </w:tblStylePr>
    <w:tblStylePr w:type="lastRow">
      <w:rPr>
        <w:b/>
        <w:color w:val="FED961" w:themeColor="accent3" w:themeTint="99"/>
        <w14:textFill>
          <w14:solidFill>
            <w14:schemeClr w14:val="accent3">
              <w14:lumMod w14:val="60000"/>
              <w14:lumOff w14:val="40000"/>
            </w14:schemeClr>
          </w14:solidFill>
        </w14:textFill>
      </w:rPr>
      <w:tcPr>
        <w:tcBorders>
          <w:top w:val="single" w:color="FDD961" w:themeColor="accent3" w:themeTint="98" w:sz="4" w:space="0"/>
        </w:tcBorders>
      </w:tcPr>
    </w:tblStylePr>
    <w:tblStylePr w:type="firstCol">
      <w:rPr>
        <w:b/>
        <w:color w:val="FED961" w:themeColor="accent3" w:themeTint="99"/>
        <w14:textFill>
          <w14:solidFill>
            <w14:schemeClr w14:val="accent3">
              <w14:lumMod w14:val="60000"/>
              <w14:lumOff w14:val="40000"/>
            </w14:schemeClr>
          </w14:solidFill>
        </w14:textFill>
      </w:rPr>
    </w:tblStylePr>
    <w:tblStylePr w:type="lastCol">
      <w:rPr>
        <w:b/>
        <w:color w:val="FED961" w:themeColor="accent3" w:themeTint="99"/>
        <w14:textFill>
          <w14:solidFill>
            <w14:schemeClr w14:val="accent3">
              <w14:lumMod w14:val="60000"/>
              <w14:lumOff w14:val="40000"/>
            </w14:schemeClr>
          </w14:solidFill>
        </w14:textFill>
      </w:rPr>
    </w:tblStylePr>
    <w:tblStylePr w:type="band1Vert">
      <w:tcPr>
        <w:shd w:val="clear" w:color="FEEFBC" w:themeColor="accent3" w:themeTint="40" w:fill="FEEFBC" w:themeFill="accent3" w:themeFillTint="40"/>
      </w:tcPr>
    </w:tblStylePr>
    <w:tblStylePr w:type="band1Horz">
      <w:rPr>
        <w:rFonts w:ascii="Arial" w:hAnsi="Arial"/>
        <w:color w:val="FED961" w:themeColor="accent3" w:themeTint="99"/>
        <w:sz w:val="22"/>
        <w14:textFill>
          <w14:solidFill>
            <w14:schemeClr w14:val="accent3">
              <w14:lumMod w14:val="60000"/>
              <w14:lumOff w14:val="40000"/>
            </w14:schemeClr>
          </w14:solidFill>
        </w14:textFill>
      </w:rPr>
      <w:tcPr>
        <w:shd w:val="clear" w:color="FEEFBC" w:themeColor="accent3" w:themeTint="40" w:fill="FEEFBC" w:themeFill="accent3" w:themeFillTint="40"/>
      </w:tcPr>
    </w:tblStylePr>
    <w:tblStylePr w:type="band2Horz">
      <w:rPr>
        <w:rFonts w:ascii="Arial" w:hAnsi="Arial"/>
        <w:color w:val="FED961" w:themeColor="accent3" w:themeTint="99"/>
        <w:sz w:val="22"/>
        <w14:textFill>
          <w14:solidFill>
            <w14:schemeClr w14:val="accent3">
              <w14:lumMod w14:val="60000"/>
              <w14:lumOff w14:val="40000"/>
            </w14:schemeClr>
          </w14:solidFill>
        </w14:textFill>
      </w:rPr>
    </w:tblStylePr>
  </w:style>
  <w:style w:type="table" w:customStyle="1" w:styleId="158">
    <w:name w:val="List Table 6 Colorful - Accent 4"/>
    <w:basedOn w:val="33"/>
    <w:qFormat/>
    <w:uiPriority w:val="99"/>
    <w:pPr>
      <w:spacing w:after="0" w:line="240" w:lineRule="auto"/>
    </w:pPr>
    <w:tblPr>
      <w:tblBorders>
        <w:top w:val="single" w:color="ABD78C" w:themeColor="accent4" w:themeTint="9A" w:sz="4" w:space="0"/>
        <w:bottom w:val="single" w:color="ABD78C" w:themeColor="accent4" w:themeTint="9A" w:sz="4" w:space="0"/>
      </w:tblBorders>
    </w:tblPr>
    <w:tblStylePr w:type="firstRow">
      <w:rPr>
        <w:b/>
        <w:color w:val="ACD78E" w:themeColor="accent4" w:themeTint="99"/>
        <w14:textFill>
          <w14:solidFill>
            <w14:schemeClr w14:val="accent4">
              <w14:lumMod w14:val="60000"/>
              <w14:lumOff w14:val="40000"/>
            </w14:schemeClr>
          </w14:solidFill>
        </w14:textFill>
      </w:rPr>
      <w:tcPr>
        <w:tcBorders>
          <w:bottom w:val="single" w:color="ABD78C" w:themeColor="accent4" w:themeTint="9A" w:sz="4" w:space="0"/>
        </w:tcBorders>
      </w:tcPr>
    </w:tblStylePr>
    <w:tblStylePr w:type="lastRow">
      <w:rPr>
        <w:b/>
        <w:color w:val="ACD78E" w:themeColor="accent4" w:themeTint="99"/>
        <w14:textFill>
          <w14:solidFill>
            <w14:schemeClr w14:val="accent4">
              <w14:lumMod w14:val="60000"/>
              <w14:lumOff w14:val="40000"/>
            </w14:schemeClr>
          </w14:solidFill>
        </w14:textFill>
      </w:rPr>
      <w:tcPr>
        <w:tcBorders>
          <w:top w:val="single" w:color="ABD78C" w:themeColor="accent4" w:themeTint="9A" w:sz="4" w:space="0"/>
        </w:tcBorders>
      </w:tcPr>
    </w:tblStylePr>
    <w:tblStylePr w:type="firstCol">
      <w:rPr>
        <w:b/>
        <w:color w:val="ACD78E" w:themeColor="accent4" w:themeTint="99"/>
        <w14:textFill>
          <w14:solidFill>
            <w14:schemeClr w14:val="accent4">
              <w14:lumMod w14:val="60000"/>
              <w14:lumOff w14:val="40000"/>
            </w14:schemeClr>
          </w14:solidFill>
        </w14:textFill>
      </w:rPr>
    </w:tblStylePr>
    <w:tblStylePr w:type="lastCol">
      <w:rPr>
        <w:b/>
        <w:color w:val="ACD78E" w:themeColor="accent4" w:themeTint="99"/>
        <w14:textFill>
          <w14:solidFill>
            <w14:schemeClr w14:val="accent4">
              <w14:lumMod w14:val="60000"/>
              <w14:lumOff w14:val="40000"/>
            </w14:schemeClr>
          </w14:solidFill>
        </w14:textFill>
      </w:rPr>
    </w:tblStylePr>
    <w:tblStylePr w:type="band1Vert">
      <w:tcPr>
        <w:shd w:val="clear" w:color="DCEECF" w:themeColor="accent4" w:themeTint="40" w:fill="DCEECF" w:themeFill="accent4" w:themeFillTint="40"/>
      </w:tcPr>
    </w:tblStylePr>
    <w:tblStylePr w:type="band1Horz">
      <w:rPr>
        <w:rFonts w:ascii="Arial" w:hAnsi="Arial"/>
        <w:color w:val="ACD78E" w:themeColor="accent4" w:themeTint="99"/>
        <w:sz w:val="22"/>
        <w14:textFill>
          <w14:solidFill>
            <w14:schemeClr w14:val="accent4">
              <w14:lumMod w14:val="60000"/>
              <w14:lumOff w14:val="40000"/>
            </w14:schemeClr>
          </w14:solidFill>
        </w14:textFill>
      </w:rPr>
      <w:tcPr>
        <w:shd w:val="clear" w:color="DCEECF" w:themeColor="accent4" w:themeTint="40" w:fill="DCEECF" w:themeFill="accent4" w:themeFillTint="40"/>
      </w:tcPr>
    </w:tblStylePr>
    <w:tblStylePr w:type="band2Horz">
      <w:rPr>
        <w:rFonts w:ascii="Arial" w:hAnsi="Arial"/>
        <w:color w:val="ACD78E" w:themeColor="accent4" w:themeTint="99"/>
        <w:sz w:val="22"/>
        <w14:textFill>
          <w14:solidFill>
            <w14:schemeClr w14:val="accent4">
              <w14:lumMod w14:val="60000"/>
              <w14:lumOff w14:val="40000"/>
            </w14:schemeClr>
          </w14:solidFill>
        </w14:textFill>
      </w:rPr>
    </w:tblStylePr>
  </w:style>
  <w:style w:type="table" w:customStyle="1" w:styleId="159">
    <w:name w:val="List Table 6 Colorful - Accent 5"/>
    <w:basedOn w:val="33"/>
    <w:qFormat/>
    <w:uiPriority w:val="99"/>
    <w:pPr>
      <w:spacing w:after="0" w:line="240" w:lineRule="auto"/>
    </w:pPr>
    <w:tblPr>
      <w:tblBorders>
        <w:top w:val="single" w:color="7CDED6" w:themeColor="accent5" w:themeTint="9A" w:sz="4" w:space="0"/>
        <w:bottom w:val="single" w:color="7CDED6" w:themeColor="accent5" w:themeTint="9A" w:sz="4" w:space="0"/>
      </w:tblBorders>
    </w:tblPr>
    <w:tblStylePr w:type="firstRow">
      <w:rPr>
        <w:b/>
        <w:color w:val="7DDFD7" w:themeColor="accent5" w:themeTint="99"/>
        <w14:textFill>
          <w14:solidFill>
            <w14:schemeClr w14:val="accent5">
              <w14:lumMod w14:val="60000"/>
              <w14:lumOff w14:val="40000"/>
            </w14:schemeClr>
          </w14:solidFill>
        </w14:textFill>
      </w:rPr>
      <w:tcPr>
        <w:tcBorders>
          <w:bottom w:val="single" w:color="7CDED6" w:themeColor="accent5" w:themeTint="9A" w:sz="4" w:space="0"/>
        </w:tcBorders>
      </w:tcPr>
    </w:tblStylePr>
    <w:tblStylePr w:type="lastRow">
      <w:rPr>
        <w:b/>
        <w:color w:val="7DDFD7" w:themeColor="accent5" w:themeTint="99"/>
        <w14:textFill>
          <w14:solidFill>
            <w14:schemeClr w14:val="accent5">
              <w14:lumMod w14:val="60000"/>
              <w14:lumOff w14:val="40000"/>
            </w14:schemeClr>
          </w14:solidFill>
        </w14:textFill>
      </w:rPr>
      <w:tcPr>
        <w:tcBorders>
          <w:top w:val="single" w:color="7CDED6" w:themeColor="accent5" w:themeTint="9A" w:sz="4" w:space="0"/>
        </w:tcBorders>
      </w:tcPr>
    </w:tblStylePr>
    <w:tblStylePr w:type="firstCol">
      <w:rPr>
        <w:b/>
        <w:color w:val="7DDFD7" w:themeColor="accent5" w:themeTint="99"/>
        <w14:textFill>
          <w14:solidFill>
            <w14:schemeClr w14:val="accent5">
              <w14:lumMod w14:val="60000"/>
              <w14:lumOff w14:val="40000"/>
            </w14:schemeClr>
          </w14:solidFill>
        </w14:textFill>
      </w:rPr>
    </w:tblStylePr>
    <w:tblStylePr w:type="lastCol">
      <w:rPr>
        <w:b/>
        <w:color w:val="7DDFD7" w:themeColor="accent5" w:themeTint="99"/>
        <w14:textFill>
          <w14:solidFill>
            <w14:schemeClr w14:val="accent5">
              <w14:lumMod w14:val="60000"/>
              <w14:lumOff w14:val="40000"/>
            </w14:schemeClr>
          </w14:solidFill>
        </w14:textFill>
      </w:rPr>
    </w:tblStylePr>
    <w:tblStylePr w:type="band1Vert">
      <w:tcPr>
        <w:shd w:val="clear" w:color="C8F1EE" w:themeColor="accent5" w:themeTint="40" w:fill="C8F1EE" w:themeFill="accent5" w:themeFillTint="40"/>
      </w:tcPr>
    </w:tblStylePr>
    <w:tblStylePr w:type="band1Horz">
      <w:rPr>
        <w:rFonts w:ascii="Arial" w:hAnsi="Arial"/>
        <w:color w:val="7DDFD7" w:themeColor="accent5" w:themeTint="99"/>
        <w:sz w:val="22"/>
        <w14:textFill>
          <w14:solidFill>
            <w14:schemeClr w14:val="accent5">
              <w14:lumMod w14:val="60000"/>
              <w14:lumOff w14:val="40000"/>
            </w14:schemeClr>
          </w14:solidFill>
        </w14:textFill>
      </w:rPr>
      <w:tcPr>
        <w:shd w:val="clear" w:color="C8F1EE" w:themeColor="accent5" w:themeTint="40" w:fill="C8F1EE" w:themeFill="accent5" w:themeFillTint="40"/>
      </w:tcPr>
    </w:tblStylePr>
    <w:tblStylePr w:type="band2Horz">
      <w:rPr>
        <w:rFonts w:ascii="Arial" w:hAnsi="Arial"/>
        <w:color w:val="7DDFD7" w:themeColor="accent5" w:themeTint="99"/>
        <w:sz w:val="22"/>
        <w14:textFill>
          <w14:solidFill>
            <w14:schemeClr w14:val="accent5">
              <w14:lumMod w14:val="60000"/>
              <w14:lumOff w14:val="40000"/>
            </w14:schemeClr>
          </w14:solidFill>
        </w14:textFill>
      </w:rPr>
    </w:tblStylePr>
  </w:style>
  <w:style w:type="table" w:customStyle="1" w:styleId="160">
    <w:name w:val="List Table 6 Colorful - Accent 6"/>
    <w:basedOn w:val="33"/>
    <w:qFormat/>
    <w:uiPriority w:val="99"/>
    <w:pPr>
      <w:spacing w:after="0" w:line="240" w:lineRule="auto"/>
    </w:pPr>
    <w:tblPr>
      <w:tblBorders>
        <w:top w:val="single" w:color="EF949F" w:themeColor="accent6" w:themeTint="98" w:sz="4" w:space="0"/>
        <w:bottom w:val="single" w:color="EF949F" w:themeColor="accent6" w:themeTint="98" w:sz="4" w:space="0"/>
      </w:tblBorders>
    </w:tblPr>
    <w:tblStylePr w:type="firstRow">
      <w:rPr>
        <w:b/>
        <w:color w:val="EF949E" w:themeColor="accent6" w:themeTint="99"/>
        <w14:textFill>
          <w14:solidFill>
            <w14:schemeClr w14:val="accent6">
              <w14:lumMod w14:val="60000"/>
              <w14:lumOff w14:val="40000"/>
            </w14:schemeClr>
          </w14:solidFill>
        </w14:textFill>
      </w:rPr>
      <w:tcPr>
        <w:tcBorders>
          <w:bottom w:val="single" w:color="EF949F" w:themeColor="accent6" w:themeTint="98" w:sz="4" w:space="0"/>
        </w:tcBorders>
      </w:tcPr>
    </w:tblStylePr>
    <w:tblStylePr w:type="lastRow">
      <w:rPr>
        <w:b/>
        <w:color w:val="EF949E" w:themeColor="accent6" w:themeTint="99"/>
        <w14:textFill>
          <w14:solidFill>
            <w14:schemeClr w14:val="accent6">
              <w14:lumMod w14:val="60000"/>
              <w14:lumOff w14:val="40000"/>
            </w14:schemeClr>
          </w14:solidFill>
        </w14:textFill>
      </w:rPr>
      <w:tcPr>
        <w:tcBorders>
          <w:top w:val="single" w:color="EF949F" w:themeColor="accent6" w:themeTint="98" w:sz="4" w:space="0"/>
        </w:tcBorders>
      </w:tcPr>
    </w:tblStylePr>
    <w:tblStylePr w:type="firstCol">
      <w:rPr>
        <w:b/>
        <w:color w:val="EF949E" w:themeColor="accent6" w:themeTint="99"/>
        <w14:textFill>
          <w14:solidFill>
            <w14:schemeClr w14:val="accent6">
              <w14:lumMod w14:val="60000"/>
              <w14:lumOff w14:val="40000"/>
            </w14:schemeClr>
          </w14:solidFill>
        </w14:textFill>
      </w:rPr>
    </w:tblStylePr>
    <w:tblStylePr w:type="lastCol">
      <w:rPr>
        <w:b/>
        <w:color w:val="EF949E" w:themeColor="accent6" w:themeTint="99"/>
        <w14:textFill>
          <w14:solidFill>
            <w14:schemeClr w14:val="accent6">
              <w14:lumMod w14:val="60000"/>
              <w14:lumOff w14:val="40000"/>
            </w14:schemeClr>
          </w14:solidFill>
        </w14:textFill>
      </w:rPr>
    </w:tblStylePr>
    <w:tblStylePr w:type="band1Vert">
      <w:tcPr>
        <w:shd w:val="clear" w:color="F8D2D6" w:themeColor="accent6" w:themeTint="40" w:fill="F8D2D6" w:themeFill="accent6" w:themeFillTint="40"/>
      </w:tcPr>
    </w:tblStylePr>
    <w:tblStylePr w:type="band1Horz">
      <w:rPr>
        <w:rFonts w:ascii="Arial" w:hAnsi="Arial"/>
        <w:color w:val="EF949E" w:themeColor="accent6" w:themeTint="99"/>
        <w:sz w:val="22"/>
        <w14:textFill>
          <w14:solidFill>
            <w14:schemeClr w14:val="accent6">
              <w14:lumMod w14:val="60000"/>
              <w14:lumOff w14:val="40000"/>
            </w14:schemeClr>
          </w14:solidFill>
        </w14:textFill>
      </w:rPr>
      <w:tcPr>
        <w:shd w:val="clear" w:color="F8D2D6" w:themeColor="accent6" w:themeTint="40" w:fill="F8D2D6" w:themeFill="accent6" w:themeFillTint="40"/>
      </w:tcPr>
    </w:tblStylePr>
    <w:tblStylePr w:type="band2Horz">
      <w:rPr>
        <w:rFonts w:ascii="Arial" w:hAnsi="Arial"/>
        <w:color w:val="EF949E" w:themeColor="accent6" w:themeTint="99"/>
        <w:sz w:val="22"/>
        <w14:textFill>
          <w14:solidFill>
            <w14:schemeClr w14:val="accent6">
              <w14:lumMod w14:val="60000"/>
              <w14:lumOff w14:val="40000"/>
            </w14:schemeClr>
          </w14:solidFill>
        </w14:textFill>
      </w:rPr>
    </w:tblStylePr>
  </w:style>
  <w:style w:type="table" w:customStyle="1" w:styleId="161">
    <w:name w:val="List Table 7 Colorful"/>
    <w:basedOn w:val="33"/>
    <w:qFormat/>
    <w:uiPriority w:val="99"/>
    <w:pPr>
      <w:spacing w:after="0" w:line="240" w:lineRule="auto"/>
    </w:pPr>
    <w:tblPr>
      <w:tblBorders>
        <w:right w:val="single" w:color="7E7E7E" w:themeColor="text1" w:themeTint="80" w:sz="4" w:space="0"/>
      </w:tblBorders>
    </w:tblPr>
    <w:tblStylePr w:type="firstRow">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BEBEBE" w:themeColor="text1" w:themeTint="40" w:fill="BEBEBE" w:themeFill="text1" w:themeFillTint="40"/>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themeColor="text1" w:themeTint="40" w:fill="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62">
    <w:name w:val="List Table 7 Colorful - Accent 1"/>
    <w:basedOn w:val="33"/>
    <w:qFormat/>
    <w:uiPriority w:val="99"/>
    <w:pPr>
      <w:spacing w:after="0" w:line="240" w:lineRule="auto"/>
    </w:pPr>
    <w:tblPr>
      <w:tblBorders>
        <w:right w:val="single" w:color="4874CB" w:themeColor="accent1" w:sz="4" w:space="0"/>
      </w:tblBorders>
    </w:tblPr>
    <w:tblStylePr w:type="firstRow">
      <w:rPr>
        <w:rFonts w:ascii="Arial" w:hAnsi="Arial"/>
        <w:i/>
        <w:color w:val="23417C" w:themeColor="accent1" w:themeShade="94"/>
        <w:sz w:val="22"/>
      </w:rPr>
      <w:tcPr>
        <w:tcBorders>
          <w:top w:val="nil"/>
          <w:left w:val="nil"/>
          <w:bottom w:val="single" w:color="4874CB" w:themeColor="accent1" w:sz="4" w:space="0"/>
          <w:right w:val="nil"/>
        </w:tcBorders>
        <w:shd w:val="clear" w:color="FFFFFF" w:themeColor="light1" w:fill="FFFFFF" w:themeFill="light1"/>
      </w:tcPr>
    </w:tblStylePr>
    <w:tblStylePr w:type="lastRow">
      <w:rPr>
        <w:rFonts w:ascii="Arial" w:hAnsi="Arial"/>
        <w:i/>
        <w:color w:val="23417C" w:themeColor="accent1" w:themeShade="94"/>
        <w:sz w:val="22"/>
      </w:rPr>
      <w:tcPr>
        <w:tcBorders>
          <w:top w:val="single" w:color="4874CB" w:themeColor="accent1" w:sz="4" w:space="0"/>
          <w:left w:val="nil"/>
          <w:bottom w:val="nil"/>
          <w:right w:val="nil"/>
        </w:tcBorders>
        <w:shd w:val="clear" w:color="FFFFFF" w:themeColor="light1" w:fill="FFFFFF" w:themeFill="light1"/>
      </w:tcPr>
    </w:tblStylePr>
    <w:tblStylePr w:type="firstCol">
      <w:pPr>
        <w:jc w:val="right"/>
      </w:pPr>
      <w:rPr>
        <w:rFonts w:ascii="Arial" w:hAnsi="Arial"/>
        <w:i/>
        <w:color w:val="23417C" w:themeColor="accent1" w:themeShade="94"/>
        <w:sz w:val="22"/>
      </w:rPr>
      <w:tcPr>
        <w:tcBorders>
          <w:top w:val="nil"/>
          <w:left w:val="nil"/>
          <w:bottom w:val="nil"/>
          <w:right w:val="single" w:color="4874CB" w:themeColor="accent1" w:sz="4" w:space="0"/>
        </w:tcBorders>
        <w:shd w:val="clear" w:color="FFFFFF" w:fill="auto"/>
      </w:tcPr>
    </w:tblStylePr>
    <w:tblStylePr w:type="lastCol">
      <w:rPr>
        <w:rFonts w:ascii="Arial" w:hAnsi="Arial"/>
        <w:i/>
        <w:color w:val="23417C" w:themeColor="accent1" w:themeShade="94"/>
        <w:sz w:val="22"/>
      </w:rPr>
      <w:tcPr>
        <w:tcBorders>
          <w:top w:val="nil"/>
          <w:left w:val="single" w:color="4874CB" w:themeColor="accent1" w:sz="4" w:space="0"/>
          <w:bottom w:val="nil"/>
          <w:right w:val="nil"/>
        </w:tcBorders>
        <w:shd w:val="clear" w:color="FFFFFF" w:fill="auto"/>
      </w:tcPr>
    </w:tblStylePr>
    <w:tblStylePr w:type="band1Vert">
      <w:tcPr>
        <w:shd w:val="clear" w:color="D1DCF1" w:themeColor="accent1" w:themeTint="40" w:fill="D1DCF1" w:themeFill="accent1" w:themeFillTint="40"/>
      </w:tcPr>
    </w:tblStylePr>
    <w:tblStylePr w:type="band1Horz">
      <w:rPr>
        <w:rFonts w:ascii="Arial" w:hAnsi="Arial"/>
        <w:color w:val="23417C" w:themeColor="accent1" w:themeShade="94"/>
        <w:sz w:val="22"/>
      </w:rPr>
      <w:tcPr>
        <w:shd w:val="clear" w:color="D1DCF1" w:themeColor="accent1" w:themeTint="40" w:fill="D1DCF1" w:themeFill="accent1" w:themeFillTint="40"/>
      </w:tcPr>
    </w:tblStylePr>
    <w:tblStylePr w:type="band2Horz">
      <w:rPr>
        <w:rFonts w:ascii="Arial" w:hAnsi="Arial"/>
        <w:color w:val="23417C" w:themeColor="accent1" w:themeShade="94"/>
        <w:sz w:val="22"/>
      </w:rPr>
    </w:tblStylePr>
  </w:style>
  <w:style w:type="table" w:customStyle="1" w:styleId="163">
    <w:name w:val="List Table 7 Colorful - Accent 2"/>
    <w:basedOn w:val="33"/>
    <w:qFormat/>
    <w:uiPriority w:val="99"/>
    <w:pPr>
      <w:spacing w:after="0" w:line="240" w:lineRule="auto"/>
    </w:pPr>
    <w:tblPr>
      <w:tblBorders>
        <w:right w:val="single" w:color="F4B483" w:themeColor="accent2" w:themeTint="97" w:sz="4" w:space="0"/>
      </w:tblBorders>
    </w:tblPr>
    <w:tblStylePr w:type="firstRow">
      <w:rPr>
        <w:rFonts w:ascii="Arial" w:hAnsi="Arial"/>
        <w:i/>
        <w:color w:val="F5B584" w:themeColor="accent2" w:themeTint="96"/>
        <w:sz w:val="22"/>
        <w14:textFill>
          <w14:solidFill>
            <w14:schemeClr w14:val="accent2">
              <w14:lumMod w14:val="59000"/>
              <w14:lumOff w14:val="41000"/>
            </w14:schemeClr>
          </w14:solidFill>
        </w14:textFill>
      </w:rPr>
      <w:tcPr>
        <w:tcBorders>
          <w:top w:val="nil"/>
          <w:left w:val="nil"/>
          <w:bottom w:val="single" w:color="F4B483" w:themeColor="accent2" w:themeTint="97" w:sz="4" w:space="0"/>
          <w:right w:val="nil"/>
        </w:tcBorders>
        <w:shd w:val="clear" w:color="FFFFFF" w:themeColor="light1" w:fill="FFFFFF" w:themeFill="light1"/>
      </w:tcPr>
    </w:tblStylePr>
    <w:tblStylePr w:type="lastRow">
      <w:rPr>
        <w:rFonts w:ascii="Arial" w:hAnsi="Arial"/>
        <w:i/>
        <w:color w:val="F5B584" w:themeColor="accent2" w:themeTint="96"/>
        <w:sz w:val="22"/>
        <w14:textFill>
          <w14:solidFill>
            <w14:schemeClr w14:val="accent2">
              <w14:lumMod w14:val="59000"/>
              <w14:lumOff w14:val="41000"/>
            </w14:schemeClr>
          </w14:solidFill>
        </w14:textFill>
      </w:rPr>
      <w:tcPr>
        <w:tcBorders>
          <w:top w:val="single" w:color="F4B483"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F5B584" w:themeColor="accent2" w:themeTint="96"/>
        <w:sz w:val="22"/>
        <w14:textFill>
          <w14:solidFill>
            <w14:schemeClr w14:val="accent2">
              <w14:lumMod w14:val="59000"/>
              <w14:lumOff w14:val="41000"/>
            </w14:schemeClr>
          </w14:solidFill>
        </w14:textFill>
      </w:rPr>
      <w:tcPr>
        <w:tcBorders>
          <w:top w:val="nil"/>
          <w:left w:val="nil"/>
          <w:bottom w:val="nil"/>
          <w:right w:val="single" w:color="F4B483" w:themeColor="accent2" w:themeTint="97" w:sz="4" w:space="0"/>
        </w:tcBorders>
        <w:shd w:val="clear" w:color="FFFFFF" w:fill="auto"/>
      </w:tcPr>
    </w:tblStylePr>
    <w:tblStylePr w:type="lastCol">
      <w:rPr>
        <w:rFonts w:ascii="Arial" w:hAnsi="Arial"/>
        <w:i/>
        <w:color w:val="F5B584" w:themeColor="accent2" w:themeTint="96"/>
        <w:sz w:val="22"/>
        <w14:textFill>
          <w14:solidFill>
            <w14:schemeClr w14:val="accent2">
              <w14:lumMod w14:val="59000"/>
              <w14:lumOff w14:val="41000"/>
            </w14:schemeClr>
          </w14:solidFill>
        </w14:textFill>
      </w:rPr>
      <w:tcPr>
        <w:tcBorders>
          <w:top w:val="nil"/>
          <w:left w:val="single" w:color="F4B483" w:themeColor="accent2" w:themeTint="97" w:sz="4" w:space="0"/>
          <w:bottom w:val="nil"/>
          <w:right w:val="nil"/>
        </w:tcBorders>
        <w:shd w:val="clear" w:color="FFFFFF" w:fill="auto"/>
      </w:tcPr>
    </w:tblStylePr>
    <w:tblStylePr w:type="band1Vert">
      <w:tcPr>
        <w:shd w:val="clear" w:color="FADFCA" w:themeColor="accent2" w:themeTint="40" w:fill="FADFCA" w:themeFill="accent2" w:themeFillTint="40"/>
      </w:tcPr>
    </w:tblStylePr>
    <w:tblStylePr w:type="band1Horz">
      <w:rPr>
        <w:rFonts w:ascii="Arial" w:hAnsi="Arial"/>
        <w:color w:val="F5B584" w:themeColor="accent2" w:themeTint="96"/>
        <w:sz w:val="22"/>
        <w14:textFill>
          <w14:solidFill>
            <w14:schemeClr w14:val="accent2">
              <w14:lumMod w14:val="59000"/>
              <w14:lumOff w14:val="41000"/>
            </w14:schemeClr>
          </w14:solidFill>
        </w14:textFill>
      </w:rPr>
      <w:tcPr>
        <w:shd w:val="clear" w:color="FADFCA" w:themeColor="accent2" w:themeTint="40" w:fill="FADFCA" w:themeFill="accent2" w:themeFillTint="40"/>
      </w:tcPr>
    </w:tblStylePr>
    <w:tblStylePr w:type="band2Horz">
      <w:rPr>
        <w:rFonts w:ascii="Arial" w:hAnsi="Arial"/>
        <w:color w:val="F5B584" w:themeColor="accent2" w:themeTint="96"/>
        <w:sz w:val="22"/>
        <w14:textFill>
          <w14:solidFill>
            <w14:schemeClr w14:val="accent2">
              <w14:lumMod w14:val="59000"/>
              <w14:lumOff w14:val="41000"/>
            </w14:schemeClr>
          </w14:solidFill>
        </w14:textFill>
      </w:rPr>
    </w:tblStylePr>
  </w:style>
  <w:style w:type="table" w:customStyle="1" w:styleId="164">
    <w:name w:val="List Table 7 Colorful - Accent 3"/>
    <w:basedOn w:val="33"/>
    <w:qFormat/>
    <w:uiPriority w:val="99"/>
    <w:pPr>
      <w:spacing w:after="0" w:line="240" w:lineRule="auto"/>
    </w:pPr>
    <w:tblPr>
      <w:tblBorders>
        <w:right w:val="single" w:color="FDD961" w:themeColor="accent3" w:themeTint="98" w:sz="4" w:space="0"/>
      </w:tblBorders>
    </w:tblPr>
    <w:tblStylePr w:type="firstRow">
      <w:rPr>
        <w:rFonts w:ascii="Arial" w:hAnsi="Arial"/>
        <w:i/>
        <w:color w:val="FED961" w:themeColor="accent3" w:themeTint="99"/>
        <w:sz w:val="22"/>
        <w14:textFill>
          <w14:solidFill>
            <w14:schemeClr w14:val="accent3">
              <w14:lumMod w14:val="60000"/>
              <w14:lumOff w14:val="40000"/>
            </w14:schemeClr>
          </w14:solidFill>
        </w14:textFill>
      </w:rPr>
      <w:tcPr>
        <w:tcBorders>
          <w:top w:val="nil"/>
          <w:left w:val="nil"/>
          <w:bottom w:val="single" w:color="FDD961" w:themeColor="accent3" w:themeTint="98" w:sz="4" w:space="0"/>
          <w:right w:val="nil"/>
        </w:tcBorders>
        <w:shd w:val="clear" w:color="FFFFFF" w:themeColor="light1" w:fill="FFFFFF" w:themeFill="light1"/>
      </w:tcPr>
    </w:tblStylePr>
    <w:tblStylePr w:type="lastRow">
      <w:rPr>
        <w:rFonts w:ascii="Arial" w:hAnsi="Arial"/>
        <w:i/>
        <w:color w:val="FED961" w:themeColor="accent3" w:themeTint="99"/>
        <w:sz w:val="22"/>
        <w14:textFill>
          <w14:solidFill>
            <w14:schemeClr w14:val="accent3">
              <w14:lumMod w14:val="60000"/>
              <w14:lumOff w14:val="40000"/>
            </w14:schemeClr>
          </w14:solidFill>
        </w14:textFill>
      </w:rPr>
      <w:tcPr>
        <w:tcBorders>
          <w:top w:val="single" w:color="FDD961" w:themeColor="accent3" w:themeTint="98" w:sz="4" w:space="0"/>
          <w:left w:val="nil"/>
          <w:bottom w:val="nil"/>
          <w:right w:val="nil"/>
        </w:tcBorders>
        <w:shd w:val="clear" w:color="FFFFFF" w:themeColor="light1" w:fill="FFFFFF" w:themeFill="light1"/>
      </w:tcPr>
    </w:tblStylePr>
    <w:tblStylePr w:type="firstCol">
      <w:pPr>
        <w:jc w:val="right"/>
      </w:pPr>
      <w:rPr>
        <w:rFonts w:ascii="Arial" w:hAnsi="Arial"/>
        <w:i/>
        <w:color w:val="FED961" w:themeColor="accent3" w:themeTint="99"/>
        <w:sz w:val="22"/>
        <w14:textFill>
          <w14:solidFill>
            <w14:schemeClr w14:val="accent3">
              <w14:lumMod w14:val="60000"/>
              <w14:lumOff w14:val="40000"/>
            </w14:schemeClr>
          </w14:solidFill>
        </w14:textFill>
      </w:rPr>
      <w:tcPr>
        <w:tcBorders>
          <w:top w:val="nil"/>
          <w:left w:val="nil"/>
          <w:bottom w:val="nil"/>
          <w:right w:val="single" w:color="FDD961" w:themeColor="accent3" w:themeTint="98" w:sz="4" w:space="0"/>
        </w:tcBorders>
        <w:shd w:val="clear" w:color="FFFFFF" w:fill="auto"/>
      </w:tcPr>
    </w:tblStylePr>
    <w:tblStylePr w:type="lastCol">
      <w:rPr>
        <w:rFonts w:ascii="Arial" w:hAnsi="Arial"/>
        <w:i/>
        <w:color w:val="FED961" w:themeColor="accent3" w:themeTint="99"/>
        <w:sz w:val="22"/>
        <w14:textFill>
          <w14:solidFill>
            <w14:schemeClr w14:val="accent3">
              <w14:lumMod w14:val="60000"/>
              <w14:lumOff w14:val="40000"/>
            </w14:schemeClr>
          </w14:solidFill>
        </w14:textFill>
      </w:rPr>
      <w:tcPr>
        <w:tcBorders>
          <w:top w:val="nil"/>
          <w:left w:val="single" w:color="FDD961" w:themeColor="accent3" w:themeTint="98" w:sz="4" w:space="0"/>
          <w:bottom w:val="nil"/>
          <w:right w:val="nil"/>
        </w:tcBorders>
        <w:shd w:val="clear" w:color="FFFFFF" w:fill="auto"/>
      </w:tcPr>
    </w:tblStylePr>
    <w:tblStylePr w:type="band1Vert">
      <w:tcPr>
        <w:shd w:val="clear" w:color="FEEFBC" w:themeColor="accent3" w:themeTint="40" w:fill="FEEFBC" w:themeFill="accent3" w:themeFillTint="40"/>
      </w:tcPr>
    </w:tblStylePr>
    <w:tblStylePr w:type="band1Horz">
      <w:rPr>
        <w:rFonts w:ascii="Arial" w:hAnsi="Arial"/>
        <w:color w:val="FED961" w:themeColor="accent3" w:themeTint="99"/>
        <w:sz w:val="22"/>
        <w14:textFill>
          <w14:solidFill>
            <w14:schemeClr w14:val="accent3">
              <w14:lumMod w14:val="60000"/>
              <w14:lumOff w14:val="40000"/>
            </w14:schemeClr>
          </w14:solidFill>
        </w14:textFill>
      </w:rPr>
      <w:tcPr>
        <w:shd w:val="clear" w:color="FEEFBC" w:themeColor="accent3" w:themeTint="40" w:fill="FEEFBC" w:themeFill="accent3" w:themeFillTint="40"/>
      </w:tcPr>
    </w:tblStylePr>
    <w:tblStylePr w:type="band2Horz">
      <w:rPr>
        <w:rFonts w:ascii="Arial" w:hAnsi="Arial"/>
        <w:color w:val="FED961" w:themeColor="accent3" w:themeTint="99"/>
        <w:sz w:val="22"/>
        <w14:textFill>
          <w14:solidFill>
            <w14:schemeClr w14:val="accent3">
              <w14:lumMod w14:val="60000"/>
              <w14:lumOff w14:val="40000"/>
            </w14:schemeClr>
          </w14:solidFill>
        </w14:textFill>
      </w:rPr>
    </w:tblStylePr>
  </w:style>
  <w:style w:type="table" w:customStyle="1" w:styleId="165">
    <w:name w:val="List Table 7 Colorful - Accent 4"/>
    <w:basedOn w:val="33"/>
    <w:qFormat/>
    <w:uiPriority w:val="99"/>
    <w:pPr>
      <w:spacing w:after="0" w:line="240" w:lineRule="auto"/>
    </w:pPr>
    <w:tblPr>
      <w:tblBorders>
        <w:right w:val="single" w:color="ABD78C" w:themeColor="accent4" w:themeTint="9A" w:sz="4" w:space="0"/>
      </w:tblBorders>
    </w:tblPr>
    <w:tblStylePr w:type="firstRow">
      <w:rPr>
        <w:rFonts w:ascii="Arial" w:hAnsi="Arial"/>
        <w:i/>
        <w:color w:val="ACD78E" w:themeColor="accent4" w:themeTint="99"/>
        <w:sz w:val="22"/>
        <w14:textFill>
          <w14:solidFill>
            <w14:schemeClr w14:val="accent4">
              <w14:lumMod w14:val="60000"/>
              <w14:lumOff w14:val="40000"/>
            </w14:schemeClr>
          </w14:solidFill>
        </w14:textFill>
      </w:rPr>
      <w:tcPr>
        <w:tcBorders>
          <w:top w:val="nil"/>
          <w:left w:val="nil"/>
          <w:bottom w:val="single" w:color="ABD78C" w:themeColor="accent4" w:themeTint="9A" w:sz="4" w:space="0"/>
          <w:right w:val="nil"/>
        </w:tcBorders>
        <w:shd w:val="clear" w:color="FFFFFF" w:themeColor="light1" w:fill="FFFFFF" w:themeFill="light1"/>
      </w:tcPr>
    </w:tblStylePr>
    <w:tblStylePr w:type="lastRow">
      <w:rPr>
        <w:rFonts w:ascii="Arial" w:hAnsi="Arial"/>
        <w:i/>
        <w:color w:val="ACD78E" w:themeColor="accent4" w:themeTint="99"/>
        <w:sz w:val="22"/>
        <w14:textFill>
          <w14:solidFill>
            <w14:schemeClr w14:val="accent4">
              <w14:lumMod w14:val="60000"/>
              <w14:lumOff w14:val="40000"/>
            </w14:schemeClr>
          </w14:solidFill>
        </w14:textFill>
      </w:rPr>
      <w:tcPr>
        <w:tcBorders>
          <w:top w:val="single" w:color="ABD78C"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ACD78E" w:themeColor="accent4" w:themeTint="99"/>
        <w:sz w:val="22"/>
        <w14:textFill>
          <w14:solidFill>
            <w14:schemeClr w14:val="accent4">
              <w14:lumMod w14:val="60000"/>
              <w14:lumOff w14:val="40000"/>
            </w14:schemeClr>
          </w14:solidFill>
        </w14:textFill>
      </w:rPr>
      <w:tcPr>
        <w:tcBorders>
          <w:top w:val="nil"/>
          <w:left w:val="nil"/>
          <w:bottom w:val="nil"/>
          <w:right w:val="single" w:color="ABD78C" w:themeColor="accent4" w:themeTint="9A" w:sz="4" w:space="0"/>
        </w:tcBorders>
        <w:shd w:val="clear" w:color="FFFFFF" w:fill="auto"/>
      </w:tcPr>
    </w:tblStylePr>
    <w:tblStylePr w:type="lastCol">
      <w:rPr>
        <w:rFonts w:ascii="Arial" w:hAnsi="Arial"/>
        <w:i/>
        <w:color w:val="ACD78E" w:themeColor="accent4" w:themeTint="99"/>
        <w:sz w:val="22"/>
        <w14:textFill>
          <w14:solidFill>
            <w14:schemeClr w14:val="accent4">
              <w14:lumMod w14:val="60000"/>
              <w14:lumOff w14:val="40000"/>
            </w14:schemeClr>
          </w14:solidFill>
        </w14:textFill>
      </w:rPr>
      <w:tcPr>
        <w:tcBorders>
          <w:top w:val="nil"/>
          <w:left w:val="single" w:color="ABD78C" w:themeColor="accent4" w:themeTint="9A" w:sz="4" w:space="0"/>
          <w:bottom w:val="nil"/>
          <w:right w:val="nil"/>
        </w:tcBorders>
        <w:shd w:val="clear" w:color="FFFFFF" w:fill="auto"/>
      </w:tcPr>
    </w:tblStylePr>
    <w:tblStylePr w:type="band1Vert">
      <w:tcPr>
        <w:shd w:val="clear" w:color="DCEECF" w:themeColor="accent4" w:themeTint="40" w:fill="DCEECF" w:themeFill="accent4" w:themeFillTint="40"/>
      </w:tcPr>
    </w:tblStylePr>
    <w:tblStylePr w:type="band1Horz">
      <w:rPr>
        <w:rFonts w:ascii="Arial" w:hAnsi="Arial"/>
        <w:color w:val="ACD78E" w:themeColor="accent4" w:themeTint="99"/>
        <w:sz w:val="22"/>
        <w14:textFill>
          <w14:solidFill>
            <w14:schemeClr w14:val="accent4">
              <w14:lumMod w14:val="60000"/>
              <w14:lumOff w14:val="40000"/>
            </w14:schemeClr>
          </w14:solidFill>
        </w14:textFill>
      </w:rPr>
      <w:tcPr>
        <w:shd w:val="clear" w:color="DCEECF" w:themeColor="accent4" w:themeTint="40" w:fill="DCEECF" w:themeFill="accent4" w:themeFillTint="40"/>
      </w:tcPr>
    </w:tblStylePr>
    <w:tblStylePr w:type="band2Horz">
      <w:rPr>
        <w:rFonts w:ascii="Arial" w:hAnsi="Arial"/>
        <w:color w:val="ACD78E" w:themeColor="accent4" w:themeTint="99"/>
        <w:sz w:val="22"/>
        <w14:textFill>
          <w14:solidFill>
            <w14:schemeClr w14:val="accent4">
              <w14:lumMod w14:val="60000"/>
              <w14:lumOff w14:val="40000"/>
            </w14:schemeClr>
          </w14:solidFill>
        </w14:textFill>
      </w:rPr>
    </w:tblStylePr>
  </w:style>
  <w:style w:type="table" w:customStyle="1" w:styleId="166">
    <w:name w:val="List Table 7 Colorful - Accent 5"/>
    <w:basedOn w:val="33"/>
    <w:qFormat/>
    <w:uiPriority w:val="99"/>
    <w:pPr>
      <w:spacing w:after="0" w:line="240" w:lineRule="auto"/>
    </w:pPr>
    <w:tblPr>
      <w:tblBorders>
        <w:right w:val="single" w:color="7CDED6" w:themeColor="accent5" w:themeTint="9A" w:sz="4" w:space="0"/>
      </w:tblBorders>
    </w:tblPr>
    <w:tblStylePr w:type="firstRow">
      <w:rPr>
        <w:rFonts w:ascii="Arial" w:hAnsi="Arial"/>
        <w:i/>
        <w:color w:val="7DDFD7" w:themeColor="accent5" w:themeTint="99"/>
        <w:sz w:val="22"/>
        <w14:textFill>
          <w14:solidFill>
            <w14:schemeClr w14:val="accent5">
              <w14:lumMod w14:val="60000"/>
              <w14:lumOff w14:val="40000"/>
            </w14:schemeClr>
          </w14:solidFill>
        </w14:textFill>
      </w:rPr>
      <w:tcPr>
        <w:tcBorders>
          <w:top w:val="nil"/>
          <w:left w:val="nil"/>
          <w:bottom w:val="single" w:color="7CDED6" w:themeColor="accent5" w:themeTint="9A" w:sz="4" w:space="0"/>
          <w:right w:val="nil"/>
        </w:tcBorders>
        <w:shd w:val="clear" w:color="FFFFFF" w:themeColor="light1" w:fill="FFFFFF" w:themeFill="light1"/>
      </w:tcPr>
    </w:tblStylePr>
    <w:tblStylePr w:type="lastRow">
      <w:rPr>
        <w:rFonts w:ascii="Arial" w:hAnsi="Arial"/>
        <w:i/>
        <w:color w:val="7DDFD7" w:themeColor="accent5" w:themeTint="99"/>
        <w:sz w:val="22"/>
        <w14:textFill>
          <w14:solidFill>
            <w14:schemeClr w14:val="accent5">
              <w14:lumMod w14:val="60000"/>
              <w14:lumOff w14:val="40000"/>
            </w14:schemeClr>
          </w14:solidFill>
        </w14:textFill>
      </w:rPr>
      <w:tcPr>
        <w:tcBorders>
          <w:top w:val="single" w:color="7CDED6" w:themeColor="accent5" w:themeTint="9A" w:sz="4" w:space="0"/>
          <w:left w:val="nil"/>
          <w:bottom w:val="nil"/>
          <w:right w:val="nil"/>
        </w:tcBorders>
        <w:shd w:val="clear" w:color="FFFFFF" w:themeColor="light1" w:fill="FFFFFF" w:themeFill="light1"/>
      </w:tcPr>
    </w:tblStylePr>
    <w:tblStylePr w:type="firstCol">
      <w:pPr>
        <w:jc w:val="right"/>
      </w:pPr>
      <w:rPr>
        <w:rFonts w:ascii="Arial" w:hAnsi="Arial"/>
        <w:i/>
        <w:color w:val="7DDFD7" w:themeColor="accent5" w:themeTint="99"/>
        <w:sz w:val="22"/>
        <w14:textFill>
          <w14:solidFill>
            <w14:schemeClr w14:val="accent5">
              <w14:lumMod w14:val="60000"/>
              <w14:lumOff w14:val="40000"/>
            </w14:schemeClr>
          </w14:solidFill>
        </w14:textFill>
      </w:rPr>
      <w:tcPr>
        <w:tcBorders>
          <w:top w:val="nil"/>
          <w:left w:val="nil"/>
          <w:bottom w:val="nil"/>
          <w:right w:val="single" w:color="7CDED6" w:themeColor="accent5" w:themeTint="9A" w:sz="4" w:space="0"/>
        </w:tcBorders>
        <w:shd w:val="clear" w:color="FFFFFF" w:fill="auto"/>
      </w:tcPr>
    </w:tblStylePr>
    <w:tblStylePr w:type="lastCol">
      <w:rPr>
        <w:rFonts w:ascii="Arial" w:hAnsi="Arial"/>
        <w:i/>
        <w:color w:val="7DDFD7" w:themeColor="accent5" w:themeTint="99"/>
        <w:sz w:val="22"/>
        <w14:textFill>
          <w14:solidFill>
            <w14:schemeClr w14:val="accent5">
              <w14:lumMod w14:val="60000"/>
              <w14:lumOff w14:val="40000"/>
            </w14:schemeClr>
          </w14:solidFill>
        </w14:textFill>
      </w:rPr>
      <w:tcPr>
        <w:tcBorders>
          <w:top w:val="nil"/>
          <w:left w:val="single" w:color="7CDED6" w:themeColor="accent5" w:themeTint="9A" w:sz="4" w:space="0"/>
          <w:bottom w:val="nil"/>
          <w:right w:val="nil"/>
        </w:tcBorders>
        <w:shd w:val="clear" w:color="FFFFFF" w:fill="auto"/>
      </w:tcPr>
    </w:tblStylePr>
    <w:tblStylePr w:type="band1Vert">
      <w:tcPr>
        <w:shd w:val="clear" w:color="C8F1EE" w:themeColor="accent5" w:themeTint="40" w:fill="C8F1EE" w:themeFill="accent5" w:themeFillTint="40"/>
      </w:tcPr>
    </w:tblStylePr>
    <w:tblStylePr w:type="band1Horz">
      <w:rPr>
        <w:rFonts w:ascii="Arial" w:hAnsi="Arial"/>
        <w:color w:val="7DDFD7" w:themeColor="accent5" w:themeTint="99"/>
        <w:sz w:val="22"/>
        <w14:textFill>
          <w14:solidFill>
            <w14:schemeClr w14:val="accent5">
              <w14:lumMod w14:val="60000"/>
              <w14:lumOff w14:val="40000"/>
            </w14:schemeClr>
          </w14:solidFill>
        </w14:textFill>
      </w:rPr>
      <w:tcPr>
        <w:shd w:val="clear" w:color="C8F1EE" w:themeColor="accent5" w:themeTint="40" w:fill="C8F1EE" w:themeFill="accent5" w:themeFillTint="40"/>
      </w:tcPr>
    </w:tblStylePr>
    <w:tblStylePr w:type="band2Horz">
      <w:rPr>
        <w:rFonts w:ascii="Arial" w:hAnsi="Arial"/>
        <w:color w:val="7DDFD7" w:themeColor="accent5" w:themeTint="99"/>
        <w:sz w:val="22"/>
        <w14:textFill>
          <w14:solidFill>
            <w14:schemeClr w14:val="accent5">
              <w14:lumMod w14:val="60000"/>
              <w14:lumOff w14:val="40000"/>
            </w14:schemeClr>
          </w14:solidFill>
        </w14:textFill>
      </w:rPr>
    </w:tblStylePr>
  </w:style>
  <w:style w:type="table" w:customStyle="1" w:styleId="167">
    <w:name w:val="List Table 7 Colorful - Accent 6"/>
    <w:basedOn w:val="33"/>
    <w:qFormat/>
    <w:uiPriority w:val="99"/>
    <w:pPr>
      <w:spacing w:after="0" w:line="240" w:lineRule="auto"/>
    </w:pPr>
    <w:tblPr>
      <w:tblBorders>
        <w:right w:val="single" w:color="EF949F" w:themeColor="accent6" w:themeTint="98" w:sz="4" w:space="0"/>
      </w:tblBorders>
    </w:tblPr>
    <w:tblStylePr w:type="firstRow">
      <w:rPr>
        <w:rFonts w:ascii="Arial" w:hAnsi="Arial"/>
        <w:i/>
        <w:color w:val="EF949E" w:themeColor="accent6" w:themeTint="99"/>
        <w:sz w:val="22"/>
        <w14:textFill>
          <w14:solidFill>
            <w14:schemeClr w14:val="accent6">
              <w14:lumMod w14:val="60000"/>
              <w14:lumOff w14:val="40000"/>
            </w14:schemeClr>
          </w14:solidFill>
        </w14:textFill>
      </w:rPr>
      <w:tcPr>
        <w:tcBorders>
          <w:top w:val="nil"/>
          <w:left w:val="nil"/>
          <w:bottom w:val="single" w:color="EF949F" w:themeColor="accent6" w:themeTint="98" w:sz="4" w:space="0"/>
          <w:right w:val="nil"/>
        </w:tcBorders>
        <w:shd w:val="clear" w:color="FFFFFF" w:themeColor="light1" w:fill="FFFFFF" w:themeFill="light1"/>
      </w:tcPr>
    </w:tblStylePr>
    <w:tblStylePr w:type="lastRow">
      <w:rPr>
        <w:rFonts w:ascii="Arial" w:hAnsi="Arial"/>
        <w:i/>
        <w:color w:val="EF949E" w:themeColor="accent6" w:themeTint="99"/>
        <w:sz w:val="22"/>
        <w14:textFill>
          <w14:solidFill>
            <w14:schemeClr w14:val="accent6">
              <w14:lumMod w14:val="60000"/>
              <w14:lumOff w14:val="40000"/>
            </w14:schemeClr>
          </w14:solidFill>
        </w14:textFill>
      </w:rPr>
      <w:tcPr>
        <w:tcBorders>
          <w:top w:val="single" w:color="EF949F" w:themeColor="accent6" w:themeTint="98" w:sz="4" w:space="0"/>
          <w:left w:val="nil"/>
          <w:bottom w:val="nil"/>
          <w:right w:val="nil"/>
        </w:tcBorders>
        <w:shd w:val="clear" w:color="FFFFFF" w:themeColor="light1" w:fill="FFFFFF" w:themeFill="light1"/>
      </w:tcPr>
    </w:tblStylePr>
    <w:tblStylePr w:type="firstCol">
      <w:pPr>
        <w:jc w:val="right"/>
      </w:pPr>
      <w:rPr>
        <w:rFonts w:ascii="Arial" w:hAnsi="Arial"/>
        <w:i/>
        <w:color w:val="EF949E" w:themeColor="accent6" w:themeTint="99"/>
        <w:sz w:val="22"/>
        <w14:textFill>
          <w14:solidFill>
            <w14:schemeClr w14:val="accent6">
              <w14:lumMod w14:val="60000"/>
              <w14:lumOff w14:val="40000"/>
            </w14:schemeClr>
          </w14:solidFill>
        </w14:textFill>
      </w:rPr>
      <w:tcPr>
        <w:tcBorders>
          <w:top w:val="nil"/>
          <w:left w:val="nil"/>
          <w:bottom w:val="nil"/>
          <w:right w:val="single" w:color="EF949F" w:themeColor="accent6" w:themeTint="98" w:sz="4" w:space="0"/>
        </w:tcBorders>
        <w:shd w:val="clear" w:color="FFFFFF" w:fill="auto"/>
      </w:tcPr>
    </w:tblStylePr>
    <w:tblStylePr w:type="lastCol">
      <w:rPr>
        <w:rFonts w:ascii="Arial" w:hAnsi="Arial"/>
        <w:i/>
        <w:color w:val="EF949E" w:themeColor="accent6" w:themeTint="99"/>
        <w:sz w:val="22"/>
        <w14:textFill>
          <w14:solidFill>
            <w14:schemeClr w14:val="accent6">
              <w14:lumMod w14:val="60000"/>
              <w14:lumOff w14:val="40000"/>
            </w14:schemeClr>
          </w14:solidFill>
        </w14:textFill>
      </w:rPr>
      <w:tcPr>
        <w:tcBorders>
          <w:top w:val="nil"/>
          <w:left w:val="single" w:color="EF949F" w:themeColor="accent6" w:themeTint="98" w:sz="4" w:space="0"/>
          <w:bottom w:val="nil"/>
          <w:right w:val="nil"/>
        </w:tcBorders>
        <w:shd w:val="clear" w:color="FFFFFF" w:fill="auto"/>
      </w:tcPr>
    </w:tblStylePr>
    <w:tblStylePr w:type="band1Vert">
      <w:tcPr>
        <w:shd w:val="clear" w:color="F8D2D6" w:themeColor="accent6" w:themeTint="40" w:fill="F8D2D6" w:themeFill="accent6" w:themeFillTint="40"/>
      </w:tcPr>
    </w:tblStylePr>
    <w:tblStylePr w:type="band1Horz">
      <w:rPr>
        <w:rFonts w:ascii="Arial" w:hAnsi="Arial"/>
        <w:color w:val="EF949E" w:themeColor="accent6" w:themeTint="99"/>
        <w:sz w:val="22"/>
        <w14:textFill>
          <w14:solidFill>
            <w14:schemeClr w14:val="accent6">
              <w14:lumMod w14:val="60000"/>
              <w14:lumOff w14:val="40000"/>
            </w14:schemeClr>
          </w14:solidFill>
        </w14:textFill>
      </w:rPr>
      <w:tcPr>
        <w:shd w:val="clear" w:color="F8D2D6" w:themeColor="accent6" w:themeTint="40" w:fill="F8D2D6" w:themeFill="accent6" w:themeFillTint="40"/>
      </w:tcPr>
    </w:tblStylePr>
    <w:tblStylePr w:type="band2Horz">
      <w:rPr>
        <w:rFonts w:ascii="Arial" w:hAnsi="Arial"/>
        <w:color w:val="EF949E" w:themeColor="accent6" w:themeTint="99"/>
        <w:sz w:val="22"/>
        <w14:textFill>
          <w14:solidFill>
            <w14:schemeClr w14:val="accent6">
              <w14:lumMod w14:val="60000"/>
              <w14:lumOff w14:val="40000"/>
            </w14:schemeClr>
          </w14:solidFill>
        </w14:textFill>
      </w:rPr>
    </w:tblStylePr>
  </w:style>
  <w:style w:type="table" w:customStyle="1" w:styleId="168">
    <w:name w:val="Lined - Accent"/>
    <w:basedOn w:val="33"/>
    <w:qFormat/>
    <w:uiPriority w:val="99"/>
    <w:pPr>
      <w:spacing w:after="0" w:line="240" w:lineRule="auto"/>
    </w:pPr>
    <w:rPr>
      <w:color w:val="404040"/>
    </w:r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style>
  <w:style w:type="table" w:customStyle="1" w:styleId="169">
    <w:name w:val="Lined - Accent 1"/>
    <w:basedOn w:val="33"/>
    <w:qFormat/>
    <w:uiPriority w:val="99"/>
    <w:pPr>
      <w:spacing w:after="0" w:line="240" w:lineRule="auto"/>
    </w:pPr>
    <w:rPr>
      <w:color w:val="404040"/>
    </w:rPr>
    <w:tblStylePr w:type="firstRow">
      <w:rPr>
        <w:rFonts w:ascii="Arial" w:hAnsi="Arial"/>
        <w:color w:val="F2F2F2"/>
        <w:sz w:val="22"/>
      </w:rPr>
      <w:tcPr>
        <w:shd w:val="clear" w:color="577FCF" w:themeColor="accent1" w:themeTint="EA" w:fill="577FCF" w:themeFill="accent1" w:themeFillTint="EA"/>
      </w:tcPr>
    </w:tblStylePr>
    <w:tblStylePr w:type="lastRow">
      <w:rPr>
        <w:rFonts w:ascii="Arial" w:hAnsi="Arial"/>
        <w:color w:val="F2F2F2"/>
        <w:sz w:val="22"/>
      </w:rPr>
      <w:tcPr>
        <w:shd w:val="clear" w:color="577FCF" w:themeColor="accent1" w:themeTint="EA" w:fill="577FCF" w:themeFill="accent1" w:themeFillTint="EA"/>
      </w:tcPr>
    </w:tblStylePr>
    <w:tblStylePr w:type="firstCol">
      <w:rPr>
        <w:rFonts w:ascii="Arial" w:hAnsi="Arial"/>
        <w:color w:val="F2F2F2"/>
        <w:sz w:val="22"/>
      </w:rPr>
      <w:tcPr>
        <w:shd w:val="clear" w:color="577FCF" w:themeColor="accent1" w:themeTint="EA" w:fill="577FCF" w:themeFill="accent1" w:themeFillTint="EA"/>
      </w:tcPr>
    </w:tblStylePr>
    <w:tblStylePr w:type="lastCol">
      <w:rPr>
        <w:rFonts w:ascii="Arial" w:hAnsi="Arial"/>
        <w:color w:val="F2F2F2"/>
        <w:sz w:val="22"/>
      </w:rPr>
      <w:tcPr>
        <w:shd w:val="clear" w:color="577FCF" w:themeColor="accent1" w:themeTint="EA" w:fill="577FCF"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5D3EE" w:themeColor="accent1" w:themeTint="50" w:fill="C5D3EE"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5D3EE" w:themeColor="accent1" w:themeTint="50" w:fill="C5D3EE" w:themeFill="accent1" w:themeFillTint="50"/>
      </w:tcPr>
    </w:tblStylePr>
  </w:style>
  <w:style w:type="table" w:customStyle="1" w:styleId="170">
    <w:name w:val="Lined - Accent 2"/>
    <w:basedOn w:val="33"/>
    <w:qFormat/>
    <w:uiPriority w:val="99"/>
    <w:pPr>
      <w:spacing w:after="0" w:line="240" w:lineRule="auto"/>
    </w:pPr>
    <w:rPr>
      <w:color w:val="404040"/>
    </w:rPr>
    <w:tblStylePr w:type="firstRow">
      <w:rPr>
        <w:rFonts w:ascii="Arial" w:hAnsi="Arial"/>
        <w:color w:val="F2F2F2"/>
        <w:sz w:val="22"/>
      </w:rPr>
      <w:tcPr>
        <w:shd w:val="clear" w:color="F4B483" w:themeColor="accent2" w:themeTint="97" w:fill="F4B483" w:themeFill="accent2" w:themeFillTint="97"/>
      </w:tcPr>
    </w:tblStylePr>
    <w:tblStylePr w:type="lastRow">
      <w:rPr>
        <w:rFonts w:ascii="Arial" w:hAnsi="Arial"/>
        <w:color w:val="F2F2F2"/>
        <w:sz w:val="22"/>
      </w:rPr>
      <w:tcPr>
        <w:shd w:val="clear" w:color="F4B483" w:themeColor="accent2" w:themeTint="97" w:fill="F4B483" w:themeFill="accent2" w:themeFillTint="97"/>
      </w:tcPr>
    </w:tblStylePr>
    <w:tblStylePr w:type="firstCol">
      <w:rPr>
        <w:rFonts w:ascii="Arial" w:hAnsi="Arial"/>
        <w:color w:val="F2F2F2"/>
        <w:sz w:val="22"/>
      </w:rPr>
      <w:tcPr>
        <w:shd w:val="clear" w:color="F4B483" w:themeColor="accent2" w:themeTint="97" w:fill="F4B483" w:themeFill="accent2" w:themeFillTint="97"/>
      </w:tcPr>
    </w:tblStylePr>
    <w:tblStylePr w:type="lastCol">
      <w:rPr>
        <w:rFonts w:ascii="Arial" w:hAnsi="Arial"/>
        <w:color w:val="F2F2F2"/>
        <w:sz w:val="22"/>
      </w:rPr>
      <w:tcPr>
        <w:shd w:val="clear" w:color="F4B483" w:themeColor="accent2" w:themeTint="97" w:fill="F4B483"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BE6D6" w:themeColor="accent2" w:themeTint="32" w:fill="FBE6D6"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BE6D6" w:themeColor="accent2" w:themeTint="32" w:fill="FBE6D6" w:themeFill="accent2" w:themeFillTint="32"/>
      </w:tcPr>
    </w:tblStylePr>
  </w:style>
  <w:style w:type="table" w:customStyle="1" w:styleId="171">
    <w:name w:val="Lined - Accent 3"/>
    <w:basedOn w:val="33"/>
    <w:qFormat/>
    <w:uiPriority w:val="99"/>
    <w:pPr>
      <w:spacing w:after="0" w:line="240" w:lineRule="auto"/>
    </w:pPr>
    <w:rPr>
      <w:color w:val="404040"/>
    </w:rPr>
    <w:tblStylePr w:type="firstRow">
      <w:rPr>
        <w:rFonts w:ascii="Arial" w:hAnsi="Arial"/>
        <w:color w:val="F2F2F2"/>
        <w:sz w:val="22"/>
      </w:rPr>
      <w:tcPr>
        <w:shd w:val="clear" w:color="F3BA02" w:themeColor="accent3" w:themeTint="FE" w:fill="F3BA02" w:themeFill="accent3" w:themeFillTint="FE"/>
      </w:tcPr>
    </w:tblStylePr>
    <w:tblStylePr w:type="lastRow">
      <w:rPr>
        <w:rFonts w:ascii="Arial" w:hAnsi="Arial"/>
        <w:color w:val="F2F2F2"/>
        <w:sz w:val="22"/>
      </w:rPr>
      <w:tcPr>
        <w:shd w:val="clear" w:color="F3BA02" w:themeColor="accent3" w:themeTint="FE" w:fill="F3BA02" w:themeFill="accent3" w:themeFillTint="FE"/>
      </w:tcPr>
    </w:tblStylePr>
    <w:tblStylePr w:type="firstCol">
      <w:rPr>
        <w:rFonts w:ascii="Arial" w:hAnsi="Arial"/>
        <w:color w:val="F2F2F2"/>
        <w:sz w:val="22"/>
      </w:rPr>
      <w:tcPr>
        <w:shd w:val="clear" w:color="F3BA02" w:themeColor="accent3" w:themeTint="FE" w:fill="F3BA02" w:themeFill="accent3" w:themeFillTint="FE"/>
      </w:tcPr>
    </w:tblStylePr>
    <w:tblStylePr w:type="lastCol">
      <w:rPr>
        <w:rFonts w:ascii="Arial" w:hAnsi="Arial"/>
        <w:color w:val="F2F2F2"/>
        <w:sz w:val="22"/>
      </w:rPr>
      <w:tcPr>
        <w:shd w:val="clear" w:color="F3BA02" w:themeColor="accent3" w:themeTint="FE" w:fill="F3BA02"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FEF2C9" w:themeColor="accent3" w:themeTint="34" w:fill="FEF2C9"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FEF2C9" w:themeColor="accent3" w:themeTint="34" w:fill="FEF2C9" w:themeFill="accent3" w:themeFillTint="34"/>
      </w:tcPr>
    </w:tblStylePr>
  </w:style>
  <w:style w:type="table" w:customStyle="1" w:styleId="172">
    <w:name w:val="Lined - Accent 4"/>
    <w:basedOn w:val="33"/>
    <w:qFormat/>
    <w:uiPriority w:val="99"/>
    <w:pPr>
      <w:spacing w:after="0" w:line="240" w:lineRule="auto"/>
    </w:pPr>
    <w:rPr>
      <w:color w:val="404040"/>
    </w:rPr>
    <w:tblStylePr w:type="firstRow">
      <w:rPr>
        <w:rFonts w:ascii="Arial" w:hAnsi="Arial"/>
        <w:color w:val="F2F2F2"/>
        <w:sz w:val="22"/>
      </w:rPr>
      <w:tcPr>
        <w:shd w:val="clear" w:color="ABD78C" w:themeColor="accent4" w:themeTint="9A" w:fill="ABD78C" w:themeFill="accent4" w:themeFillTint="9A"/>
      </w:tcPr>
    </w:tblStylePr>
    <w:tblStylePr w:type="lastRow">
      <w:rPr>
        <w:rFonts w:ascii="Arial" w:hAnsi="Arial"/>
        <w:color w:val="F2F2F2"/>
        <w:sz w:val="22"/>
      </w:rPr>
      <w:tcPr>
        <w:shd w:val="clear" w:color="ABD78C" w:themeColor="accent4" w:themeTint="9A" w:fill="ABD78C" w:themeFill="accent4" w:themeFillTint="9A"/>
      </w:tcPr>
    </w:tblStylePr>
    <w:tblStylePr w:type="firstCol">
      <w:rPr>
        <w:rFonts w:ascii="Arial" w:hAnsi="Arial"/>
        <w:color w:val="F2F2F2"/>
        <w:sz w:val="22"/>
      </w:rPr>
      <w:tcPr>
        <w:shd w:val="clear" w:color="ABD78C" w:themeColor="accent4" w:themeTint="9A" w:fill="ABD78C" w:themeFill="accent4" w:themeFillTint="9A"/>
      </w:tcPr>
    </w:tblStylePr>
    <w:tblStylePr w:type="lastCol">
      <w:rPr>
        <w:rFonts w:ascii="Arial" w:hAnsi="Arial"/>
        <w:color w:val="F2F2F2"/>
        <w:sz w:val="22"/>
      </w:rPr>
      <w:tcPr>
        <w:shd w:val="clear" w:color="ABD78C" w:themeColor="accent4" w:themeTint="9A" w:fill="ABD78C"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2F1D8" w:themeColor="accent4" w:themeTint="34" w:fill="E2F1D8"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2F1D8" w:themeColor="accent4" w:themeTint="34" w:fill="E2F1D8" w:themeFill="accent4" w:themeFillTint="34"/>
      </w:tcPr>
    </w:tblStylePr>
  </w:style>
  <w:style w:type="table" w:customStyle="1" w:styleId="173">
    <w:name w:val="Lined - Accent 5"/>
    <w:basedOn w:val="33"/>
    <w:qFormat/>
    <w:uiPriority w:val="99"/>
    <w:pPr>
      <w:spacing w:after="0" w:line="240" w:lineRule="auto"/>
    </w:pPr>
    <w:rPr>
      <w:color w:val="404040"/>
    </w:rPr>
    <w:tblStylePr w:type="firstRow">
      <w:rPr>
        <w:rFonts w:ascii="Arial" w:hAnsi="Arial"/>
        <w:color w:val="F2F2F2"/>
        <w:sz w:val="22"/>
      </w:rPr>
      <w:tcPr>
        <w:shd w:val="clear" w:color="30C0B4" w:themeColor="accent5" w:fill="30C0B4" w:themeFill="accent5"/>
      </w:tcPr>
    </w:tblStylePr>
    <w:tblStylePr w:type="lastRow">
      <w:rPr>
        <w:rFonts w:ascii="Arial" w:hAnsi="Arial"/>
        <w:color w:val="F2F2F2"/>
        <w:sz w:val="22"/>
      </w:rPr>
      <w:tcPr>
        <w:shd w:val="clear" w:color="30C0B4" w:themeColor="accent5" w:fill="30C0B4" w:themeFill="accent5"/>
      </w:tcPr>
    </w:tblStylePr>
    <w:tblStylePr w:type="firstCol">
      <w:rPr>
        <w:rFonts w:ascii="Arial" w:hAnsi="Arial"/>
        <w:color w:val="F2F2F2"/>
        <w:sz w:val="22"/>
      </w:rPr>
      <w:tcPr>
        <w:shd w:val="clear" w:color="30C0B4" w:themeColor="accent5" w:fill="30C0B4" w:themeFill="accent5"/>
      </w:tcPr>
    </w:tblStylePr>
    <w:tblStylePr w:type="lastCol">
      <w:rPr>
        <w:rFonts w:ascii="Arial" w:hAnsi="Arial"/>
        <w:color w:val="F2F2F2"/>
        <w:sz w:val="22"/>
      </w:rPr>
      <w:tcPr>
        <w:shd w:val="clear" w:color="30C0B4" w:themeColor="accent5" w:fill="30C0B4" w:themeFill="accent5"/>
      </w:tcPr>
    </w:tblStylePr>
    <w:tblStylePr w:type="band1Vert">
      <w:rPr>
        <w:rFonts w:ascii="Arial" w:hAnsi="Arial"/>
        <w:color w:val="404040"/>
        <w:sz w:val="22"/>
      </w:rPr>
    </w:tblStylePr>
    <w:tblStylePr w:type="band2Vert">
      <w:rPr>
        <w:rFonts w:ascii="Arial" w:hAnsi="Arial"/>
        <w:color w:val="404040"/>
        <w:sz w:val="22"/>
      </w:rPr>
      <w:tcPr>
        <w:shd w:val="clear" w:color="D2F3F1" w:themeColor="accent5" w:themeTint="34" w:fill="D2F3F1"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2F3F1" w:themeColor="accent5" w:themeTint="34" w:fill="D2F3F1" w:themeFill="accent5" w:themeFillTint="34"/>
      </w:tcPr>
    </w:tblStylePr>
  </w:style>
  <w:style w:type="table" w:customStyle="1" w:styleId="174">
    <w:name w:val="Lined - Accent 6"/>
    <w:basedOn w:val="33"/>
    <w:qFormat/>
    <w:uiPriority w:val="99"/>
    <w:pPr>
      <w:spacing w:after="0" w:line="240" w:lineRule="auto"/>
    </w:pPr>
    <w:rPr>
      <w:color w:val="404040"/>
    </w:rPr>
    <w:tblStylePr w:type="firstRow">
      <w:rPr>
        <w:rFonts w:ascii="Arial" w:hAnsi="Arial"/>
        <w:color w:val="F2F2F2"/>
        <w:sz w:val="22"/>
      </w:rPr>
      <w:tcPr>
        <w:shd w:val="clear" w:color="E54C5E" w:themeColor="accent6" w:fill="E54C5E" w:themeFill="accent6"/>
      </w:tcPr>
    </w:tblStylePr>
    <w:tblStylePr w:type="lastRow">
      <w:rPr>
        <w:rFonts w:ascii="Arial" w:hAnsi="Arial"/>
        <w:color w:val="F2F2F2"/>
        <w:sz w:val="22"/>
      </w:rPr>
      <w:tcPr>
        <w:shd w:val="clear" w:color="E54C5E" w:themeColor="accent6" w:fill="E54C5E" w:themeFill="accent6"/>
      </w:tcPr>
    </w:tblStylePr>
    <w:tblStylePr w:type="firstCol">
      <w:rPr>
        <w:rFonts w:ascii="Arial" w:hAnsi="Arial"/>
        <w:color w:val="F2F2F2"/>
        <w:sz w:val="22"/>
      </w:rPr>
      <w:tcPr>
        <w:shd w:val="clear" w:color="E54C5E" w:themeColor="accent6" w:fill="E54C5E" w:themeFill="accent6"/>
      </w:tcPr>
    </w:tblStylePr>
    <w:tblStylePr w:type="lastCol">
      <w:rPr>
        <w:rFonts w:ascii="Arial" w:hAnsi="Arial"/>
        <w:color w:val="F2F2F2"/>
        <w:sz w:val="22"/>
      </w:rPr>
      <w:tcPr>
        <w:shd w:val="clear" w:color="E54C5E" w:themeColor="accent6" w:fill="E54C5E" w:themeFill="accent6"/>
      </w:tcPr>
    </w:tblStylePr>
    <w:tblStylePr w:type="band1Vert">
      <w:rPr>
        <w:rFonts w:ascii="Arial" w:hAnsi="Arial"/>
        <w:color w:val="404040"/>
        <w:sz w:val="22"/>
      </w:rPr>
    </w:tblStylePr>
    <w:tblStylePr w:type="band2Vert">
      <w:rPr>
        <w:rFonts w:ascii="Arial" w:hAnsi="Arial"/>
        <w:color w:val="404040"/>
        <w:sz w:val="22"/>
      </w:rPr>
      <w:tcPr>
        <w:shd w:val="clear" w:color="F9DADE" w:themeColor="accent6" w:themeTint="34" w:fill="F9DADE"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9DADE" w:themeColor="accent6" w:themeTint="34" w:fill="F9DADE" w:themeFill="accent6" w:themeFillTint="34"/>
      </w:tcPr>
    </w:tblStylePr>
  </w:style>
  <w:style w:type="table" w:customStyle="1" w:styleId="175">
    <w:name w:val="Bordered &amp; Lined - Accent"/>
    <w:basedOn w:val="33"/>
    <w:qFormat/>
    <w:uiPriority w:val="99"/>
    <w:pPr>
      <w:spacing w:after="0" w:line="240" w:lineRule="auto"/>
    </w:pPr>
    <w:rPr>
      <w:color w:val="404040"/>
    </w:rPr>
    <w:tblPr>
      <w:tblBorders>
        <w:top w:val="single" w:color="585858" w:themeColor="text1" w:themeTint="A6" w:sz="4" w:space="0"/>
        <w:left w:val="single" w:color="585858" w:themeColor="text1" w:themeTint="A6" w:sz="4" w:space="0"/>
        <w:bottom w:val="single" w:color="585858" w:themeColor="text1" w:themeTint="A6" w:sz="4" w:space="0"/>
        <w:right w:val="single" w:color="585858" w:themeColor="text1" w:themeTint="A6" w:sz="4" w:space="0"/>
        <w:insideH w:val="single" w:color="585858" w:themeColor="text1" w:themeTint="A6" w:sz="4" w:space="0"/>
        <w:insideV w:val="single" w:color="585858" w:themeColor="text1" w:themeTint="A6" w:sz="4" w:space="0"/>
      </w:tblBorders>
    </w:tbl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style>
  <w:style w:type="table" w:customStyle="1" w:styleId="176">
    <w:name w:val="Bordered &amp; Lined - Accent 1"/>
    <w:basedOn w:val="33"/>
    <w:qFormat/>
    <w:uiPriority w:val="99"/>
    <w:pPr>
      <w:spacing w:after="0" w:line="240" w:lineRule="auto"/>
    </w:pPr>
    <w:rPr>
      <w:color w:val="404040"/>
    </w:rPr>
    <w:tblPr>
      <w:tblBorders>
        <w:top w:val="single" w:color="23417D" w:themeColor="accent1" w:themeShade="95" w:sz="4" w:space="0"/>
        <w:left w:val="single" w:color="23417D" w:themeColor="accent1" w:themeShade="95" w:sz="4" w:space="0"/>
        <w:bottom w:val="single" w:color="23417D" w:themeColor="accent1" w:themeShade="95" w:sz="4" w:space="0"/>
        <w:right w:val="single" w:color="23417D" w:themeColor="accent1" w:themeShade="95" w:sz="4" w:space="0"/>
        <w:insideH w:val="single" w:color="23417D" w:themeColor="accent1" w:themeShade="95" w:sz="4" w:space="0"/>
        <w:insideV w:val="single" w:color="23417D" w:themeColor="accent1" w:themeShade="95" w:sz="4" w:space="0"/>
      </w:tblBorders>
    </w:tblPr>
    <w:tblStylePr w:type="firstRow">
      <w:rPr>
        <w:rFonts w:ascii="Arial" w:hAnsi="Arial"/>
        <w:color w:val="F2F2F2"/>
        <w:sz w:val="22"/>
      </w:rPr>
      <w:tcPr>
        <w:shd w:val="clear" w:color="577FCF" w:themeColor="accent1" w:themeTint="EA" w:fill="577FCF" w:themeFill="accent1" w:themeFillTint="EA"/>
      </w:tcPr>
    </w:tblStylePr>
    <w:tblStylePr w:type="lastRow">
      <w:rPr>
        <w:rFonts w:ascii="Arial" w:hAnsi="Arial"/>
        <w:color w:val="F2F2F2"/>
        <w:sz w:val="22"/>
      </w:rPr>
      <w:tcPr>
        <w:shd w:val="clear" w:color="577FCF" w:themeColor="accent1" w:themeTint="EA" w:fill="577FCF" w:themeFill="accent1" w:themeFillTint="EA"/>
      </w:tcPr>
    </w:tblStylePr>
    <w:tblStylePr w:type="firstCol">
      <w:rPr>
        <w:rFonts w:ascii="Arial" w:hAnsi="Arial"/>
        <w:color w:val="F2F2F2"/>
        <w:sz w:val="22"/>
      </w:rPr>
      <w:tcPr>
        <w:shd w:val="clear" w:color="577FCF" w:themeColor="accent1" w:themeTint="EA" w:fill="577FCF" w:themeFill="accent1" w:themeFillTint="EA"/>
      </w:tcPr>
    </w:tblStylePr>
    <w:tblStylePr w:type="lastCol">
      <w:rPr>
        <w:rFonts w:ascii="Arial" w:hAnsi="Arial"/>
        <w:color w:val="F2F2F2"/>
        <w:sz w:val="22"/>
      </w:rPr>
      <w:tcPr>
        <w:shd w:val="clear" w:color="577FCF" w:themeColor="accent1" w:themeTint="EA" w:fill="577FCF"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5D3EE" w:themeColor="accent1" w:themeTint="50" w:fill="C5D3EE"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5D3EE" w:themeColor="accent1" w:themeTint="50" w:fill="C5D3EE" w:themeFill="accent1" w:themeFillTint="50"/>
      </w:tcPr>
    </w:tblStylePr>
  </w:style>
  <w:style w:type="table" w:customStyle="1" w:styleId="177">
    <w:name w:val="Bordered &amp; Lined - Accent 2"/>
    <w:basedOn w:val="33"/>
    <w:qFormat/>
    <w:uiPriority w:val="99"/>
    <w:pPr>
      <w:spacing w:after="0" w:line="240" w:lineRule="auto"/>
    </w:pPr>
    <w:rPr>
      <w:color w:val="404040"/>
    </w:rPr>
    <w:tblPr>
      <w:tblBorders>
        <w:top w:val="single" w:color="994A0C" w:themeColor="accent2" w:themeShade="95" w:sz="4" w:space="0"/>
        <w:left w:val="single" w:color="994A0C" w:themeColor="accent2" w:themeShade="95" w:sz="4" w:space="0"/>
        <w:bottom w:val="single" w:color="994A0C" w:themeColor="accent2" w:themeShade="95" w:sz="4" w:space="0"/>
        <w:right w:val="single" w:color="994A0C" w:themeColor="accent2" w:themeShade="95" w:sz="4" w:space="0"/>
        <w:insideH w:val="single" w:color="994A0C" w:themeColor="accent2" w:themeShade="95" w:sz="4" w:space="0"/>
        <w:insideV w:val="single" w:color="994A0C" w:themeColor="accent2" w:themeShade="95" w:sz="4" w:space="0"/>
      </w:tblBorders>
    </w:tblPr>
    <w:tblStylePr w:type="firstRow">
      <w:rPr>
        <w:rFonts w:ascii="Arial" w:hAnsi="Arial"/>
        <w:color w:val="F2F2F2"/>
        <w:sz w:val="22"/>
      </w:rPr>
      <w:tcPr>
        <w:shd w:val="clear" w:color="F4B483" w:themeColor="accent2" w:themeTint="97" w:fill="F4B483" w:themeFill="accent2" w:themeFillTint="97"/>
      </w:tcPr>
    </w:tblStylePr>
    <w:tblStylePr w:type="lastRow">
      <w:rPr>
        <w:rFonts w:ascii="Arial" w:hAnsi="Arial"/>
        <w:color w:val="F2F2F2"/>
        <w:sz w:val="22"/>
      </w:rPr>
      <w:tcPr>
        <w:shd w:val="clear" w:color="F4B483" w:themeColor="accent2" w:themeTint="97" w:fill="F4B483" w:themeFill="accent2" w:themeFillTint="97"/>
      </w:tcPr>
    </w:tblStylePr>
    <w:tblStylePr w:type="firstCol">
      <w:rPr>
        <w:rFonts w:ascii="Arial" w:hAnsi="Arial"/>
        <w:color w:val="F2F2F2"/>
        <w:sz w:val="22"/>
      </w:rPr>
      <w:tcPr>
        <w:shd w:val="clear" w:color="F4B483" w:themeColor="accent2" w:themeTint="97" w:fill="F4B483" w:themeFill="accent2" w:themeFillTint="97"/>
      </w:tcPr>
    </w:tblStylePr>
    <w:tblStylePr w:type="lastCol">
      <w:rPr>
        <w:rFonts w:ascii="Arial" w:hAnsi="Arial"/>
        <w:color w:val="F2F2F2"/>
        <w:sz w:val="22"/>
      </w:rPr>
      <w:tcPr>
        <w:shd w:val="clear" w:color="F4B483" w:themeColor="accent2" w:themeTint="97" w:fill="F4B483"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BE6D6" w:themeColor="accent2" w:themeTint="32" w:fill="FBE6D6"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BE6D6" w:themeColor="accent2" w:themeTint="32" w:fill="FBE6D6" w:themeFill="accent2" w:themeFillTint="32"/>
      </w:tcPr>
    </w:tblStylePr>
  </w:style>
  <w:style w:type="table" w:customStyle="1" w:styleId="178">
    <w:name w:val="Bordered &amp; Lined - Accent 3"/>
    <w:basedOn w:val="33"/>
    <w:qFormat/>
    <w:uiPriority w:val="99"/>
    <w:pPr>
      <w:spacing w:after="0" w:line="240" w:lineRule="auto"/>
    </w:pPr>
    <w:rPr>
      <w:color w:val="404040"/>
    </w:rPr>
    <w:tblPr>
      <w:tblBorders>
        <w:top w:val="single" w:color="8D6C01" w:themeColor="accent3" w:themeShade="95" w:sz="4" w:space="0"/>
        <w:left w:val="single" w:color="8D6C01" w:themeColor="accent3" w:themeShade="95" w:sz="4" w:space="0"/>
        <w:bottom w:val="single" w:color="8D6C01" w:themeColor="accent3" w:themeShade="95" w:sz="4" w:space="0"/>
        <w:right w:val="single" w:color="8D6C01" w:themeColor="accent3" w:themeShade="95" w:sz="4" w:space="0"/>
        <w:insideH w:val="single" w:color="8D6C01" w:themeColor="accent3" w:themeShade="95" w:sz="4" w:space="0"/>
        <w:insideV w:val="single" w:color="8D6C01" w:themeColor="accent3" w:themeShade="95" w:sz="4" w:space="0"/>
      </w:tblBorders>
    </w:tblPr>
    <w:tblStylePr w:type="firstRow">
      <w:rPr>
        <w:rFonts w:ascii="Arial" w:hAnsi="Arial"/>
        <w:color w:val="F2F2F2"/>
        <w:sz w:val="22"/>
      </w:rPr>
      <w:tcPr>
        <w:shd w:val="clear" w:color="F3BA02" w:themeColor="accent3" w:themeTint="FE" w:fill="F3BA02" w:themeFill="accent3" w:themeFillTint="FE"/>
      </w:tcPr>
    </w:tblStylePr>
    <w:tblStylePr w:type="lastRow">
      <w:rPr>
        <w:rFonts w:ascii="Arial" w:hAnsi="Arial"/>
        <w:color w:val="F2F2F2"/>
        <w:sz w:val="22"/>
      </w:rPr>
      <w:tcPr>
        <w:shd w:val="clear" w:color="F3BA02" w:themeColor="accent3" w:themeTint="FE" w:fill="F3BA02" w:themeFill="accent3" w:themeFillTint="FE"/>
      </w:tcPr>
    </w:tblStylePr>
    <w:tblStylePr w:type="firstCol">
      <w:rPr>
        <w:rFonts w:ascii="Arial" w:hAnsi="Arial"/>
        <w:color w:val="F2F2F2"/>
        <w:sz w:val="22"/>
      </w:rPr>
      <w:tcPr>
        <w:shd w:val="clear" w:color="F3BA02" w:themeColor="accent3" w:themeTint="FE" w:fill="F3BA02" w:themeFill="accent3" w:themeFillTint="FE"/>
      </w:tcPr>
    </w:tblStylePr>
    <w:tblStylePr w:type="lastCol">
      <w:rPr>
        <w:rFonts w:ascii="Arial" w:hAnsi="Arial"/>
        <w:color w:val="F2F2F2"/>
        <w:sz w:val="22"/>
      </w:rPr>
      <w:tcPr>
        <w:shd w:val="clear" w:color="F3BA02" w:themeColor="accent3" w:themeTint="FE" w:fill="F3BA02"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FEF2C9" w:themeColor="accent3" w:themeTint="34" w:fill="FEF2C9"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FEF2C9" w:themeColor="accent3" w:themeTint="34" w:fill="FEF2C9" w:themeFill="accent3" w:themeFillTint="34"/>
      </w:tcPr>
    </w:tblStylePr>
  </w:style>
  <w:style w:type="table" w:customStyle="1" w:styleId="179">
    <w:name w:val="Bordered &amp; Lined - Accent 4"/>
    <w:basedOn w:val="33"/>
    <w:qFormat/>
    <w:uiPriority w:val="99"/>
    <w:pPr>
      <w:spacing w:after="0" w:line="240" w:lineRule="auto"/>
    </w:pPr>
    <w:rPr>
      <w:color w:val="404040"/>
    </w:rPr>
    <w:tblPr>
      <w:tblBorders>
        <w:top w:val="single" w:color="446E26" w:themeColor="accent4" w:themeShade="95" w:sz="4" w:space="0"/>
        <w:left w:val="single" w:color="446E26" w:themeColor="accent4" w:themeShade="95" w:sz="4" w:space="0"/>
        <w:bottom w:val="single" w:color="446E26" w:themeColor="accent4" w:themeShade="95" w:sz="4" w:space="0"/>
        <w:right w:val="single" w:color="446E26" w:themeColor="accent4" w:themeShade="95" w:sz="4" w:space="0"/>
        <w:insideH w:val="single" w:color="446E26" w:themeColor="accent4" w:themeShade="95" w:sz="4" w:space="0"/>
        <w:insideV w:val="single" w:color="446E26" w:themeColor="accent4" w:themeShade="95" w:sz="4" w:space="0"/>
      </w:tblBorders>
    </w:tblPr>
    <w:tblStylePr w:type="firstRow">
      <w:rPr>
        <w:rFonts w:ascii="Arial" w:hAnsi="Arial"/>
        <w:color w:val="F2F2F2"/>
        <w:sz w:val="22"/>
      </w:rPr>
      <w:tcPr>
        <w:shd w:val="clear" w:color="ABD78C" w:themeColor="accent4" w:themeTint="9A" w:fill="ABD78C" w:themeFill="accent4" w:themeFillTint="9A"/>
      </w:tcPr>
    </w:tblStylePr>
    <w:tblStylePr w:type="lastRow">
      <w:rPr>
        <w:rFonts w:ascii="Arial" w:hAnsi="Arial"/>
        <w:color w:val="F2F2F2"/>
        <w:sz w:val="22"/>
      </w:rPr>
      <w:tcPr>
        <w:shd w:val="clear" w:color="ABD78C" w:themeColor="accent4" w:themeTint="9A" w:fill="ABD78C" w:themeFill="accent4" w:themeFillTint="9A"/>
      </w:tcPr>
    </w:tblStylePr>
    <w:tblStylePr w:type="firstCol">
      <w:rPr>
        <w:rFonts w:ascii="Arial" w:hAnsi="Arial"/>
        <w:color w:val="F2F2F2"/>
        <w:sz w:val="22"/>
      </w:rPr>
      <w:tcPr>
        <w:shd w:val="clear" w:color="ABD78C" w:themeColor="accent4" w:themeTint="9A" w:fill="ABD78C" w:themeFill="accent4" w:themeFillTint="9A"/>
      </w:tcPr>
    </w:tblStylePr>
    <w:tblStylePr w:type="lastCol">
      <w:rPr>
        <w:rFonts w:ascii="Arial" w:hAnsi="Arial"/>
        <w:color w:val="F2F2F2"/>
        <w:sz w:val="22"/>
      </w:rPr>
      <w:tcPr>
        <w:shd w:val="clear" w:color="ABD78C" w:themeColor="accent4" w:themeTint="9A" w:fill="ABD78C"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2F1D8" w:themeColor="accent4" w:themeTint="34" w:fill="E2F1D8"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2F1D8" w:themeColor="accent4" w:themeTint="34" w:fill="E2F1D8" w:themeFill="accent4" w:themeFillTint="34"/>
      </w:tcPr>
    </w:tblStylePr>
  </w:style>
  <w:style w:type="table" w:customStyle="1" w:styleId="180">
    <w:name w:val="Bordered &amp; Lined - Accent 5"/>
    <w:basedOn w:val="33"/>
    <w:qFormat/>
    <w:uiPriority w:val="99"/>
    <w:pPr>
      <w:spacing w:after="0" w:line="240" w:lineRule="auto"/>
    </w:pPr>
    <w:rPr>
      <w:color w:val="404040"/>
    </w:rPr>
    <w:tblPr>
      <w:tblBorders>
        <w:top w:val="single" w:color="1C7069" w:themeColor="accent5" w:themeShade="95" w:sz="4" w:space="0"/>
        <w:left w:val="single" w:color="1C7069" w:themeColor="accent5" w:themeShade="95" w:sz="4" w:space="0"/>
        <w:bottom w:val="single" w:color="1C7069" w:themeColor="accent5" w:themeShade="95" w:sz="4" w:space="0"/>
        <w:right w:val="single" w:color="1C7069" w:themeColor="accent5" w:themeShade="95" w:sz="4" w:space="0"/>
        <w:insideH w:val="single" w:color="1C7069" w:themeColor="accent5" w:themeShade="95" w:sz="4" w:space="0"/>
        <w:insideV w:val="single" w:color="1C7069" w:themeColor="accent5" w:themeShade="95" w:sz="4" w:space="0"/>
      </w:tblBorders>
    </w:tblPr>
    <w:tblStylePr w:type="firstRow">
      <w:rPr>
        <w:rFonts w:ascii="Arial" w:hAnsi="Arial"/>
        <w:color w:val="F2F2F2"/>
        <w:sz w:val="22"/>
      </w:rPr>
      <w:tcPr>
        <w:shd w:val="clear" w:color="30C0B4" w:themeColor="accent5" w:fill="30C0B4" w:themeFill="accent5"/>
      </w:tcPr>
    </w:tblStylePr>
    <w:tblStylePr w:type="lastRow">
      <w:rPr>
        <w:rFonts w:ascii="Arial" w:hAnsi="Arial"/>
        <w:color w:val="F2F2F2"/>
        <w:sz w:val="22"/>
      </w:rPr>
      <w:tcPr>
        <w:shd w:val="clear" w:color="30C0B4" w:themeColor="accent5" w:fill="30C0B4" w:themeFill="accent5"/>
      </w:tcPr>
    </w:tblStylePr>
    <w:tblStylePr w:type="firstCol">
      <w:rPr>
        <w:rFonts w:ascii="Arial" w:hAnsi="Arial"/>
        <w:color w:val="F2F2F2"/>
        <w:sz w:val="22"/>
      </w:rPr>
      <w:tcPr>
        <w:shd w:val="clear" w:color="30C0B4" w:themeColor="accent5" w:fill="30C0B4" w:themeFill="accent5"/>
      </w:tcPr>
    </w:tblStylePr>
    <w:tblStylePr w:type="lastCol">
      <w:rPr>
        <w:rFonts w:ascii="Arial" w:hAnsi="Arial"/>
        <w:color w:val="F2F2F2"/>
        <w:sz w:val="22"/>
      </w:rPr>
      <w:tcPr>
        <w:shd w:val="clear" w:color="30C0B4" w:themeColor="accent5" w:fill="30C0B4" w:themeFill="accent5"/>
      </w:tcPr>
    </w:tblStylePr>
    <w:tblStylePr w:type="band1Vert">
      <w:rPr>
        <w:rFonts w:ascii="Arial" w:hAnsi="Arial"/>
        <w:color w:val="404040"/>
        <w:sz w:val="22"/>
      </w:rPr>
    </w:tblStylePr>
    <w:tblStylePr w:type="band2Vert">
      <w:rPr>
        <w:rFonts w:ascii="Arial" w:hAnsi="Arial"/>
        <w:color w:val="404040"/>
        <w:sz w:val="22"/>
      </w:rPr>
      <w:tcPr>
        <w:shd w:val="clear" w:color="D2F3F1" w:themeColor="accent5" w:themeTint="34" w:fill="D2F3F1"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2F3F1" w:themeColor="accent5" w:themeTint="34" w:fill="D2F3F1" w:themeFill="accent5" w:themeFillTint="34"/>
      </w:tcPr>
    </w:tblStylePr>
  </w:style>
  <w:style w:type="table" w:customStyle="1" w:styleId="181">
    <w:name w:val="Bordered &amp; Lined - Accent 6"/>
    <w:basedOn w:val="33"/>
    <w:qFormat/>
    <w:uiPriority w:val="99"/>
    <w:pPr>
      <w:spacing w:after="0" w:line="240" w:lineRule="auto"/>
    </w:pPr>
    <w:rPr>
      <w:color w:val="404040"/>
    </w:rPr>
    <w:tblPr>
      <w:tblBorders>
        <w:top w:val="single" w:color="9B1626" w:themeColor="accent6" w:themeShade="95" w:sz="4" w:space="0"/>
        <w:left w:val="single" w:color="9B1626" w:themeColor="accent6" w:themeShade="95" w:sz="4" w:space="0"/>
        <w:bottom w:val="single" w:color="9B1626" w:themeColor="accent6" w:themeShade="95" w:sz="4" w:space="0"/>
        <w:right w:val="single" w:color="9B1626" w:themeColor="accent6" w:themeShade="95" w:sz="4" w:space="0"/>
        <w:insideH w:val="single" w:color="9B1626" w:themeColor="accent6" w:themeShade="95" w:sz="4" w:space="0"/>
        <w:insideV w:val="single" w:color="9B1626" w:themeColor="accent6" w:themeShade="95" w:sz="4" w:space="0"/>
      </w:tblBorders>
    </w:tblPr>
    <w:tblStylePr w:type="firstRow">
      <w:rPr>
        <w:rFonts w:ascii="Arial" w:hAnsi="Arial"/>
        <w:color w:val="F2F2F2"/>
        <w:sz w:val="22"/>
      </w:rPr>
      <w:tcPr>
        <w:shd w:val="clear" w:color="E54C5E" w:themeColor="accent6" w:fill="E54C5E" w:themeFill="accent6"/>
      </w:tcPr>
    </w:tblStylePr>
    <w:tblStylePr w:type="lastRow">
      <w:rPr>
        <w:rFonts w:ascii="Arial" w:hAnsi="Arial"/>
        <w:color w:val="F2F2F2"/>
        <w:sz w:val="22"/>
      </w:rPr>
      <w:tcPr>
        <w:shd w:val="clear" w:color="E54C5E" w:themeColor="accent6" w:fill="E54C5E" w:themeFill="accent6"/>
      </w:tcPr>
    </w:tblStylePr>
    <w:tblStylePr w:type="firstCol">
      <w:rPr>
        <w:rFonts w:ascii="Arial" w:hAnsi="Arial"/>
        <w:color w:val="F2F2F2"/>
        <w:sz w:val="22"/>
      </w:rPr>
      <w:tcPr>
        <w:shd w:val="clear" w:color="E54C5E" w:themeColor="accent6" w:fill="E54C5E" w:themeFill="accent6"/>
      </w:tcPr>
    </w:tblStylePr>
    <w:tblStylePr w:type="lastCol">
      <w:rPr>
        <w:rFonts w:ascii="Arial" w:hAnsi="Arial"/>
        <w:color w:val="F2F2F2"/>
        <w:sz w:val="22"/>
      </w:rPr>
      <w:tcPr>
        <w:shd w:val="clear" w:color="E54C5E" w:themeColor="accent6" w:fill="E54C5E" w:themeFill="accent6"/>
      </w:tcPr>
    </w:tblStylePr>
    <w:tblStylePr w:type="band1Vert">
      <w:rPr>
        <w:rFonts w:ascii="Arial" w:hAnsi="Arial"/>
        <w:color w:val="404040"/>
        <w:sz w:val="22"/>
      </w:rPr>
    </w:tblStylePr>
    <w:tblStylePr w:type="band2Vert">
      <w:rPr>
        <w:rFonts w:ascii="Arial" w:hAnsi="Arial"/>
        <w:color w:val="404040"/>
        <w:sz w:val="22"/>
      </w:rPr>
      <w:tcPr>
        <w:shd w:val="clear" w:color="F9DADE" w:themeColor="accent6" w:themeTint="34" w:fill="F9DADE"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9DADE" w:themeColor="accent6" w:themeTint="34" w:fill="F9DADE" w:themeFill="accent6" w:themeFillTint="34"/>
      </w:tcPr>
    </w:tblStylePr>
  </w:style>
  <w:style w:type="table" w:customStyle="1" w:styleId="182">
    <w:name w:val="Bordered"/>
    <w:basedOn w:val="33"/>
    <w:qFormat/>
    <w:uiPriority w:val="99"/>
    <w:pPr>
      <w:spacing w:after="0" w:line="240" w:lineRule="auto"/>
    </w:pPr>
    <w:tblPr>
      <w:tbl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insideH w:val="single" w:color="D8D8D8" w:themeColor="text1" w:themeTint="26" w:sz="4" w:space="0"/>
        <w:insideV w:val="single" w:color="D8D8D8" w:themeColor="text1" w:themeTint="26" w:sz="4" w:space="0"/>
      </w:tblBorders>
    </w:tblPr>
    <w:tblStylePr w:type="firstRow">
      <w:rPr>
        <w:rFonts w:ascii="Arial" w:hAnsi="Arial"/>
        <w:color w:val="404040"/>
        <w:sz w:val="22"/>
      </w:rPr>
      <w:tcPr>
        <w:tcBorders>
          <w:bottom w:val="single" w:color="7E7E7E" w:themeColor="text1" w:themeTint="80" w:sz="12" w:space="0"/>
        </w:tcBorders>
      </w:tcPr>
    </w:tblStylePr>
    <w:tblStylePr w:type="lastRow">
      <w:rPr>
        <w:rFonts w:ascii="Arial" w:hAnsi="Arial"/>
        <w:color w:val="404040"/>
        <w:sz w:val="22"/>
      </w:rPr>
      <w:tcPr>
        <w:tcBorders>
          <w:top w:val="single" w:color="7E7E7E" w:themeColor="text1" w:themeTint="80"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7E7E7E" w:themeColor="text1" w:themeTint="80" w:sz="12" w:space="0"/>
        </w:tcBorders>
      </w:tcPr>
    </w:tblStylePr>
    <w:tblStylePr w:type="band1Horz">
      <w:rPr>
        <w:rFonts w:ascii="Arial" w:hAnsi="Arial"/>
        <w:color w:val="404040"/>
        <w:sz w:val="22"/>
      </w:rPr>
      <w:tcPr>
        <w:tc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tcBorders>
      </w:tcPr>
    </w:tblStylePr>
  </w:style>
  <w:style w:type="table" w:customStyle="1" w:styleId="183">
    <w:name w:val="Bordered - Accent 1"/>
    <w:basedOn w:val="33"/>
    <w:qFormat/>
    <w:uiPriority w:val="99"/>
    <w:pPr>
      <w:spacing w:after="0" w:line="240" w:lineRule="auto"/>
    </w:pPr>
    <w:tblPr>
      <w:tblBorders>
        <w:top w:val="single" w:color="B5C6E9" w:themeColor="accent1" w:themeTint="67" w:sz="4" w:space="0"/>
        <w:left w:val="single" w:color="B5C6E9" w:themeColor="accent1" w:themeTint="67" w:sz="4" w:space="0"/>
        <w:bottom w:val="single" w:color="B5C6E9" w:themeColor="accent1" w:themeTint="67" w:sz="4" w:space="0"/>
        <w:right w:val="single" w:color="B5C6E9" w:themeColor="accent1" w:themeTint="67" w:sz="4" w:space="0"/>
        <w:insideH w:val="single" w:color="B5C6E9" w:themeColor="accent1" w:themeTint="67" w:sz="4" w:space="0"/>
        <w:insideV w:val="single" w:color="B5C6E9" w:themeColor="accent1" w:themeTint="67" w:sz="4" w:space="0"/>
      </w:tblBorders>
    </w:tblPr>
    <w:tblStylePr w:type="firstRow">
      <w:rPr>
        <w:rFonts w:ascii="Arial" w:hAnsi="Arial"/>
        <w:color w:val="404040"/>
        <w:sz w:val="22"/>
      </w:rPr>
      <w:tcPr>
        <w:tcBorders>
          <w:bottom w:val="single" w:color="4874CB" w:themeColor="accent1" w:sz="12" w:space="0"/>
        </w:tcBorders>
      </w:tcPr>
    </w:tblStylePr>
    <w:tblStylePr w:type="lastRow">
      <w:rPr>
        <w:rFonts w:ascii="Arial" w:hAnsi="Arial"/>
        <w:color w:val="404040"/>
        <w:sz w:val="22"/>
      </w:rPr>
      <w:tcPr>
        <w:tcBorders>
          <w:top w:val="single" w:color="4874CB" w:themeColor="accent1"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4874CB" w:themeColor="accent1" w:sz="12" w:space="0"/>
        </w:tcBorders>
      </w:tcPr>
    </w:tblStylePr>
    <w:tblStylePr w:type="band1Horz">
      <w:rPr>
        <w:rFonts w:ascii="Arial" w:hAnsi="Arial"/>
        <w:color w:val="404040"/>
        <w:sz w:val="22"/>
      </w:rPr>
      <w:tcPr>
        <w:tcBorders>
          <w:top w:val="single" w:color="B5C6E9" w:themeColor="accent1" w:themeTint="67" w:sz="4" w:space="0"/>
          <w:left w:val="single" w:color="B5C6E9" w:themeColor="accent1" w:themeTint="67" w:sz="4" w:space="0"/>
          <w:bottom w:val="single" w:color="B5C6E9" w:themeColor="accent1" w:themeTint="67" w:sz="4" w:space="0"/>
          <w:right w:val="single" w:color="B5C6E9" w:themeColor="accent1" w:themeTint="67" w:sz="4" w:space="0"/>
        </w:tcBorders>
      </w:tcPr>
    </w:tblStylePr>
  </w:style>
  <w:style w:type="table" w:customStyle="1" w:styleId="184">
    <w:name w:val="Bordered - Accent 2"/>
    <w:basedOn w:val="33"/>
    <w:qFormat/>
    <w:uiPriority w:val="99"/>
    <w:pPr>
      <w:spacing w:after="0" w:line="240" w:lineRule="auto"/>
    </w:pPr>
    <w:tblPr>
      <w:tblBorders>
        <w:top w:val="single" w:color="F8CCAA" w:themeColor="accent2" w:themeTint="67" w:sz="4" w:space="0"/>
        <w:left w:val="single" w:color="F8CCAA" w:themeColor="accent2" w:themeTint="67" w:sz="4" w:space="0"/>
        <w:bottom w:val="single" w:color="F8CCAA" w:themeColor="accent2" w:themeTint="67" w:sz="4" w:space="0"/>
        <w:right w:val="single" w:color="F8CCAA" w:themeColor="accent2" w:themeTint="67" w:sz="4" w:space="0"/>
        <w:insideH w:val="single" w:color="F8CCAA" w:themeColor="accent2" w:themeTint="67" w:sz="4" w:space="0"/>
        <w:insideV w:val="single" w:color="F8CCAA" w:themeColor="accent2" w:themeTint="67" w:sz="4" w:space="0"/>
      </w:tblBorders>
    </w:tblPr>
    <w:tblStylePr w:type="firstRow">
      <w:rPr>
        <w:rFonts w:ascii="Arial" w:hAnsi="Arial"/>
        <w:color w:val="404040"/>
        <w:sz w:val="22"/>
      </w:rPr>
      <w:tcPr>
        <w:tcBorders>
          <w:bottom w:val="single" w:color="F4B483" w:themeColor="accent2" w:themeTint="97" w:sz="12" w:space="0"/>
        </w:tcBorders>
      </w:tcPr>
    </w:tblStylePr>
    <w:tblStylePr w:type="lastRow">
      <w:rPr>
        <w:rFonts w:ascii="Arial" w:hAnsi="Arial"/>
        <w:color w:val="404040"/>
        <w:sz w:val="22"/>
      </w:rPr>
      <w:tcPr>
        <w:tcBorders>
          <w:top w:val="single" w:color="F4B483" w:themeColor="accent2" w:themeTint="97"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4B483" w:themeColor="accent2" w:themeTint="97" w:sz="12" w:space="0"/>
        </w:tcBorders>
      </w:tcPr>
    </w:tblStylePr>
    <w:tblStylePr w:type="band1Horz">
      <w:rPr>
        <w:rFonts w:ascii="Arial" w:hAnsi="Arial"/>
        <w:color w:val="404040"/>
        <w:sz w:val="22"/>
      </w:rPr>
      <w:tcPr>
        <w:tcBorders>
          <w:top w:val="single" w:color="F8CCAA" w:themeColor="accent2" w:themeTint="67" w:sz="4" w:space="0"/>
          <w:left w:val="single" w:color="F8CCAA" w:themeColor="accent2" w:themeTint="67" w:sz="4" w:space="0"/>
          <w:bottom w:val="single" w:color="F8CCAA" w:themeColor="accent2" w:themeTint="67" w:sz="4" w:space="0"/>
          <w:right w:val="single" w:color="F8CCAA" w:themeColor="accent2" w:themeTint="67" w:sz="4" w:space="0"/>
        </w:tcBorders>
      </w:tcPr>
    </w:tblStylePr>
  </w:style>
  <w:style w:type="table" w:customStyle="1" w:styleId="185">
    <w:name w:val="Bordered - Accent 3"/>
    <w:basedOn w:val="33"/>
    <w:qFormat/>
    <w:uiPriority w:val="99"/>
    <w:pPr>
      <w:spacing w:after="0" w:line="240" w:lineRule="auto"/>
    </w:pPr>
    <w:tblPr>
      <w:tblBorders>
        <w:top w:val="single" w:color="FEE594" w:themeColor="accent3" w:themeTint="67" w:sz="4" w:space="0"/>
        <w:left w:val="single" w:color="FEE594" w:themeColor="accent3" w:themeTint="67" w:sz="4" w:space="0"/>
        <w:bottom w:val="single" w:color="FEE594" w:themeColor="accent3" w:themeTint="67" w:sz="4" w:space="0"/>
        <w:right w:val="single" w:color="FEE594" w:themeColor="accent3" w:themeTint="67" w:sz="4" w:space="0"/>
        <w:insideH w:val="single" w:color="FEE594" w:themeColor="accent3" w:themeTint="67" w:sz="4" w:space="0"/>
        <w:insideV w:val="single" w:color="FEE594" w:themeColor="accent3" w:themeTint="67" w:sz="4" w:space="0"/>
      </w:tblBorders>
    </w:tblPr>
    <w:tblStylePr w:type="firstRow">
      <w:rPr>
        <w:rFonts w:ascii="Arial" w:hAnsi="Arial"/>
        <w:color w:val="404040"/>
        <w:sz w:val="22"/>
      </w:rPr>
      <w:tcPr>
        <w:tcBorders>
          <w:bottom w:val="single" w:color="FDD961" w:themeColor="accent3" w:themeTint="98" w:sz="12" w:space="0"/>
        </w:tcBorders>
      </w:tcPr>
    </w:tblStylePr>
    <w:tblStylePr w:type="lastRow">
      <w:rPr>
        <w:rFonts w:ascii="Arial" w:hAnsi="Arial"/>
        <w:color w:val="404040"/>
        <w:sz w:val="22"/>
      </w:rPr>
      <w:tcPr>
        <w:tcBorders>
          <w:top w:val="single" w:color="FDD961" w:themeColor="accent3"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DD961" w:themeColor="accent3" w:themeTint="98" w:sz="12" w:space="0"/>
        </w:tcBorders>
      </w:tcPr>
    </w:tblStylePr>
    <w:tblStylePr w:type="band1Horz">
      <w:rPr>
        <w:rFonts w:ascii="Arial" w:hAnsi="Arial"/>
        <w:color w:val="404040"/>
        <w:sz w:val="22"/>
      </w:rPr>
      <w:tcPr>
        <w:tcBorders>
          <w:top w:val="single" w:color="FEE594" w:themeColor="accent3" w:themeTint="67" w:sz="4" w:space="0"/>
          <w:left w:val="single" w:color="FEE594" w:themeColor="accent3" w:themeTint="67" w:sz="4" w:space="0"/>
          <w:bottom w:val="single" w:color="FEE594" w:themeColor="accent3" w:themeTint="67" w:sz="4" w:space="0"/>
          <w:right w:val="single" w:color="FEE594" w:themeColor="accent3" w:themeTint="67" w:sz="4" w:space="0"/>
        </w:tcBorders>
      </w:tcPr>
    </w:tblStylePr>
  </w:style>
  <w:style w:type="table" w:customStyle="1" w:styleId="186">
    <w:name w:val="Bordered - Accent 4"/>
    <w:basedOn w:val="33"/>
    <w:qFormat/>
    <w:uiPriority w:val="99"/>
    <w:pPr>
      <w:spacing w:after="0" w:line="240" w:lineRule="auto"/>
    </w:pPr>
    <w:tblPr>
      <w:tblBorders>
        <w:top w:val="single" w:color="C7E4B2" w:themeColor="accent4" w:themeTint="67" w:sz="4" w:space="0"/>
        <w:left w:val="single" w:color="C7E4B2" w:themeColor="accent4" w:themeTint="67" w:sz="4" w:space="0"/>
        <w:bottom w:val="single" w:color="C7E4B2" w:themeColor="accent4" w:themeTint="67" w:sz="4" w:space="0"/>
        <w:right w:val="single" w:color="C7E4B2" w:themeColor="accent4" w:themeTint="67" w:sz="4" w:space="0"/>
        <w:insideH w:val="single" w:color="C7E4B2" w:themeColor="accent4" w:themeTint="67" w:sz="4" w:space="0"/>
        <w:insideV w:val="single" w:color="C7E4B2" w:themeColor="accent4" w:themeTint="67" w:sz="4" w:space="0"/>
      </w:tblBorders>
    </w:tblPr>
    <w:tblStylePr w:type="firstRow">
      <w:rPr>
        <w:rFonts w:ascii="Arial" w:hAnsi="Arial"/>
        <w:color w:val="404040"/>
        <w:sz w:val="22"/>
      </w:rPr>
      <w:tcPr>
        <w:tcBorders>
          <w:bottom w:val="single" w:color="ABD78C" w:themeColor="accent4" w:themeTint="9A" w:sz="12" w:space="0"/>
        </w:tcBorders>
      </w:tcPr>
    </w:tblStylePr>
    <w:tblStylePr w:type="lastRow">
      <w:rPr>
        <w:rFonts w:ascii="Arial" w:hAnsi="Arial"/>
        <w:color w:val="404040"/>
        <w:sz w:val="22"/>
      </w:rPr>
      <w:tcPr>
        <w:tcBorders>
          <w:top w:val="single" w:color="ABD78C" w:themeColor="accent4"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ABD78C" w:themeColor="accent4" w:themeTint="9A" w:sz="12" w:space="0"/>
        </w:tcBorders>
      </w:tcPr>
    </w:tblStylePr>
    <w:tblStylePr w:type="band1Horz">
      <w:rPr>
        <w:rFonts w:ascii="Arial" w:hAnsi="Arial"/>
        <w:color w:val="404040"/>
        <w:sz w:val="22"/>
      </w:rPr>
      <w:tcPr>
        <w:tcBorders>
          <w:top w:val="single" w:color="C7E4B2" w:themeColor="accent4" w:themeTint="67" w:sz="4" w:space="0"/>
          <w:left w:val="single" w:color="C7E4B2" w:themeColor="accent4" w:themeTint="67" w:sz="4" w:space="0"/>
          <w:bottom w:val="single" w:color="C7E4B2" w:themeColor="accent4" w:themeTint="67" w:sz="4" w:space="0"/>
          <w:right w:val="single" w:color="C7E4B2" w:themeColor="accent4" w:themeTint="67" w:sz="4" w:space="0"/>
        </w:tcBorders>
      </w:tcPr>
    </w:tblStylePr>
  </w:style>
  <w:style w:type="table" w:customStyle="1" w:styleId="187">
    <w:name w:val="Bordered - Accent 5"/>
    <w:basedOn w:val="33"/>
    <w:qFormat/>
    <w:uiPriority w:val="99"/>
    <w:pPr>
      <w:spacing w:after="0" w:line="240" w:lineRule="auto"/>
    </w:pPr>
    <w:tblPr>
      <w:tblBorders>
        <w:top w:val="single" w:color="A7E9E3" w:themeColor="accent5" w:themeTint="67" w:sz="4" w:space="0"/>
        <w:left w:val="single" w:color="A7E9E3" w:themeColor="accent5" w:themeTint="67" w:sz="4" w:space="0"/>
        <w:bottom w:val="single" w:color="A7E9E3" w:themeColor="accent5" w:themeTint="67" w:sz="4" w:space="0"/>
        <w:right w:val="single" w:color="A7E9E3" w:themeColor="accent5" w:themeTint="67" w:sz="4" w:space="0"/>
        <w:insideH w:val="single" w:color="A7E9E3" w:themeColor="accent5" w:themeTint="67" w:sz="4" w:space="0"/>
        <w:insideV w:val="single" w:color="A7E9E3" w:themeColor="accent5" w:themeTint="67" w:sz="4" w:space="0"/>
      </w:tblBorders>
    </w:tblPr>
    <w:tblStylePr w:type="firstRow">
      <w:rPr>
        <w:rFonts w:ascii="Arial" w:hAnsi="Arial"/>
        <w:color w:val="404040"/>
        <w:sz w:val="22"/>
      </w:rPr>
      <w:tcPr>
        <w:tcBorders>
          <w:bottom w:val="single" w:color="7CDED6" w:themeColor="accent5" w:themeTint="9A" w:sz="12" w:space="0"/>
        </w:tcBorders>
      </w:tcPr>
    </w:tblStylePr>
    <w:tblStylePr w:type="lastRow">
      <w:rPr>
        <w:rFonts w:ascii="Arial" w:hAnsi="Arial"/>
        <w:color w:val="404040"/>
        <w:sz w:val="22"/>
      </w:rPr>
      <w:tcPr>
        <w:tcBorders>
          <w:top w:val="single" w:color="7CDED6" w:themeColor="accent5"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7CDED6" w:themeColor="accent5" w:themeTint="9A" w:sz="12" w:space="0"/>
        </w:tcBorders>
      </w:tcPr>
    </w:tblStylePr>
    <w:tblStylePr w:type="band1Horz">
      <w:rPr>
        <w:rFonts w:ascii="Arial" w:hAnsi="Arial"/>
        <w:color w:val="404040"/>
        <w:sz w:val="22"/>
      </w:rPr>
      <w:tcPr>
        <w:tcBorders>
          <w:top w:val="single" w:color="A7E9E3" w:themeColor="accent5" w:themeTint="67" w:sz="4" w:space="0"/>
          <w:left w:val="single" w:color="A7E9E3" w:themeColor="accent5" w:themeTint="67" w:sz="4" w:space="0"/>
          <w:bottom w:val="single" w:color="A7E9E3" w:themeColor="accent5" w:themeTint="67" w:sz="4" w:space="0"/>
          <w:right w:val="single" w:color="A7E9E3" w:themeColor="accent5" w:themeTint="67" w:sz="4" w:space="0"/>
        </w:tcBorders>
      </w:tcPr>
    </w:tblStylePr>
  </w:style>
  <w:style w:type="table" w:customStyle="1" w:styleId="188">
    <w:name w:val="Bordered - Accent 6"/>
    <w:basedOn w:val="33"/>
    <w:qFormat/>
    <w:uiPriority w:val="99"/>
    <w:pPr>
      <w:spacing w:after="0" w:line="240" w:lineRule="auto"/>
    </w:pPr>
    <w:tblPr>
      <w:tblBorders>
        <w:top w:val="single" w:color="F4B6BD" w:themeColor="accent6" w:themeTint="67" w:sz="4" w:space="0"/>
        <w:left w:val="single" w:color="F4B6BD" w:themeColor="accent6" w:themeTint="67" w:sz="4" w:space="0"/>
        <w:bottom w:val="single" w:color="F4B6BD" w:themeColor="accent6" w:themeTint="67" w:sz="4" w:space="0"/>
        <w:right w:val="single" w:color="F4B6BD" w:themeColor="accent6" w:themeTint="67" w:sz="4" w:space="0"/>
        <w:insideH w:val="single" w:color="F4B6BD" w:themeColor="accent6" w:themeTint="67" w:sz="4" w:space="0"/>
        <w:insideV w:val="single" w:color="F4B6BD" w:themeColor="accent6" w:themeTint="67" w:sz="4" w:space="0"/>
      </w:tblBorders>
    </w:tblPr>
    <w:tblStylePr w:type="firstRow">
      <w:rPr>
        <w:rFonts w:ascii="Arial" w:hAnsi="Arial"/>
        <w:color w:val="404040"/>
        <w:sz w:val="22"/>
      </w:rPr>
      <w:tcPr>
        <w:tcBorders>
          <w:bottom w:val="single" w:color="EF949F" w:themeColor="accent6" w:themeTint="98" w:sz="12" w:space="0"/>
        </w:tcBorders>
      </w:tcPr>
    </w:tblStylePr>
    <w:tblStylePr w:type="lastRow">
      <w:rPr>
        <w:rFonts w:ascii="Arial" w:hAnsi="Arial"/>
        <w:color w:val="404040"/>
        <w:sz w:val="22"/>
      </w:rPr>
      <w:tcPr>
        <w:tcBorders>
          <w:top w:val="single" w:color="EF949F" w:themeColor="accent6"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EF949F" w:themeColor="accent6" w:themeTint="98" w:sz="12" w:space="0"/>
        </w:tcBorders>
      </w:tcPr>
    </w:tblStylePr>
    <w:tblStylePr w:type="band1Horz">
      <w:rPr>
        <w:rFonts w:ascii="Arial" w:hAnsi="Arial"/>
        <w:color w:val="404040"/>
        <w:sz w:val="22"/>
      </w:rPr>
      <w:tcPr>
        <w:tcBorders>
          <w:top w:val="single" w:color="F4B6BD" w:themeColor="accent6" w:themeTint="67" w:sz="4" w:space="0"/>
          <w:left w:val="single" w:color="F4B6BD" w:themeColor="accent6" w:themeTint="67" w:sz="4" w:space="0"/>
          <w:bottom w:val="single" w:color="F4B6BD" w:themeColor="accent6" w:themeTint="67" w:sz="4" w:space="0"/>
          <w:right w:val="single" w:color="F4B6BD" w:themeColor="accent6" w:themeTint="67" w:sz="4" w:space="0"/>
        </w:tcBorders>
      </w:tcPr>
    </w:tblStylePr>
  </w:style>
  <w:style w:type="character" w:customStyle="1" w:styleId="189">
    <w:name w:val="Footnote Text Char"/>
    <w:link w:val="26"/>
    <w:qFormat/>
    <w:uiPriority w:val="99"/>
    <w:rPr>
      <w:sz w:val="18"/>
    </w:rPr>
  </w:style>
  <w:style w:type="character" w:customStyle="1" w:styleId="190">
    <w:name w:val="Endnote Text Char"/>
    <w:link w:val="20"/>
    <w:qFormat/>
    <w:uiPriority w:val="99"/>
    <w:rPr>
      <w:sz w:val="20"/>
    </w:rPr>
  </w:style>
  <w:style w:type="paragraph" w:customStyle="1" w:styleId="191">
    <w:name w:val="TOC Heading"/>
    <w:unhideWhenUsed/>
    <w:qFormat/>
    <w:uiPriority w:val="39"/>
    <w:rPr>
      <w:rFonts w:hint="default" w:asciiTheme="minorHAnsi" w:hAnsiTheme="minorHAnsi" w:eastAsiaTheme="minorEastAsia" w:cstheme="minorBidi"/>
    </w:rPr>
  </w:style>
  <w:style w:type="paragraph" w:customStyle="1" w:styleId="192">
    <w:name w:val="段"/>
    <w:next w:val="1"/>
    <w:qFormat/>
    <w:uiPriority w:val="0"/>
    <w:pPr>
      <w:ind w:firstLine="200"/>
      <w:jc w:val="both"/>
    </w:pPr>
    <w:rPr>
      <w:rFonts w:hint="default" w:ascii="宋体" w:hAnsi="Times New Roman" w:eastAsia="宋体" w:cs="Times New Roman"/>
      <w:sz w:val="21"/>
      <w:lang w:val="en-US" w:eastAsia="zh-CN" w:bidi="ar-SA"/>
    </w:rPr>
  </w:style>
  <w:style w:type="paragraph" w:customStyle="1" w:styleId="193">
    <w:name w:val="正文缩进1"/>
    <w:basedOn w:val="1"/>
    <w:next w:val="1"/>
    <w:qFormat/>
    <w:uiPriority w:val="0"/>
    <w:pPr>
      <w:ind w:firstLine="420"/>
      <w:jc w:val="left"/>
    </w:pPr>
    <w:rPr>
      <w:rFonts w:eastAsia="楷体_GB2312"/>
      <w:sz w:val="24"/>
      <w:szCs w:val="20"/>
    </w:rPr>
  </w:style>
  <w:style w:type="paragraph" w:customStyle="1" w:styleId="194">
    <w:name w:val="正文文本缩进 31"/>
    <w:basedOn w:val="1"/>
    <w:qFormat/>
    <w:uiPriority w:val="0"/>
    <w:pPr>
      <w:ind w:left="420"/>
    </w:pPr>
    <w:rPr>
      <w:sz w:val="16"/>
      <w:szCs w:val="20"/>
    </w:rPr>
  </w:style>
  <w:style w:type="paragraph" w:customStyle="1" w:styleId="195">
    <w:name w:val="批注文字1"/>
    <w:basedOn w:val="1"/>
    <w:qFormat/>
    <w:uiPriority w:val="0"/>
    <w:pPr>
      <w:jc w:val="left"/>
    </w:pPr>
  </w:style>
  <w:style w:type="paragraph" w:customStyle="1" w:styleId="196">
    <w:name w:val="正文文本缩进1"/>
    <w:basedOn w:val="1"/>
    <w:next w:val="1"/>
    <w:qFormat/>
    <w:uiPriority w:val="0"/>
    <w:pPr>
      <w:spacing w:after="120"/>
      <w:ind w:left="420"/>
    </w:pPr>
  </w:style>
  <w:style w:type="paragraph" w:customStyle="1" w:styleId="197">
    <w:name w:val="正文首行缩进 21"/>
    <w:basedOn w:val="196"/>
    <w:next w:val="1"/>
    <w:unhideWhenUsed/>
    <w:qFormat/>
    <w:uiPriority w:val="99"/>
    <w:pPr>
      <w:ind w:firstLine="420"/>
    </w:pPr>
  </w:style>
  <w:style w:type="paragraph" w:customStyle="1" w:styleId="198">
    <w:name w:val="_正文段落"/>
    <w:basedOn w:val="1"/>
    <w:qFormat/>
    <w:uiPriority w:val="0"/>
    <w:pPr>
      <w:spacing w:line="360" w:lineRule="auto"/>
      <w:ind w:firstLine="480"/>
    </w:pPr>
    <w:rPr>
      <w:rFonts w:ascii="宋体" w:hAnsi="宋体"/>
      <w:sz w:val="24"/>
      <w:szCs w:val="24"/>
    </w:rPr>
  </w:style>
  <w:style w:type="paragraph" w:customStyle="1" w:styleId="199">
    <w:name w:val="无间隔11"/>
    <w:basedOn w:val="1"/>
    <w:qFormat/>
    <w:uiPriority w:val="0"/>
    <w:pPr>
      <w:spacing w:line="400" w:lineRule="exact"/>
    </w:pPr>
    <w:rPr>
      <w:sz w:val="24"/>
    </w:rPr>
  </w:style>
  <w:style w:type="paragraph" w:customStyle="1" w:styleId="200">
    <w:name w:val="正文首行缩进1"/>
    <w:basedOn w:val="41"/>
    <w:qFormat/>
    <w:uiPriority w:val="0"/>
    <w:pPr>
      <w:ind w:firstLine="420"/>
    </w:pPr>
  </w:style>
  <w:style w:type="paragraph" w:customStyle="1" w:styleId="201">
    <w:name w:val="脚注文本1"/>
    <w:basedOn w:val="202"/>
    <w:next w:val="203"/>
    <w:qFormat/>
    <w:uiPriority w:val="0"/>
    <w:pPr>
      <w:tabs>
        <w:tab w:val="left" w:pos="200"/>
      </w:tabs>
      <w:spacing w:line="312" w:lineRule="atLeast"/>
      <w:jc w:val="left"/>
    </w:pPr>
    <w:rPr>
      <w:rFonts w:ascii="Times New Roman" w:hAnsi="Times New Roman"/>
      <w:b w:val="0"/>
      <w:sz w:val="18"/>
    </w:rPr>
  </w:style>
  <w:style w:type="paragraph" w:customStyle="1" w:styleId="202">
    <w:name w:val="标题 11"/>
    <w:basedOn w:val="1"/>
    <w:next w:val="1"/>
    <w:qFormat/>
    <w:uiPriority w:val="0"/>
    <w:pPr>
      <w:keepNext/>
      <w:tabs>
        <w:tab w:val="left" w:pos="200"/>
      </w:tabs>
      <w:jc w:val="center"/>
      <w:outlineLvl w:val="0"/>
    </w:pPr>
    <w:rPr>
      <w:rFonts w:ascii="宋体" w:hAnsi="宋体"/>
      <w:b/>
      <w:sz w:val="36"/>
      <w:szCs w:val="20"/>
    </w:rPr>
  </w:style>
  <w:style w:type="paragraph" w:customStyle="1" w:styleId="203">
    <w:name w:val="文本块1"/>
    <w:basedOn w:val="202"/>
    <w:next w:val="1"/>
    <w:qFormat/>
    <w:uiPriority w:val="0"/>
    <w:pPr>
      <w:spacing w:line="360" w:lineRule="auto"/>
      <w:ind w:left="630" w:right="-609" w:firstLine="420"/>
    </w:pPr>
    <w:rPr>
      <w:rFonts w:hint="eastAsia" w:ascii="仿宋_GB2312" w:eastAsia="仿宋_GB2312"/>
    </w:rPr>
  </w:style>
  <w:style w:type="paragraph" w:customStyle="1" w:styleId="204">
    <w:name w:val="纯文本1"/>
    <w:basedOn w:val="1"/>
    <w:qFormat/>
    <w:uiPriority w:val="0"/>
    <w:rPr>
      <w:rFonts w:ascii="宋体" w:hAnsi="Courier New" w:eastAsia="楷体_GB2312"/>
      <w:sz w:val="28"/>
      <w:szCs w:val="20"/>
    </w:rPr>
  </w:style>
  <w:style w:type="paragraph" w:customStyle="1" w:styleId="205">
    <w:name w:val="正文文本1"/>
    <w:basedOn w:val="1"/>
    <w:next w:val="193"/>
    <w:qFormat/>
    <w:uiPriority w:val="0"/>
    <w:pPr>
      <w:jc w:val="center"/>
    </w:pPr>
    <w:rPr>
      <w:rFonts w:ascii="方正大黑简体" w:eastAsia="方正大黑简体"/>
      <w:position w:val="6"/>
      <w:sz w:val="30"/>
    </w:rPr>
  </w:style>
  <w:style w:type="paragraph" w:customStyle="1" w:styleId="206">
    <w:name w:val="页眉1"/>
    <w:basedOn w:val="1"/>
    <w:unhideWhenUsed/>
    <w:qFormat/>
    <w:uiPriority w:val="99"/>
    <w:pPr>
      <w:pBdr>
        <w:bottom w:val="single" w:color="000000" w:sz="6" w:space="1"/>
      </w:pBdr>
      <w:tabs>
        <w:tab w:val="center" w:pos="4153"/>
        <w:tab w:val="right" w:pos="8306"/>
      </w:tabs>
      <w:jc w:val="center"/>
    </w:pPr>
    <w:rPr>
      <w:sz w:val="18"/>
      <w:szCs w:val="18"/>
    </w:rPr>
  </w:style>
  <w:style w:type="paragraph" w:customStyle="1" w:styleId="207">
    <w:name w:val="普通(网站)1"/>
    <w:basedOn w:val="1"/>
    <w:unhideWhenUsed/>
    <w:qFormat/>
    <w:uiPriority w:val="0"/>
    <w:rPr>
      <w:sz w:val="24"/>
    </w:rPr>
  </w:style>
  <w:style w:type="paragraph" w:customStyle="1" w:styleId="208">
    <w:name w:val="二级小标题"/>
    <w:basedOn w:val="1"/>
    <w:qFormat/>
    <w:uiPriority w:val="0"/>
    <w:rPr>
      <w:rFonts w:hint="eastAsia"/>
      <w:b/>
      <w:bCs/>
    </w:rPr>
  </w:style>
  <w:style w:type="paragraph" w:customStyle="1" w:styleId="209">
    <w:name w:val="表格字体"/>
    <w:basedOn w:val="1"/>
    <w:qFormat/>
    <w:uiPriority w:val="0"/>
    <w:pPr>
      <w:widowControl/>
      <w:spacing w:line="400" w:lineRule="exact"/>
    </w:pPr>
    <w:rPr>
      <w:rFonts w:hint="eastAsia" w:cs="宋体"/>
      <w:bCs/>
      <w:color w:val="000000"/>
      <w:sz w:val="24"/>
      <w:szCs w:val="18"/>
    </w:rPr>
  </w:style>
  <w:style w:type="paragraph" w:customStyle="1" w:styleId="210">
    <w:name w:val="纯文本6"/>
    <w:basedOn w:val="1"/>
    <w:qFormat/>
    <w:uiPriority w:val="0"/>
    <w:rPr>
      <w:rFonts w:ascii="宋体" w:hAnsi="Courier New" w:eastAsia="楷体_GB2312"/>
      <w:sz w:val="28"/>
    </w:rPr>
  </w:style>
  <w:style w:type="character" w:customStyle="1" w:styleId="211">
    <w:name w:val="强调1"/>
    <w:basedOn w:val="212"/>
    <w:qFormat/>
    <w:uiPriority w:val="0"/>
    <w:rPr>
      <w:i/>
    </w:rPr>
  </w:style>
  <w:style w:type="character" w:customStyle="1" w:styleId="212">
    <w:name w:val="默认段落字体1"/>
    <w:semiHidden/>
    <w:qFormat/>
    <w:uiPriority w:val="0"/>
  </w:style>
  <w:style w:type="paragraph" w:customStyle="1" w:styleId="213">
    <w:name w:val="正文1"/>
    <w:basedOn w:val="1"/>
    <w:next w:val="1"/>
    <w:qFormat/>
    <w:uiPriority w:val="0"/>
    <w:pPr>
      <w:spacing w:line="360" w:lineRule="auto"/>
      <w:ind w:firstLine="420"/>
    </w:pPr>
    <w:rPr>
      <w:rFonts w:ascii="Times New Roman" w:hAnsi="Times New Roman" w:eastAsia="宋体" w:cs="Times New Roman"/>
      <w:sz w:val="24"/>
      <w:szCs w:val="24"/>
    </w:rPr>
  </w:style>
  <w:style w:type="paragraph" w:customStyle="1" w:styleId="214">
    <w:name w:val="Plain Text1"/>
    <w:basedOn w:val="1"/>
    <w:qFormat/>
    <w:uiPriority w:val="0"/>
    <w:pPr>
      <w:adjustRightInd w:val="0"/>
    </w:pPr>
    <w:rPr>
      <w:rFonts w:hint="eastAsia" w:ascii="宋体" w:hAnsi="Courier New" w:eastAsia="楷体_GB2312"/>
      <w:sz w:val="28"/>
      <w:szCs w:val="20"/>
    </w:rPr>
  </w:style>
  <w:style w:type="paragraph" w:customStyle="1" w:styleId="215">
    <w:name w:val="Normal_2_2"/>
    <w:qFormat/>
    <w:uiPriority w:val="0"/>
    <w:rPr>
      <w:rFonts w:hint="default" w:ascii="Times New Roman" w:hAnsi="Times New Roman" w:eastAsia="Times New Roman" w:cs="Times New Roman"/>
      <w:sz w:val="24"/>
      <w:szCs w:val="24"/>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Arial"/>
        <a:cs typeface="Arial"/>
      </a:majorFont>
      <a:minorFont>
        <a:latin typeface="Calibri"/>
        <a:ea typeface="Arial"/>
        <a:cs typeface="Arial"/>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0d30ed17-a9a6-43fa-af82-7e0488475576</errorID>
      <errorWord>/）</errorWord>
      <group>L1_Punc</group>
      <groupName>标点问题</groupName>
      <ability>L2_Punc_CN</ability>
      <abilityName/>
      <candidateList>
        <item>）</item>
      </candidateList>
      <explain/>
      <paraID>19006A1F</paraID>
      <start>33</start>
      <end>35</end>
      <status>unmodified</status>
      <modifiedWord/>
      <trackRevisions>false</trackRevisions>
    </reviewItem>
    <reviewItem>
      <errorID>c10b6ec6-3a51-4eb2-ae38-28ec368c9ba1</errorID>
      <errorWord>法律、法规</errorWord>
      <group>L1_Word</group>
      <groupName>字词问题</groupName>
      <ability>L2_Typo</ability>
      <abilityName>字词错误</abilityName>
      <candidateList>
        <item>法律法规</item>
      </candidateList>
      <explain/>
      <paraID>4929E110</paraID>
      <start>3</start>
      <end>8</end>
      <status>unmodified</status>
      <modifiedWord/>
      <trackRevisions>false</trackRevisions>
    </reviewItem>
    <reviewItem>
      <errorID>268c42ac-a8c8-4c69-8d3b-010eb4dac3b6</errorID>
      <errorWord>1、</errorWord>
      <group>L1_Format</group>
      <groupName>格式问题</groupName>
      <ability>L2_Ordinal</ability>
      <abilityName>序号格式</abilityName>
      <candidateList>
        <item>1.</item>
      </candidateList>
      <explain>当前序号格式不规范，建议修改为规范格式[1.]。</explain>
      <paraID>1B5E345A</paraID>
      <start>0</start>
      <end>2</end>
      <status>unmodified</status>
      <modifiedWord/>
      <trackRevisions>false</trackRevisions>
    </reviewItem>
    <reviewItem>
      <errorID>4c4a4768-d8fe-4876-8f6b-26bef81c886c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3C731A80</paraID>
      <start>0</start>
      <end>2</end>
      <status>unmodified</status>
      <modifiedWord/>
      <trackRevisions>false</trackRevisions>
    </reviewItem>
    <reviewItem>
      <errorID>9bdfcf10-9797-43fe-92d0-9c28f657d88e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2FBBE0C3</paraID>
      <start>0</start>
      <end>2</end>
      <status>unmodified</status>
      <modifiedWord/>
      <trackRevisions>false</trackRevisions>
    </reviewItem>
    <reviewItem>
      <errorID>697ed7cd-e168-4841-aa1b-42582835d67e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2180676B</paraID>
      <start>0</start>
      <end>2</end>
      <status>unmodified</status>
      <modifiedWord/>
      <trackRevisions>false</trackRevisions>
    </reviewItem>
    <reviewItem>
      <errorID>6f6c921e-806a-463d-83b6-06ec11dd00da</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6DAA2BC8</paraID>
      <start>0</start>
      <end>2</end>
      <status>unmodified</status>
      <modifiedWord/>
      <trackRevisions>false</trackRevisions>
    </reviewItem>
    <reviewItem>
      <errorID>b5b62531-c5ba-4534-9263-0c69e5ceb72a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18D13274</paraID>
      <start>0</start>
      <end>2</end>
      <status>unmodified</status>
      <modifiedWord/>
      <trackRevisions>false</trackRevisions>
    </reviewItem>
    <reviewItem>
      <errorID>d7c4974e-8d84-40c4-b8d3-b73299fcb420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494F8BDE</paraID>
      <start>0</start>
      <end>2</end>
      <status>unmodified</status>
      <modifiedWord/>
      <trackRevisions>false</trackRevisions>
    </reviewItem>
    <reviewItem>
      <errorID>900f7bcf-31e3-47c1-926d-3b53710256aa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63FAE6D2</paraID>
      <start>0</start>
      <end>2</end>
      <status>unmodified</status>
      <modifiedWord/>
      <trackRevisions>false</trackRevisions>
    </reviewItem>
    <reviewItem>
      <errorID>4b2a2bf1-b511-4bae-a3c9-2d1dc5039ac4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352A3EB</paraID>
      <start>0</start>
      <end>2</end>
      <status>unmodified</status>
      <modifiedWord/>
      <trackRevisions>false</trackRevisions>
    </reviewItem>
    <reviewItem>
      <errorID>5ca61b8c-2114-4d5f-8ebe-a4df170bdd57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215FAC46</paraID>
      <start>0</start>
      <end>2</end>
      <status>unmodified</status>
      <modifiedWord/>
      <trackRevisions>false</trackRevisions>
    </reviewItem>
    <reviewItem>
      <errorID>024468bc-d717-4cb4-a359-f138840648ed</errorID>
      <errorWord>上午00:00</errorWord>
      <group>L1_Knowledge</group>
      <groupName>知识性问题</groupName>
      <ability>L2_Time</ability>
      <abilityName>日期时间</abilityName>
      <candidateList/>
      <explain>时间与前缀不匹配，可能的时间前缀有“下午、晚上、凌晨、午夜”。</explain>
      <paraID>215FAC46</paraID>
      <start>21</start>
      <end>28</end>
      <status>unmodified</status>
      <modifiedWord/>
      <trackRevisions>false</trackRevisions>
    </reviewItem>
    <reviewItem>
      <errorID>13dbd334-afa8-4847-b31c-039259c75b6b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70B082B7</paraID>
      <start>0</start>
      <end>2</end>
      <status>unmodified</status>
      <modifiedWord/>
      <trackRevisions>false</trackRevisions>
    </reviewItem>
    <reviewItem>
      <errorID>f1177cd8-9d1f-4318-9b44-4df684be8e48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69DF5B62</paraID>
      <start>0</start>
      <end>2</end>
      <status>unmodified</status>
      <modifiedWord/>
      <trackRevisions>false</trackRevisions>
    </reviewItem>
    <reviewItem>
      <errorID>6c5d98bf-c7f8-430f-91e4-fe89c6dafe36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757B9042</paraID>
      <start>0</start>
      <end>2</end>
      <status>unmodified</status>
      <modifiedWord/>
      <trackRevisions>false</trackRevisions>
    </reviewItem>
    <reviewItem>
      <errorID>5de1f1ef-f54a-47df-a8c4-23377ddf36b9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73B65352</paraID>
      <start>0</start>
      <end>2</end>
      <status>unmodified</status>
      <modifiedWord/>
      <trackRevisions>false</trackRevisions>
    </reviewItem>
    <reviewItem>
      <errorID>8e3b7474-e03a-4193-849a-5c2f5652ccb8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24814EAC</paraID>
      <start>0</start>
      <end>2</end>
      <status>unmodified</status>
      <modifiedWord/>
      <trackRevisions>false</trackRevisions>
    </reviewItem>
    <reviewItem>
      <errorID>b872b89b-109a-4a8f-b3a0-b0cb5eae23a9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5C106944</paraID>
      <start>0</start>
      <end>2</end>
      <status>unmodified</status>
      <modifiedWord/>
      <trackRevisions>false</trackRevisions>
    </reviewItem>
    <reviewItem>
      <errorID>a2c43335-d5c7-4887-9792-206d486bb7a7</errorID>
      <errorWord>/）</errorWord>
      <group>L1_Punc</group>
      <groupName>标点问题</groupName>
      <ability>L2_Punc_CN</ability>
      <abilityName/>
      <candidateList>
        <item>）</item>
      </candidateList>
      <explain/>
      <paraID>5C106944</paraID>
      <start>40</start>
      <end>42</end>
      <status>unmodified</status>
      <modifiedWord/>
      <trackRevisions>false</trackRevisions>
    </reviewItem>
    <reviewItem>
      <errorID>6bf0edb9-3ade-4f02-b22d-473d4327e4a7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28A91703</paraID>
      <start>0</start>
      <end>2</end>
      <status>unmodified</status>
      <modifiedWord/>
      <trackRevisions>false</trackRevisions>
    </reviewItem>
    <reviewItem>
      <errorID>fee197e1-9682-4082-9743-7ad0404a5e4c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643CD60B</paraID>
      <start>0</start>
      <end>2</end>
      <status>unmodified</status>
      <modifiedWord/>
      <trackRevisions>false</trackRevisions>
    </reviewItem>
    <reviewItem>
      <errorID>0f025421-9cc9-4bc3-a1c2-a10d22f033f2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2E7B1024</paraID>
      <start>0</start>
      <end>2</end>
      <status>unmodified</status>
      <modifiedWord/>
      <trackRevisions>false</trackRevisions>
    </reviewItem>
    <reviewItem>
      <errorID>cfb1c55d-c423-4803-a15f-7ce2a0c99960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586692DA</paraID>
      <start>0</start>
      <end>2</end>
      <status>unmodified</status>
      <modifiedWord/>
      <trackRevisions>false</trackRevisions>
    </reviewItem>
    <reviewItem>
      <errorID>2f59ad27-55f1-43f7-bb05-39d65e6c07e1</errorID>
      <errorWord>“.</errorWord>
      <group>L1_Punc</group>
      <groupName>标点问题</groupName>
      <ability>L2_Punc_CN</ability>
      <abilityName/>
      <candidateList>
        <item>“</item>
      </candidateList>
      <explain/>
      <paraID> FC3BD0C</paraID>
      <start>64</start>
      <end>66</end>
      <status>unmodified</status>
      <modifiedWord/>
      <trackRevisions>false</trackRevisions>
    </reviewItem>
    <reviewItem>
      <errorID>229dc513-0597-4403-9e34-0b9ac3b11d5e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7CD691F7</paraID>
      <start>0</start>
      <end>2</end>
      <status>unmodified</status>
      <modifiedWord/>
      <trackRevisions>false</trackRevisions>
    </reviewItem>
    <reviewItem>
      <errorID>28b9ab25-fd2e-4cc3-922f-3f1a00996752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70F3C314</paraID>
      <start>0</start>
      <end>2</end>
      <status>unmodified</status>
      <modifiedWord/>
      <trackRevisions>false</trackRevisions>
    </reviewItem>
    <reviewItem>
      <errorID>69213a68-6d51-4f40-9a2b-bb1f81615a63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34A41F38</paraID>
      <start>0</start>
      <end>2</end>
      <status>unmodified</status>
      <modifiedWord/>
      <trackRevisions>false</trackRevisions>
    </reviewItem>
    <reviewItem>
      <errorID>1473acc6-4074-4896-ba0a-7f254711e100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26A12662</paraID>
      <start>0</start>
      <end>2</end>
      <status>unmodified</status>
      <modifiedWord/>
      <trackRevisions>false</trackRevisions>
    </reviewItem>
    <reviewItem>
      <errorID>4b786201-52cf-4338-b9f0-de95e769d4c5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457128A8</paraID>
      <start>0</start>
      <end>2</end>
      <status>unmodified</status>
      <modifiedWord/>
      <trackRevisions>false</trackRevisions>
    </reviewItem>
    <reviewItem>
      <errorID>b0c90661-0e91-471d-a504-d4b8e4638853</errorID>
      <errorWord>勘察现场</errorWord>
      <group>L1_Word</group>
      <groupName>字词问题</groupName>
      <ability>L2_Alias</ability>
      <abilityName>也作/曾用词</abilityName>
      <candidateList>
        <item>勘查现场</item>
      </candidateList>
      <explain>词汇[勘察现场]为不规范表述或旧称，其规范书面表述为[勘查现场]。</explain>
      <paraID>12E0A7A5</paraID>
      <start>2</start>
      <end>6</end>
      <status>unmodified</status>
      <modifiedWord/>
      <trackRevisions>false</trackRevisions>
    </reviewItem>
    <reviewItem>
      <errorID>970c350f-02a3-42fe-b478-ac4d294c74cc</errorID>
      <errorWord>勘察现场</errorWord>
      <group>L1_Word</group>
      <groupName>字词问题</groupName>
      <ability>L2_Alias</ability>
      <abilityName>也作/曾用词</abilityName>
      <candidateList>
        <item>勘查现场</item>
      </candidateList>
      <explain>词汇[勘察现场]为不规范表述或旧称，其规范书面表述为[勘查现场]。</explain>
      <paraID>5C82E632</paraID>
      <start>51</start>
      <end>55</end>
      <status>unmodified</status>
      <modifiedWord/>
      <trackRevisions>false</trackRevisions>
    </reviewItem>
    <reviewItem>
      <errorID>16b16ddb-4de9-4997-a046-4d1d99c80c07</errorID>
      <errorWord>勘察现场</errorWord>
      <group>L1_Word</group>
      <groupName>字词问题</groupName>
      <ability>L2_Alias</ability>
      <abilityName>也作/曾用词</abilityName>
      <candidateList>
        <item>勘查现场</item>
      </candidateList>
      <explain>词汇[勘察现场]为不规范表述或旧称，其规范书面表述为[勘查现场]。</explain>
      <paraID> 5FCD075</paraID>
      <start>61</start>
      <end>65</end>
      <status>unmodified</status>
      <modifiedWord/>
      <trackRevisions>false</trackRevisions>
    </reviewItem>
    <reviewItem>
      <errorID>816601a8-7ead-4a2b-8792-7a460273f533</errorID>
      <errorWord>/）</errorWord>
      <group>L1_Punc</group>
      <groupName>标点问题</groupName>
      <ability>L2_Punc_CN</ability>
      <abilityName/>
      <candidateList>
        <item>）</item>
      </candidateList>
      <explain/>
      <paraID>2A91248B</paraID>
      <start>41</start>
      <end>43</end>
      <status>unmodified</status>
      <modifiedWord/>
      <trackRevisions>false</trackRevisions>
    </reviewItem>
    <reviewItem>
      <errorID>3196d50a-67aa-4dd8-a700-ae1c98f01605</errorID>
      <errorWord>/）</errorWord>
      <group>L1_Punc</group>
      <groupName>标点问题</groupName>
      <ability>L2_Punc_CN</ability>
      <abilityName/>
      <candidateList>
        <item>）</item>
      </candidateList>
      <explain/>
      <paraID>3A620F11</paraID>
      <start>87</start>
      <end>89</end>
      <status>unmodified</status>
      <modifiedWord/>
      <trackRevisions>false</trackRevisions>
    </reviewItem>
    <reviewItem>
      <errorID>e0f7256c-03fd-4e90-ae30-da1ec38011d4</errorID>
      <errorWord>&lt;</errorWord>
      <group>L1_Format</group>
      <groupName>格式问题</groupName>
      <ability>L2_HalfPunc_CN</ability>
      <abilityName/>
      <candidateList>
        <item>〈</item>
      </candidateList>
      <explain>文本全半角错误。</explain>
      <paraID>2829971B</paraID>
      <start>38</start>
      <end>39</end>
      <status>unmodified</status>
      <modifiedWord/>
      <trackRevisions>false</trackRevisions>
    </reviewItem>
    <reviewItem>
      <errorID>e36f4f76-ee87-444b-8ca5-3887a150d9c1</errorID>
      <errorWord>&lt;</errorWord>
      <group>L1_Format</group>
      <groupName>格式问题</groupName>
      <ability>L2_HalfPunc_CN</ability>
      <abilityName/>
      <candidateList>
        <item>〈</item>
      </candidateList>
      <explain>文本全半角错误。</explain>
      <paraID>2808C0BC</paraID>
      <start>38</start>
      <end>39</end>
      <status>unmodified</status>
      <modifiedWord/>
      <trackRevisions>false</trackRevisions>
    </reviewItem>
    <reviewItem>
      <errorID>8d4d8e66-3f34-4701-94b8-6fb744cccb80</errorID>
      <errorWord>&lt;</errorWord>
      <group>L1_Format</group>
      <groupName>格式问题</groupName>
      <ability>L2_HalfPunc_CN</ability>
      <abilityName/>
      <candidateList>
        <item>〈</item>
      </candidateList>
      <explain>文本全半角错误。</explain>
      <paraID>25B467F4</paraID>
      <start>27</start>
      <end>28</end>
      <status>unmodified</status>
      <modifiedWord/>
      <trackRevisions>false</trackRevisions>
    </reviewItem>
    <reviewItem>
      <errorID>df3f4549-46d0-4122-a0e2-b1a53a5615c5</errorID>
      <errorWord>法律、法规</errorWord>
      <group>L1_Word</group>
      <groupName>字词问题</groupName>
      <ability>L2_Typo</ability>
      <abilityName>字词错误</abilityName>
      <candidateList>
        <item>法律法规</item>
      </candidateList>
      <explain/>
      <paraID>51F3C98D</paraID>
      <start>6</start>
      <end>11</end>
      <status>unmodified</status>
      <modifiedWord/>
      <trackRevisions>false</trackRevisions>
    </reviewItem>
    <reviewItem>
      <errorID>b34b0deb-2940-48e2-a0a0-e9a023caefa5</errorID>
      <errorWord>》</errorWord>
      <group>L1_Word</group>
      <groupName>字词问题</groupName>
      <ability>L2_Typo</ability>
      <abilityName>字词错误</abilityName>
      <candidateList>
        <item>》和</item>
      </candidateList>
      <explain/>
      <paraID>7A0A30A3</paraID>
      <start>133</start>
      <end>134</end>
      <status>unmodified</status>
      <modifiedWord/>
      <trackRevisions>false</trackRevisions>
    </reviewItem>
    <reviewItem>
      <errorID>e0b4b4ab-d854-4995-96ac-4dd6f1d9aff6</errorID>
      <errorWord>(</errorWord>
      <group>L1_Format</group>
      <groupName>格式问题</groupName>
      <ability>L2_HalfPunc_CN</ability>
      <abilityName/>
      <candidateList>
        <item>（</item>
      </candidateList>
      <explain>文本全半角错误。</explain>
      <paraID>60F9BC17</paraID>
      <start>8</start>
      <end>9</end>
      <status>unmodified</status>
      <modifiedWord/>
      <trackRevisions>false</trackRevisions>
    </reviewItem>
    <reviewItem>
      <errorID>76cdad8e-5f63-4317-a8af-ed3b02f5c306</errorID>
      <errorWord>【2023】150号</errorWord>
      <group>L1_Knowledge</group>
      <groupName>知识性问题</groupName>
      <ability>L2_Knowledge</ability>
      <abilityName>其他知识</abilityName>
      <candidateList>
        <item>〔2023〕150号</item>
      </candidateList>
      <explain>发文字号格式错误。</explain>
      <paraID>60F9BC17</paraID>
      <start>47</start>
      <end>57</end>
      <status>modified</status>
      <modifiedWord>〔2023〕150号</modifiedWord>
      <trackRevisions>false</trackRevisions>
    </reviewItem>
    <reviewItem>
      <errorID>20b9f6f1-b08b-4a61-9e46-1c7ffdcb6f6a</errorID>
      <errorWord>。】</errorWord>
      <group>L1_Punc</group>
      <groupName>标点问题</groupName>
      <ability>L2_Punc_CN</ability>
      <abilityName/>
      <candidateList>
        <item>】</item>
      </candidateList>
      <explain/>
      <paraID>6D2C62FB</paraID>
      <start>122</start>
      <end>124</end>
      <status>unmodified</status>
      <modifiedWord/>
      <trackRevisions>false</trackRevisions>
    </reviewItem>
    <reviewItem>
      <errorID>e99a44a1-92fa-4efc-84e7-dc2b8f42973d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662E3DA7</paraID>
      <start>0</start>
      <end>2</end>
      <status>unmodified</status>
      <modifiedWord/>
      <trackRevisions>false</trackRevisions>
    </reviewItem>
    <reviewItem>
      <errorID>d586efc9-e478-4b02-97c0-3791b10d95c3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7A059AAA</paraID>
      <start>1</start>
      <end>3</end>
      <status>unmodified</status>
      <modifiedWord/>
      <trackRevisions>false</trackRevisions>
    </reviewItem>
    <reviewItem>
      <errorID>322b33ff-5b33-4616-966e-567b1786eb95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137E576A</paraID>
      <start>0</start>
      <end>2</end>
      <status>unmodified</status>
      <modifiedWord/>
      <trackRevisions>false</trackRevisions>
    </reviewItem>
    <reviewItem>
      <errorID>ed5b08c6-90cb-4a60-b98e-5642dd8b65c8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F7FD9F4</paraID>
      <start>4</start>
      <end>6</end>
      <status>unmodified</status>
      <modifiedWord/>
      <trackRevisions>false</trackRevisions>
    </reviewItem>
    <reviewItem>
      <errorID>b1ae007f-6f7e-4330-b694-1ce544d36f01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74C54306</paraID>
      <start>0</start>
      <end>2</end>
      <status>unmodified</status>
      <modifiedWord/>
      <trackRevisions>false</trackRevisions>
    </reviewItem>
    <reviewItem>
      <errorID>a4f478f2-a4d5-4eb9-b101-89109f36486d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27DAC80D</paraID>
      <start>0</start>
      <end>2</end>
      <status>unmodified</status>
      <modifiedWord/>
      <trackRevisions>false</trackRevisions>
    </reviewItem>
    <reviewItem>
      <errorID>dd021950-3ca8-4789-a2e4-7bd16496e5a0</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469DC2A5</paraID>
      <start>0</start>
      <end>2</end>
      <status>unmodified</status>
      <modifiedWord/>
      <trackRevisions>false</trackRevisions>
    </reviewItem>
    <reviewItem>
      <errorID>a1916368-ddfd-4627-acde-f8ea3c305e7a</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340C8A68</paraID>
      <start>0</start>
      <end>2</end>
      <status>unmodified</status>
      <modifiedWord/>
      <trackRevisions>false</trackRevisions>
    </reviewItem>
    <reviewItem>
      <errorID>8502ef13-6060-4724-9229-f5bb5ce699ba</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1A652BE1</paraID>
      <start>0</start>
      <end>2</end>
      <status>unmodified</status>
      <modifiedWord/>
      <trackRevisions>false</trackRevisions>
    </reviewItem>
    <reviewItem>
      <errorID>87a141de-de50-4046-9a9c-064bbcf0d2eb</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6BF1630A</paraID>
      <start>0</start>
      <end>2</end>
      <status>unmodified</status>
      <modifiedWord/>
      <trackRevisions>false</trackRevisions>
    </reviewItem>
    <reviewItem>
      <errorID>af58417c-cfce-4557-9aa7-e27a433a1f8e</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7555E7E3</paraID>
      <start>0</start>
      <end>2</end>
      <status>unmodified</status>
      <modifiedWord/>
      <trackRevisions>false</trackRevisions>
    </reviewItem>
    <reviewItem>
      <errorID>3a7bcf4d-1413-45ec-8821-2ee12adc6d90</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68CD0C18</paraID>
      <start>0</start>
      <end>3</end>
      <status>unmodified</status>
      <modifiedWord/>
      <trackRevisions>false</trackRevisions>
    </reviewItem>
    <reviewItem>
      <errorID>d686fef4-d156-40ee-a117-30159bbb8491</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34444FB7</paraID>
      <start>0</start>
      <end>3</end>
      <status>unmodified</status>
      <modifiedWord/>
      <trackRevisions>false</trackRevisions>
    </reviewItem>
    <reviewItem>
      <errorID>7e490069-982e-4d09-ab6d-7a2ad518b396</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28F530BD</paraID>
      <start>0</start>
      <end>3</end>
      <status>unmodified</status>
      <modifiedWord/>
      <trackRevisions>false</trackRevisions>
    </reviewItem>
    <reviewItem>
      <errorID>e747e6b0-f495-4255-8028-6d15b8c66039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694C9E5</paraID>
      <start>0</start>
      <end>2</end>
      <status>unmodified</status>
      <modifiedWord/>
      <trackRevisions>false</trackRevisions>
    </reviewItem>
    <reviewItem>
      <errorID>dd67afbf-4513-4490-9b73-ff952700495f</errorID>
      <errorWord>1-80%</errorWord>
      <group>L1_Knowledge</group>
      <groupName>知识性问题</groupName>
      <ability>L2_Knowledge</ability>
      <abilityName>其他知识</abilityName>
      <candidateList>
        <item>1%—80%</item>
      </candidateList>
      <explain>1. “1-80%”中的单位“%”仅出现在后一个数字上，容易引起歧义；根据《现代汉语标点符号数字用法规范手册》，数字表示范围两边需要使用统一的格式。2. 根据标点国标 4.13 中的规则，数字、时间或地域连接符应使用（视觉上更长的）“—”或“～”。</explain>
      <paraID>79139E2A</paraID>
      <start>125</start>
      <end>130</end>
      <status>unmodified</status>
      <modifiedWord/>
      <trackRevisions>false</trackRevisions>
    </reviewItem>
    <reviewItem>
      <errorID>8b4e0822-0b21-40fb-829d-66a2358bff00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60F94AE7</paraID>
      <start>0</start>
      <end>2</end>
      <status>unmodified</status>
      <modifiedWord/>
      <trackRevisions>false</trackRevisions>
    </reviewItem>
    <reviewItem>
      <errorID>53ea9e5e-391c-43f1-8213-230e69b9cec9</errorID>
      <errorWord>1-80%</errorWord>
      <group>L1_Knowledge</group>
      <groupName>知识性问题</groupName>
      <ability>L2_Knowledge</ability>
      <abilityName>其他知识</abilityName>
      <candidateList>
        <item>1%—80%</item>
      </candidateList>
      <explain>1. “1-80%”中的单位“%”仅出现在后一个数字上，容易引起歧义；根据《现代汉语标点符号数字用法规范手册》，数字表示范围两边需要使用统一的格式。2. 根据标点国标 4.13 中的规则，数字、时间或地域连接符应使用（视觉上更长的）“—”或“～”。</explain>
      <paraID>3F92AE7F</paraID>
      <start>125</start>
      <end>130</end>
      <status>unmodified</status>
      <modifiedWord/>
      <trackRevisions>false</trackRevisions>
    </reviewItem>
    <reviewItem>
      <errorID>21d45841-06e5-4e9a-8ead-8dd5063882fd</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4ECD917F</paraID>
      <start>0</start>
      <end>2</end>
      <status>unmodified</status>
      <modifiedWord/>
      <trackRevisions>false</trackRevisions>
    </reviewItem>
    <reviewItem>
      <errorID>8e1654ce-665d-44ed-b3d2-1498db160781</errorID>
      <errorWord>,</errorWord>
      <group>L1_Format</group>
      <groupName>格式问题</groupName>
      <ability>L2_HalfPunc_CN</ability>
      <abilityName/>
      <candidateList>
        <item>，</item>
      </candidateList>
      <explain>文本全半角错误。</explain>
      <paraID>12A478C1</paraID>
      <start>143</start>
      <end>144</end>
      <status>unmodified</status>
      <modifiedWord/>
      <trackRevisions>false</trackRevisions>
    </reviewItem>
    <reviewItem>
      <errorID>9446dca8-fd83-4293-a805-13eff997aaa4</errorID>
      <errorWord>，</errorWord>
      <group>L1_Word</group>
      <groupName>字词问题</groupName>
      <ability>L2_Typo</ability>
      <abilityName>字词错误</abilityName>
      <candidateList>
        <item>，并</item>
      </candidateList>
      <explain/>
      <paraID>12A478C1</paraID>
      <start>177</start>
      <end>178</end>
      <status>unmodified</status>
      <modifiedWord/>
      <trackRevisions>false</trackRevisions>
    </reviewItem>
    <reviewItem>
      <errorID>585fae58-1a63-4c5e-b3e6-b7ff02bb8a7f</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3DCD04A</paraID>
      <start>0</start>
      <end>2</end>
      <status>unmodified</status>
      <modifiedWord/>
      <trackRevisions>false</trackRevisions>
    </reviewItem>
    <reviewItem>
      <errorID>6b4cdb60-7402-4d98-af3b-24a747f039a8</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70BF7EFE</paraID>
      <start>0</start>
      <end>2</end>
      <status>unmodified</status>
      <modifiedWord/>
      <trackRevisions>false</trackRevisions>
    </reviewItem>
    <reviewItem>
      <errorID>1b45b9ee-804d-4d9d-bf95-cb50014f9f9e</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5D9DB814</paraID>
      <start>1</start>
      <end>3</end>
      <status>unmodified</status>
      <modifiedWord/>
      <trackRevisions>false</trackRevisions>
    </reviewItem>
    <reviewItem>
      <errorID>1f1880da-596b-4081-b85d-17c484d59894</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7019F962</paraID>
      <start>0</start>
      <end>2</end>
      <status>unmodified</status>
      <modifiedWord/>
      <trackRevisions>false</trackRevisions>
    </reviewItem>
    <reviewItem>
      <errorID>e479a292-dcaa-412b-8bf3-548a793d7cb5</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63FF728A</paraID>
      <start>1</start>
      <end>4</end>
      <status>unmodified</status>
      <modifiedWord/>
      <trackRevisions>false</trackRevisions>
    </reviewItem>
    <reviewItem>
      <errorID>eecf5fe2-bdfb-476c-8570-45687046c349</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465668C3</paraID>
      <start>1</start>
      <end>4</end>
      <status>unmodified</status>
      <modifiedWord/>
      <trackRevisions>false</trackRevisions>
    </reviewItem>
    <reviewItem>
      <errorID>0600450d-4a3b-41cf-a43f-f504239b2e7a</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334C0C61</paraID>
      <start>1</start>
      <end>4</end>
      <status>unmodified</status>
      <modifiedWord/>
      <trackRevisions>false</trackRevisions>
    </reviewItem>
    <reviewItem>
      <errorID>7e72c6a3-1e6a-4f59-9fa9-7f64b1b72c83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6332CB53</paraID>
      <start>0</start>
      <end>2</end>
      <status>unmodified</status>
      <modifiedWord/>
      <trackRevisions>false</trackRevisions>
    </reviewItem>
    <reviewItem>
      <errorID>e0cfd663-5860-4a7b-8ae5-e17c19805edf</errorID>
      <errorWord>)</errorWord>
      <group>L1_Format</group>
      <groupName>格式问题</groupName>
      <ability>L2_HalfPunc_CN</ability>
      <abilityName/>
      <candidateList>
        <item>）</item>
      </candidateList>
      <explain>文本全半角错误。</explain>
      <paraID>60F61335</paraID>
      <start>20</start>
      <end>21</end>
      <status>unmodified</status>
      <modifiedWord/>
      <trackRevisions>false</trackRevisions>
    </reviewItem>
    <reviewItem>
      <errorID>57f4d9e0-a635-47c7-8034-fdf94a57ab17</errorID>
      <errorWord>2-3个</errorWord>
      <group>L1_Punc</group>
      <groupName>标点问题</groupName>
      <ability>L2_Punc_CN</ability>
      <abilityName/>
      <candidateList>
        <item>2～3个</item>
      </candidateList>
      <explain/>
      <paraID>3CADD037</paraID>
      <start>0</start>
      <end>4</end>
      <status>unmodified</status>
      <modifiedWord/>
      <trackRevisions>false</trackRevisions>
    </reviewItem>
    <reviewItem>
      <errorID>a31c6280-8b5b-4702-b95a-3d89debcf42b</errorID>
      <errorWord>MV</errorWord>
      <group>L1_Official</group>
      <groupName>公文问题</groupName>
      <ability>L2_Official</ability>
      <abilityName>公文问题</abilityName>
      <candidateList/>
      <explain>公文中禁止出现该词语</explain>
      <paraID>7CDC80E1</paraID>
      <start>7</start>
      <end>9</end>
      <status>unmodified</status>
      <modifiedWord/>
      <trackRevisions>false</trackRevisions>
    </reviewItem>
    <reviewItem>
      <errorID>1c348d93-e14e-4b9b-a7de-af5ad48668b4</errorID>
      <errorWord>IV型</errorWord>
      <group>L1_Knowledge</group>
      <groupName>知识性问题</groupName>
      <ability>L2_Knowledge</ability>
      <abilityName>其他知识</abilityName>
      <candidateList>
        <item>Ⅳ型</item>
      </candidateList>
      <explain/>
      <paraID>37ED3B0E</paraID>
      <start>17</start>
      <end>20</end>
      <status>unmodified</status>
      <modifiedWord/>
      <trackRevisions>false</trackRevisions>
    </reviewItem>
    <reviewItem>
      <errorID>4266245a-9224-477c-bdd7-12831df41d11</errorID>
      <errorWord>)</errorWord>
      <group>L1_Format</group>
      <groupName>格式问题</groupName>
      <ability>L2_HalfPunc_CN</ability>
      <abilityName/>
      <candidateList>
        <item>）</item>
      </candidateList>
      <explain>文本全半角错误。</explain>
      <paraID>1AE4D06F</paraID>
      <start>19</start>
      <end>20</end>
      <status>unmodified</status>
      <modifiedWord/>
      <trackRevisions>false</trackRevisions>
    </reviewItem>
    <reviewItem>
      <errorID>9fbaebd3-52b4-4e22-8349-084a47962f30</errorID>
      <errorWord>)</errorWord>
      <group>L1_Format</group>
      <groupName>格式问题</groupName>
      <ability>L2_HalfPunc_CN</ability>
      <abilityName/>
      <candidateList>
        <item>）</item>
      </candidateList>
      <explain>文本全半角错误。</explain>
      <paraID> 8CDA059</paraID>
      <start>4</start>
      <end>5</end>
      <status>unmodified</status>
      <modifiedWord/>
      <trackRevisions>false</trackRevisions>
    </reviewItem>
    <reviewItem>
      <errorID>dd7add7e-e055-4c91-a242-8ddb2fd300b1</errorID>
      <errorWord>视黄醇</errorWord>
      <group>L1_Knowledge</group>
      <groupName>知识性问题</groupName>
      <ability>L2_Term</ability>
      <abilityName>专业术语</abilityName>
      <candidateList>
        <item>维生素A</item>
      </candidateList>
      <explain>医学名词[视黄醇]为不规范表述或旧称，其规范书面表述为[维生素A]。</explain>
      <paraID>5C883BFF</paraID>
      <start>0</start>
      <end>3</end>
      <status>unmodified</status>
      <modifiedWord/>
      <trackRevisions>false</trackRevisions>
    </reviewItem>
    <reviewItem>
      <errorID>cd433572-8ec4-443a-a1be-55eebbc9445b</errorID>
      <errorWord>)</errorWord>
      <group>L1_Format</group>
      <groupName>格式问题</groupName>
      <ability>L2_HalfPunc_CN</ability>
      <abilityName/>
      <candidateList>
        <item>）</item>
      </candidateList>
      <explain>文本全半角错误。</explain>
      <paraID>42CA5919</paraID>
      <start>13</start>
      <end>14</end>
      <status>unmodified</status>
      <modifiedWord/>
      <trackRevisions>false</trackRevisions>
    </reviewItem>
    <reviewItem>
      <errorID>e633c77e-f494-4873-82cf-4c51d44adb2f</errorID>
      <errorWord>)</errorWord>
      <group>L1_Format</group>
      <groupName>格式问题</groupName>
      <ability>L2_HalfPunc_CN</ability>
      <abilityName/>
      <candidateList>
        <item>）</item>
      </candidateList>
      <explain>文本全半角错误。</explain>
      <paraID>74F479A6</paraID>
      <start>12</start>
      <end>13</end>
      <status>unmodified</status>
      <modifiedWord/>
      <trackRevisions>false</trackRevisions>
    </reviewItem>
    <reviewItem>
      <errorID>91307157-3040-4080-bdc8-cea7ea2c9509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1B91EF10</paraID>
      <start>0</start>
      <end>2</end>
      <status>unmodified</status>
      <modifiedWord/>
      <trackRevisions>false</trackRevisions>
    </reviewItem>
    <reviewItem>
      <errorID>2f49dc4a-0c26-4a73-b0d8-81ecdc9909a0</errorID>
      <errorWord>呲</errorWord>
      <group>L1_Word</group>
      <groupName>字词问题</groupName>
      <ability>L2_Typo</ability>
      <abilityName>字词错误</abilityName>
      <candidateList>
        <item>吡</item>
      </candidateList>
      <explain>存在字形相近字词的误用。</explain>
      <paraID>62C79A4D</paraID>
      <start>1</start>
      <end>2</end>
      <status>unmodified</status>
      <modifiedWord/>
      <trackRevisions>false</trackRevisions>
    </reviewItem>
    <reviewItem>
      <errorID>0fdee08a-c295-44d9-86df-bef468610ad2</errorID>
      <errorWord>-</errorWord>
      <group>L1_Punc</group>
      <groupName>标点问题</groupName>
      <ability>L2_Punc_CN</ability>
      <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F385566</paraID>
      <start>1</start>
      <end>2</end>
      <status>unmodified</status>
      <modifiedWord/>
      <trackRevisions>false</trackRevisions>
    </reviewItem>
    <reviewItem>
      <errorID>37e72afc-4b30-45b4-992f-f76b35760065</errorID>
      <errorWord>红细胞脆性</errorWord>
      <group>L1_Knowledge</group>
      <groupName>知识性问题</groupName>
      <ability>L2_Term</ability>
      <abilityName>专业术语</abilityName>
      <candidateList>
        <item>红细胞渗透脆性</item>
      </candidateList>
      <explain>医学名词[红细胞脆性]为不规范表述或旧称，其规范书面表述为[红细胞渗透脆性]。</explain>
      <paraID> 410DDBE</paraID>
      <start>21</start>
      <end>26</end>
      <status>unmodified</status>
      <modifiedWord/>
      <trackRevisions>false</trackRevisions>
    </reviewItem>
    <reviewItem>
      <errorID>13b6eb08-da57-4842-a25d-33479c6c9b8d</errorID>
      <errorWord>2-3个</errorWord>
      <group>L1_Punc</group>
      <groupName>标点问题</groupName>
      <ability>L2_Punc_CN</ability>
      <abilityName/>
      <candidateList>
        <item>2～3个</item>
      </candidateList>
      <explain/>
      <paraID>7E3CA10C</paraID>
      <start>0</start>
      <end>4</end>
      <status>unmodified</status>
      <modifiedWord/>
      <trackRevisions>false</trackRevisions>
    </reviewItem>
    <reviewItem>
      <errorID>ac067391-c4d2-4c06-9694-ea7468e4a908</errorID>
      <errorWord>-</errorWord>
      <group>L1_Punc</group>
      <groupName>标点问题</groupName>
      <ability>L2_Punc_CN</ability>
      <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3DF8CB93</paraID>
      <start>2</start>
      <end>3</end>
      <status>unmodified</status>
      <modifiedWord/>
      <trackRevisions>false</trackRevisions>
    </reviewItem>
    <reviewItem>
      <errorID>456aaa84-9f51-4b28-b82b-9195741553af</errorID>
      <errorWord>-</errorWord>
      <group>L1_Punc</group>
      <groupName>标点问题</groupName>
      <ability>L2_Punc_CN</ability>
      <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5455BED2</paraID>
      <start>2</start>
      <end>3</end>
      <status>unmodified</status>
      <modifiedWord/>
      <trackRevisions>false</trackRevisions>
    </reviewItem>
    <reviewItem>
      <errorID>16f6cfa0-055b-44a7-b353-73903e5f62f0</errorID>
      <errorWord>-</errorWord>
      <group>L1_Punc</group>
      <groupName>标点问题</groupName>
      <ability>L2_Punc_CN</ability>
      <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5C6AB727</paraID>
      <start>2</start>
      <end>3</end>
      <status>unmodified</status>
      <modifiedWord/>
      <trackRevisions>false</trackRevisions>
    </reviewItem>
    <reviewItem>
      <errorID>f9434a5b-b6e0-401a-bc07-feaa0454a5fc</errorID>
      <errorWord>-</errorWord>
      <group>L1_Punc</group>
      <groupName>标点问题</groupName>
      <ability>L2_Punc_CN</ability>
      <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65C62A8E</paraID>
      <start>2</start>
      <end>3</end>
      <status>unmodified</status>
      <modifiedWord/>
      <trackRevisions>false</trackRevisions>
    </reviewItem>
    <reviewItem>
      <errorID>d18bf8d1-0978-4efe-aa2f-1a60dafc8099</errorID>
      <errorWord>-</errorWord>
      <group>L1_Punc</group>
      <groupName>标点问题</groupName>
      <ability>L2_Punc_CN</ability>
      <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4984D4A4</paraID>
      <start>1</start>
      <end>2</end>
      <status>unmodified</status>
      <modifiedWord/>
      <trackRevisions>false</trackRevisions>
    </reviewItem>
    <reviewItem>
      <errorID>39ffb5f5-9c19-4ab7-9e8b-fb3e81c0f245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29F43C54</paraID>
      <start>0</start>
      <end>2</end>
      <status>unmodified</status>
      <modifiedWord/>
      <trackRevisions>false</trackRevisions>
    </reviewItem>
    <reviewItem>
      <errorID>73e42ff5-2dde-46db-b2f0-d5e2cfeeb8cf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158CF9F9</paraID>
      <start>0</start>
      <end>2</end>
      <status>unmodified</status>
      <modifiedWord/>
      <trackRevisions>false</trackRevisions>
    </reviewItem>
    <reviewItem>
      <errorID>915fe570-d8be-4918-93e7-a315c22a1b15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76BEAED4</paraID>
      <start>0</start>
      <end>2</end>
      <status>unmodified</status>
      <modifiedWord/>
      <trackRevisions>false</trackRevisions>
    </reviewItem>
    <reviewItem>
      <errorID>946cbdcf-8620-4050-adc9-b80d103c9147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56B3E85F</paraID>
      <start>0</start>
      <end>2</end>
      <status>unmodified</status>
      <modifiedWord/>
      <trackRevisions>false</trackRevisions>
    </reviewItem>
    <reviewItem>
      <errorID>947209ef-675a-4aea-8f10-4f4b08076f54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11BA8401</paraID>
      <start>0</start>
      <end>2</end>
      <status>unmodified</status>
      <modifiedWord/>
      <trackRevisions>false</trackRevisions>
    </reviewItem>
    <reviewItem>
      <errorID>6c6daa3b-2868-4a92-92ce-ed93f052536c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5F3EF42A</paraID>
      <start>0</start>
      <end>2</end>
      <status>unmodified</status>
      <modifiedWord/>
      <trackRevisions>false</trackRevisions>
    </reviewItem>
    <reviewItem>
      <errorID>1ac73dc9-4db1-45da-b150-f67265867644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2E49FEC2</paraID>
      <start>0</start>
      <end>2</end>
      <status>unmodified</status>
      <modifiedWord/>
      <trackRevisions>false</trackRevisions>
    </reviewItem>
    <reviewItem>
      <errorID>8faf6473-be44-49bd-ac8a-af00fb778cda</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421A7799</paraID>
      <start>0</start>
      <end>2</end>
      <status>unmodified</status>
      <modifiedWord/>
      <trackRevisions>false</trackRevisions>
    </reviewItem>
    <reviewItem>
      <errorID>893c976d-b22f-45ca-9f5c-1fe39da05cb0</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48CD09DA</paraID>
      <start>0</start>
      <end>2</end>
      <status>unmodified</status>
      <modifiedWord/>
      <trackRevisions>false</trackRevisions>
    </reviewItem>
    <reviewItem>
      <errorID>3467909d-c071-48e7-baff-58c3ff4ea21d</errorID>
      <errorWord>即时</errorWord>
      <group>L1_Word</group>
      <groupName>字词问题</groupName>
      <ability>L2_Typo</ability>
      <abilityName>字词错误</abilityName>
      <candidateList>
        <item>及时</item>
      </candidateList>
      <explain>❶〈形〉正赶上时候；适合需要：～雨｜他来得很～。❷〈副〉不拖延；马上；立刻：有问题就～解决。</explain>
      <paraID>48CD09DA</paraID>
      <start>70</start>
      <end>72</end>
      <status>unmodified</status>
      <modifiedWord/>
      <trackRevisions>false</trackRevisions>
    </reviewItem>
    <reviewItem>
      <errorID>4334e3f0-31c0-4c78-a73a-38ed1089bcf8</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11344D98</paraID>
      <start>0</start>
      <end>2</end>
      <status>unmodified</status>
      <modifiedWord/>
      <trackRevisions>false</trackRevisions>
    </reviewItem>
    <reviewItem>
      <errorID>16dc2c85-cbfa-403e-bbc2-0ab1e3943e13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64A3A11B</paraID>
      <start>0</start>
      <end>2</end>
      <status>unmodified</status>
      <modifiedWord/>
      <trackRevisions>false</trackRevisions>
    </reviewItem>
    <reviewItem>
      <errorID>005eb636-68a0-4f88-a9f1-0a6519a308b5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7F27F97C</paraID>
      <start>0</start>
      <end>2</end>
      <status>unmodified</status>
      <modifiedWord/>
      <trackRevisions>false</trackRevisions>
    </reviewItem>
    <reviewItem>
      <errorID>b6dce19a-8a00-44a7-95c4-f958c112f7de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7C4D2F1C</paraID>
      <start>0</start>
      <end>2</end>
      <status>unmodified</status>
      <modifiedWord/>
      <trackRevisions>false</trackRevisions>
    </reviewItem>
    <reviewItem>
      <errorID>66182f27-ce15-4635-b61e-67f3126dab5b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7C5BC1B0</paraID>
      <start>0</start>
      <end>2</end>
      <status>unmodified</status>
      <modifiedWord/>
      <trackRevisions>false</trackRevisions>
    </reviewItem>
    <reviewItem>
      <errorID>14324452-df08-46c8-910b-e753268b4ec3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365516AB</paraID>
      <start>0</start>
      <end>2</end>
      <status>unmodified</status>
      <modifiedWord/>
      <trackRevisions>false</trackRevisions>
    </reviewItem>
    <reviewItem>
      <errorID>4356521f-bf9c-4a2f-8507-7fbdc1339c9a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789E60AA</paraID>
      <start>0</start>
      <end>2</end>
      <status>unmodified</status>
      <modifiedWord/>
      <trackRevisions>false</trackRevisions>
    </reviewItem>
    <reviewItem>
      <errorID>7607bfa2-5336-412c-a90e-3376e37406c2</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1A022C04</paraID>
      <start>0</start>
      <end>2</end>
      <status>unmodified</status>
      <modifiedWord/>
      <trackRevisions>false</trackRevisions>
    </reviewItem>
    <reviewItem>
      <errorID>fc989fa3-e48a-4493-b1e1-9f3af472f38c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27E29A26</paraID>
      <start>0</start>
      <end>2</end>
      <status>unmodified</status>
      <modifiedWord/>
      <trackRevisions>false</trackRevisions>
    </reviewItem>
    <reviewItem>
      <errorID>27d9b383-0817-40bd-b55b-fa6444fc194b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63329E13</paraID>
      <start>0</start>
      <end>2</end>
      <status>unmodified</status>
      <modifiedWord/>
      <trackRevisions>false</trackRevisions>
    </reviewItem>
    <reviewItem>
      <errorID>59d89e5e-e2ab-4b2c-8846-505bd6816c7f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3493C969</paraID>
      <start>0</start>
      <end>2</end>
      <status>unmodified</status>
      <modifiedWord/>
      <trackRevisions>false</trackRevisions>
    </reviewItem>
    <reviewItem>
      <errorID>49d798cc-b0b7-4398-aa99-483b524acb0b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4A34FAE8</paraID>
      <start>0</start>
      <end>2</end>
      <status>unmodified</status>
      <modifiedWord/>
      <trackRevisions>false</trackRevisions>
    </reviewItem>
    <reviewItem>
      <errorID>0306e2c8-54d3-4fea-a683-3db06ae89246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6EAEDD8E</paraID>
      <start>0</start>
      <end>2</end>
      <status>unmodified</status>
      <modifiedWord/>
      <trackRevisions>false</trackRevisions>
    </reviewItem>
    <reviewItem>
      <errorID>b817b35a-969e-4c01-992e-844c8ec27e52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3BCDA6D8</paraID>
      <start>0</start>
      <end>2</end>
      <status>unmodified</status>
      <modifiedWord/>
      <trackRevisions>false</trackRevisions>
    </reviewItem>
    <reviewItem>
      <errorID>9ae21e18-3bd6-4f17-a5d7-ecbb75f417a1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3D786ECA</paraID>
      <start>0</start>
      <end>2</end>
      <status>unmodified</status>
      <modifiedWord/>
      <trackRevisions>false</trackRevisions>
    </reviewItem>
    <reviewItem>
      <errorID>fa38d856-036e-492b-a9cd-2a1f2634d219</errorID>
      <errorWord>&lt;</errorWord>
      <group>L1_Format</group>
      <groupName>格式问题</groupName>
      <ability>L2_HalfPunc_CN</ability>
      <abilityName/>
      <candidateList>
        <item>〈</item>
      </candidateList>
      <explain>文本全半角错误。</explain>
      <paraID>5C40D60A</paraID>
      <start>20</start>
      <end>21</end>
      <status>modified</status>
      <modifiedWord>〈</modifiedWord>
      <trackRevisions>false</trackRevisions>
    </reviewItem>
    <reviewItem>
      <errorID>97c15399-226b-4d59-8dc7-a6f622349715</errorID>
      <errorWord>&gt;的通知》</errorWord>
      <group>L1_Punc</group>
      <groupName>标点问题</groupName>
      <ability>L2_Punc_CN</ability>
      <abilityName/>
      <candidateList>
        <item>〉的通知》</item>
      </candidateList>
      <explain/>
      <paraID>5C40D60A</paraID>
      <start>36</start>
      <end>41</end>
      <status>modified</status>
      <modifiedWord>〉的通知》</modifiedWord>
      <trackRevisions>false</trackRevisions>
    </reviewItem>
    <reviewItem>
      <errorID>57586fb9-c3f3-4e0f-b141-43c8e029e7ae</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2F4D42A</paraID>
      <start>0</start>
      <end>2</end>
      <status>unmodified</status>
      <modifiedWord/>
      <trackRevisions>false</trackRevisions>
    </reviewItem>
    <reviewItem>
      <errorID>6ff06cbb-7d4b-4ef0-ae05-803eefe5e510</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699CAA97</paraID>
      <start>0</start>
      <end>2</end>
      <status>unmodified</status>
      <modifiedWord/>
      <trackRevisions>false</trackRevisions>
    </reviewItem>
    <reviewItem>
      <errorID>b71dc5e8-b6b6-4a51-9ddf-81666c5852e5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58A4CA1F</paraID>
      <start>0</start>
      <end>2</end>
      <status>unmodified</status>
      <modifiedWord/>
      <trackRevisions>false</trackRevisions>
    </reviewItem>
    <reviewItem>
      <errorID>f6ad9140-ed20-4da9-a9e0-cdb19eadcdda</errorID>
      <errorWord>&lt;</errorWord>
      <group>L1_Format</group>
      <groupName>格式问题</groupName>
      <ability>L2_HalfPunc_CN</ability>
      <abilityName/>
      <candidateList>
        <item>〈</item>
      </candidateList>
      <explain>文本全半角错误。</explain>
      <paraID>509FC37D</paraID>
      <start>39</start>
      <end>40</end>
      <status>modified</status>
      <modifiedWord>〈</modifiedWord>
      <trackRevisions>false</trackRevisions>
    </reviewItem>
    <reviewItem>
      <errorID>204e62d5-6b5d-425b-ab5f-bb02fd85fb2f</errorID>
      <errorWord>&gt;的通知》</errorWord>
      <group>L1_Punc</group>
      <groupName>标点问题</groupName>
      <ability>L2_Punc_CN</ability>
      <abilityName/>
      <candidateList>
        <item>〉的通知》</item>
      </candidateList>
      <explain/>
      <paraID>509FC37D</paraID>
      <start>59</start>
      <end>64</end>
      <status>modified</status>
      <modifiedWord>〉的通知》</modifiedWord>
      <trackRevisions>false</trackRevisions>
    </reviewItem>
    <reviewItem>
      <errorID>240b87f7-e3e8-4f9e-bef9-358014ad7e39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C87FDAE</paraID>
      <start>0</start>
      <end>2</end>
      <status>unmodified</status>
      <modifiedWord/>
      <trackRevisions>false</trackRevisions>
    </reviewItem>
    <reviewItem>
      <errorID>eb88e1e1-9c3e-4b49-8fd7-87fa49d4a423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3B0D67EF</paraID>
      <start>0</start>
      <end>2</end>
      <status>unmodified</status>
      <modifiedWord/>
      <trackRevisions>false</trackRevisions>
    </reviewItem>
    <reviewItem>
      <errorID>13f53291-0305-434a-a15b-cc6db17f028f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36990CD0</paraID>
      <start>0</start>
      <end>2</end>
      <status>unmodified</status>
      <modifiedWord/>
      <trackRevisions>false</trackRevisions>
    </reviewItem>
    <reviewItem>
      <errorID>75e281fe-ec0c-4ba9-9f1a-f35c1b403891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151A8494</paraID>
      <start>0</start>
      <end>2</end>
      <status>unmodified</status>
      <modifiedWord/>
      <trackRevisions>false</trackRevisions>
    </reviewItem>
    <reviewItem>
      <errorID>b5bea1de-5a97-4758-b048-08ec5ff8f1b0</errorID>
      <errorWord>/）</errorWord>
      <group>L1_Punc</group>
      <groupName>标点问题</groupName>
      <ability>L2_Punc_CN</ability>
      <abilityName/>
      <candidateList>
        <item>）</item>
      </candidateList>
      <explain/>
      <paraID>151A8494</paraID>
      <start>53</start>
      <end>55</end>
      <status>unmodified</status>
      <modifiedWord/>
      <trackRevisions>false</trackRevisions>
    </reviewItem>
    <reviewItem>
      <errorID>c7cea1bd-d02f-4a5d-b007-a6452878b3e9</errorID>
      <errorWord>/）</errorWord>
      <group>L1_Punc</group>
      <groupName>标点问题</groupName>
      <ability>L2_Punc_CN</ability>
      <abilityName/>
      <candidateList>
        <item>）</item>
      </candidateList>
      <explain/>
      <paraID>151A8494</paraID>
      <start>79</start>
      <end>81</end>
      <status>unmodified</status>
      <modifiedWord/>
      <trackRevisions>false</trackRevisions>
    </reviewItem>
    <reviewItem>
      <errorID>b6c3e4e4-ed6c-4011-bc2a-d790feb9f2f3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2CDD77AE</paraID>
      <start>0</start>
      <end>2</end>
      <status>unmodified</status>
      <modifiedWord/>
      <trackRevisions>false</trackRevisions>
    </reviewItem>
    <reviewItem>
      <errorID>0c27cfb5-25dc-470d-8680-e21bd48ab940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190B1CA6</paraID>
      <start>0</start>
      <end>2</end>
      <status>unmodified</status>
      <modifiedWord/>
      <trackRevisions>false</trackRevisions>
    </reviewItem>
    <reviewItem>
      <errorID>a72b3bfe-1d01-468e-a73c-5d2c194d0c55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7BA06EE2</paraID>
      <start>0</start>
      <end>2</end>
      <status>unmodified</status>
      <modifiedWord/>
      <trackRevisions>false</trackRevisions>
    </reviewItem>
    <reviewItem>
      <errorID>d4f92394-dfd4-4fa8-93bc-72aaca5f2064</errorID>
      <errorWord>）</errorWord>
      <group>L1_Word</group>
      <groupName>字词问题</groupName>
      <ability>L2_Typo</ability>
      <abilityName>字词错误</abilityName>
      <candidateList>
        <item>）在</item>
      </candidateList>
      <explain/>
      <paraID>677EB354</paraID>
      <start>38</start>
      <end>39</end>
      <status>unmodified</status>
      <modifiedWord/>
      <trackRevisions>false</trackRevisions>
    </reviewItem>
    <reviewItem>
      <errorID>816b226e-bdaa-41ac-848a-2f98030c3a0e</errorID>
      <errorWord>必须</errorWord>
      <group>L1_Word</group>
      <groupName>字词问题</groupName>
      <ability>L2_Typo</ability>
      <abilityName>字词错误</abilityName>
      <candidateList>
        <item>必需</item>
      </candidateList>
      <explain>〈动〉一定要有；不可少：日用～品｜煤铁等是发展工业所～的原料。</explain>
      <paraID> AC503B3</paraID>
      <start>62</start>
      <end>64</end>
      <status>unmodified</status>
      <modifiedWord/>
      <trackRevisions>false</trackRevisions>
    </reviewItem>
    <reviewItem>
      <errorID>5e97b34f-0205-4100-8501-bf61da066dc9</errorID>
      <errorWord>遭致</errorWord>
      <group>L1_Word</group>
      <groupName>字词问题</groupName>
      <ability>L2_Typo</ability>
      <abilityName>字词错误</abilityName>
      <candidateList>
        <item>招致</item>
      </candidateList>
      <explain/>
      <paraID>5AD66FF1</paraID>
      <start>26</start>
      <end>28</end>
      <status>unmodified</status>
      <modifiedWord/>
      <trackRevisions>false</trackRevisions>
    </reviewItem>
    <reviewItem>
      <errorID>a8d75742-2e44-4bff-8246-05e30db81185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61DF7AAF</paraID>
      <start>0</start>
      <end>2</end>
      <status>unmodified</status>
      <modifiedWord/>
      <trackRevisions>false</trackRevisions>
    </reviewItem>
    <reviewItem>
      <errorID>6b599bd2-4141-4bd9-a581-23b6a8cd1d48</errorID>
      <errorWord>监管权利</errorWord>
      <group>L1_Word</group>
      <groupName>字词问题</groupName>
      <ability>L2_Typo</ability>
      <abilityName>字词错误</abilityName>
      <candidateList>
        <item>监管权力</item>
      </candidateList>
      <explain/>
      <paraID>39124131</paraID>
      <start>9</start>
      <end>13</end>
      <status>unmodified</status>
      <modifiedWord/>
      <trackRevisions>false</trackRevisions>
    </reviewItem>
    <reviewItem>
      <errorID>23ba3093-2487-47a8-a9cd-2ff222056b7a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15F4B9DD</paraID>
      <start>0</start>
      <end>2</end>
      <status>unmodified</status>
      <modifiedWord/>
      <trackRevisions>false</trackRevisions>
    </reviewItem>
    <reviewItem>
      <errorID>3b464ba6-fdde-4f4f-859a-48ed1e40c93a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9A307B</paraID>
      <start>0</start>
      <end>2</end>
      <status>unmodified</status>
      <modifiedWord/>
      <trackRevisions>false</trackRevisions>
    </reviewItem>
    <reviewItem>
      <errorID>22367bb2-7a4a-4232-b618-6c4f0d4819eb</errorID>
      <errorWord>导致的</errorWord>
      <group>L1_Word</group>
      <groupName>字词问题</groupName>
      <ability>L2_Typo</ability>
      <abilityName>字词错误</abilityName>
      <candidateList>
        <item>导致</item>
      </candidateList>
      <explain>〈动〉引起：由一些小的矛盾～双方关系破裂。</explain>
      <paraID>  9A307B</paraID>
      <start>92</start>
      <end>95</end>
      <status>unmodified</status>
      <modifiedWord/>
      <trackRevisions>false</trackRevisions>
    </reviewItem>
    <reviewItem>
      <errorID>5cc1adb9-57ef-4972-a873-c11cb88c9c53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41D561FA</paraID>
      <start>0</start>
      <end>2</end>
      <status>unmodified</status>
      <modifiedWord/>
      <trackRevisions>false</trackRevisions>
    </reviewItem>
    <reviewItem>
      <errorID>d274d923-b272-4a82-aa2a-12175f51165d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15468787</paraID>
      <start>0</start>
      <end>2</end>
      <status>unmodified</status>
      <modifiedWord/>
      <trackRevisions>false</trackRevisions>
    </reviewItem>
    <reviewItem>
      <errorID>05369bd7-91a3-4a07-85db-83f7c5e38370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4AC6DD6C</paraID>
      <start>0</start>
      <end>2</end>
      <status>unmodified</status>
      <modifiedWord/>
      <trackRevisions>false</trackRevisions>
    </reviewItem>
    <reviewItem>
      <errorID>afae83fb-6b29-4ab8-83d2-d9f34aefdda3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4ABC575A</paraID>
      <start>0</start>
      <end>2</end>
      <status>unmodified</status>
      <modifiedWord/>
      <trackRevisions>false</trackRevisions>
    </reviewItem>
    <reviewItem>
      <errorID>d5f55948-9333-4460-9cec-597ce478f5c0</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5DCEA7DA</paraID>
      <start>0</start>
      <end>2</end>
      <status>unmodified</status>
      <modifiedWord/>
      <trackRevisions>false</trackRevisions>
    </reviewItem>
    <reviewItem>
      <errorID>d9f7d8a1-c7b3-48ba-b2b2-765ecb305bf4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2A9D566</paraID>
      <start>0</start>
      <end>2</end>
      <status>unmodified</status>
      <modifiedWord/>
      <trackRevisions>false</trackRevisions>
    </reviewItem>
    <reviewItem>
      <errorID>b6dedb9b-5c75-4865-b9d4-fc5ada95a69e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26329C52</paraID>
      <start>0</start>
      <end>2</end>
      <status>unmodified</status>
      <modifiedWord/>
      <trackRevisions>false</trackRevisions>
    </reviewItem>
    <reviewItem>
      <errorID>1b603d66-ddea-4fec-91f1-135854261cd6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3DF6612B</paraID>
      <start>0</start>
      <end>2</end>
      <status>unmodified</status>
      <modifiedWord/>
      <trackRevisions>false</trackRevisions>
    </reviewItem>
    <reviewItem>
      <errorID>29e0d823-b9a2-41d0-93f5-8647b5f803ae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70D15B91</paraID>
      <start>0</start>
      <end>2</end>
      <status>unmodified</status>
      <modifiedWord/>
      <trackRevisions>false</trackRevisions>
    </reviewItem>
    <reviewItem>
      <errorID>0143736d-7749-467c-925f-9b8a7ebafdbf</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CDB960D</paraID>
      <start>0</start>
      <end>2</end>
      <status>unmodified</status>
      <modifiedWord/>
      <trackRevisions>false</trackRevisions>
    </reviewItem>
    <reviewItem>
      <errorID>bd2d96e5-e1fd-4afc-856a-1b1cc6d91e29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6288EAC8</paraID>
      <start>0</start>
      <end>2</end>
      <status>unmodified</status>
      <modifiedWord/>
      <trackRevisions>false</trackRevisions>
    </reviewItem>
    <reviewItem>
      <errorID>82aca1f7-f3e9-4f70-ac0d-faf4113db521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73F3F87C</paraID>
      <start>0</start>
      <end>2</end>
      <status>unmodified</status>
      <modifiedWord/>
      <trackRevisions>false</trackRevisions>
    </reviewItem>
    <reviewItem>
      <errorID>2ac0eabb-8e5b-433e-a0db-beee38017308</errorID>
      <errorWord>，</errorWord>
      <group>L1_Word</group>
      <groupName>字词问题</groupName>
      <ability>L2_Typo</ability>
      <abilityName>字词错误</abilityName>
      <candidateList>
        <item>，由</item>
      </candidateList>
      <explain/>
      <paraID>7EF600F4</paraID>
      <start>115</start>
      <end>116</end>
      <status>unmodified</status>
      <modifiedWord/>
      <trackRevisions>false</trackRevisions>
    </reviewItem>
    <reviewItem>
      <errorID>05c231b3-62ee-4a89-af10-351dcc573db1</errorID>
      <errorWord>接受</errorWord>
      <group>L1_Word</group>
      <groupName>字词问题</groupName>
      <ability>L2_Typo</ability>
      <abilityName>字词错误</abilityName>
      <candidateList>
        <item>接收</item>
      </candidateList>
      <explain>〈动〉❶收受：～来稿｜～无线电信号。❷根据法令把机构、财产等拿过来：～逆产。❸接纳：～新会员。</explain>
      <paraID>1BFBF710</paraID>
      <start>107</start>
      <end>109</end>
      <status>ignored</status>
      <modifiedWord/>
      <trackRevisions>false</trackRevisions>
    </reviewItem>
    <reviewItem>
      <errorID>25cb7552-8e2b-45c2-a3dd-0010615ca12a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3B2D045D</paraID>
      <start>0</start>
      <end>2</end>
      <status>unmodified</status>
      <modifiedWord/>
      <trackRevisions>false</trackRevisions>
    </reviewItem>
    <reviewItem>
      <errorID>122a116c-64aa-4a3c-b1b1-f63c10a52338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1E747731</paraID>
      <start>0</start>
      <end>2</end>
      <status>unmodified</status>
      <modifiedWord/>
      <trackRevisions>false</trackRevisions>
    </reviewItem>
    <reviewItem>
      <errorID>be86a619-87ae-4cb7-83e7-3e80f6bd7a2c</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6426259A</paraID>
      <start>0</start>
      <end>2</end>
      <status>unmodified</status>
      <modifiedWord/>
      <trackRevisions>false</trackRevisions>
    </reviewItem>
    <reviewItem>
      <errorID>b1f28e76-d49e-45d5-9897-ce2a61f30022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22F38961</paraID>
      <start>0</start>
      <end>2</end>
      <status>unmodified</status>
      <modifiedWord/>
      <trackRevisions>false</trackRevisions>
    </reviewItem>
    <reviewItem>
      <errorID>368b2f30-a647-4f06-b02e-9e429f97eea4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5A662AD8</paraID>
      <start>0</start>
      <end>2</end>
      <status>unmodified</status>
      <modifiedWord/>
      <trackRevisions>false</trackRevisions>
    </reviewItem>
    <reviewItem>
      <errorID>cde5e4e9-ee5c-4181-acd8-54852ece0b45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24196C8C</paraID>
      <start>0</start>
      <end>2</end>
      <status>unmodified</status>
      <modifiedWord/>
      <trackRevisions>false</trackRevisions>
    </reviewItem>
    <reviewItem>
      <errorID>848583c5-5bb1-4598-8423-378c1e4b7b94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4AB9BDEA</paraID>
      <start>0</start>
      <end>2</end>
      <status>unmodified</status>
      <modifiedWord/>
      <trackRevisions>false</trackRevisions>
    </reviewItem>
    <reviewItem>
      <errorID>ced466ae-414e-4c93-beb3-1f70cdfd6c3f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3945FD24</paraID>
      <start>0</start>
      <end>2</end>
      <status>unmodified</status>
      <modifiedWord/>
      <trackRevisions>false</trackRevisions>
    </reviewItem>
    <reviewItem>
      <errorID>6d5dead1-efd2-4f76-98d3-97b493156eda</errorID>
      <errorWord>第49条</errorWord>
      <group>L1_Knowledge</group>
      <groupName>知识性问题</groupName>
      <ability>L2_Knowledge</ability>
      <abilityName>其他知识</abilityName>
      <candidateList>
        <item>第四十九条</item>
      </candidateList>
      <explain/>
      <paraID>3945FD24</paraID>
      <start>17</start>
      <end>21</end>
      <status>unmodified</status>
      <modifiedWord/>
      <trackRevisions>false</trackRevisions>
    </reviewItem>
    <reviewItem>
      <errorID>943273b8-7590-418d-8b32-1b043c953cda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1FFB397D</paraID>
      <start>0</start>
      <end>2</end>
      <status>unmodified</status>
      <modifiedWord/>
      <trackRevisions>false</trackRevisions>
    </reviewItem>
    <reviewItem>
      <errorID>20135a15-8cb8-40cb-b9ab-3bff921f6546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587B756D</paraID>
      <start>0</start>
      <end>2</end>
      <status>unmodified</status>
      <modifiedWord/>
      <trackRevisions>false</trackRevisions>
    </reviewItem>
    <reviewItem>
      <errorID>9468a3a8-197f-47e2-92fb-dd634009dec3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19EF075</paraID>
      <start>0</start>
      <end>2</end>
      <status>unmodified</status>
      <modifiedWord/>
      <trackRevisions>false</trackRevisions>
    </reviewItem>
    <reviewItem>
      <errorID>d44a9f63-cd5a-401a-b532-c7bc9fe55540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3CDC0BBA</paraID>
      <start>0</start>
      <end>2</end>
      <status>unmodified</status>
      <modifiedWord/>
      <trackRevisions>false</trackRevisions>
    </reviewItem>
    <reviewItem>
      <errorID>7572eb58-0a93-4fca-ab3e-43d635c5bec2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4CCE056A</paraID>
      <start>0</start>
      <end>2</end>
      <status>unmodified</status>
      <modifiedWord/>
      <trackRevisions>false</trackRevisions>
    </reviewItem>
    <reviewItem>
      <errorID>182a4f9a-e952-4361-acf6-9e9458c1887d</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519A68F9</paraID>
      <start>0</start>
      <end>2</end>
      <status>unmodified</status>
      <modifiedWord/>
      <trackRevisions>false</trackRevisions>
    </reviewItem>
    <reviewItem>
      <errorID>6373935e-3548-455d-86dd-0cc5694a0eb2</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75E017AE</paraID>
      <start>0</start>
      <end>2</end>
      <status>unmodified</status>
      <modifiedWord/>
      <trackRevisions>false</trackRevisions>
    </reviewItem>
    <reviewItem>
      <errorID>633bd2ca-d72e-45ca-b748-802f05ce7ca3</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625352BD</paraID>
      <start>0</start>
      <end>2</end>
      <status>unmodified</status>
      <modifiedWord/>
      <trackRevisions>false</trackRevisions>
    </reviewItem>
    <reviewItem>
      <errorID>04e14243-1ee0-4caf-ac56-01a2c55fd197</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15E9C21B</paraID>
      <start>0</start>
      <end>2</end>
      <status>unmodified</status>
      <modifiedWord/>
      <trackRevisions>false</trackRevisions>
    </reviewItem>
    <reviewItem>
      <errorID>8369de94-87fb-4882-a499-c82c44ccd794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65C10E05</paraID>
      <start>0</start>
      <end>2</end>
      <status>unmodified</status>
      <modifiedWord/>
      <trackRevisions>false</trackRevisions>
    </reviewItem>
    <reviewItem>
      <errorID>ca90a932-d430-46b3-8838-0183170dd1a2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3398708E</paraID>
      <start>0</start>
      <end>2</end>
      <status>unmodified</status>
      <modifiedWord/>
      <trackRevisions>false</trackRevisions>
    </reviewItem>
    <reviewItem>
      <errorID>2cfed3d8-125f-4fad-90cf-cc124e50f90a</errorID>
      <errorWord>按《中华人民共和国</errorWord>
      <group>L1_Word</group>
      <groupName>字词问题</groupName>
      <ability>L2_Typo</ability>
      <abilityName>字词错误</abilityName>
      <candidateList>
        <item>按照《中华人民共和国</item>
      </candidateList>
      <explain/>
      <paraID> 5E06CC7</paraID>
      <start>15</start>
      <end>25</end>
      <status>modified</status>
      <modifiedWord>按照《中华人民共和国</modifiedWord>
      <trackRevisions>false</trackRevisions>
    </reviewItem>
    <reviewItem>
      <errorID>a01bb658-2bfd-475f-b5ce-ad3791c04bbc</errorID>
      <errorWord>法律、法规</errorWord>
      <group>L1_Word</group>
      <groupName>字词问题</groupName>
      <ability>L2_Typo</ability>
      <abilityName>字词错误</abilityName>
      <candidateList>
        <item>法律法规</item>
      </candidateList>
      <explain/>
      <paraID> 5E06CC7</paraID>
      <start>49</start>
      <end>54</end>
      <status>unmodified</status>
      <modifiedWord/>
      <trackRevisions>false</trackRevisions>
    </reviewItem>
    <reviewItem>
      <errorID>715edd32-50af-4020-a858-3bc55e0a8037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2161F589</paraID>
      <start>0</start>
      <end>2</end>
      <status>unmodified</status>
      <modifiedWord/>
      <trackRevisions>false</trackRevisions>
    </reviewItem>
    <reviewItem>
      <errorID>95f801d3-2bd5-4fb2-977f-5064ab86ed08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53A1C75B</paraID>
      <start>0</start>
      <end>2</end>
      <status>unmodified</status>
      <modifiedWord/>
      <trackRevisions>false</trackRevisions>
    </reviewItem>
    <reviewItem>
      <errorID>7a01bb22-1fde-4357-9ae6-a312139e8bb2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3B660741</paraID>
      <start>0</start>
      <end>2</end>
      <status>unmodified</status>
      <modifiedWord/>
      <trackRevisions>false</trackRevisions>
    </reviewItem>
    <reviewItem>
      <errorID>7aada67d-a59a-4b35-954f-0ca9bfda2ef0</errorID>
      <errorWord>&lt;</errorWord>
      <group>L1_Format</group>
      <groupName>格式问题</groupName>
      <ability>L2_HalfPunc_CN</ability>
      <abilityName/>
      <candidateList>
        <item>〈</item>
      </candidateList>
      <explain>文本全半角错误。</explain>
      <paraID>3B660741</paraID>
      <start>64</start>
      <end>65</end>
      <status>unmodified</status>
      <modifiedWord/>
      <trackRevisions>false</trackRevisions>
    </reviewItem>
    <reviewItem>
      <errorID>2361d5ea-2e95-45f5-88e5-3efea7960dc3</errorID>
      <errorWord>&gt;</errorWord>
      <group>L1_Format</group>
      <groupName>格式问题</groupName>
      <ability>L2_HalfPunc_CN</ability>
      <abilityName/>
      <candidateList>
        <item>〉</item>
      </candidateList>
      <explain>文本全半角错误。</explain>
      <paraID>3B660741</paraID>
      <start>81</start>
      <end>82</end>
      <status>unmodified</status>
      <modifiedWord/>
      <trackRevisions>false</trackRevisions>
    </reviewItem>
    <reviewItem>
      <errorID>068563f5-f81d-4a51-a377-73c8c2762579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73B78F38</paraID>
      <start>0</start>
      <end>2</end>
      <status>unmodified</status>
      <modifiedWord/>
      <trackRevisions>false</trackRevisions>
    </reviewItem>
    <reviewItem>
      <errorID>7c076a8f-0387-4c57-9303-1bf7c347a656</errorID>
      <errorWord>&lt;</errorWord>
      <group>L1_Format</group>
      <groupName>格式问题</groupName>
      <ability>L2_HalfPunc_CN</ability>
      <abilityName/>
      <candidateList>
        <item>〈</item>
      </candidateList>
      <explain>文本全半角错误。</explain>
      <paraID> 8BC9A24</paraID>
      <start>111</start>
      <end>112</end>
      <status>modified</status>
      <modifiedWord>〈</modifiedWord>
      <trackRevisions>false</trackRevisions>
    </reviewItem>
    <reviewItem>
      <errorID>1f344701-4a6e-45a3-a373-70af064865a0</errorID>
      <errorWord>&gt;的通知》</errorWord>
      <group>L1_Punc</group>
      <groupName>标点问题</groupName>
      <ability>L2_Punc_CN</ability>
      <abilityName/>
      <candidateList>
        <item>〉的通知》</item>
      </candidateList>
      <explain/>
      <paraID> 8BC9A24</paraID>
      <start>131</start>
      <end>136</end>
      <status>modified</status>
      <modifiedWord>〉的通知》</modifiedWord>
      <trackRevisions>false</trackRevisions>
    </reviewItem>
    <reviewItem>
      <errorID>ba23a400-2aae-4e95-9b2a-887615f3c181</errorID>
      <errorWord>“</errorWord>
      <group>L1_Punc</group>
      <groupName>标点问题</groupName>
      <ability>L2_Punc_CN</ability>
      <abilityName/>
      <candidateList/>
      <explain>此处标点可能未正确匹配，请检查句子中是否存在标点冗余、缺失或使用错误的情况。</explain>
      <paraID>3C130AA5</paraID>
      <start>16</start>
      <end>17</end>
      <status>unmodified</status>
      <modifiedWord/>
      <trackRevisions>false</trackRevisions>
    </reviewItem>
    <reviewItem>
      <errorID>17df3a97-42e9-485a-8402-95807b3cd298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292C48DC</paraID>
      <start>0</start>
      <end>2</end>
      <status>unmodified</status>
      <modifiedWord/>
      <trackRevisions>false</trackRevisions>
    </reviewItem>
    <reviewItem>
      <errorID>bf9e3224-3d2e-4ff6-9730-31f99080a52b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4384FCA5</paraID>
      <start>0</start>
      <end>2</end>
      <status>unmodified</status>
      <modifiedWord/>
      <trackRevisions>false</trackRevisions>
    </reviewItem>
    <reviewItem>
      <errorID>af81b637-fcf1-4502-bb3c-2964016df8e8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1A151130</paraID>
      <start>0</start>
      <end>2</end>
      <status>unmodified</status>
      <modifiedWord/>
      <trackRevisions>false</trackRevisions>
    </reviewItem>
    <reviewItem>
      <errorID>cad27329-7992-4ee5-b15d-1a773868ba05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7E0840D3</paraID>
      <start>0</start>
      <end>2</end>
      <status>unmodified</status>
      <modifiedWord/>
      <trackRevisions>false</trackRevisions>
    </reviewItem>
    <reviewItem>
      <errorID>5d1a4769-a3d9-4bf8-b27a-a4e4aa9c23d8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3FAED9F</paraID>
      <start>0</start>
      <end>2</end>
      <status>unmodified</status>
      <modifiedWord/>
      <trackRevisions>false</trackRevisions>
    </reviewItem>
    <reviewItem>
      <errorID>5527fd51-34f9-4700-9293-db4d15a97417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7C7A746B</paraID>
      <start>0</start>
      <end>2</end>
      <status>unmodified</status>
      <modifiedWord/>
      <trackRevisions>false</trackRevisions>
    </reviewItem>
    <reviewItem>
      <errorID>4457728f-2515-4053-b1d8-81ffeaf9f290</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18F0F3FC</paraID>
      <start>0</start>
      <end>2</end>
      <status>unmodified</status>
      <modifiedWord/>
      <trackRevisions>false</trackRevisions>
    </reviewItem>
    <reviewItem>
      <errorID>6448257c-ef4e-4383-bf06-5adbeadf7078</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63419C72</paraID>
      <start>0</start>
      <end>2</end>
      <status>unmodified</status>
      <modifiedWord/>
      <trackRevisions>false</trackRevisions>
    </reviewItem>
    <reviewItem>
      <errorID>c1f68baa-c843-44e0-bb8a-aa594a1ef461</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84499A0</paraID>
      <start>0</start>
      <end>2</end>
      <status>unmodified</status>
      <modifiedWord/>
      <trackRevisions>false</trackRevisions>
    </reviewItem>
    <reviewItem>
      <errorID>2afa4f9c-abaf-4092-909a-ad2b41580f6b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83827EB</paraID>
      <start>0</start>
      <end>2</end>
      <status>unmodified</status>
      <modifiedWord/>
      <trackRevisions>false</trackRevisions>
    </reviewItem>
    <reviewItem>
      <errorID>60f12dac-1fe2-43fa-8f6b-84d4921b9c29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1349536A</paraID>
      <start>0</start>
      <end>2</end>
      <status>unmodified</status>
      <modifiedWord/>
      <trackRevisions>false</trackRevisions>
    </reviewItem>
    <reviewItem>
      <errorID>55827e0f-47e9-4049-bfad-9dc7764d3e17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6A915F04</paraID>
      <start>0</start>
      <end>2</end>
      <status>unmodified</status>
      <modifiedWord/>
      <trackRevisions>false</trackRevisions>
    </reviewItem>
    <reviewItem>
      <errorID>9f6a7410-2b49-404a-8f84-abc10d68a21e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77667C7B</paraID>
      <start>0</start>
      <end>2</end>
      <status>unmodified</status>
      <modifiedWord/>
      <trackRevisions>false</trackRevisions>
    </reviewItem>
    <reviewItem>
      <errorID>8859e8cc-0249-488d-9c36-10e9d470849c</errorID>
      <errorWord>分</errorWord>
      <group>L1_Word</group>
      <groupName>字词问题</groupName>
      <ability>L2_Typo</ability>
      <abilityName>字词错误</abilityName>
      <candidateList>
        <item>人</item>
      </candidateList>
      <explain>〈名〉❶能制造工具并使用工具进行劳动的高等动物：男～｜女～｜～们｜～类。❷每人；一般人：～手一册｜～所共知。❸指成年人：长大成～。❹指某种人：工～｜军～｜主～｜介绍～。❺别人：～云亦云｜待～诚恳。❻指人的品质、性格或名誉：丢～｜这个同志～很好｜他～老实。❼指人的身体或意识：这两天～不大舒服｜送到医院～已经昏迷过去了。</explain>
      <paraID>77667C7B</paraID>
      <start>10</start>
      <end>11</end>
      <status>unmodified</status>
      <modifiedWord/>
      <trackRevisions>false</trackRevisions>
    </reviewItem>
    <reviewItem>
      <errorID>514f2ff1-c9cc-44a7-94df-e4ffcb3650dc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706A26EC</paraID>
      <start>0</start>
      <end>2</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b2033bb-49d0-418b-a6a3-839cc407eb6d}">
  <ds:schemaRefs/>
</ds:datastoreItem>
</file>

<file path=docProps/app.xml><?xml version="1.0" encoding="utf-8"?>
<Properties xmlns="http://schemas.openxmlformats.org/officeDocument/2006/extended-properties" xmlns:vt="http://schemas.openxmlformats.org/officeDocument/2006/docPropsVTypes">
  <Template>Normal.dotm</Template>
  <Pages>62</Pages>
  <Words>16597</Words>
  <Characters>18461</Characters>
  <TotalTime>92</TotalTime>
  <ScaleCrop>false</ScaleCrop>
  <LinksUpToDate>false</LinksUpToDate>
  <CharactersWithSpaces>18801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2025-11-18T04:16:00Z</dcterms:created>
  <dc:creator>叶素萍</dc:creator>
  <cp:lastModifiedBy>吴靓</cp:lastModifiedBy>
  <cp:lastPrinted>2026-06-17T06:54:00Z</cp:lastPrinted>
  <dcterms:modified xsi:type="dcterms:W3CDTF">2026-06-18T07:48:25Z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3BDA2412A89B4F49A3688729E9231158_13</vt:lpwstr>
  </property>
  <property fmtid="{D5CDD505-2E9C-101B-9397-08002B2CF9AE}" pid="4" name="KSOTemplateDocerSaveRecord">
    <vt:lpwstr>eyJoZGlkIjoiZGVlMjQwNWI4OTIwZmYyNjg3NDRiYWJjMGQ4NTNhOGIiLCJ1c2VySWQiOiIxMjQ5MDI1MDgzIn0=</vt:lpwstr>
  </property>
</Properties>
</file>