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宋体" w:hAnsi="宋体" w:eastAsia="宋体" w:cs="宋体"/>
          <w:b/>
          <w:bCs/>
          <w:color w:val="auto"/>
          <w:spacing w:val="0"/>
          <w:sz w:val="36"/>
          <w:szCs w:val="36"/>
        </w:rPr>
      </w:pPr>
      <w:r>
        <w:rPr>
          <w:rFonts w:hint="eastAsia" w:ascii="宋体" w:hAnsi="宋体" w:eastAsia="宋体" w:cs="宋体"/>
          <w:b/>
          <w:bCs/>
          <w:color w:val="auto"/>
          <w:spacing w:val="0"/>
          <w:sz w:val="36"/>
          <w:szCs w:val="36"/>
        </w:rPr>
      </w:r>
      <w:r/>
    </w:p>
    <w:p>
      <w:pPr>
        <w:jc w:val="center"/>
        <w:spacing w:line="360" w:lineRule="auto"/>
        <w:widowControl/>
        <w:rPr>
          <w:rFonts w:hint="eastAsia" w:ascii="宋体" w:hAnsi="宋体" w:eastAsia="宋体" w:cs="宋体"/>
          <w:b/>
          <w:bCs/>
          <w:color w:val="auto"/>
          <w:spacing w:val="0"/>
          <w:sz w:val="36"/>
          <w:szCs w:val="36"/>
        </w:rPr>
      </w:pPr>
      <w:r>
        <w:rPr>
          <w:rFonts w:hint="eastAsia" w:ascii="宋体" w:hAnsi="宋体" w:eastAsia="宋体" w:cs="宋体"/>
          <w:b/>
          <w:bCs/>
          <w:color w:val="auto"/>
          <w:spacing w:val="0"/>
          <w:sz w:val="36"/>
          <w:szCs w:val="36"/>
        </w:rPr>
      </w:r>
      <w:r/>
    </w:p>
    <w:p>
      <w:pPr>
        <w:jc w:val="center"/>
        <w:spacing w:line="360" w:lineRule="auto"/>
        <w:shd w:val="clear" w:color="auto" w:fill="ffffff"/>
        <w:widowControl/>
        <w:rPr>
          <w:rFonts w:hint="eastAsia" w:ascii="宋体" w:hAnsi="宋体" w:eastAsia="宋体" w:cs="宋体"/>
          <w:b/>
          <w:color w:val="auto"/>
          <w:spacing w:val="0"/>
          <w:sz w:val="36"/>
          <w:szCs w:val="36"/>
          <w:lang w:val="zh-CN" w:eastAsia="zh-CN"/>
        </w:rPr>
      </w:pPr>
      <w:r>
        <w:rPr>
          <w:rFonts w:hint="eastAsia" w:ascii="宋体" w:hAnsi="宋体" w:cs="宋体"/>
          <w:b/>
          <w:bCs/>
          <w:color w:val="auto"/>
          <w:spacing w:val="0"/>
          <w:sz w:val="36"/>
          <w:szCs w:val="36"/>
          <w:lang w:eastAsia="zh-CN"/>
        </w:rPr>
        <w:t xml:space="preserve">南京信息职业技术学院部分配电房增容改造项目</w:t>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t xml:space="preserve">公开招标文件</w:t>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color w:val="auto"/>
          <w:spacing w:val="0"/>
          <w:sz w:val="36"/>
          <w:szCs w:val="36"/>
          <w:lang w:val="en-US"/>
        </w:rPr>
      </w:pPr>
      <w:r>
        <w:rPr>
          <w:rFonts w:hint="eastAsia" w:ascii="宋体" w:hAnsi="宋体" w:eastAsia="宋体" w:cs="宋体"/>
          <w:b/>
          <w:color w:val="auto"/>
          <w:spacing w:val="0"/>
          <w:sz w:val="36"/>
          <w:szCs w:val="36"/>
        </w:rPr>
        <w:t xml:space="preserve">项目编号：</w:t>
      </w:r>
      <w:r>
        <w:rPr>
          <w:rFonts w:hint="eastAsia" w:ascii="宋体" w:hAnsi="宋体" w:cs="宋体"/>
          <w:b/>
          <w:color w:val="auto"/>
          <w:spacing w:val="0"/>
          <w:sz w:val="36"/>
          <w:szCs w:val="36"/>
          <w:lang w:eastAsia="zh-CN"/>
        </w:rPr>
        <w:t xml:space="preserve">JSZC-320000-JSGC-G2026-0031</w:t>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bCs/>
          <w:color w:val="auto"/>
          <w:spacing w:val="0"/>
          <w:sz w:val="36"/>
          <w:szCs w:val="36"/>
        </w:rPr>
      </w:pPr>
      <w:r>
        <w:rPr>
          <w:rFonts w:hint="eastAsia" w:ascii="宋体" w:hAnsi="宋体" w:eastAsia="宋体" w:cs="宋体"/>
          <w:b/>
          <w:bCs/>
          <w:color w:val="auto"/>
          <w:spacing w:val="0"/>
          <w:sz w:val="36"/>
          <w:szCs w:val="36"/>
        </w:rPr>
        <w:t xml:space="preserve">采购人：南京信息职业技术学院</w:t>
      </w:r>
      <w:r/>
    </w:p>
    <w:p>
      <w:pPr>
        <w:jc w:val="center"/>
        <w:spacing w:line="360" w:lineRule="auto"/>
        <w:widowControl/>
        <w:rPr>
          <w:rFonts w:hint="eastAsia" w:ascii="宋体" w:hAnsi="宋体" w:eastAsia="宋体" w:cs="宋体"/>
          <w:b/>
          <w:bCs/>
          <w:color w:val="auto"/>
          <w:spacing w:val="0"/>
          <w:sz w:val="36"/>
          <w:szCs w:val="36"/>
        </w:rPr>
      </w:pPr>
      <w:r>
        <w:rPr>
          <w:rFonts w:hint="eastAsia" w:ascii="宋体" w:hAnsi="宋体" w:eastAsia="宋体" w:cs="宋体"/>
          <w:b/>
          <w:bCs/>
          <w:color w:val="auto"/>
          <w:spacing w:val="0"/>
          <w:sz w:val="36"/>
          <w:szCs w:val="36"/>
        </w:rPr>
        <w:t xml:space="preserve">采购代理机构：江苏国采工程咨询有限公司</w:t>
      </w:r>
      <w:r/>
    </w:p>
    <w:p>
      <w:pPr>
        <w:jc w:val="center"/>
        <w:spacing w:line="360" w:lineRule="auto"/>
        <w:widowControl/>
        <w:rPr>
          <w:rFonts w:hint="eastAsia" w:ascii="宋体" w:hAnsi="宋体" w:eastAsia="宋体" w:cs="宋体"/>
          <w:b/>
          <w:bCs/>
          <w:color w:val="auto"/>
          <w:spacing w:val="0"/>
          <w:sz w:val="36"/>
          <w:szCs w:val="36"/>
        </w:rPr>
        <w:sectPr>
          <w:headerReference w:type="default" r:id="rId9"/>
          <w:headerReference w:type="first" r:id="rId10"/>
          <w:footerReference w:type="default" r:id="rId11"/>
          <w:footnotePr/>
          <w:endnotePr/>
          <w:type w:val="nextPage"/>
          <w:pgSz w:w="11906" w:h="16838" w:orient="portrait"/>
          <w:pgMar w:top="1134" w:right="1134" w:bottom="1134" w:left="1134" w:header="850" w:footer="850" w:gutter="0"/>
          <w:cols w:num="1" w:sep="0" w:space="0" w:equalWidth="1"/>
          <w:docGrid w:linePitch="360"/>
          <w:titlePg/>
        </w:sectPr>
      </w:pPr>
      <w:r>
        <w:rPr>
          <w:rFonts w:hint="eastAsia" w:ascii="宋体" w:hAnsi="宋体" w:cs="宋体"/>
          <w:b/>
          <w:bCs/>
          <w:color w:val="auto"/>
          <w:spacing w:val="0"/>
          <w:sz w:val="36"/>
          <w:szCs w:val="36"/>
          <w:lang w:val="en-US" w:eastAsia="zh-CN"/>
        </w:rPr>
        <w:t xml:space="preserve">2026</w:t>
      </w:r>
      <w:r>
        <w:rPr>
          <w:rFonts w:hint="eastAsia" w:ascii="宋体" w:hAnsi="宋体" w:eastAsia="宋体" w:cs="宋体"/>
          <w:b/>
          <w:bCs/>
          <w:color w:val="auto"/>
          <w:spacing w:val="0"/>
          <w:sz w:val="36"/>
          <w:szCs w:val="36"/>
        </w:rPr>
        <w:t xml:space="preserve">年</w:t>
      </w:r>
      <w:r>
        <w:rPr>
          <w:rFonts w:hint="eastAsia" w:ascii="宋体" w:hAnsi="宋体" w:cs="宋体"/>
          <w:b/>
          <w:bCs/>
          <w:color w:val="auto"/>
          <w:spacing w:val="0"/>
          <w:sz w:val="36"/>
          <w:szCs w:val="36"/>
          <w:lang w:val="en-US" w:eastAsia="zh-CN"/>
        </w:rPr>
        <w:t xml:space="preserve">7</w:t>
      </w:r>
      <w:r>
        <w:rPr>
          <w:rFonts w:hint="eastAsia" w:ascii="宋体" w:hAnsi="宋体" w:eastAsia="宋体" w:cs="宋体"/>
          <w:b/>
          <w:bCs/>
          <w:color w:val="auto"/>
          <w:spacing w:val="0"/>
          <w:sz w:val="36"/>
          <w:szCs w:val="36"/>
        </w:rPr>
        <w:t xml:space="preserve">月 </w:t>
      </w:r>
      <w:r/>
    </w:p>
    <w:sdt>
      <w:sdtPr>
        <w15:appearance w15:val="boundingBox"/>
        <w:id w:val="-1426032923"/>
        <w:docPartObj>
          <w:docPartGallery w:val="Table of Contents"/>
          <w:docPartUnique w:val="true"/>
        </w:docPartObj>
        <w:rPr>
          <w:rFonts w:hint="eastAsia" w:ascii="宋体" w:hAnsi="宋体" w:eastAsia="宋体" w:cs="宋体"/>
          <w:color w:val="auto"/>
          <w:spacing w:val="0"/>
          <w:sz w:val="21"/>
          <w:szCs w:val="24"/>
          <w:lang w:val="zh-CN"/>
        </w:rPr>
      </w:sdtPr>
      <w:sdtContent>
        <w:p>
          <w:pPr>
            <w:pStyle w:val="1092"/>
            <w:jc w:val="center"/>
            <w:rPr>
              <w:rFonts w:hint="eastAsia" w:ascii="宋体" w:hAnsi="宋体" w:eastAsia="宋体" w:cs="宋体"/>
              <w:b/>
              <w:bCs/>
              <w:color w:val="auto"/>
              <w:spacing w:val="0"/>
            </w:rPr>
          </w:pPr>
          <w:r/>
          <w:bookmarkStart w:id="0" w:name="OLE_LINK23"/>
          <w:r>
            <w:rPr>
              <w:rFonts w:hint="eastAsia" w:ascii="宋体" w:hAnsi="宋体" w:eastAsia="宋体" w:cs="宋体"/>
              <w:b/>
              <w:bCs/>
              <w:color w:val="auto"/>
              <w:spacing w:val="0"/>
              <w:lang w:val="zh-CN"/>
            </w:rPr>
            <w:t xml:space="preserve">目 录</w:t>
          </w:r>
          <w:bookmarkEnd w:id="0"/>
          <w:r/>
          <w:r/>
        </w:p>
        <w:p>
          <w:pPr>
            <w:pStyle w:val="932"/>
            <w:tabs>
              <w:tab w:val="right" w:pos="9016" w:leader="dot"/>
            </w:tabs>
            <w:rPr>
              <w:rFonts w:hint="eastAsia" w:ascii="宋体" w:hAnsi="宋体" w:eastAsia="宋体" w:cs="宋体"/>
              <w:b/>
              <w:bCs/>
              <w:color w:val="auto"/>
              <w:spacing w:val="0"/>
              <w:sz w:val="30"/>
              <w:szCs w:val="30"/>
              <w14:ligatures w14:val="standardContextual"/>
            </w:rPr>
          </w:pPr>
          <w:r>
            <w:rPr>
              <w:rFonts w:hint="eastAsia" w:ascii="宋体" w:hAnsi="宋体" w:eastAsia="宋体" w:cs="宋体"/>
              <w:color w:val="auto"/>
              <w:spacing w:val="0"/>
              <w:sz w:val="28"/>
              <w:szCs w:val="28"/>
            </w:rPr>
            <w:fldChar w:fldCharType="begin"/>
          </w:r>
          <w:r>
            <w:rPr>
              <w:rFonts w:hint="eastAsia" w:ascii="宋体" w:hAnsi="宋体" w:eastAsia="宋体" w:cs="宋体"/>
              <w:color w:val="auto"/>
              <w:spacing w:val="0"/>
              <w:sz w:val="28"/>
              <w:szCs w:val="28"/>
            </w:rPr>
            <w:instrText xml:space="preserve"> TOC \o "1-1" \h \z \u </w:instrText>
          </w:r>
          <w:r>
            <w:rPr>
              <w:rFonts w:hint="eastAsia" w:ascii="宋体" w:hAnsi="宋体" w:eastAsia="宋体" w:cs="宋体"/>
              <w:color w:val="auto"/>
              <w:spacing w:val="0"/>
              <w:sz w:val="28"/>
              <w:szCs w:val="28"/>
            </w:rPr>
            <w:fldChar w:fldCharType="separate"/>
          </w:r>
          <w:r>
            <w:rPr>
              <w:rFonts w:hint="eastAsia" w:ascii="宋体" w:hAnsi="宋体" w:eastAsia="宋体" w:cs="宋体"/>
              <w:color w:val="auto"/>
              <w:spacing w:val="0"/>
            </w:rPr>
            <w:fldChar w:fldCharType="begin"/>
          </w:r>
          <w:r>
            <w:rPr>
              <w:rFonts w:hint="eastAsia" w:ascii="宋体" w:hAnsi="宋体" w:eastAsia="宋体" w:cs="宋体"/>
              <w:color w:val="auto"/>
              <w:spacing w:val="0"/>
            </w:rPr>
            <w:instrText xml:space="preserve"> HYPERLINK \l "_Toc176529667" </w:instrText>
          </w:r>
          <w:r>
            <w:rPr>
              <w:rFonts w:hint="eastAsia" w:ascii="宋体" w:hAnsi="宋体" w:eastAsia="宋体" w:cs="宋体"/>
              <w:color w:val="auto"/>
              <w:spacing w:val="0"/>
            </w:rPr>
            <w:fldChar w:fldCharType="separate"/>
          </w:r>
          <w:r>
            <w:rPr>
              <w:rStyle w:val="951"/>
              <w:rFonts w:hint="eastAsia" w:ascii="宋体" w:hAnsi="宋体" w:eastAsia="宋体" w:cs="宋体"/>
              <w:b/>
              <w:bCs/>
              <w:color w:val="auto"/>
              <w:spacing w:val="0"/>
              <w:sz w:val="30"/>
              <w:szCs w:val="30"/>
            </w:rPr>
            <w:t xml:space="preserve">第一章 招标公告</w:t>
          </w:r>
          <w:r>
            <w:rPr>
              <w:rFonts w:hint="eastAsia" w:ascii="宋体" w:hAnsi="宋体" w:eastAsia="宋体" w:cs="宋体"/>
              <w:b/>
              <w:bCs/>
              <w:color w:val="auto"/>
              <w:spacing w:val="0"/>
              <w:sz w:val="30"/>
              <w:szCs w:val="30"/>
            </w:rPr>
            <w:tab/>
          </w:r>
          <w:r>
            <w:rPr>
              <w:rFonts w:hint="eastAsia" w:ascii="宋体" w:hAnsi="宋体" w:eastAsia="宋体" w:cs="宋体"/>
              <w:b/>
              <w:bCs/>
              <w:color w:val="auto"/>
              <w:spacing w:val="0"/>
              <w:sz w:val="30"/>
              <w:szCs w:val="30"/>
            </w:rPr>
            <w:fldChar w:fldCharType="begin"/>
          </w:r>
          <w:r>
            <w:rPr>
              <w:rFonts w:hint="eastAsia" w:ascii="宋体" w:hAnsi="宋体" w:eastAsia="宋体" w:cs="宋体"/>
              <w:b/>
              <w:bCs/>
              <w:color w:val="auto"/>
              <w:spacing w:val="0"/>
              <w:sz w:val="30"/>
              <w:szCs w:val="30"/>
            </w:rPr>
            <w:instrText xml:space="preserve"> PAGEREF _Toc176529667 \h </w:instrText>
          </w:r>
          <w:r>
            <w:rPr>
              <w:rFonts w:hint="eastAsia" w:ascii="宋体" w:hAnsi="宋体" w:eastAsia="宋体" w:cs="宋体"/>
              <w:b/>
              <w:bCs/>
              <w:color w:val="auto"/>
              <w:spacing w:val="0"/>
              <w:sz w:val="30"/>
              <w:szCs w:val="30"/>
            </w:rPr>
            <w:fldChar w:fldCharType="separate"/>
          </w:r>
          <w:r>
            <w:rPr>
              <w:rFonts w:hint="eastAsia" w:ascii="宋体" w:hAnsi="宋体" w:eastAsia="宋体" w:cs="宋体"/>
              <w:b/>
              <w:bCs/>
              <w:color w:val="auto"/>
              <w:spacing w:val="0"/>
              <w:sz w:val="30"/>
              <w:szCs w:val="30"/>
            </w:rPr>
            <w:t xml:space="preserve">1</w:t>
          </w:r>
          <w:r>
            <w:rPr>
              <w:rFonts w:hint="eastAsia" w:ascii="宋体" w:hAnsi="宋体" w:eastAsia="宋体" w:cs="宋体"/>
              <w:b/>
              <w:bCs/>
              <w:color w:val="auto"/>
              <w:spacing w:val="0"/>
              <w:sz w:val="30"/>
              <w:szCs w:val="30"/>
            </w:rPr>
            <w:fldChar w:fldCharType="end"/>
          </w:r>
          <w:r>
            <w:rPr>
              <w:rFonts w:hint="eastAsia" w:ascii="宋体" w:hAnsi="宋体" w:eastAsia="宋体" w:cs="宋体"/>
              <w:b/>
              <w:bCs/>
              <w:color w:val="auto"/>
              <w:spacing w:val="0"/>
              <w:sz w:val="30"/>
              <w:szCs w:val="30"/>
            </w:rPr>
            <w:fldChar w:fldCharType="end"/>
          </w:r>
          <w:r/>
        </w:p>
        <w:p>
          <w:pPr>
            <w:pStyle w:val="932"/>
            <w:tabs>
              <w:tab w:val="right" w:pos="9016" w:leader="dot"/>
            </w:tabs>
            <w:rPr>
              <w:rFonts w:hint="eastAsia" w:ascii="宋体" w:hAnsi="宋体" w:eastAsia="宋体" w:cs="宋体"/>
              <w:b/>
              <w:bCs/>
              <w:color w:val="auto"/>
              <w:spacing w:val="0"/>
              <w:sz w:val="30"/>
              <w:szCs w:val="30"/>
              <w14:ligatures w14:val="standardContextual"/>
            </w:rPr>
          </w:pPr>
          <w:r>
            <w:rPr>
              <w:rFonts w:hint="eastAsia" w:ascii="宋体" w:hAnsi="宋体" w:eastAsia="宋体" w:cs="宋体"/>
              <w:color w:val="auto"/>
              <w:spacing w:val="0"/>
            </w:rPr>
            <w:fldChar w:fldCharType="begin"/>
          </w:r>
          <w:r>
            <w:rPr>
              <w:rFonts w:hint="eastAsia" w:ascii="宋体" w:hAnsi="宋体" w:eastAsia="宋体" w:cs="宋体"/>
              <w:color w:val="auto"/>
              <w:spacing w:val="0"/>
            </w:rPr>
            <w:instrText xml:space="preserve"> HYPERLINK \l "_Toc176529668" </w:instrText>
          </w:r>
          <w:r>
            <w:rPr>
              <w:rFonts w:hint="eastAsia" w:ascii="宋体" w:hAnsi="宋体" w:eastAsia="宋体" w:cs="宋体"/>
              <w:color w:val="auto"/>
              <w:spacing w:val="0"/>
            </w:rPr>
            <w:fldChar w:fldCharType="separate"/>
          </w:r>
          <w:r>
            <w:rPr>
              <w:rStyle w:val="951"/>
              <w:rFonts w:hint="eastAsia" w:ascii="宋体" w:hAnsi="宋体" w:eastAsia="宋体" w:cs="宋体"/>
              <w:b/>
              <w:bCs/>
              <w:color w:val="auto"/>
              <w:spacing w:val="0"/>
              <w:sz w:val="30"/>
              <w:szCs w:val="30"/>
            </w:rPr>
            <w:t xml:space="preserve">第二章 投标人须知</w:t>
          </w:r>
          <w:r>
            <w:rPr>
              <w:rFonts w:hint="eastAsia" w:ascii="宋体" w:hAnsi="宋体" w:eastAsia="宋体" w:cs="宋体"/>
              <w:b/>
              <w:bCs/>
              <w:color w:val="auto"/>
              <w:spacing w:val="0"/>
              <w:sz w:val="30"/>
              <w:szCs w:val="30"/>
            </w:rPr>
            <w:tab/>
          </w:r>
          <w:r>
            <w:rPr>
              <w:rFonts w:hint="eastAsia" w:ascii="宋体" w:hAnsi="宋体" w:eastAsia="宋体" w:cs="宋体"/>
              <w:b/>
              <w:bCs/>
              <w:color w:val="auto"/>
              <w:spacing w:val="0"/>
              <w:sz w:val="30"/>
              <w:szCs w:val="30"/>
            </w:rPr>
            <w:fldChar w:fldCharType="begin"/>
          </w:r>
          <w:r>
            <w:rPr>
              <w:rFonts w:hint="eastAsia" w:ascii="宋体" w:hAnsi="宋体" w:eastAsia="宋体" w:cs="宋体"/>
              <w:b/>
              <w:bCs/>
              <w:color w:val="auto"/>
              <w:spacing w:val="0"/>
              <w:sz w:val="30"/>
              <w:szCs w:val="30"/>
            </w:rPr>
            <w:instrText xml:space="preserve"> PAGEREF _Toc176529668 \h </w:instrText>
          </w:r>
          <w:r>
            <w:rPr>
              <w:rFonts w:hint="eastAsia" w:ascii="宋体" w:hAnsi="宋体" w:eastAsia="宋体" w:cs="宋体"/>
              <w:b/>
              <w:bCs/>
              <w:color w:val="auto"/>
              <w:spacing w:val="0"/>
              <w:sz w:val="30"/>
              <w:szCs w:val="30"/>
            </w:rPr>
            <w:fldChar w:fldCharType="separate"/>
          </w:r>
          <w:r>
            <w:rPr>
              <w:rFonts w:hint="eastAsia" w:ascii="宋体" w:hAnsi="宋体" w:eastAsia="宋体" w:cs="宋体"/>
              <w:b/>
              <w:bCs/>
              <w:color w:val="auto"/>
              <w:spacing w:val="0"/>
              <w:sz w:val="30"/>
              <w:szCs w:val="30"/>
            </w:rPr>
            <w:t xml:space="preserve">4</w:t>
          </w:r>
          <w:r>
            <w:rPr>
              <w:rFonts w:hint="eastAsia" w:ascii="宋体" w:hAnsi="宋体" w:eastAsia="宋体" w:cs="宋体"/>
              <w:b/>
              <w:bCs/>
              <w:color w:val="auto"/>
              <w:spacing w:val="0"/>
              <w:sz w:val="30"/>
              <w:szCs w:val="30"/>
            </w:rPr>
            <w:fldChar w:fldCharType="end"/>
          </w:r>
          <w:r>
            <w:rPr>
              <w:rFonts w:hint="eastAsia" w:ascii="宋体" w:hAnsi="宋体" w:eastAsia="宋体" w:cs="宋体"/>
              <w:b/>
              <w:bCs/>
              <w:color w:val="auto"/>
              <w:spacing w:val="0"/>
              <w:sz w:val="30"/>
              <w:szCs w:val="30"/>
            </w:rPr>
            <w:fldChar w:fldCharType="end"/>
          </w:r>
          <w:r/>
        </w:p>
        <w:p>
          <w:pPr>
            <w:pStyle w:val="932"/>
            <w:tabs>
              <w:tab w:val="right" w:pos="9016" w:leader="dot"/>
            </w:tabs>
            <w:rPr>
              <w:rFonts w:hint="eastAsia" w:ascii="宋体" w:hAnsi="宋体" w:eastAsia="宋体" w:cs="宋体"/>
              <w:b/>
              <w:bCs/>
              <w:color w:val="auto"/>
              <w:spacing w:val="0"/>
              <w:sz w:val="30"/>
              <w:szCs w:val="30"/>
              <w14:ligatures w14:val="standardContextual"/>
            </w:rPr>
          </w:pPr>
          <w:r>
            <w:rPr>
              <w:rFonts w:hint="eastAsia" w:ascii="宋体" w:hAnsi="宋体" w:eastAsia="宋体" w:cs="宋体"/>
              <w:color w:val="auto"/>
              <w:spacing w:val="0"/>
            </w:rPr>
            <w:fldChar w:fldCharType="begin"/>
          </w:r>
          <w:r>
            <w:rPr>
              <w:rFonts w:hint="eastAsia" w:ascii="宋体" w:hAnsi="宋体" w:eastAsia="宋体" w:cs="宋体"/>
              <w:color w:val="auto"/>
              <w:spacing w:val="0"/>
            </w:rPr>
            <w:instrText xml:space="preserve"> HYPERLINK \l "_Toc176529669" </w:instrText>
          </w:r>
          <w:r>
            <w:rPr>
              <w:rFonts w:hint="eastAsia" w:ascii="宋体" w:hAnsi="宋体" w:eastAsia="宋体" w:cs="宋体"/>
              <w:color w:val="auto"/>
              <w:spacing w:val="0"/>
            </w:rPr>
            <w:fldChar w:fldCharType="separate"/>
          </w:r>
          <w:r>
            <w:rPr>
              <w:rStyle w:val="951"/>
              <w:rFonts w:hint="eastAsia" w:ascii="宋体" w:hAnsi="宋体" w:eastAsia="宋体" w:cs="宋体"/>
              <w:b/>
              <w:bCs/>
              <w:color w:val="auto"/>
              <w:spacing w:val="0"/>
              <w:sz w:val="30"/>
              <w:szCs w:val="30"/>
            </w:rPr>
            <w:t xml:space="preserve">第三章 评标标准</w:t>
          </w:r>
          <w:r>
            <w:rPr>
              <w:rFonts w:hint="eastAsia" w:ascii="宋体" w:hAnsi="宋体" w:eastAsia="宋体" w:cs="宋体"/>
              <w:b/>
              <w:bCs/>
              <w:color w:val="auto"/>
              <w:spacing w:val="0"/>
              <w:sz w:val="30"/>
              <w:szCs w:val="30"/>
            </w:rPr>
            <w:tab/>
          </w:r>
          <w:r>
            <w:rPr>
              <w:rFonts w:hint="eastAsia" w:ascii="宋体" w:hAnsi="宋体" w:eastAsia="宋体" w:cs="宋体"/>
              <w:b/>
              <w:bCs/>
              <w:color w:val="auto"/>
              <w:spacing w:val="0"/>
              <w:sz w:val="30"/>
              <w:szCs w:val="30"/>
            </w:rPr>
            <w:fldChar w:fldCharType="begin"/>
          </w:r>
          <w:r>
            <w:rPr>
              <w:rFonts w:hint="eastAsia" w:ascii="宋体" w:hAnsi="宋体" w:eastAsia="宋体" w:cs="宋体"/>
              <w:b/>
              <w:bCs/>
              <w:color w:val="auto"/>
              <w:spacing w:val="0"/>
              <w:sz w:val="30"/>
              <w:szCs w:val="30"/>
            </w:rPr>
            <w:instrText xml:space="preserve"> PAGEREF _Toc176529669 \h </w:instrText>
          </w:r>
          <w:r>
            <w:rPr>
              <w:rFonts w:hint="eastAsia" w:ascii="宋体" w:hAnsi="宋体" w:eastAsia="宋体" w:cs="宋体"/>
              <w:b/>
              <w:bCs/>
              <w:color w:val="auto"/>
              <w:spacing w:val="0"/>
              <w:sz w:val="30"/>
              <w:szCs w:val="30"/>
            </w:rPr>
            <w:fldChar w:fldCharType="separate"/>
          </w:r>
          <w:r>
            <w:rPr>
              <w:rFonts w:hint="eastAsia" w:ascii="宋体" w:hAnsi="宋体" w:eastAsia="宋体" w:cs="宋体"/>
              <w:b/>
              <w:bCs/>
              <w:color w:val="auto"/>
              <w:spacing w:val="0"/>
              <w:sz w:val="30"/>
              <w:szCs w:val="30"/>
            </w:rPr>
            <w:t xml:space="preserve">18</w:t>
          </w:r>
          <w:r>
            <w:rPr>
              <w:rFonts w:hint="eastAsia" w:ascii="宋体" w:hAnsi="宋体" w:eastAsia="宋体" w:cs="宋体"/>
              <w:b/>
              <w:bCs/>
              <w:color w:val="auto"/>
              <w:spacing w:val="0"/>
              <w:sz w:val="30"/>
              <w:szCs w:val="30"/>
            </w:rPr>
            <w:fldChar w:fldCharType="end"/>
          </w:r>
          <w:r>
            <w:rPr>
              <w:rFonts w:hint="eastAsia" w:ascii="宋体" w:hAnsi="宋体" w:eastAsia="宋体" w:cs="宋体"/>
              <w:b/>
              <w:bCs/>
              <w:color w:val="auto"/>
              <w:spacing w:val="0"/>
              <w:sz w:val="30"/>
              <w:szCs w:val="30"/>
            </w:rPr>
            <w:fldChar w:fldCharType="end"/>
          </w:r>
          <w:r/>
        </w:p>
        <w:p>
          <w:pPr>
            <w:pStyle w:val="932"/>
            <w:tabs>
              <w:tab w:val="right" w:pos="9016" w:leader="dot"/>
            </w:tabs>
            <w:rPr>
              <w:rFonts w:hint="eastAsia" w:ascii="宋体" w:hAnsi="宋体" w:eastAsia="宋体" w:cs="宋体"/>
              <w:b/>
              <w:bCs/>
              <w:color w:val="auto"/>
              <w:spacing w:val="0"/>
              <w:sz w:val="30"/>
              <w:szCs w:val="30"/>
              <w14:ligatures w14:val="standardContextual"/>
            </w:rPr>
          </w:pPr>
          <w:r>
            <w:rPr>
              <w:rFonts w:hint="eastAsia" w:ascii="宋体" w:hAnsi="宋体" w:eastAsia="宋体" w:cs="宋体"/>
              <w:color w:val="auto"/>
              <w:spacing w:val="0"/>
            </w:rPr>
            <w:fldChar w:fldCharType="begin"/>
          </w:r>
          <w:r>
            <w:rPr>
              <w:rFonts w:hint="eastAsia" w:ascii="宋体" w:hAnsi="宋体" w:eastAsia="宋体" w:cs="宋体"/>
              <w:color w:val="auto"/>
              <w:spacing w:val="0"/>
            </w:rPr>
            <w:instrText xml:space="preserve"> HYPERLINK \l "_Toc176529670" </w:instrText>
          </w:r>
          <w:r>
            <w:rPr>
              <w:rFonts w:hint="eastAsia" w:ascii="宋体" w:hAnsi="宋体" w:eastAsia="宋体" w:cs="宋体"/>
              <w:color w:val="auto"/>
              <w:spacing w:val="0"/>
            </w:rPr>
            <w:fldChar w:fldCharType="separate"/>
          </w:r>
          <w:r>
            <w:rPr>
              <w:rStyle w:val="951"/>
              <w:rFonts w:hint="eastAsia" w:ascii="宋体" w:hAnsi="宋体" w:eastAsia="宋体" w:cs="宋体"/>
              <w:b/>
              <w:bCs/>
              <w:color w:val="auto"/>
              <w:spacing w:val="0"/>
              <w:sz w:val="30"/>
              <w:szCs w:val="30"/>
            </w:rPr>
            <w:t xml:space="preserve">第四章 采购项目的内容和相关技术要求等</w:t>
          </w:r>
          <w:r>
            <w:rPr>
              <w:rFonts w:hint="eastAsia" w:ascii="宋体" w:hAnsi="宋体" w:eastAsia="宋体" w:cs="宋体"/>
              <w:b/>
              <w:bCs/>
              <w:color w:val="auto"/>
              <w:spacing w:val="0"/>
              <w:sz w:val="30"/>
              <w:szCs w:val="30"/>
            </w:rPr>
            <w:tab/>
          </w:r>
          <w:r>
            <w:rPr>
              <w:rFonts w:hint="eastAsia" w:ascii="宋体" w:hAnsi="宋体" w:eastAsia="宋体" w:cs="宋体"/>
              <w:b/>
              <w:bCs/>
              <w:color w:val="auto"/>
              <w:spacing w:val="0"/>
              <w:sz w:val="30"/>
              <w:szCs w:val="30"/>
            </w:rPr>
            <w:fldChar w:fldCharType="begin"/>
          </w:r>
          <w:r>
            <w:rPr>
              <w:rFonts w:hint="eastAsia" w:ascii="宋体" w:hAnsi="宋体" w:eastAsia="宋体" w:cs="宋体"/>
              <w:b/>
              <w:bCs/>
              <w:color w:val="auto"/>
              <w:spacing w:val="0"/>
              <w:sz w:val="30"/>
              <w:szCs w:val="30"/>
            </w:rPr>
            <w:instrText xml:space="preserve"> PAGEREF _Toc176529670 \h </w:instrText>
          </w:r>
          <w:r>
            <w:rPr>
              <w:rFonts w:hint="eastAsia" w:ascii="宋体" w:hAnsi="宋体" w:eastAsia="宋体" w:cs="宋体"/>
              <w:b/>
              <w:bCs/>
              <w:color w:val="auto"/>
              <w:spacing w:val="0"/>
              <w:sz w:val="30"/>
              <w:szCs w:val="30"/>
            </w:rPr>
            <w:fldChar w:fldCharType="separate"/>
          </w:r>
          <w:r>
            <w:rPr>
              <w:rFonts w:hint="eastAsia" w:ascii="宋体" w:hAnsi="宋体" w:eastAsia="宋体" w:cs="宋体"/>
              <w:b/>
              <w:bCs/>
              <w:color w:val="auto"/>
              <w:spacing w:val="0"/>
              <w:sz w:val="30"/>
              <w:szCs w:val="30"/>
            </w:rPr>
            <w:t xml:space="preserve">21</w:t>
          </w:r>
          <w:r>
            <w:rPr>
              <w:rFonts w:hint="eastAsia" w:ascii="宋体" w:hAnsi="宋体" w:eastAsia="宋体" w:cs="宋体"/>
              <w:b/>
              <w:bCs/>
              <w:color w:val="auto"/>
              <w:spacing w:val="0"/>
              <w:sz w:val="30"/>
              <w:szCs w:val="30"/>
            </w:rPr>
            <w:fldChar w:fldCharType="end"/>
          </w:r>
          <w:r>
            <w:rPr>
              <w:rFonts w:hint="eastAsia" w:ascii="宋体" w:hAnsi="宋体" w:eastAsia="宋体" w:cs="宋体"/>
              <w:b/>
              <w:bCs/>
              <w:color w:val="auto"/>
              <w:spacing w:val="0"/>
              <w:sz w:val="30"/>
              <w:szCs w:val="30"/>
            </w:rPr>
            <w:fldChar w:fldCharType="end"/>
          </w:r>
          <w:r/>
        </w:p>
        <w:p>
          <w:pPr>
            <w:pStyle w:val="932"/>
            <w:tabs>
              <w:tab w:val="right" w:pos="9016" w:leader="dot"/>
            </w:tabs>
            <w:rPr>
              <w:rFonts w:hint="eastAsia" w:ascii="宋体" w:hAnsi="宋体" w:eastAsia="宋体" w:cs="宋体"/>
              <w:b/>
              <w:bCs/>
              <w:color w:val="auto"/>
              <w:spacing w:val="0"/>
              <w:sz w:val="30"/>
              <w:szCs w:val="30"/>
              <w14:ligatures w14:val="standardContextual"/>
            </w:rPr>
          </w:pPr>
          <w:r>
            <w:rPr>
              <w:rFonts w:hint="eastAsia" w:ascii="宋体" w:hAnsi="宋体" w:eastAsia="宋体" w:cs="宋体"/>
              <w:color w:val="auto"/>
              <w:spacing w:val="0"/>
            </w:rPr>
            <w:fldChar w:fldCharType="begin"/>
          </w:r>
          <w:r>
            <w:rPr>
              <w:rFonts w:hint="eastAsia" w:ascii="宋体" w:hAnsi="宋体" w:eastAsia="宋体" w:cs="宋体"/>
              <w:color w:val="auto"/>
              <w:spacing w:val="0"/>
            </w:rPr>
            <w:instrText xml:space="preserve"> HYPERLINK \l "_Toc176529671" </w:instrText>
          </w:r>
          <w:r>
            <w:rPr>
              <w:rFonts w:hint="eastAsia" w:ascii="宋体" w:hAnsi="宋体" w:eastAsia="宋体" w:cs="宋体"/>
              <w:color w:val="auto"/>
              <w:spacing w:val="0"/>
            </w:rPr>
            <w:fldChar w:fldCharType="separate"/>
          </w:r>
          <w:r>
            <w:rPr>
              <w:rStyle w:val="951"/>
              <w:rFonts w:hint="eastAsia" w:ascii="宋体" w:hAnsi="宋体" w:eastAsia="宋体" w:cs="宋体"/>
              <w:b/>
              <w:bCs/>
              <w:color w:val="auto"/>
              <w:spacing w:val="0"/>
              <w:sz w:val="30"/>
              <w:szCs w:val="30"/>
            </w:rPr>
            <w:t xml:space="preserve">第五章 合同主要条款及格式</w:t>
          </w:r>
          <w:r>
            <w:rPr>
              <w:rFonts w:hint="eastAsia" w:ascii="宋体" w:hAnsi="宋体" w:eastAsia="宋体" w:cs="宋体"/>
              <w:b/>
              <w:bCs/>
              <w:color w:val="auto"/>
              <w:spacing w:val="0"/>
              <w:sz w:val="30"/>
              <w:szCs w:val="30"/>
            </w:rPr>
            <w:tab/>
          </w:r>
          <w:r>
            <w:rPr>
              <w:rFonts w:hint="eastAsia" w:ascii="宋体" w:hAnsi="宋体" w:eastAsia="宋体" w:cs="宋体"/>
              <w:b/>
              <w:bCs/>
              <w:color w:val="auto"/>
              <w:spacing w:val="0"/>
              <w:sz w:val="30"/>
              <w:szCs w:val="30"/>
            </w:rPr>
            <w:fldChar w:fldCharType="begin"/>
          </w:r>
          <w:r>
            <w:rPr>
              <w:rFonts w:hint="eastAsia" w:ascii="宋体" w:hAnsi="宋体" w:eastAsia="宋体" w:cs="宋体"/>
              <w:b/>
              <w:bCs/>
              <w:color w:val="auto"/>
              <w:spacing w:val="0"/>
              <w:sz w:val="30"/>
              <w:szCs w:val="30"/>
            </w:rPr>
            <w:instrText xml:space="preserve"> PAGEREF _Toc176529671 \h </w:instrText>
          </w:r>
          <w:r>
            <w:rPr>
              <w:rFonts w:hint="eastAsia" w:ascii="宋体" w:hAnsi="宋体" w:eastAsia="宋体" w:cs="宋体"/>
              <w:b/>
              <w:bCs/>
              <w:color w:val="auto"/>
              <w:spacing w:val="0"/>
              <w:sz w:val="30"/>
              <w:szCs w:val="30"/>
            </w:rPr>
            <w:fldChar w:fldCharType="separate"/>
          </w:r>
          <w:r>
            <w:rPr>
              <w:rFonts w:hint="eastAsia" w:ascii="宋体" w:hAnsi="宋体" w:eastAsia="宋体" w:cs="宋体"/>
              <w:b/>
              <w:bCs/>
              <w:color w:val="auto"/>
              <w:spacing w:val="0"/>
              <w:sz w:val="30"/>
              <w:szCs w:val="30"/>
            </w:rPr>
            <w:t xml:space="preserve">50</w:t>
          </w:r>
          <w:r>
            <w:rPr>
              <w:rFonts w:hint="eastAsia" w:ascii="宋体" w:hAnsi="宋体" w:eastAsia="宋体" w:cs="宋体"/>
              <w:b/>
              <w:bCs/>
              <w:color w:val="auto"/>
              <w:spacing w:val="0"/>
              <w:sz w:val="30"/>
              <w:szCs w:val="30"/>
            </w:rPr>
            <w:fldChar w:fldCharType="end"/>
          </w:r>
          <w:r>
            <w:rPr>
              <w:rFonts w:hint="eastAsia" w:ascii="宋体" w:hAnsi="宋体" w:eastAsia="宋体" w:cs="宋体"/>
              <w:b/>
              <w:bCs/>
              <w:color w:val="auto"/>
              <w:spacing w:val="0"/>
              <w:sz w:val="30"/>
              <w:szCs w:val="30"/>
            </w:rPr>
            <w:fldChar w:fldCharType="end"/>
          </w:r>
          <w:r/>
        </w:p>
        <w:p>
          <w:pPr>
            <w:pStyle w:val="932"/>
            <w:tabs>
              <w:tab w:val="right" w:pos="9016" w:leader="dot"/>
            </w:tabs>
            <w:rPr>
              <w:rFonts w:hint="eastAsia" w:ascii="宋体" w:hAnsi="宋体" w:eastAsia="宋体" w:cs="宋体"/>
              <w:b/>
              <w:bCs/>
              <w:color w:val="auto"/>
              <w:spacing w:val="0"/>
              <w:sz w:val="30"/>
              <w:szCs w:val="30"/>
              <w14:ligatures w14:val="standardContextual"/>
            </w:rPr>
          </w:pPr>
          <w:r>
            <w:rPr>
              <w:rFonts w:hint="eastAsia" w:ascii="宋体" w:hAnsi="宋体" w:eastAsia="宋体" w:cs="宋体"/>
              <w:color w:val="auto"/>
              <w:spacing w:val="0"/>
            </w:rPr>
            <w:fldChar w:fldCharType="begin"/>
          </w:r>
          <w:r>
            <w:rPr>
              <w:rFonts w:hint="eastAsia" w:ascii="宋体" w:hAnsi="宋体" w:eastAsia="宋体" w:cs="宋体"/>
              <w:color w:val="auto"/>
              <w:spacing w:val="0"/>
            </w:rPr>
            <w:instrText xml:space="preserve"> HYPERLINK \l "_Toc176529672" </w:instrText>
          </w:r>
          <w:r>
            <w:rPr>
              <w:rFonts w:hint="eastAsia" w:ascii="宋体" w:hAnsi="宋体" w:eastAsia="宋体" w:cs="宋体"/>
              <w:color w:val="auto"/>
              <w:spacing w:val="0"/>
            </w:rPr>
            <w:fldChar w:fldCharType="separate"/>
          </w:r>
          <w:r>
            <w:rPr>
              <w:rStyle w:val="951"/>
              <w:rFonts w:hint="eastAsia" w:ascii="宋体" w:hAnsi="宋体" w:eastAsia="宋体" w:cs="宋体"/>
              <w:b/>
              <w:bCs/>
              <w:color w:val="auto"/>
              <w:spacing w:val="0"/>
              <w:sz w:val="30"/>
              <w:szCs w:val="30"/>
            </w:rPr>
            <w:t xml:space="preserve">第六章 投标文件格式</w:t>
          </w:r>
          <w:r>
            <w:rPr>
              <w:rFonts w:hint="eastAsia" w:ascii="宋体" w:hAnsi="宋体" w:eastAsia="宋体" w:cs="宋体"/>
              <w:b/>
              <w:bCs/>
              <w:color w:val="auto"/>
              <w:spacing w:val="0"/>
              <w:sz w:val="30"/>
              <w:szCs w:val="30"/>
            </w:rPr>
            <w:tab/>
          </w:r>
          <w:r>
            <w:rPr>
              <w:rFonts w:hint="eastAsia" w:ascii="宋体" w:hAnsi="宋体" w:eastAsia="宋体" w:cs="宋体"/>
              <w:b/>
              <w:bCs/>
              <w:color w:val="auto"/>
              <w:spacing w:val="0"/>
              <w:sz w:val="30"/>
              <w:szCs w:val="30"/>
            </w:rPr>
            <w:fldChar w:fldCharType="begin"/>
          </w:r>
          <w:r>
            <w:rPr>
              <w:rFonts w:hint="eastAsia" w:ascii="宋体" w:hAnsi="宋体" w:eastAsia="宋体" w:cs="宋体"/>
              <w:b/>
              <w:bCs/>
              <w:color w:val="auto"/>
              <w:spacing w:val="0"/>
              <w:sz w:val="30"/>
              <w:szCs w:val="30"/>
            </w:rPr>
            <w:instrText xml:space="preserve"> PAGEREF _Toc176529672 \h </w:instrText>
          </w:r>
          <w:r>
            <w:rPr>
              <w:rFonts w:hint="eastAsia" w:ascii="宋体" w:hAnsi="宋体" w:eastAsia="宋体" w:cs="宋体"/>
              <w:b/>
              <w:bCs/>
              <w:color w:val="auto"/>
              <w:spacing w:val="0"/>
              <w:sz w:val="30"/>
              <w:szCs w:val="30"/>
            </w:rPr>
            <w:fldChar w:fldCharType="separate"/>
          </w:r>
          <w:r>
            <w:rPr>
              <w:rFonts w:hint="eastAsia" w:ascii="宋体" w:hAnsi="宋体" w:eastAsia="宋体" w:cs="宋体"/>
              <w:b/>
              <w:bCs/>
              <w:color w:val="auto"/>
              <w:spacing w:val="0"/>
              <w:sz w:val="30"/>
              <w:szCs w:val="30"/>
            </w:rPr>
            <w:t xml:space="preserve">54</w:t>
          </w:r>
          <w:r>
            <w:rPr>
              <w:rFonts w:hint="eastAsia" w:ascii="宋体" w:hAnsi="宋体" w:eastAsia="宋体" w:cs="宋体"/>
              <w:b/>
              <w:bCs/>
              <w:color w:val="auto"/>
              <w:spacing w:val="0"/>
              <w:sz w:val="30"/>
              <w:szCs w:val="30"/>
            </w:rPr>
            <w:fldChar w:fldCharType="end"/>
          </w:r>
          <w:r>
            <w:rPr>
              <w:rFonts w:hint="eastAsia" w:ascii="宋体" w:hAnsi="宋体" w:eastAsia="宋体" w:cs="宋体"/>
              <w:b/>
              <w:bCs/>
              <w:color w:val="auto"/>
              <w:spacing w:val="0"/>
              <w:sz w:val="30"/>
              <w:szCs w:val="30"/>
            </w:rPr>
            <w:fldChar w:fldCharType="end"/>
          </w:r>
          <w:r/>
        </w:p>
        <w:p>
          <w:pPr>
            <w:rPr>
              <w:rFonts w:hint="eastAsia" w:ascii="宋体" w:hAnsi="宋体" w:eastAsia="宋体" w:cs="宋体"/>
              <w:color w:val="auto"/>
              <w:spacing w:val="0"/>
            </w:rPr>
          </w:pPr>
          <w:r>
            <w:rPr>
              <w:rFonts w:hint="eastAsia" w:ascii="宋体" w:hAnsi="宋体" w:eastAsia="宋体" w:cs="宋体"/>
              <w:color w:val="auto"/>
              <w:spacing w:val="0"/>
              <w:sz w:val="28"/>
              <w:szCs w:val="28"/>
            </w:rPr>
            <w:fldChar w:fldCharType="end"/>
          </w:r>
          <w:r/>
        </w:p>
      </w:sdtContent>
    </w:sdt>
    <w:p>
      <w:pPr>
        <w:pStyle w:val="932"/>
        <w:tabs>
          <w:tab w:val="right" w:pos="8296" w:leader="dot"/>
        </w:tabs>
        <w:rPr>
          <w:rFonts w:hint="eastAsia" w:ascii="宋体" w:hAnsi="宋体" w:eastAsia="宋体" w:cs="宋体"/>
          <w:b/>
          <w:bCs/>
          <w:color w:val="auto"/>
          <w:spacing w:val="0"/>
          <w:sz w:val="28"/>
          <w:szCs w:val="28"/>
        </w:rPr>
      </w:pPr>
      <w:r>
        <w:rPr>
          <w:rFonts w:hint="eastAsia" w:ascii="宋体" w:hAnsi="宋体" w:eastAsia="宋体" w:cs="宋体"/>
          <w:b/>
          <w:bCs/>
          <w:color w:val="auto"/>
          <w:spacing w:val="0"/>
          <w:sz w:val="28"/>
          <w:szCs w:val="28"/>
        </w:rPr>
      </w:r>
      <w:r/>
    </w:p>
    <w:p>
      <w:pPr>
        <w:pStyle w:val="932"/>
        <w:spacing w:line="480" w:lineRule="auto"/>
        <w:tabs>
          <w:tab w:val="right" w:pos="8306" w:leader="dot"/>
        </w:tabs>
        <w:rPr>
          <w:rFonts w:hint="eastAsia" w:ascii="宋体" w:hAnsi="宋体" w:eastAsia="宋体" w:cs="宋体"/>
          <w:b/>
          <w:color w:val="auto"/>
          <w:spacing w:val="0"/>
          <w:sz w:val="28"/>
          <w:szCs w:val="28"/>
        </w:rPr>
      </w:pPr>
      <w:r>
        <w:rPr>
          <w:rFonts w:hint="eastAsia" w:ascii="宋体" w:hAnsi="宋体" w:eastAsia="宋体" w:cs="宋体"/>
          <w:b/>
          <w:color w:val="auto"/>
          <w:spacing w:val="0"/>
          <w:sz w:val="28"/>
          <w:szCs w:val="28"/>
        </w:rPr>
        <w:fldChar w:fldCharType="begin"/>
      </w:r>
      <w:r>
        <w:rPr>
          <w:rFonts w:hint="eastAsia" w:ascii="宋体" w:hAnsi="宋体" w:eastAsia="宋体" w:cs="宋体"/>
          <w:b/>
          <w:color w:val="auto"/>
          <w:spacing w:val="0"/>
          <w:sz w:val="28"/>
          <w:szCs w:val="28"/>
        </w:rPr>
        <w:instrText xml:space="preserve">TOC \o "1-1" \h \u </w:instrText>
      </w:r>
      <w:r>
        <w:rPr>
          <w:rFonts w:hint="eastAsia" w:ascii="宋体" w:hAnsi="宋体" w:eastAsia="宋体" w:cs="宋体"/>
          <w:b/>
          <w:color w:val="auto"/>
          <w:spacing w:val="0"/>
          <w:sz w:val="28"/>
          <w:szCs w:val="28"/>
        </w:rPr>
        <w:fldChar w:fldCharType="separate"/>
      </w:r>
      <w:r/>
    </w:p>
    <w:p>
      <w:pPr>
        <w:spacing w:line="480" w:lineRule="auto"/>
        <w:rPr>
          <w:rFonts w:hint="eastAsia" w:ascii="宋体" w:hAnsi="宋体" w:eastAsia="宋体" w:cs="宋体"/>
          <w:color w:val="auto"/>
          <w:spacing w:val="0"/>
          <w:sz w:val="28"/>
          <w:szCs w:val="28"/>
        </w:rPr>
      </w:pPr>
      <w:r>
        <w:rPr>
          <w:rFonts w:hint="eastAsia" w:ascii="宋体" w:hAnsi="宋体" w:eastAsia="宋体" w:cs="宋体"/>
          <w:b/>
          <w:color w:val="auto"/>
          <w:spacing w:val="0"/>
          <w:sz w:val="28"/>
          <w:szCs w:val="28"/>
        </w:rPr>
        <w:fldChar w:fldCharType="end"/>
      </w:r>
      <w:r/>
    </w:p>
    <w:p>
      <w:pPr>
        <w:jc w:val="left"/>
        <w:spacing w:line="360" w:lineRule="auto"/>
        <w:shd w:val="clear" w:color="auto" w:fill="ffffff"/>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pStyle w:val="902"/>
        <w:rPr>
          <w:rFonts w:hint="eastAsia" w:ascii="宋体" w:hAnsi="宋体" w:eastAsia="宋体" w:cs="宋体"/>
          <w:color w:val="auto"/>
          <w:spacing w:val="0"/>
        </w:rPr>
      </w:pPr>
      <w:r>
        <w:rPr>
          <w:rFonts w:hint="eastAsia" w:ascii="宋体" w:hAnsi="宋体" w:eastAsia="宋体" w:cs="宋体"/>
          <w:color w:val="auto"/>
          <w:spacing w:val="0"/>
          <w:sz w:val="36"/>
          <w:szCs w:val="36"/>
          <w:shd w:val="clear" w:color="auto" w:fill="ffffff"/>
        </w:rPr>
        <w:br w:type="page" w:clear="all"/>
      </w:r>
      <w:bookmarkStart w:id="1" w:name="_Toc29007"/>
      <w:r/>
      <w:bookmarkStart w:id="2" w:name="_Toc481057143"/>
      <w:r/>
      <w:bookmarkStart w:id="3" w:name="_Hlk43897905"/>
      <w:r>
        <w:rPr>
          <w:rFonts w:hint="eastAsia" w:ascii="宋体" w:hAnsi="宋体" w:eastAsia="宋体" w:cs="宋体"/>
          <w:color w:val="auto"/>
          <w:spacing w:val="0"/>
        </w:rPr>
        <w:t xml:space="preserve"> </w:t>
      </w:r>
      <w:bookmarkStart w:id="4" w:name="_Toc176529667"/>
      <w:r>
        <w:rPr>
          <w:rFonts w:hint="eastAsia" w:ascii="宋体" w:hAnsi="宋体" w:eastAsia="宋体" w:cs="宋体"/>
          <w:color w:val="auto"/>
          <w:spacing w:val="0"/>
        </w:rPr>
        <w:t xml:space="preserve">招标公告</w:t>
      </w:r>
      <w:bookmarkEnd w:id="1"/>
      <w:r/>
      <w:bookmarkEnd w:id="2"/>
      <w:r/>
      <w:bookmarkEnd w:id="4"/>
      <w:r/>
      <w:r/>
    </w:p>
    <w:p>
      <w:pPr>
        <w:ind w:firstLine="422"/>
        <w:jc w:val="left"/>
        <w:spacing w:line="360" w:lineRule="auto"/>
        <w:widowControl/>
        <w:rPr>
          <w:rFonts w:hint="eastAsia" w:ascii="宋体" w:hAnsi="宋体" w:eastAsia="宋体" w:cs="宋体"/>
          <w:b/>
          <w:bCs/>
          <w:color w:val="auto"/>
          <w:spacing w:val="0"/>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color w:val="auto"/>
          <w:spacing w:val="0"/>
        </w:rPr>
        <w:t xml:space="preserve">项目概况</w:t>
      </w:r>
      <w:r/>
    </w:p>
    <w:p>
      <w:pPr>
        <w:ind w:firstLine="420"/>
        <w:jc w:val="left"/>
        <w:keepLines w:val="0"/>
        <w:keepNext w:val="0"/>
        <w:pageBreakBefore w:val="0"/>
        <w:spacing w:line="360" w:lineRule="auto"/>
        <w:widowControl/>
        <w:rPr>
          <w:rFonts w:hint="eastAsia" w:ascii="宋体" w:hAnsi="宋体" w:eastAsia="宋体" w:cs="宋体"/>
          <w:color w:val="auto"/>
          <w:spacing w:val="0"/>
        </w:rPr>
        <w:pBdr>
          <w:top w:val="single" w:color="auto" w:sz="4" w:space="1"/>
          <w:left w:val="single" w:color="auto" w:sz="4" w:space="4"/>
          <w:bottom w:val="single" w:color="auto" w:sz="4" w:space="1"/>
          <w:right w:val="single" w:color="auto" w:sz="4" w:space="4"/>
        </w:pBdr>
      </w:pPr>
      <w:r>
        <w:rPr>
          <w:rFonts w:hint="eastAsia" w:ascii="宋体" w:hAnsi="宋体" w:cs="宋体"/>
          <w:color w:val="auto"/>
          <w:spacing w:val="0"/>
          <w:lang w:eastAsia="zh-CN"/>
        </w:rPr>
        <w:t xml:space="preserve">南京信息职业技术学院部分配电房增容改造项目</w:t>
      </w:r>
      <w:r>
        <w:rPr>
          <w:rFonts w:hint="eastAsia" w:ascii="宋体" w:hAnsi="宋体" w:eastAsia="宋体" w:cs="宋体"/>
          <w:color w:val="auto"/>
          <w:spacing w:val="0"/>
        </w:rPr>
        <w:t xml:space="preserve"> </w:t>
      </w:r>
      <w:r>
        <w:rPr>
          <w:rFonts w:hint="eastAsia" w:ascii="宋体" w:hAnsi="宋体" w:cs="宋体"/>
          <w:color w:val="auto"/>
          <w:spacing w:val="0"/>
          <w:lang w:eastAsia="zh-CN"/>
        </w:rPr>
        <w:t xml:space="preserve">JSZC-320000-JSGC-G2026-0031</w:t>
      </w:r>
      <w:r>
        <w:rPr>
          <w:rFonts w:hint="eastAsia" w:ascii="宋体" w:hAnsi="宋体" w:eastAsia="宋体" w:cs="宋体"/>
          <w:color w:val="auto"/>
          <w:spacing w:val="0"/>
        </w:rPr>
        <w:t xml:space="preserve"> 招标项目的潜在投标人应在</w:t>
      </w:r>
      <w:r>
        <w:rPr>
          <w:rFonts w:hint="eastAsia" w:ascii="宋体" w:hAnsi="宋体" w:eastAsia="宋体" w:cs="宋体"/>
          <w:color w:val="auto"/>
          <w:spacing w:val="0"/>
          <w:szCs w:val="21"/>
        </w:rPr>
        <w:t xml:space="preserve">江苏政府采购网“</w:t>
      </w:r>
      <w:r>
        <w:rPr>
          <w:rFonts w:hint="eastAsia" w:ascii="宋体" w:hAnsi="宋体" w:eastAsia="宋体" w:cs="宋体"/>
          <w:color w:val="auto"/>
          <w:spacing w:val="0"/>
          <w:szCs w:val="21"/>
        </w:rPr>
        <w:t xml:space="preserve">苏采云”系统</w:t>
      </w:r>
      <w:r>
        <w:rPr>
          <w:rFonts w:hint="eastAsia" w:ascii="宋体" w:hAnsi="宋体" w:eastAsia="宋体" w:cs="宋体"/>
          <w:color w:val="auto"/>
          <w:spacing w:val="0"/>
        </w:rPr>
        <w:t xml:space="preserve">获取招标文件，并于</w:t>
      </w:r>
      <w:r>
        <w:rPr>
          <w:rFonts w:hint="eastAsia" w:ascii="宋体" w:hAnsi="宋体" w:cs="宋体"/>
          <w:color w:val="auto"/>
          <w:spacing w:val="0"/>
          <w:lang w:val="en-US" w:eastAsia="zh-CN"/>
        </w:rPr>
        <w:t xml:space="preserve">2026年7月28日 09:30</w:t>
      </w:r>
      <w:r>
        <w:rPr>
          <w:rFonts w:hint="eastAsia" w:ascii="宋体" w:hAnsi="宋体" w:eastAsia="宋体" w:cs="宋体"/>
          <w:color w:val="auto"/>
          <w:spacing w:val="0"/>
        </w:rPr>
        <w:t xml:space="preserve">（北京时间）前提交投标文件。</w:t>
      </w:r>
      <w:r/>
    </w:p>
    <w:p>
      <w:pPr>
        <w:ind w:firstLine="422"/>
        <w:jc w:val="left"/>
        <w:spacing w:line="360" w:lineRule="auto"/>
        <w:shd w:val="clear" w:color="auto" w:fill="ffffff"/>
        <w:widowControl/>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一、项目基本情况   </w:t>
      </w:r>
      <w:r/>
    </w:p>
    <w:p>
      <w:pPr>
        <w:ind w:firstLine="420"/>
        <w:jc w:val="left"/>
        <w:spacing w:line="360" w:lineRule="auto"/>
        <w:shd w:val="clear" w:color="auto" w:fill="ffffff"/>
        <w:widowControl/>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项目编号：</w:t>
      </w:r>
      <w:r>
        <w:rPr>
          <w:rFonts w:hint="eastAsia" w:ascii="宋体" w:hAnsi="宋体" w:cs="宋体"/>
          <w:bCs/>
          <w:color w:val="auto"/>
          <w:spacing w:val="0"/>
          <w:szCs w:val="21"/>
          <w:lang w:eastAsia="zh-CN"/>
        </w:rPr>
        <w:t xml:space="preserve">JSZC-320000-JSGC-G2026-0031</w:t>
      </w:r>
      <w:r/>
    </w:p>
    <w:p>
      <w:pPr>
        <w:ind w:firstLine="420"/>
        <w:jc w:val="left"/>
        <w:spacing w:line="360" w:lineRule="auto"/>
        <w:shd w:val="clear" w:color="auto" w:fill="ffffff"/>
        <w:widowControl/>
        <w:rPr>
          <w:rFonts w:hint="eastAsia" w:ascii="宋体" w:hAnsi="宋体" w:eastAsia="宋体" w:cs="宋体"/>
          <w:bCs/>
          <w:color w:val="auto"/>
          <w:spacing w:val="0"/>
          <w:szCs w:val="21"/>
          <w:lang w:eastAsia="zh-CN"/>
        </w:rPr>
      </w:pPr>
      <w:r>
        <w:rPr>
          <w:rFonts w:hint="eastAsia" w:ascii="宋体" w:hAnsi="宋体" w:eastAsia="宋体" w:cs="宋体"/>
          <w:bCs/>
          <w:color w:val="auto"/>
          <w:spacing w:val="0"/>
          <w:szCs w:val="21"/>
        </w:rPr>
        <w:t xml:space="preserve">项目名称：</w:t>
      </w:r>
      <w:r>
        <w:rPr>
          <w:rFonts w:hint="eastAsia" w:ascii="宋体" w:hAnsi="宋体" w:cs="宋体"/>
          <w:bCs/>
          <w:color w:val="auto"/>
          <w:spacing w:val="0"/>
          <w:szCs w:val="21"/>
          <w:lang w:eastAsia="zh-CN"/>
        </w:rPr>
        <w:t xml:space="preserve">南京信息职业技术学院部分配电房增容改造项目</w:t>
      </w:r>
      <w:r/>
    </w:p>
    <w:p>
      <w:pPr>
        <w:ind w:firstLine="420"/>
        <w:jc w:val="left"/>
        <w:spacing w:line="360" w:lineRule="auto"/>
        <w:shd w:val="clear" w:color="auto" w:fill="ffffff"/>
        <w:widowControl/>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预算金额</w:t>
      </w:r>
      <w:r>
        <w:rPr>
          <w:rFonts w:hint="eastAsia" w:ascii="宋体" w:hAnsi="宋体" w:eastAsia="宋体" w:cs="宋体"/>
          <w:bCs/>
          <w:color w:val="auto"/>
          <w:spacing w:val="0"/>
          <w:szCs w:val="21"/>
        </w:rPr>
        <w:t xml:space="preserve">：</w:t>
      </w:r>
      <w:r>
        <w:rPr>
          <w:rFonts w:hint="eastAsia" w:ascii="宋体" w:hAnsi="宋体" w:cs="宋体"/>
          <w:bCs/>
          <w:color w:val="auto"/>
          <w:spacing w:val="0"/>
          <w:szCs w:val="21"/>
          <w:lang w:val="en-US" w:eastAsia="zh-CN"/>
        </w:rPr>
        <w:t xml:space="preserve">175</w:t>
      </w:r>
      <w:r>
        <w:rPr>
          <w:rFonts w:hint="eastAsia" w:ascii="宋体" w:hAnsi="宋体" w:eastAsia="宋体" w:cs="宋体"/>
          <w:bCs/>
          <w:color w:val="auto"/>
          <w:spacing w:val="0"/>
          <w:szCs w:val="21"/>
        </w:rPr>
        <w:t xml:space="preserve">万元</w:t>
      </w:r>
      <w:r/>
    </w:p>
    <w:p>
      <w:pPr>
        <w:ind w:firstLine="420"/>
        <w:jc w:val="left"/>
        <w:spacing w:line="360" w:lineRule="auto"/>
        <w:shd w:val="clear" w:color="auto" w:fill="ffffff"/>
        <w:widowControl/>
        <w:rPr>
          <w:rFonts w:hint="eastAsia" w:ascii="宋体" w:hAnsi="宋体" w:eastAsia="宋体" w:cs="宋体"/>
          <w:bCs/>
          <w:color w:val="auto"/>
          <w:spacing w:val="0"/>
          <w:szCs w:val="21"/>
        </w:rPr>
      </w:pPr>
      <w:r/>
      <w:bookmarkStart w:id="5" w:name="_Hlk175666274"/>
      <w:r>
        <w:rPr>
          <w:rFonts w:hint="eastAsia" w:ascii="宋体" w:hAnsi="宋体" w:eastAsia="宋体" w:cs="宋体"/>
          <w:bCs/>
          <w:color w:val="auto"/>
          <w:spacing w:val="0"/>
          <w:szCs w:val="21"/>
        </w:rPr>
        <w:t xml:space="preserve">最高限价（如有）</w:t>
      </w:r>
      <w:bookmarkEnd w:id="5"/>
      <w:r>
        <w:rPr>
          <w:rFonts w:hint="eastAsia" w:ascii="宋体" w:hAnsi="宋体" w:eastAsia="宋体" w:cs="宋体"/>
          <w:bCs/>
          <w:color w:val="auto"/>
          <w:spacing w:val="0"/>
          <w:szCs w:val="21"/>
        </w:rPr>
        <w:t xml:space="preserve">：</w:t>
      </w:r>
      <w:r>
        <w:rPr>
          <w:rFonts w:hint="eastAsia" w:ascii="宋体" w:hAnsi="宋体" w:cs="宋体"/>
          <w:bCs/>
          <w:color w:val="auto"/>
          <w:spacing w:val="0"/>
          <w:szCs w:val="21"/>
          <w:lang w:val="en-US" w:eastAsia="zh-CN"/>
        </w:rPr>
        <w:t xml:space="preserve">175万</w:t>
      </w:r>
      <w:r>
        <w:rPr>
          <w:rFonts w:hint="eastAsia" w:ascii="宋体" w:hAnsi="宋体" w:eastAsia="宋体" w:cs="宋体"/>
          <w:bCs/>
          <w:color w:val="auto"/>
          <w:spacing w:val="0"/>
          <w:szCs w:val="21"/>
        </w:rPr>
        <w:t xml:space="preserve">元</w:t>
      </w:r>
      <w:r/>
    </w:p>
    <w:p>
      <w:pPr>
        <w:ind w:firstLine="420"/>
        <w:jc w:val="left"/>
        <w:spacing w:line="360" w:lineRule="auto"/>
        <w:shd w:val="clear" w:color="auto" w:fill="ffffff"/>
        <w:widowControl/>
        <w:rPr>
          <w:rFonts w:hint="eastAsia" w:ascii="宋体" w:hAnsi="宋体" w:eastAsia="宋体" w:cs="宋体"/>
          <w:bCs/>
          <w:color w:val="auto"/>
          <w:spacing w:val="0"/>
          <w:szCs w:val="21"/>
          <w:u w:val="single"/>
        </w:rPr>
      </w:pPr>
      <w:r>
        <w:rPr>
          <w:rFonts w:hint="eastAsia" w:ascii="宋体" w:hAnsi="宋体" w:eastAsia="宋体" w:cs="宋体"/>
          <w:bCs/>
          <w:color w:val="auto"/>
          <w:spacing w:val="0"/>
          <w:szCs w:val="21"/>
        </w:rPr>
        <w:t xml:space="preserve">采购需求：为保障相关楼宇正常供电需求，须对</w:t>
      </w:r>
      <w:r>
        <w:rPr>
          <w:rFonts w:hint="eastAsia" w:ascii="宋体" w:hAnsi="宋体" w:cs="宋体"/>
          <w:bCs/>
          <w:color w:val="auto"/>
          <w:spacing w:val="0"/>
          <w:szCs w:val="21"/>
          <w:lang w:val="en-US" w:eastAsia="zh-CN"/>
        </w:rPr>
        <w:t xml:space="preserve">校内</w:t>
      </w:r>
      <w:r>
        <w:rPr>
          <w:rFonts w:hint="eastAsia" w:ascii="宋体" w:hAnsi="宋体" w:eastAsia="宋体" w:cs="宋体"/>
          <w:bCs/>
          <w:color w:val="auto"/>
          <w:spacing w:val="0"/>
          <w:szCs w:val="21"/>
        </w:rPr>
        <w:t xml:space="preserve">三处子站变压器等设备进行更换，将中心子站现场2台500KVA变压器需增容至1000KVA，女生宿舍子站2台1600KVA变压器各需增容至2000KVA，文澜子站2台500kVA变压器增容至两台1000kVA变压器</w:t>
      </w:r>
      <w:r>
        <w:rPr>
          <w:rFonts w:hint="eastAsia" w:ascii="宋体" w:hAnsi="宋体" w:cs="宋体"/>
          <w:bCs/>
          <w:color w:val="auto"/>
          <w:spacing w:val="0"/>
          <w:szCs w:val="21"/>
          <w:lang w:eastAsia="zh-CN"/>
        </w:rPr>
        <w:t xml:space="preserve">、</w:t>
      </w:r>
      <w:r>
        <w:rPr>
          <w:rFonts w:hint="eastAsia" w:ascii="宋体" w:hAnsi="宋体" w:eastAsia="宋体" w:cs="宋体"/>
          <w:bCs/>
          <w:color w:val="auto"/>
          <w:spacing w:val="0"/>
          <w:szCs w:val="21"/>
        </w:rPr>
        <w:t xml:space="preserve">6台低压进线总柜、6台电容补偿柜、3套母联柜、母线槽、模拟图板需按照设计图更换，以满足相关楼宇正常生活供电使用需求。</w:t>
      </w:r>
      <w:r/>
    </w:p>
    <w:p>
      <w:pPr>
        <w:ind w:firstLine="420"/>
        <w:jc w:val="left"/>
        <w:spacing w:line="360" w:lineRule="auto"/>
        <w:shd w:val="clear" w:color="auto" w:fill="ffffff"/>
        <w:widowControl/>
        <w:rPr>
          <w:rFonts w:hint="default" w:ascii="宋体" w:hAnsi="宋体" w:eastAsia="宋体" w:cs="宋体"/>
          <w:bCs/>
          <w:color w:val="auto"/>
          <w:spacing w:val="0"/>
          <w:szCs w:val="21"/>
          <w:lang w:val="en-US" w:eastAsia="zh-CN"/>
        </w:rPr>
      </w:pPr>
      <w:r>
        <w:rPr>
          <w:rFonts w:hint="eastAsia" w:ascii="宋体" w:hAnsi="宋体" w:eastAsia="宋体" w:cs="宋体"/>
          <w:bCs/>
          <w:color w:val="auto"/>
          <w:spacing w:val="0"/>
          <w:szCs w:val="21"/>
        </w:rPr>
        <w:t xml:space="preserve">合同履行期限：</w:t>
      </w:r>
      <w:r>
        <w:rPr>
          <w:rFonts w:hint="eastAsia" w:ascii="宋体" w:hAnsi="宋体" w:cs="宋体"/>
          <w:bCs/>
          <w:color w:val="auto"/>
          <w:spacing w:val="0"/>
          <w:szCs w:val="21"/>
          <w:lang w:val="en-US" w:eastAsia="zh-CN"/>
        </w:rPr>
        <w:t xml:space="preserve">自合同签订之</w:t>
      </w:r>
      <w:r>
        <w:rPr>
          <w:rFonts w:hint="eastAsia" w:ascii="宋体" w:hAnsi="宋体" w:cs="宋体"/>
          <w:bCs/>
          <w:color w:val="auto"/>
          <w:spacing w:val="0"/>
          <w:szCs w:val="21"/>
          <w:highlight w:val="none"/>
          <w:lang w:val="en-US" w:eastAsia="zh-CN"/>
        </w:rPr>
        <w:t xml:space="preserve">日起40日内完</w:t>
      </w:r>
      <w:r>
        <w:rPr>
          <w:rFonts w:hint="eastAsia" w:ascii="宋体" w:hAnsi="宋体" w:cs="宋体"/>
          <w:bCs/>
          <w:color w:val="auto"/>
          <w:spacing w:val="0"/>
          <w:szCs w:val="21"/>
          <w:lang w:val="en-US" w:eastAsia="zh-CN"/>
        </w:rPr>
        <w:t xml:space="preserve">成供货、安装及相关调试工作，通过验收，交付使用。</w:t>
      </w:r>
      <w:r/>
    </w:p>
    <w:p>
      <w:pPr>
        <w:ind w:firstLine="420"/>
        <w:jc w:val="left"/>
        <w:spacing w:line="360" w:lineRule="auto"/>
        <w:shd w:val="clear" w:color="auto" w:fill="ffffff"/>
        <w:widowControl/>
        <w:rPr>
          <w:rFonts w:hint="eastAsia" w:ascii="宋体" w:hAnsi="宋体" w:eastAsia="宋体" w:cs="宋体"/>
          <w:bCs/>
          <w:color w:val="auto"/>
          <w:spacing w:val="0"/>
          <w:szCs w:val="21"/>
          <w:lang w:eastAsia="zh-CN"/>
        </w:rPr>
      </w:pPr>
      <w:r/>
      <w:bookmarkStart w:id="6" w:name="_Hlk128055931"/>
      <w:r/>
      <w:bookmarkStart w:id="7" w:name="_Hlk77845455"/>
      <w:r>
        <w:rPr>
          <w:rFonts w:hint="eastAsia" w:ascii="宋体" w:hAnsi="宋体" w:eastAsia="宋体" w:cs="宋体"/>
          <w:bCs/>
          <w:color w:val="auto"/>
          <w:spacing w:val="0"/>
          <w:szCs w:val="21"/>
        </w:rPr>
        <w:t xml:space="preserve">本项目</w:t>
      </w:r>
      <w:bookmarkStart w:id="8" w:name="_Hlk84582886"/>
      <w:r>
        <w:rPr>
          <w:rFonts w:hint="eastAsia" w:ascii="宋体" w:hAnsi="宋体" w:eastAsia="宋体" w:cs="宋体"/>
          <w:bCs/>
          <w:color w:val="auto"/>
          <w:spacing w:val="0"/>
          <w:szCs w:val="21"/>
        </w:rPr>
        <w:t xml:space="preserve">（是/否）接受</w:t>
      </w:r>
      <w:bookmarkEnd w:id="8"/>
      <w:r>
        <w:rPr>
          <w:rFonts w:hint="eastAsia" w:ascii="宋体" w:hAnsi="宋体" w:eastAsia="宋体" w:cs="宋体"/>
          <w:bCs/>
          <w:color w:val="auto"/>
          <w:spacing w:val="0"/>
          <w:szCs w:val="21"/>
        </w:rPr>
        <w:t xml:space="preserve">联合体投标：否</w:t>
      </w:r>
      <w:r>
        <w:rPr>
          <w:rFonts w:hint="eastAsia" w:ascii="宋体" w:hAnsi="宋体" w:cs="宋体"/>
          <w:bCs/>
          <w:color w:val="auto"/>
          <w:spacing w:val="0"/>
          <w:szCs w:val="21"/>
          <w:lang w:eastAsia="zh-CN"/>
        </w:rPr>
        <w:t xml:space="preserve">。</w:t>
      </w:r>
      <w:bookmarkEnd w:id="6"/>
      <w:r/>
      <w:bookmarkEnd w:id="7"/>
      <w:r/>
      <w:r/>
    </w:p>
    <w:p>
      <w:pPr>
        <w:ind w:firstLine="422"/>
        <w:jc w:val="left"/>
        <w:spacing w:line="360" w:lineRule="auto"/>
        <w:shd w:val="clear" w:color="auto" w:fill="ffffff"/>
        <w:widowControl/>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二、申请人的资格要求</w:t>
      </w:r>
      <w:r/>
    </w:p>
    <w:p>
      <w:pPr>
        <w:ind w:firstLine="420"/>
        <w:jc w:val="left"/>
        <w:spacing w:line="360" w:lineRule="auto"/>
        <w:shd w:val="clear" w:color="auto" w:fill="ffffff"/>
        <w:widowControl/>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（一）满足《中华人民共和国政府采购法》第二十二条规定：</w:t>
      </w:r>
      <w:r/>
    </w:p>
    <w:p>
      <w:pPr>
        <w:ind w:firstLine="420"/>
        <w:jc w:val="left"/>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1.具有独立承担民事责任的能力（提供法人或其他组织的营业执照等证明文件，自然人的身份证明）；</w:t>
      </w:r>
      <w:r/>
    </w:p>
    <w:p>
      <w:pPr>
        <w:ind w:firstLine="420"/>
        <w:jc w:val="left"/>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2.具有良好的商业信誉和健全的财务会计制度（提供距开标时间六个月内任意一月份的财务状况报告或上一年度财务审计报告或开标截止时间前六个月内银行出具的资信证明，成立未满六个月若无上述证明材料的可不提供）；</w:t>
      </w:r>
      <w:r/>
    </w:p>
    <w:p>
      <w:pPr>
        <w:ind w:firstLine="420"/>
        <w:jc w:val="left"/>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3.具有履行合同所必需的设备和专业技术能力（根据项目需求提供履行合同所必需的设备和专业技术能力的声明</w:t>
      </w:r>
      <w:bookmarkStart w:id="9" w:name="_Hlk128041996"/>
      <w:r>
        <w:rPr>
          <w:rFonts w:hint="eastAsia" w:ascii="宋体" w:hAnsi="宋体" w:eastAsia="宋体" w:cs="宋体"/>
          <w:bCs/>
          <w:color w:val="auto"/>
          <w:spacing w:val="0"/>
          <w:szCs w:val="21"/>
        </w:rPr>
        <w:t xml:space="preserve">或证明材料</w:t>
      </w:r>
      <w:bookmarkEnd w:id="9"/>
      <w:r>
        <w:rPr>
          <w:rFonts w:hint="eastAsia" w:ascii="宋体" w:hAnsi="宋体" w:eastAsia="宋体" w:cs="宋体"/>
          <w:bCs/>
          <w:color w:val="auto"/>
          <w:spacing w:val="0"/>
          <w:szCs w:val="21"/>
        </w:rPr>
        <w:t xml:space="preserve">）；</w:t>
      </w:r>
      <w:r/>
    </w:p>
    <w:p>
      <w:pPr>
        <w:ind w:firstLine="420"/>
        <w:jc w:val="left"/>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4. </w:t>
      </w:r>
      <w:bookmarkStart w:id="10" w:name="_Hlk169006514"/>
      <w:r>
        <w:rPr>
          <w:rFonts w:hint="eastAsia" w:ascii="宋体" w:hAnsi="宋体" w:eastAsia="宋体" w:cs="宋体"/>
          <w:bCs/>
          <w:color w:val="auto"/>
          <w:spacing w:val="0"/>
          <w:szCs w:val="21"/>
        </w:rPr>
        <w:t xml:space="preserve">具有依法缴纳税收和社会保障资金的良好记录</w:t>
      </w:r>
      <w:bookmarkStart w:id="11" w:name="_Hlk168994408"/>
      <w:r>
        <w:rPr>
          <w:rFonts w:hint="eastAsia" w:ascii="宋体" w:hAnsi="宋体" w:eastAsia="宋体" w:cs="宋体"/>
          <w:bCs/>
          <w:color w:val="auto"/>
          <w:spacing w:val="0"/>
          <w:szCs w:val="21"/>
        </w:rPr>
        <w:t xml:space="preserve">（提供参加本次政府采购活动前一年内至少一个月缴纳社会保险的凭据及缴纳税收凭据，依法享受免缴、缓缴的，提供证明材料）</w:t>
      </w:r>
      <w:bookmarkEnd w:id="11"/>
      <w:r>
        <w:rPr>
          <w:rFonts w:hint="eastAsia" w:ascii="宋体" w:hAnsi="宋体" w:eastAsia="宋体" w:cs="宋体"/>
          <w:bCs/>
          <w:color w:val="auto"/>
          <w:spacing w:val="0"/>
          <w:szCs w:val="21"/>
        </w:rPr>
        <w:t xml:space="preserve">；</w:t>
      </w:r>
      <w:bookmarkEnd w:id="10"/>
      <w:r/>
      <w:r/>
    </w:p>
    <w:p>
      <w:pPr>
        <w:ind w:firstLine="420"/>
        <w:jc w:val="left"/>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5.参加政府采购活动前三年内，在经营活动中没有重大违法记录（提供承诺书）；</w:t>
      </w:r>
      <w:r/>
    </w:p>
    <w:p>
      <w:pPr>
        <w:ind w:firstLine="420"/>
        <w:jc w:val="left"/>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6.法律、行政法规规定的其他条件：无。</w:t>
      </w:r>
      <w:r/>
    </w:p>
    <w:p>
      <w:pPr>
        <w:ind w:firstLine="420"/>
        <w:jc w:val="left"/>
        <w:spacing w:line="360" w:lineRule="auto"/>
        <w:shd w:val="clear" w:color="auto" w:fill="ffffff"/>
        <w:widowControl/>
        <w:rPr>
          <w:rFonts w:hint="eastAsia" w:ascii="宋体" w:hAnsi="宋体" w:eastAsia="宋体" w:cs="宋体"/>
          <w:bCs/>
          <w:color w:val="auto"/>
          <w:spacing w:val="0"/>
          <w:szCs w:val="21"/>
          <w:lang w:eastAsia="zh-CN"/>
        </w:rPr>
      </w:pPr>
      <w:r>
        <w:rPr>
          <w:rFonts w:hint="eastAsia" w:ascii="宋体" w:hAnsi="宋体" w:eastAsia="宋体" w:cs="宋体"/>
          <w:bCs/>
          <w:color w:val="auto"/>
          <w:spacing w:val="0"/>
          <w:szCs w:val="21"/>
        </w:rPr>
        <w:t xml:space="preserve">（二）落实政府采购政策需满足的资格要求：</w:t>
      </w:r>
      <w:bookmarkStart w:id="12" w:name="_Hlk128042064"/>
      <w:r>
        <w:rPr>
          <w:rFonts w:hint="eastAsia" w:ascii="宋体" w:hAnsi="宋体" w:eastAsia="宋体" w:cs="宋体"/>
          <w:bCs/>
          <w:color w:val="auto"/>
          <w:spacing w:val="0"/>
          <w:szCs w:val="21"/>
        </w:rPr>
        <w:t xml:space="preserve">无</w:t>
      </w:r>
      <w:r>
        <w:rPr>
          <w:rFonts w:hint="eastAsia" w:ascii="宋体" w:hAnsi="宋体" w:cs="宋体"/>
          <w:bCs/>
          <w:color w:val="auto"/>
          <w:spacing w:val="0"/>
          <w:szCs w:val="21"/>
          <w:lang w:eastAsia="zh-CN"/>
        </w:rPr>
        <w:t xml:space="preserve">。</w:t>
      </w:r>
      <w:bookmarkEnd w:id="12"/>
      <w:r/>
      <w:r/>
    </w:p>
    <w:p>
      <w:pPr>
        <w:ind w:firstLine="420"/>
        <w:jc w:val="left"/>
        <w:spacing w:line="360" w:lineRule="auto"/>
        <w:shd w:val="clear" w:color="auto" w:fill="ffffff"/>
        <w:widowControl/>
        <w:rPr>
          <w:rFonts w:hint="default" w:ascii="宋体" w:hAnsi="宋体" w:eastAsia="宋体" w:cs="宋体"/>
          <w:bCs/>
          <w:color w:val="auto"/>
          <w:spacing w:val="0"/>
          <w:szCs w:val="21"/>
          <w:lang w:val="en-US" w:eastAsia="zh-CN"/>
        </w:rPr>
      </w:pPr>
      <w:r/>
      <w:bookmarkStart w:id="13" w:name="_Hlk67996638"/>
      <w:r/>
      <w:bookmarkStart w:id="14" w:name="_Hlk67648547"/>
      <w:r>
        <w:rPr>
          <w:rFonts w:hint="eastAsia" w:ascii="宋体" w:hAnsi="宋体" w:eastAsia="宋体" w:cs="宋体"/>
          <w:bCs/>
          <w:color w:val="auto"/>
          <w:spacing w:val="0"/>
          <w:szCs w:val="21"/>
        </w:rPr>
        <w:t xml:space="preserve">（三）</w:t>
      </w:r>
      <w:r>
        <w:rPr>
          <w:rFonts w:hint="eastAsia" w:ascii="宋体" w:hAnsi="宋体" w:eastAsia="宋体" w:cs="宋体"/>
          <w:bCs/>
          <w:color w:val="auto"/>
          <w:spacing w:val="0"/>
          <w:szCs w:val="21"/>
        </w:rPr>
        <w:t xml:space="preserve">本项目特定资格要求</w:t>
      </w:r>
      <w:bookmarkEnd w:id="13"/>
      <w:r>
        <w:rPr>
          <w:rFonts w:hint="eastAsia" w:ascii="宋体" w:hAnsi="宋体" w:eastAsia="宋体" w:cs="宋体"/>
          <w:bCs/>
          <w:color w:val="auto"/>
          <w:spacing w:val="0"/>
          <w:szCs w:val="21"/>
        </w:rPr>
        <w:t xml:space="preserve">：</w:t>
      </w:r>
      <w:bookmarkEnd w:id="14"/>
      <w:r>
        <w:rPr>
          <w:rFonts w:hint="eastAsia" w:ascii="宋体" w:hAnsi="宋体" w:cs="宋体"/>
          <w:bCs/>
          <w:color w:val="auto"/>
          <w:spacing w:val="0"/>
          <w:szCs w:val="21"/>
          <w:lang w:val="en-US" w:eastAsia="zh-CN"/>
        </w:rPr>
        <w:t xml:space="preserve">投标人应具有承装（修、试）电力设施许可证，许可类别和等级：承装类三级、承修类三级、承试类三级及以上资质（提供在有效期内的证书复印件加盖公章）。</w:t>
      </w:r>
      <w:r/>
    </w:p>
    <w:p>
      <w:pPr>
        <w:ind w:firstLine="422"/>
        <w:jc w:val="left"/>
        <w:spacing w:line="360" w:lineRule="auto"/>
        <w:shd w:val="clear" w:color="auto" w:fill="ffffff"/>
        <w:widowControl/>
        <w:rPr>
          <w:rFonts w:hint="eastAsia" w:ascii="宋体" w:hAnsi="宋体" w:eastAsia="宋体" w:cs="宋体"/>
          <w:b/>
          <w:color w:val="auto"/>
          <w:spacing w:val="0"/>
          <w:szCs w:val="21"/>
        </w:rPr>
      </w:pPr>
      <w:r/>
      <w:bookmarkStart w:id="15" w:name="_Hlk77845490"/>
      <w:r/>
      <w:bookmarkStart w:id="16" w:name="_Hlk77846375"/>
      <w:r>
        <w:rPr>
          <w:rFonts w:hint="eastAsia" w:ascii="宋体" w:hAnsi="宋体" w:eastAsia="宋体" w:cs="宋体"/>
          <w:b/>
          <w:color w:val="auto"/>
          <w:spacing w:val="0"/>
          <w:szCs w:val="21"/>
        </w:rPr>
        <w:t xml:space="preserve">三、获取招标文件</w:t>
      </w:r>
      <w:r/>
    </w:p>
    <w:p>
      <w:pPr>
        <w:ind w:firstLine="420"/>
        <w:jc w:val="left"/>
        <w:spacing w:line="360" w:lineRule="auto"/>
        <w:shd w:val="clear" w:color="auto" w:fill="ffffff"/>
        <w:widowControl/>
        <w:rPr>
          <w:rFonts w:hint="eastAsia" w:ascii="宋体" w:hAnsi="宋体" w:eastAsia="宋体" w:cs="宋体"/>
          <w:color w:val="auto"/>
          <w:spacing w:val="0"/>
          <w:szCs w:val="21"/>
        </w:rPr>
      </w:pPr>
      <w:r/>
      <w:bookmarkStart w:id="17" w:name="_Hlk165968429"/>
      <w:r>
        <w:rPr>
          <w:rFonts w:hint="eastAsia" w:ascii="宋体" w:hAnsi="宋体" w:eastAsia="宋体" w:cs="宋体"/>
          <w:color w:val="auto"/>
          <w:spacing w:val="0"/>
          <w:szCs w:val="21"/>
        </w:rPr>
        <w:t xml:space="preserve">时间：自招标文件公告发布之日起5个工作日</w:t>
      </w:r>
      <w:bookmarkEnd w:id="15"/>
      <w:r/>
      <w:r/>
    </w:p>
    <w:p>
      <w:pPr>
        <w:ind w:firstLine="420"/>
        <w:jc w:val="left"/>
        <w:spacing w:line="360" w:lineRule="auto"/>
        <w:shd w:val="clear" w:color="auto" w:fill="ffffff"/>
        <w:widowControl/>
        <w:rPr>
          <w:rFonts w:hint="eastAsia" w:ascii="宋体" w:hAnsi="宋体" w:eastAsia="宋体" w:cs="宋体"/>
          <w:color w:val="auto"/>
          <w:spacing w:val="0"/>
          <w:szCs w:val="21"/>
        </w:rPr>
      </w:pPr>
      <w:r/>
      <w:bookmarkStart w:id="18" w:name="_Hlk77845475"/>
      <w:r>
        <w:rPr>
          <w:rFonts w:hint="eastAsia" w:ascii="宋体" w:hAnsi="宋体" w:eastAsia="宋体" w:cs="宋体"/>
          <w:color w:val="auto"/>
          <w:spacing w:val="0"/>
          <w:szCs w:val="21"/>
        </w:rPr>
        <w:t xml:space="preserve">地点：</w:t>
      </w:r>
      <w:bookmarkStart w:id="19" w:name="OLE_LINK20"/>
      <w:r>
        <w:rPr>
          <w:rFonts w:hint="eastAsia" w:ascii="宋体" w:hAnsi="宋体" w:eastAsia="宋体" w:cs="宋体"/>
          <w:color w:val="auto"/>
          <w:spacing w:val="0"/>
          <w:szCs w:val="21"/>
        </w:rPr>
        <w:t xml:space="preserve">江苏政府采购网</w:t>
      </w:r>
      <w:bookmarkStart w:id="20" w:name="OLE_LINK21"/>
      <w:r>
        <w:rPr>
          <w:rFonts w:hint="eastAsia" w:ascii="宋体" w:hAnsi="宋体" w:eastAsia="宋体" w:cs="宋体"/>
          <w:color w:val="auto"/>
          <w:spacing w:val="0"/>
          <w:szCs w:val="21"/>
        </w:rPr>
        <w:t xml:space="preserve">“</w:t>
      </w:r>
      <w:r>
        <w:rPr>
          <w:rFonts w:hint="eastAsia" w:ascii="宋体" w:hAnsi="宋体" w:eastAsia="宋体" w:cs="宋体"/>
          <w:color w:val="auto"/>
          <w:spacing w:val="0"/>
          <w:szCs w:val="21"/>
        </w:rPr>
        <w:t xml:space="preserve">苏采云”系统</w:t>
      </w:r>
      <w:bookmarkEnd w:id="19"/>
      <w:r/>
      <w:bookmarkEnd w:id="20"/>
      <w:r/>
      <w:r/>
    </w:p>
    <w:p>
      <w:pPr>
        <w:ind w:firstLine="420"/>
        <w:jc w:val="left"/>
        <w:spacing w:line="360" w:lineRule="auto"/>
        <w:shd w:val="clear" w:color="auto" w:fill="ffffff"/>
        <w:widowControl/>
        <w:rPr>
          <w:rFonts w:hint="eastAsia" w:ascii="宋体" w:hAnsi="宋体" w:eastAsia="宋体" w:cs="宋体"/>
          <w:bCs/>
          <w:color w:val="auto"/>
          <w:spacing w:val="0"/>
          <w:szCs w:val="21"/>
        </w:rPr>
      </w:pPr>
      <w:r/>
      <w:bookmarkStart w:id="21" w:name="_Hlk75168366"/>
      <w:r/>
      <w:bookmarkStart w:id="22" w:name="_Hlk164960028"/>
      <w:r/>
      <w:bookmarkStart w:id="23" w:name="_Hlk168491228"/>
      <w:r/>
      <w:bookmarkStart w:id="24" w:name="_Hlk168491149"/>
      <w:r>
        <w:rPr>
          <w:rFonts w:hint="eastAsia" w:ascii="宋体" w:hAnsi="宋体" w:eastAsia="宋体" w:cs="宋体"/>
          <w:color w:val="auto"/>
          <w:spacing w:val="0"/>
          <w:szCs w:val="21"/>
        </w:rPr>
        <w:t xml:space="preserve">方式：</w:t>
      </w:r>
      <w:bookmarkEnd w:id="21"/>
      <w:r/>
      <w:bookmarkStart w:id="25" w:name="_Hlk163662034"/>
      <w:r/>
      <w:bookmarkStart w:id="26" w:name="_Hlk168492824"/>
      <w:r/>
      <w:bookmarkStart w:id="27" w:name="_Hlk95487722"/>
      <w:r>
        <w:rPr>
          <w:rFonts w:hint="eastAsia" w:ascii="宋体" w:hAnsi="宋体" w:eastAsia="宋体" w:cs="宋体"/>
          <w:color w:val="auto"/>
          <w:spacing w:val="0"/>
          <w:szCs w:val="21"/>
        </w:rPr>
        <w:t xml:space="preserve">投标人登录江苏政府采购网，在网站首页点击“</w:t>
      </w:r>
      <w:r>
        <w:rPr>
          <w:rFonts w:hint="eastAsia" w:ascii="宋体" w:hAnsi="宋体" w:eastAsia="宋体" w:cs="宋体"/>
          <w:color w:val="auto"/>
          <w:spacing w:val="0"/>
          <w:szCs w:val="21"/>
        </w:rPr>
        <w:t xml:space="preserve">苏采云”系统</w:t>
      </w:r>
      <w:r>
        <w:rPr>
          <w:rFonts w:hint="eastAsia" w:ascii="宋体" w:hAnsi="宋体" w:eastAsia="宋体" w:cs="宋体"/>
          <w:bCs/>
          <w:color w:val="auto"/>
          <w:spacing w:val="0"/>
          <w:szCs w:val="21"/>
        </w:rPr>
        <w:t xml:space="preserve">自行免费下载</w:t>
      </w:r>
      <w:bookmarkEnd w:id="17"/>
      <w:r/>
      <w:bookmarkEnd w:id="22"/>
      <w:r/>
      <w:bookmarkEnd w:id="23"/>
      <w:r/>
      <w:bookmarkEnd w:id="24"/>
      <w:r/>
      <w:bookmarkEnd w:id="25"/>
      <w:r/>
      <w:bookmarkEnd w:id="26"/>
      <w:r/>
      <w:r/>
    </w:p>
    <w:p>
      <w:pPr>
        <w:ind w:firstLine="420"/>
        <w:spacing w:line="360" w:lineRule="auto"/>
        <w:widowControl/>
        <w:rPr>
          <w:rFonts w:hint="eastAsia" w:ascii="宋体" w:hAnsi="宋体" w:eastAsia="宋体" w:cs="宋体"/>
          <w:color w:val="auto"/>
          <w:spacing w:val="0"/>
          <w:szCs w:val="21"/>
        </w:rPr>
      </w:pPr>
      <w:r/>
      <w:bookmarkStart w:id="28" w:name="_Hlk128043211"/>
      <w:r>
        <w:rPr>
          <w:rFonts w:hint="eastAsia" w:ascii="宋体" w:hAnsi="宋体" w:eastAsia="宋体" w:cs="宋体"/>
          <w:color w:val="auto"/>
          <w:spacing w:val="0"/>
          <w:szCs w:val="21"/>
        </w:rPr>
        <w:t xml:space="preserve">售价：0元</w:t>
      </w:r>
      <w:bookmarkEnd w:id="16"/>
      <w:r/>
      <w:bookmarkEnd w:id="18"/>
      <w:r/>
      <w:bookmarkEnd w:id="27"/>
      <w:r/>
      <w:bookmarkEnd w:id="28"/>
      <w:r/>
      <w:r/>
    </w:p>
    <w:p>
      <w:pPr>
        <w:ind w:firstLine="422"/>
        <w:jc w:val="left"/>
        <w:spacing w:line="360" w:lineRule="auto"/>
        <w:shd w:val="clear" w:color="auto" w:fill="ffffff"/>
        <w:widowControl/>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四、</w:t>
      </w:r>
      <w:bookmarkStart w:id="29" w:name="_Hlk44579106"/>
      <w:r>
        <w:rPr>
          <w:rFonts w:hint="eastAsia" w:ascii="宋体" w:hAnsi="宋体" w:eastAsia="宋体" w:cs="宋体"/>
          <w:b/>
          <w:color w:val="auto"/>
          <w:spacing w:val="0"/>
          <w:szCs w:val="21"/>
        </w:rPr>
        <w:t xml:space="preserve">提交投标文件截止时间、开标时间和地点</w:t>
      </w:r>
      <w:bookmarkEnd w:id="29"/>
      <w:r/>
      <w:r/>
    </w:p>
    <w:p>
      <w:pPr>
        <w:ind w:firstLine="420"/>
        <w:jc w:val="left"/>
        <w:spacing w:line="360" w:lineRule="auto"/>
        <w:shd w:val="clear" w:color="auto" w:fill="ffffff"/>
        <w:widowControl/>
        <w:rPr>
          <w:rFonts w:hint="eastAsia" w:ascii="宋体" w:hAnsi="宋体" w:eastAsia="宋体" w:cs="宋体"/>
          <w:color w:val="auto"/>
          <w:spacing w:val="0"/>
          <w:szCs w:val="21"/>
        </w:rPr>
      </w:pPr>
      <w:r/>
      <w:bookmarkStart w:id="30" w:name="_Hlk44575721"/>
      <w:r>
        <w:rPr>
          <w:rFonts w:hint="eastAsia" w:ascii="宋体" w:hAnsi="宋体" w:cs="宋体"/>
          <w:color w:val="auto"/>
          <w:spacing w:val="0"/>
          <w:szCs w:val="21"/>
          <w:lang w:val="en-US" w:eastAsia="zh-CN"/>
        </w:rPr>
        <w:t xml:space="preserve">2026</w:t>
      </w:r>
      <w:r>
        <w:rPr>
          <w:rFonts w:hint="eastAsia" w:ascii="宋体" w:hAnsi="宋体" w:eastAsia="宋体" w:cs="宋体"/>
          <w:color w:val="auto"/>
          <w:spacing w:val="0"/>
          <w:szCs w:val="21"/>
        </w:rPr>
        <w:t xml:space="preserve">年</w:t>
      </w:r>
      <w:r>
        <w:rPr>
          <w:rFonts w:hint="eastAsia" w:ascii="宋体" w:hAnsi="宋体" w:cs="宋体"/>
          <w:color w:val="auto"/>
          <w:spacing w:val="0"/>
          <w:szCs w:val="21"/>
          <w:lang w:val="en-US" w:eastAsia="zh-CN"/>
        </w:rPr>
        <w:t xml:space="preserve">7</w:t>
      </w:r>
      <w:r>
        <w:rPr>
          <w:rFonts w:hint="eastAsia" w:ascii="宋体" w:hAnsi="宋体" w:eastAsia="宋体" w:cs="宋体"/>
          <w:color w:val="auto"/>
          <w:spacing w:val="0"/>
          <w:szCs w:val="21"/>
        </w:rPr>
        <w:t xml:space="preserve">月</w:t>
      </w:r>
      <w:r>
        <w:rPr>
          <w:rFonts w:hint="eastAsia" w:ascii="宋体" w:hAnsi="宋体" w:cs="宋体"/>
          <w:color w:val="auto"/>
          <w:spacing w:val="0"/>
          <w:szCs w:val="21"/>
          <w:lang w:val="en-US" w:eastAsia="zh-CN"/>
        </w:rPr>
        <w:t xml:space="preserve">28</w:t>
      </w:r>
      <w:r>
        <w:rPr>
          <w:rFonts w:hint="eastAsia" w:ascii="宋体" w:hAnsi="宋体" w:eastAsia="宋体" w:cs="宋体"/>
          <w:color w:val="auto"/>
          <w:spacing w:val="0"/>
          <w:szCs w:val="21"/>
        </w:rPr>
        <w:t xml:space="preserve">日 0</w:t>
      </w:r>
      <w:r>
        <w:rPr>
          <w:rFonts w:hint="eastAsia" w:ascii="宋体" w:hAnsi="宋体" w:cs="宋体"/>
          <w:color w:val="auto"/>
          <w:spacing w:val="0"/>
          <w:szCs w:val="21"/>
          <w:lang w:val="en-US" w:eastAsia="zh-CN"/>
        </w:rPr>
        <w:t xml:space="preserve">9</w:t>
      </w:r>
      <w:r>
        <w:rPr>
          <w:rFonts w:hint="eastAsia" w:ascii="宋体" w:hAnsi="宋体" w:eastAsia="宋体" w:cs="宋体"/>
          <w:color w:val="auto"/>
          <w:spacing w:val="0"/>
          <w:szCs w:val="21"/>
        </w:rPr>
        <w:t xml:space="preserve">:</w:t>
      </w:r>
      <w:r>
        <w:rPr>
          <w:rFonts w:hint="eastAsia" w:ascii="宋体" w:hAnsi="宋体" w:cs="宋体"/>
          <w:color w:val="auto"/>
          <w:spacing w:val="0"/>
          <w:szCs w:val="21"/>
          <w:lang w:val="en-US" w:eastAsia="zh-CN"/>
        </w:rPr>
        <w:t xml:space="preserve">3</w:t>
      </w:r>
      <w:r>
        <w:rPr>
          <w:rFonts w:hint="eastAsia" w:ascii="宋体" w:hAnsi="宋体" w:eastAsia="宋体" w:cs="宋体"/>
          <w:color w:val="auto"/>
          <w:spacing w:val="0"/>
          <w:szCs w:val="21"/>
        </w:rPr>
        <w:t xml:space="preserve">0</w:t>
      </w:r>
      <w:bookmarkEnd w:id="30"/>
      <w:r>
        <w:rPr>
          <w:rFonts w:hint="eastAsia" w:ascii="宋体" w:hAnsi="宋体" w:eastAsia="宋体" w:cs="宋体"/>
          <w:color w:val="auto"/>
          <w:spacing w:val="0"/>
          <w:szCs w:val="21"/>
        </w:rPr>
        <w:t xml:space="preserve">  （北京时间）</w:t>
      </w:r>
      <w:r/>
    </w:p>
    <w:p>
      <w:pPr>
        <w:ind w:firstLine="42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地点</w:t>
      </w:r>
      <w:bookmarkStart w:id="31" w:name="_Hlk176530129"/>
      <w:r>
        <w:rPr>
          <w:rFonts w:hint="eastAsia" w:ascii="宋体" w:hAnsi="宋体" w:eastAsia="宋体" w:cs="宋体"/>
          <w:color w:val="auto"/>
          <w:spacing w:val="0"/>
          <w:szCs w:val="21"/>
        </w:rPr>
        <w:t xml:space="preserve">：“</w:t>
      </w:r>
      <w:r>
        <w:rPr>
          <w:rFonts w:hint="eastAsia" w:ascii="宋体" w:hAnsi="宋体" w:eastAsia="宋体" w:cs="宋体"/>
          <w:color w:val="auto"/>
          <w:spacing w:val="0"/>
          <w:szCs w:val="21"/>
        </w:rPr>
        <w:t xml:space="preserve">苏采云”系统</w:t>
      </w:r>
      <w:r>
        <w:rPr>
          <w:rFonts w:hint="eastAsia" w:ascii="宋体" w:hAnsi="宋体" w:eastAsia="宋体" w:cs="宋体"/>
          <w:color w:val="auto"/>
          <w:spacing w:val="0"/>
          <w:szCs w:val="21"/>
        </w:rPr>
        <w:t xml:space="preserve">开标大厅</w:t>
      </w:r>
      <w:bookmarkEnd w:id="31"/>
      <w:r/>
      <w:r/>
    </w:p>
    <w:p>
      <w:pPr>
        <w:ind w:firstLine="422"/>
        <w:jc w:val="left"/>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五、公告期限</w:t>
      </w:r>
      <w:r/>
    </w:p>
    <w:p>
      <w:pPr>
        <w:ind w:firstLine="42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自本公告发布之日起5个工作日。</w:t>
      </w:r>
      <w:r/>
    </w:p>
    <w:p>
      <w:pPr>
        <w:ind w:firstLine="422"/>
        <w:jc w:val="left"/>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lang w:val="zh-CN"/>
        </w:rPr>
        <w:t xml:space="preserve">六</w:t>
      </w:r>
      <w:r>
        <w:rPr>
          <w:rFonts w:hint="eastAsia" w:ascii="宋体" w:hAnsi="宋体" w:eastAsia="宋体" w:cs="宋体"/>
          <w:b/>
          <w:bCs/>
          <w:color w:val="auto"/>
          <w:spacing w:val="0"/>
          <w:szCs w:val="21"/>
        </w:rPr>
        <w:t xml:space="preserve">、其他补充事宜</w:t>
      </w:r>
      <w:r/>
    </w:p>
    <w:p>
      <w:pPr>
        <w:ind w:firstLine="420"/>
        <w:jc w:val="left"/>
        <w:spacing w:line="360" w:lineRule="auto"/>
        <w:shd w:val="clear" w:color="auto" w:fill="ffffff"/>
        <w:widowControl/>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1.</w:t>
      </w:r>
      <w:r>
        <w:rPr>
          <w:rFonts w:hint="eastAsia" w:ascii="宋体" w:hAnsi="宋体" w:eastAsia="宋体" w:cs="宋体"/>
          <w:color w:val="auto"/>
          <w:spacing w:val="0"/>
        </w:rPr>
        <w:t xml:space="preserve"> </w:t>
      </w:r>
      <w:r>
        <w:rPr>
          <w:rFonts w:hint="eastAsia" w:ascii="宋体" w:hAnsi="宋体" w:eastAsia="宋体" w:cs="宋体"/>
          <w:bCs/>
          <w:color w:val="auto"/>
          <w:spacing w:val="0"/>
          <w:szCs w:val="21"/>
        </w:rPr>
        <w:t xml:space="preserve">公告发布媒体：本项目在</w:t>
      </w:r>
      <w:r>
        <w:rPr>
          <w:rFonts w:hint="eastAsia" w:ascii="宋体" w:hAnsi="宋体" w:cs="宋体"/>
          <w:b/>
          <w:color w:val="auto"/>
          <w:szCs w:val="21"/>
          <w:highlight w:val="none"/>
        </w:rPr>
        <w:t xml:space="preserve">江苏政府采购网、中国政府采购网</w:t>
      </w:r>
      <w:r>
        <w:rPr>
          <w:rFonts w:hint="eastAsia" w:ascii="宋体" w:hAnsi="宋体" w:eastAsia="宋体" w:cs="宋体"/>
          <w:bCs/>
          <w:color w:val="auto"/>
          <w:spacing w:val="0"/>
          <w:szCs w:val="21"/>
        </w:rPr>
        <w:t xml:space="preserve">发布公告（其他媒体转载无效）。</w:t>
      </w:r>
      <w:r/>
    </w:p>
    <w:p>
      <w:pPr>
        <w:ind w:firstLine="420"/>
        <w:jc w:val="left"/>
        <w:spacing w:line="440" w:lineRule="exact"/>
        <w:widowControl/>
        <w:rPr>
          <w:rFonts w:hint="eastAsia" w:ascii="宋体" w:hAnsi="宋体" w:eastAsia="宋体" w:cs="宋体"/>
          <w:bCs/>
          <w:color w:val="auto"/>
          <w:spacing w:val="0"/>
        </w:rPr>
      </w:pPr>
      <w:r>
        <w:rPr>
          <w:rFonts w:hint="eastAsia" w:ascii="宋体" w:hAnsi="宋体" w:eastAsia="宋体" w:cs="宋体"/>
          <w:bCs/>
          <w:color w:val="auto"/>
          <w:spacing w:val="0"/>
          <w:szCs w:val="21"/>
        </w:rPr>
        <w:t xml:space="preserve">2.</w:t>
      </w:r>
      <w:r>
        <w:rPr>
          <w:rFonts w:hint="eastAsia" w:ascii="宋体" w:hAnsi="宋体" w:eastAsia="宋体" w:cs="宋体"/>
          <w:color w:val="auto"/>
          <w:spacing w:val="0"/>
          <w:shd w:val="clear" w:color="auto" w:fill="ffffff"/>
        </w:rPr>
        <w:t xml:space="preserve"> 本项目根据中小企业划型标准</w:t>
      </w:r>
      <w:r>
        <w:rPr>
          <w:rFonts w:hint="eastAsia" w:ascii="宋体" w:hAnsi="宋体" w:eastAsia="宋体" w:cs="宋体"/>
          <w:bCs/>
          <w:color w:val="auto"/>
          <w:spacing w:val="0"/>
          <w:szCs w:val="21"/>
        </w:rPr>
        <w:t xml:space="preserve">属于：</w:t>
      </w:r>
      <w:r>
        <w:rPr>
          <w:rFonts w:hint="eastAsia" w:ascii="宋体" w:hAnsi="宋体" w:cs="宋体"/>
          <w:b/>
          <w:bCs w:val="0"/>
          <w:color w:val="auto"/>
          <w:spacing w:val="0"/>
          <w:szCs w:val="21"/>
          <w:lang w:val="en-US" w:eastAsia="zh-CN"/>
        </w:rPr>
        <w:t xml:space="preserve">工业</w:t>
      </w:r>
      <w:r>
        <w:rPr>
          <w:rFonts w:hint="eastAsia" w:ascii="宋体" w:hAnsi="宋体" w:eastAsia="宋体" w:cs="宋体"/>
          <w:bCs/>
          <w:color w:val="auto"/>
          <w:spacing w:val="0"/>
          <w:szCs w:val="21"/>
        </w:rPr>
        <w:t xml:space="preserve">。</w:t>
      </w:r>
      <w:r/>
    </w:p>
    <w:p>
      <w:pPr>
        <w:ind w:firstLine="420"/>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3.</w:t>
      </w:r>
      <w:r>
        <w:rPr>
          <w:rFonts w:hint="eastAsia" w:ascii="宋体" w:hAnsi="宋体" w:eastAsia="宋体" w:cs="宋体"/>
          <w:bCs/>
          <w:color w:val="auto"/>
          <w:spacing w:val="0"/>
          <w:szCs w:val="21"/>
        </w:rPr>
        <w:t xml:space="preserve"> 本项目不专门面向中小微企业采购，执行价格扣除优惠政策，</w:t>
      </w:r>
      <w:r>
        <w:rPr>
          <w:rFonts w:hint="eastAsia" w:ascii="宋体" w:hAnsi="宋体" w:eastAsia="宋体" w:cs="宋体"/>
          <w:color w:val="auto"/>
          <w:spacing w:val="0"/>
          <w:szCs w:val="21"/>
        </w:rPr>
        <w:t xml:space="preserve">具体内容详见招标文件第二章政策功能。</w:t>
      </w:r>
      <w:r/>
    </w:p>
    <w:p>
      <w:pPr>
        <w:ind w:firstLine="420"/>
        <w:jc w:val="left"/>
        <w:spacing w:line="360" w:lineRule="auto"/>
        <w:rPr>
          <w:rFonts w:hint="eastAsia" w:ascii="宋体" w:hAnsi="宋体" w:eastAsia="宋体" w:cs="宋体"/>
          <w:color w:val="auto"/>
          <w:spacing w:val="0"/>
          <w:szCs w:val="21"/>
          <w:highlight w:val="none"/>
          <w:u w:val="single"/>
        </w:rPr>
      </w:pPr>
      <w:r>
        <w:rPr>
          <w:rFonts w:hint="eastAsia" w:ascii="宋体" w:hAnsi="宋体" w:eastAsia="宋体" w:cs="宋体"/>
          <w:bCs/>
          <w:color w:val="auto"/>
          <w:spacing w:val="0"/>
          <w:szCs w:val="21"/>
          <w:highlight w:val="none"/>
        </w:rPr>
        <w:t xml:space="preserve">4. 勘察现场或答疑：本项目组织勘察及答疑，投标人代表携带加盖单位公章的法定代表人授权委托书、身份证参加。签到时间：2026年</w:t>
      </w:r>
      <w:r>
        <w:rPr>
          <w:rFonts w:hint="eastAsia" w:ascii="宋体" w:hAnsi="宋体" w:cs="宋体"/>
          <w:bCs/>
          <w:color w:val="auto"/>
          <w:spacing w:val="0"/>
          <w:szCs w:val="21"/>
          <w:highlight w:val="none"/>
          <w:lang w:val="en-US" w:eastAsia="zh-CN"/>
        </w:rPr>
        <w:t xml:space="preserve">7</w:t>
      </w:r>
      <w:r>
        <w:rPr>
          <w:rFonts w:hint="eastAsia" w:ascii="宋体" w:hAnsi="宋体" w:eastAsia="宋体" w:cs="宋体"/>
          <w:bCs/>
          <w:color w:val="auto"/>
          <w:spacing w:val="0"/>
          <w:szCs w:val="21"/>
          <w:highlight w:val="none"/>
        </w:rPr>
        <w:t xml:space="preserve">月</w:t>
      </w:r>
      <w:r>
        <w:rPr>
          <w:rFonts w:hint="eastAsia" w:ascii="宋体" w:hAnsi="宋体" w:cs="宋体"/>
          <w:bCs/>
          <w:color w:val="auto"/>
          <w:spacing w:val="0"/>
          <w:szCs w:val="21"/>
          <w:highlight w:val="none"/>
          <w:lang w:val="en-US" w:eastAsia="zh-CN"/>
        </w:rPr>
        <w:t xml:space="preserve">16</w:t>
      </w:r>
      <w:r>
        <w:rPr>
          <w:rFonts w:hint="eastAsia" w:ascii="宋体" w:hAnsi="宋体" w:eastAsia="宋体" w:cs="宋体"/>
          <w:bCs/>
          <w:color w:val="auto"/>
          <w:spacing w:val="0"/>
          <w:szCs w:val="21"/>
          <w:highlight w:val="none"/>
        </w:rPr>
        <w:t xml:space="preserve">日</w:t>
      </w:r>
      <w:r>
        <w:rPr>
          <w:rFonts w:hint="eastAsia" w:ascii="宋体" w:hAnsi="宋体" w:cs="宋体"/>
          <w:bCs/>
          <w:color w:val="auto"/>
          <w:spacing w:val="0"/>
          <w:szCs w:val="21"/>
          <w:highlight w:val="none"/>
          <w:lang w:val="en-US" w:eastAsia="zh-CN"/>
        </w:rPr>
        <w:t xml:space="preserve">9</w:t>
      </w:r>
      <w:r>
        <w:rPr>
          <w:rFonts w:hint="eastAsia" w:ascii="宋体" w:hAnsi="宋体" w:eastAsia="宋体" w:cs="宋体"/>
          <w:bCs/>
          <w:color w:val="auto"/>
          <w:spacing w:val="0"/>
          <w:szCs w:val="21"/>
          <w:highlight w:val="none"/>
        </w:rPr>
        <w:t xml:space="preserve">时</w:t>
      </w:r>
      <w:r>
        <w:rPr>
          <w:rFonts w:hint="eastAsia" w:ascii="宋体" w:hAnsi="宋体" w:cs="宋体"/>
          <w:bCs/>
          <w:color w:val="auto"/>
          <w:spacing w:val="0"/>
          <w:szCs w:val="21"/>
          <w:highlight w:val="none"/>
          <w:lang w:val="en-US" w:eastAsia="zh-CN"/>
        </w:rPr>
        <w:t xml:space="preserve">30</w:t>
      </w:r>
      <w:r>
        <w:rPr>
          <w:rFonts w:hint="eastAsia" w:ascii="宋体" w:hAnsi="宋体" w:eastAsia="宋体" w:cs="宋体"/>
          <w:bCs/>
          <w:color w:val="auto"/>
          <w:spacing w:val="0"/>
          <w:szCs w:val="21"/>
          <w:highlight w:val="none"/>
        </w:rPr>
        <w:t xml:space="preserve">分至</w:t>
      </w:r>
      <w:r>
        <w:rPr>
          <w:rFonts w:hint="eastAsia" w:ascii="宋体" w:hAnsi="宋体" w:cs="宋体"/>
          <w:bCs/>
          <w:color w:val="auto"/>
          <w:spacing w:val="0"/>
          <w:szCs w:val="21"/>
          <w:highlight w:val="none"/>
          <w:lang w:val="en-US" w:eastAsia="zh-CN"/>
        </w:rPr>
        <w:t xml:space="preserve">10</w:t>
      </w:r>
      <w:r>
        <w:rPr>
          <w:rFonts w:hint="eastAsia" w:ascii="宋体" w:hAnsi="宋体" w:eastAsia="宋体" w:cs="宋体"/>
          <w:bCs/>
          <w:color w:val="auto"/>
          <w:spacing w:val="0"/>
          <w:szCs w:val="21"/>
          <w:highlight w:val="none"/>
        </w:rPr>
        <w:t xml:space="preserve">时</w:t>
      </w:r>
      <w:r>
        <w:rPr>
          <w:rFonts w:hint="eastAsia" w:ascii="宋体" w:hAnsi="宋体" w:cs="宋体"/>
          <w:bCs/>
          <w:color w:val="auto"/>
          <w:spacing w:val="0"/>
          <w:szCs w:val="21"/>
          <w:highlight w:val="none"/>
          <w:lang w:val="en-US" w:eastAsia="zh-CN"/>
        </w:rPr>
        <w:t xml:space="preserve">00</w:t>
      </w:r>
      <w:r>
        <w:rPr>
          <w:rFonts w:hint="eastAsia" w:ascii="宋体" w:hAnsi="宋体" w:eastAsia="宋体" w:cs="宋体"/>
          <w:bCs/>
          <w:color w:val="auto"/>
          <w:spacing w:val="0"/>
          <w:szCs w:val="21"/>
          <w:highlight w:val="none"/>
        </w:rPr>
        <w:t xml:space="preserve">分，地址：</w:t>
      </w:r>
      <w:r>
        <w:rPr>
          <w:rFonts w:hint="eastAsia" w:ascii="宋体" w:hAnsi="宋体" w:eastAsia="宋体" w:cs="宋体"/>
          <w:bCs/>
          <w:color w:val="auto"/>
          <w:spacing w:val="0"/>
          <w:szCs w:val="21"/>
        </w:rPr>
        <w:t xml:space="preserve">南京仙林大学城文澜路99号南京信息职业技术学院</w:t>
      </w:r>
      <w:r>
        <w:rPr>
          <w:rFonts w:hint="eastAsia" w:ascii="宋体" w:hAnsi="宋体" w:eastAsia="宋体" w:cs="宋体"/>
          <w:bCs/>
          <w:color w:val="auto"/>
          <w:spacing w:val="0"/>
          <w:szCs w:val="21"/>
          <w:highlight w:val="none"/>
        </w:rPr>
        <w:t xml:space="preserve">，联系人：</w:t>
      </w:r>
      <w:r>
        <w:rPr>
          <w:rFonts w:hint="eastAsia" w:ascii="宋体" w:hAnsi="宋体" w:cs="宋体"/>
          <w:bCs/>
          <w:color w:val="auto"/>
          <w:spacing w:val="0"/>
          <w:szCs w:val="21"/>
          <w:highlight w:val="none"/>
          <w:lang w:val="en-US" w:eastAsia="zh-CN"/>
        </w:rPr>
        <w:t xml:space="preserve">刘老师</w:t>
      </w:r>
      <w:r>
        <w:rPr>
          <w:rFonts w:hint="eastAsia" w:ascii="宋体" w:hAnsi="宋体" w:eastAsia="宋体" w:cs="宋体"/>
          <w:bCs/>
          <w:color w:val="auto"/>
          <w:spacing w:val="0"/>
          <w:szCs w:val="21"/>
          <w:highlight w:val="none"/>
        </w:rPr>
        <w:t xml:space="preserve">，联系电话：025-85842310。由于现场踏勘没有进行或者不详细，所导致的一切问题均由投标单位自行负责。</w:t>
      </w:r>
      <w:r/>
    </w:p>
    <w:p>
      <w:pPr>
        <w:ind w:firstLine="422"/>
        <w:jc w:val="left"/>
        <w:spacing w:line="360" w:lineRule="auto"/>
        <w:shd w:val="clear" w:color="auto" w:fill="ffffff"/>
        <w:widowControl/>
        <w:rPr>
          <w:rFonts w:hint="eastAsia" w:ascii="宋体" w:hAnsi="宋体" w:eastAsia="宋体" w:cs="宋体"/>
          <w:b/>
          <w:bCs/>
          <w:color w:val="auto"/>
          <w:spacing w:val="0"/>
          <w:szCs w:val="21"/>
          <w:lang w:val="zh-CN"/>
        </w:rPr>
      </w:pPr>
      <w:r/>
      <w:bookmarkStart w:id="32" w:name="_Hlk163569423"/>
      <w:r>
        <w:rPr>
          <w:rFonts w:hint="eastAsia" w:ascii="宋体" w:hAnsi="宋体" w:eastAsia="宋体" w:cs="宋体"/>
          <w:b/>
          <w:bCs/>
          <w:color w:val="auto"/>
          <w:spacing w:val="0"/>
          <w:szCs w:val="21"/>
          <w:lang w:val="zh-CN"/>
        </w:rPr>
        <w:t xml:space="preserve">5. 拒绝下述投标人参加本次采购活动</w:t>
      </w:r>
      <w:r>
        <w:rPr>
          <w:rFonts w:hint="eastAsia" w:ascii="宋体" w:hAnsi="宋体" w:cs="宋体"/>
          <w:b/>
          <w:bCs/>
          <w:color w:val="auto"/>
          <w:spacing w:val="0"/>
          <w:szCs w:val="21"/>
          <w:lang w:val="zh-CN"/>
        </w:rPr>
        <w:t xml:space="preserve">：</w:t>
      </w:r>
      <w:r/>
    </w:p>
    <w:p>
      <w:pPr>
        <w:ind w:firstLine="420"/>
        <w:jc w:val="left"/>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（1）投标人单位负责人为同一人或者存在直接控股、管理关系的不同投标人，不得参加同一合同项下的政府采购活动。</w:t>
      </w:r>
      <w:r/>
    </w:p>
    <w:p>
      <w:pPr>
        <w:ind w:firstLine="420"/>
        <w:jc w:val="left"/>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（2）为采购项目提供整体设计、规范编制或者项目管理、监理、检测等服务的投标人，不得参加本项目的采购活动。</w:t>
      </w:r>
      <w:r/>
    </w:p>
    <w:p>
      <w:pPr>
        <w:ind w:firstLine="420"/>
        <w:jc w:val="left"/>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（3）投标人被“信用中国”网站（www.creditchina.gov.cn）、“中国政府采购网”(www.ccgp.gov.cn)列入失信被执行人、重大税收违法案件当事人名单、政府采购严重违法失信行为记录名单。</w:t>
      </w:r>
      <w:r/>
    </w:p>
    <w:p>
      <w:pPr>
        <w:ind w:firstLine="422"/>
        <w:jc w:val="left"/>
        <w:spacing w:line="360" w:lineRule="auto"/>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6.</w:t>
      </w:r>
      <w:r>
        <w:rPr>
          <w:rFonts w:hint="eastAsia" w:ascii="宋体" w:hAnsi="宋体" w:eastAsia="宋体" w:cs="宋体"/>
          <w:b/>
          <w:color w:val="auto"/>
          <w:spacing w:val="0"/>
          <w:sz w:val="28"/>
          <w:szCs w:val="28"/>
        </w:rPr>
        <w:t xml:space="preserve"> </w:t>
      </w:r>
      <w:bookmarkStart w:id="33" w:name="OLE_LINK17"/>
      <w:r>
        <w:rPr>
          <w:rFonts w:hint="eastAsia" w:ascii="宋体" w:hAnsi="宋体" w:eastAsia="宋体" w:cs="宋体"/>
          <w:b/>
          <w:color w:val="auto"/>
          <w:spacing w:val="0"/>
          <w:szCs w:val="21"/>
        </w:rPr>
        <w:t xml:space="preserve">投标人</w:t>
      </w:r>
      <w:bookmarkEnd w:id="33"/>
      <w:r>
        <w:rPr>
          <w:rFonts w:hint="eastAsia" w:ascii="宋体" w:hAnsi="宋体" w:eastAsia="宋体" w:cs="宋体"/>
          <w:b/>
          <w:color w:val="auto"/>
          <w:spacing w:val="0"/>
          <w:szCs w:val="21"/>
        </w:rPr>
        <w:t xml:space="preserve">通过苏采云系统参与政府采购项目，需要办理江苏省政府采购数字证书及电子签章，具体详见苏采云系统登录页“新CA办理指南”。投标人按《苏采云系统供应商操作手册》（以下简称“操作手册”）进行注册，并制作上传电子投标文件。《操作手册》</w:t>
      </w:r>
      <w:r>
        <w:rPr>
          <w:rFonts w:hint="eastAsia" w:ascii="宋体" w:hAnsi="宋体" w:eastAsia="宋体" w:cs="宋体"/>
          <w:color w:val="auto"/>
          <w:spacing w:val="0"/>
        </w:rPr>
        <w:fldChar w:fldCharType="begin"/>
      </w:r>
      <w:r>
        <w:rPr>
          <w:rFonts w:hint="eastAsia" w:ascii="宋体" w:hAnsi="宋体" w:eastAsia="宋体" w:cs="宋体"/>
          <w:color w:val="auto"/>
          <w:spacing w:val="0"/>
        </w:rPr>
        <w:instrText xml:space="preserve"> HYPERLINK "http://www.ccgp-jiangsu.gov.cn/jiangsu/zlxz/ee/ee3a4bc5a3454aa2b0d9312230633ce9.html" </w:instrText>
      </w:r>
      <w:r>
        <w:rPr>
          <w:rFonts w:hint="eastAsia" w:ascii="宋体" w:hAnsi="宋体" w:eastAsia="宋体" w:cs="宋体"/>
          <w:color w:val="auto"/>
          <w:spacing w:val="0"/>
        </w:rPr>
        <w:fldChar w:fldCharType="separate"/>
      </w:r>
      <w:r>
        <w:rPr>
          <w:rStyle w:val="951"/>
          <w:rFonts w:hint="eastAsia" w:ascii="宋体" w:hAnsi="宋体" w:eastAsia="宋体" w:cs="宋体"/>
          <w:b/>
          <w:color w:val="auto"/>
          <w:spacing w:val="0"/>
          <w:szCs w:val="21"/>
        </w:rPr>
        <w:t xml:space="preserve">下载地址</w:t>
      </w:r>
      <w:r>
        <w:rPr>
          <w:rStyle w:val="951"/>
          <w:rFonts w:hint="eastAsia" w:ascii="宋体" w:hAnsi="宋体" w:eastAsia="宋体" w:cs="宋体"/>
          <w:b/>
          <w:color w:val="auto"/>
          <w:spacing w:val="0"/>
          <w:szCs w:val="21"/>
        </w:rPr>
        <w:fldChar w:fldCharType="end"/>
      </w:r>
      <w:r>
        <w:rPr>
          <w:rFonts w:hint="eastAsia" w:ascii="宋体" w:hAnsi="宋体" w:eastAsia="宋体" w:cs="宋体"/>
          <w:b/>
          <w:color w:val="auto"/>
          <w:spacing w:val="0"/>
          <w:szCs w:val="21"/>
        </w:rPr>
        <w:t xml:space="preserve">（http://www.ccgp-jiangsu.gov.cn/jiangsu/zlxz/ee/ee3a4bc5a3454aa2b0d9312230633ce9.html）。</w:t>
      </w:r>
      <w:bookmarkStart w:id="34" w:name="OLE_LINK2"/>
      <w:r>
        <w:rPr>
          <w:rFonts w:hint="eastAsia" w:ascii="宋体" w:hAnsi="宋体" w:eastAsia="宋体" w:cs="宋体"/>
          <w:b/>
          <w:color w:val="auto"/>
          <w:spacing w:val="0"/>
          <w:szCs w:val="21"/>
        </w:rPr>
        <w:t xml:space="preserve">“苏采云”南京地区客服热线025-83633744、025-83633743。</w:t>
      </w:r>
      <w:bookmarkEnd w:id="34"/>
      <w:r/>
      <w:r/>
    </w:p>
    <w:p>
      <w:pPr>
        <w:ind w:firstLine="420"/>
        <w:jc w:val="left"/>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7.有关本次招标的事项若存在变动或修改，请及时关注“江苏政府采购网”（www.ccgp-jiangsu.gov.cn）更正公告。</w:t>
      </w:r>
      <w:bookmarkEnd w:id="32"/>
      <w:r/>
      <w:r/>
    </w:p>
    <w:p>
      <w:pPr>
        <w:ind w:firstLine="422"/>
        <w:jc w:val="left"/>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七、对本次招标提出询问，请按以下方式联系</w:t>
      </w:r>
      <w:r/>
    </w:p>
    <w:p>
      <w:pPr>
        <w:ind w:firstLine="422"/>
        <w:jc w:val="left"/>
        <w:spacing w:line="360" w:lineRule="auto"/>
        <w:shd w:val="clear" w:color="auto" w:fill="ffffff"/>
        <w:widowControl/>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1.采购人信息</w:t>
      </w:r>
      <w:r/>
    </w:p>
    <w:p>
      <w:pPr>
        <w:ind w:firstLine="420"/>
        <w:jc w:val="left"/>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名  称：南京信息职业技术学院</w:t>
      </w:r>
      <w:r/>
    </w:p>
    <w:p>
      <w:pPr>
        <w:ind w:firstLine="420"/>
        <w:jc w:val="left"/>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地  址：南京仙林大学城文澜路99号</w:t>
      </w:r>
      <w:r/>
    </w:p>
    <w:p>
      <w:pPr>
        <w:ind w:firstLine="420"/>
        <w:jc w:val="left"/>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联系人：韦老师</w:t>
      </w:r>
      <w:r/>
    </w:p>
    <w:p>
      <w:pPr>
        <w:ind w:firstLine="420"/>
        <w:jc w:val="left"/>
        <w:spacing w:line="360" w:lineRule="auto"/>
        <w:rPr>
          <w:rFonts w:hint="eastAsia" w:ascii="宋体" w:hAnsi="宋体" w:eastAsia="宋体" w:cs="宋体"/>
          <w:color w:val="auto"/>
          <w:spacing w:val="0"/>
          <w:szCs w:val="21"/>
          <w:lang w:val="zh-CN"/>
        </w:rPr>
      </w:pPr>
      <w:r>
        <w:rPr>
          <w:rFonts w:hint="eastAsia" w:ascii="宋体" w:hAnsi="宋体" w:eastAsia="宋体" w:cs="宋体"/>
          <w:bCs/>
          <w:color w:val="auto"/>
          <w:spacing w:val="0"/>
          <w:szCs w:val="21"/>
        </w:rPr>
        <w:t xml:space="preserve">联系电话：025-85842095</w:t>
      </w:r>
      <w:r/>
    </w:p>
    <w:p>
      <w:pPr>
        <w:ind w:firstLine="422"/>
        <w:jc w:val="left"/>
        <w:spacing w:line="360" w:lineRule="auto"/>
        <w:shd w:val="clear" w:color="auto" w:fill="ffffff"/>
        <w:widowControl/>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2.采购代理机构信息（如有）</w:t>
      </w:r>
      <w:r/>
    </w:p>
    <w:p>
      <w:pPr>
        <w:ind w:firstLine="420"/>
        <w:jc w:val="left"/>
        <w:spacing w:line="360" w:lineRule="auto"/>
        <w:shd w:val="clear" w:color="auto" w:fill="ffffff"/>
        <w:widowControl/>
        <w:rPr>
          <w:rFonts w:hint="eastAsia" w:ascii="宋体" w:hAnsi="宋体" w:eastAsia="宋体" w:cs="宋体"/>
          <w:b/>
          <w:color w:val="auto"/>
          <w:spacing w:val="0"/>
          <w:szCs w:val="21"/>
        </w:rPr>
      </w:pPr>
      <w:r>
        <w:rPr>
          <w:rFonts w:hint="eastAsia" w:ascii="宋体" w:hAnsi="宋体" w:eastAsia="宋体" w:cs="宋体"/>
          <w:bCs/>
          <w:color w:val="auto"/>
          <w:spacing w:val="0"/>
          <w:szCs w:val="21"/>
        </w:rPr>
        <w:t xml:space="preserve">单位名称：江苏国采工程咨询有限公司</w:t>
      </w:r>
      <w:r/>
    </w:p>
    <w:p>
      <w:pPr>
        <w:ind w:firstLine="420"/>
        <w:jc w:val="left"/>
        <w:spacing w:line="360" w:lineRule="auto"/>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t xml:space="preserve">单位地址：南京市山西路8号金山大厦A座28层2810室</w:t>
      </w:r>
      <w:r/>
    </w:p>
    <w:p>
      <w:pPr>
        <w:ind w:firstLine="420"/>
        <w:jc w:val="left"/>
        <w:spacing w:line="360" w:lineRule="auto"/>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t xml:space="preserve">邮箱:jsgczb@sina.com</w:t>
      </w:r>
      <w:r/>
    </w:p>
    <w:p>
      <w:pPr>
        <w:ind w:firstLine="420"/>
        <w:jc w:val="left"/>
        <w:spacing w:line="360" w:lineRule="auto"/>
        <w:rPr>
          <w:rFonts w:hint="default" w:ascii="宋体" w:hAnsi="宋体" w:eastAsia="宋体" w:cs="宋体"/>
          <w:color w:val="auto"/>
          <w:spacing w:val="0"/>
          <w:szCs w:val="21"/>
          <w:lang w:val="en-US" w:eastAsia="zh-CN"/>
        </w:rPr>
      </w:pPr>
      <w:r>
        <w:rPr>
          <w:rFonts w:hint="eastAsia" w:ascii="宋体" w:hAnsi="宋体" w:eastAsia="宋体" w:cs="宋体"/>
          <w:color w:val="auto"/>
          <w:spacing w:val="0"/>
          <w:szCs w:val="21"/>
          <w:lang w:val="zh-CN"/>
        </w:rPr>
        <w:t xml:space="preserve">联系人：</w:t>
      </w:r>
      <w:r>
        <w:rPr>
          <w:rFonts w:hint="eastAsia" w:ascii="宋体" w:hAnsi="宋体" w:cs="宋体"/>
          <w:color w:val="auto"/>
          <w:spacing w:val="0"/>
          <w:szCs w:val="21"/>
          <w:lang w:val="en-US" w:eastAsia="zh-CN"/>
        </w:rPr>
        <w:t xml:space="preserve">张波 高捷</w:t>
      </w:r>
      <w:r/>
    </w:p>
    <w:p>
      <w:pPr>
        <w:ind w:firstLine="420"/>
        <w:jc w:val="left"/>
        <w:spacing w:line="360" w:lineRule="auto"/>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t xml:space="preserve">联系电话：025-83690879</w:t>
      </w:r>
      <w:r/>
    </w:p>
    <w:p>
      <w:pPr>
        <w:ind w:firstLine="422"/>
        <w:jc w:val="left"/>
        <w:spacing w:line="360" w:lineRule="auto"/>
        <w:shd w:val="clear" w:color="auto" w:fill="ffffff"/>
        <w:widowControl/>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3.项目联系方式</w:t>
      </w:r>
      <w:r/>
    </w:p>
    <w:p>
      <w:pPr>
        <w:ind w:firstLine="420"/>
        <w:jc w:val="left"/>
        <w:spacing w:line="360" w:lineRule="auto"/>
        <w:shd w:val="clear" w:color="auto" w:fill="ffffff"/>
        <w:widowControl/>
        <w:rPr>
          <w:rFonts w:hint="eastAsia" w:ascii="宋体" w:hAnsi="宋体" w:eastAsia="宋体" w:cs="宋体"/>
          <w:color w:val="auto"/>
          <w:spacing w:val="0"/>
          <w:szCs w:val="21"/>
          <w:lang w:val="en-US" w:eastAsia="zh-CN"/>
        </w:rPr>
      </w:pPr>
      <w:r>
        <w:rPr>
          <w:rFonts w:hint="eastAsia" w:ascii="宋体" w:hAnsi="宋体" w:eastAsia="宋体" w:cs="宋体"/>
          <w:color w:val="auto"/>
          <w:spacing w:val="0"/>
          <w:szCs w:val="21"/>
          <w:lang w:val="zh-CN"/>
        </w:rPr>
        <w:t xml:space="preserve">联系人：</w:t>
      </w:r>
      <w:r>
        <w:rPr>
          <w:rFonts w:hint="eastAsia" w:ascii="宋体" w:hAnsi="宋体" w:eastAsia="宋体" w:cs="宋体"/>
          <w:color w:val="auto"/>
          <w:spacing w:val="0"/>
          <w:szCs w:val="21"/>
          <w:lang w:val="en-US" w:eastAsia="zh-CN"/>
        </w:rPr>
        <w:t xml:space="preserve">张波 高捷</w:t>
      </w:r>
      <w:r/>
    </w:p>
    <w:p>
      <w:pPr>
        <w:ind w:firstLine="42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lang w:val="zh-CN"/>
        </w:rPr>
        <w:t xml:space="preserve">联系电话：025-83690879</w:t>
      </w:r>
      <w:r>
        <w:rPr>
          <w:rFonts w:hint="eastAsia" w:ascii="宋体" w:hAnsi="宋体" w:eastAsia="宋体" w:cs="宋体"/>
          <w:color w:val="auto"/>
          <w:spacing w:val="0"/>
          <w:szCs w:val="21"/>
        </w:rPr>
        <w:t xml:space="preserve">  </w:t>
      </w:r>
      <w:r/>
    </w:p>
    <w:p>
      <w:pPr>
        <w:ind w:firstLine="315"/>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bookmarkEnd w:id="3"/>
      <w:r/>
      <w:r/>
    </w:p>
    <w:p>
      <w:pPr>
        <w:pStyle w:val="902"/>
        <w:numPr>
          <w:ilvl w:val="0"/>
          <w:numId w:val="0"/>
        </w:numPr>
        <w:rPr>
          <w:rFonts w:hint="eastAsia" w:ascii="宋体" w:hAnsi="宋体" w:eastAsia="宋体" w:cs="宋体"/>
          <w:color w:val="auto"/>
          <w:spacing w:val="0"/>
        </w:rPr>
      </w:pPr>
      <w:r>
        <w:rPr>
          <w:rFonts w:hint="eastAsia" w:ascii="宋体" w:hAnsi="宋体" w:eastAsia="宋体" w:cs="宋体"/>
          <w:color w:val="auto"/>
          <w:spacing w:val="0"/>
          <w:sz w:val="21"/>
          <w:szCs w:val="21"/>
        </w:rPr>
        <w:br w:type="page" w:clear="all"/>
      </w:r>
      <w:bookmarkStart w:id="35" w:name="_Toc176529668"/>
      <w:r/>
      <w:bookmarkStart w:id="36" w:name="_Toc7511"/>
      <w:r>
        <w:rPr>
          <w:rFonts w:hint="eastAsia" w:ascii="宋体" w:hAnsi="宋体" w:eastAsia="宋体" w:cs="宋体"/>
          <w:color w:val="auto"/>
          <w:spacing w:val="0"/>
        </w:rPr>
        <w:t xml:space="preserve">第二章</w:t>
      </w:r>
      <w:bookmarkStart w:id="37" w:name="_Toc452625218"/>
      <w:r>
        <w:rPr>
          <w:rFonts w:hint="eastAsia" w:ascii="宋体" w:hAnsi="宋体" w:eastAsia="宋体" w:cs="宋体"/>
          <w:color w:val="auto"/>
          <w:spacing w:val="0"/>
        </w:rPr>
        <w:t xml:space="preserve"> 投标人须知</w:t>
      </w:r>
      <w:bookmarkEnd w:id="35"/>
      <w:r/>
      <w:bookmarkEnd w:id="36"/>
      <w:r/>
      <w:bookmarkEnd w:id="37"/>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一、总 则</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1.适用法律</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1.1本次采购适用《中华人民共和国政府采购法》、《中华人民共和国政府采购法实施条例》、《政府采购货物或服务招标投标管理办法》等法律、行政法规、部门规章和规范性文件。</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2.定义</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38" w:name="_Hlk44576213"/>
      <w:r>
        <w:rPr>
          <w:rFonts w:hint="eastAsia" w:ascii="宋体" w:hAnsi="宋体" w:eastAsia="宋体" w:cs="宋体"/>
          <w:color w:val="auto"/>
          <w:spacing w:val="0"/>
          <w:szCs w:val="21"/>
        </w:rPr>
        <w:t xml:space="preserve">2.1“采购人”是指南京信息职业技术学院。</w:t>
      </w:r>
      <w:bookmarkEnd w:id="38"/>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2.2“投标人或供应商”是指参加投标竞争，并符合招标文件规定资格条件的法人、其他组织或者自然人。</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39" w:name="_Hlk44576222"/>
      <w:r>
        <w:rPr>
          <w:rFonts w:hint="eastAsia" w:ascii="宋体" w:hAnsi="宋体" w:eastAsia="宋体" w:cs="宋体"/>
          <w:color w:val="auto"/>
          <w:spacing w:val="0"/>
          <w:szCs w:val="21"/>
        </w:rPr>
        <w:t xml:space="preserve">2.3“采购代理机构”是指江苏国采工程咨询有限公司。</w:t>
      </w:r>
      <w:bookmarkEnd w:id="39"/>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40" w:name="_Hlk225955430"/>
      <w:r/>
      <w:bookmarkStart w:id="41" w:name="_Hlk118723819"/>
      <w:r/>
      <w:bookmarkStart w:id="42" w:name="_Hlk84583107"/>
      <w:r>
        <w:rPr>
          <w:rFonts w:hint="eastAsia" w:ascii="宋体" w:hAnsi="宋体" w:eastAsia="宋体" w:cs="宋体"/>
          <w:color w:val="auto"/>
          <w:spacing w:val="0"/>
          <w:szCs w:val="21"/>
        </w:rPr>
        <w:t xml:space="preserve">2.4“货物和服务”指本招标文件中所述</w:t>
      </w:r>
      <w:r>
        <w:rPr>
          <w:rFonts w:hint="eastAsia" w:ascii="宋体" w:hAnsi="宋体" w:eastAsia="宋体" w:cs="宋体"/>
          <w:bCs/>
          <w:color w:val="auto"/>
          <w:spacing w:val="0"/>
          <w:szCs w:val="21"/>
        </w:rPr>
        <w:t xml:space="preserve">产品及配套服务</w:t>
      </w:r>
      <w:r>
        <w:rPr>
          <w:rFonts w:hint="eastAsia" w:ascii="宋体" w:hAnsi="宋体" w:eastAsia="宋体" w:cs="宋体"/>
          <w:color w:val="auto"/>
          <w:spacing w:val="0"/>
          <w:szCs w:val="21"/>
        </w:rPr>
        <w:t xml:space="preserve">。</w:t>
      </w:r>
      <w:bookmarkEnd w:id="40"/>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3.政策功能</w:t>
      </w:r>
      <w:bookmarkEnd w:id="41"/>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color w:val="auto"/>
          <w:spacing w:val="0"/>
          <w:szCs w:val="21"/>
        </w:rPr>
      </w:pPr>
      <w:r/>
      <w:bookmarkStart w:id="43" w:name="_Hlk75345706"/>
      <w:r>
        <w:rPr>
          <w:rFonts w:hint="eastAsia" w:ascii="宋体" w:hAnsi="宋体" w:eastAsia="宋体" w:cs="宋体"/>
          <w:b/>
          <w:color w:val="auto"/>
          <w:spacing w:val="0"/>
          <w:szCs w:val="21"/>
        </w:rPr>
        <w:t xml:space="preserve">3.1 中小企业政策</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44" w:name="_Hlk77845870"/>
      <w:r/>
      <w:bookmarkStart w:id="45" w:name="_Hlk84580649"/>
      <w:r>
        <w:rPr>
          <w:rFonts w:hint="eastAsia" w:ascii="宋体" w:hAnsi="宋体" w:eastAsia="宋体" w:cs="宋体"/>
          <w:color w:val="auto"/>
          <w:spacing w:val="0"/>
          <w:szCs w:val="21"/>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w:t>
      </w:r>
      <w:bookmarkStart w:id="46" w:name="OLE_LINK51"/>
      <w:r>
        <w:rPr>
          <w:rFonts w:hint="eastAsia" w:ascii="宋体" w:hAnsi="宋体" w:eastAsia="宋体" w:cs="宋体"/>
          <w:color w:val="auto"/>
          <w:spacing w:val="0"/>
          <w:szCs w:val="21"/>
        </w:rPr>
        <w:t xml:space="preserve">“中小企业划型标准”详见《关于印发中小企业划型标准规定的通知》工信部联企业〔2011〕300号及《</w:t>
      </w:r>
      <w:bookmarkStart w:id="47" w:name="OLE_LINK49"/>
      <w:r>
        <w:rPr>
          <w:rFonts w:hint="eastAsia" w:ascii="宋体" w:hAnsi="宋体" w:eastAsia="宋体" w:cs="宋体"/>
          <w:color w:val="auto"/>
          <w:spacing w:val="0"/>
          <w:szCs w:val="21"/>
        </w:rPr>
        <w:t xml:space="preserve">国家统计局关于印发&lt;统计上大中小微型企业划分办法（2017）&gt;的通知</w:t>
      </w:r>
      <w:bookmarkEnd w:id="47"/>
      <w:r>
        <w:rPr>
          <w:rFonts w:hint="eastAsia" w:ascii="宋体" w:hAnsi="宋体" w:eastAsia="宋体" w:cs="宋体"/>
          <w:color w:val="auto"/>
          <w:spacing w:val="0"/>
          <w:szCs w:val="21"/>
        </w:rPr>
        <w:t xml:space="preserve">》国统字〔2017〕213号）</w:t>
      </w:r>
      <w:bookmarkEnd w:id="46"/>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43"/>
      <w:r/>
      <w:bookmarkEnd w:id="44"/>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3）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4%的价格扣除。</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以联合体形式参加政府采购活动的，联合体各方均为中小企业的，联合体视同中小企业。其中，联合体各方均为小微企业的，联合体视同小微企业。</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（4）依据《政府采购促进中小企业发展管理办法》（财库〔2020〕46号）规定的扶持政策获取政府采购合同后，小型、微型企业不得将合同分包给大型、中型企业，中型企业不得将合同分包给大型企业。</w:t>
      </w:r>
      <w:bookmarkEnd w:id="45"/>
      <w:r/>
      <w:r/>
    </w:p>
    <w:p>
      <w:pPr>
        <w:ind w:left="0" w:right="0" w:firstLine="422"/>
        <w:jc w:val="left"/>
        <w:keepLines w:val="0"/>
        <w:keepNext w:val="0"/>
        <w:pageBreakBefore w:val="0"/>
        <w:spacing w:line="360" w:lineRule="auto"/>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3.</w:t>
      </w:r>
      <w:bookmarkStart w:id="48" w:name="_Hlk66802840"/>
      <w:r>
        <w:rPr>
          <w:rFonts w:hint="eastAsia" w:ascii="宋体" w:hAnsi="宋体" w:eastAsia="宋体" w:cs="宋体"/>
          <w:b/>
          <w:bCs/>
          <w:color w:val="auto"/>
          <w:spacing w:val="0"/>
          <w:szCs w:val="21"/>
        </w:rPr>
        <w:t xml:space="preserve">2支持监狱企业（含监狱和戒毒企业）发展政策</w:t>
      </w:r>
      <w:bookmarkEnd w:id="48"/>
      <w:r/>
      <w:r/>
    </w:p>
    <w:p>
      <w:p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（1）根据《关于政府采购支持监狱企业发展有关问题的通知》，在政府采购活动中监狱企业视同小型、微型企业，享受预留份额、评审中价格扣除等政府采购促进中小企业发展的政府采购政策。</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49" w:name="_Hlk77845906"/>
      <w:r>
        <w:rPr>
          <w:rFonts w:hint="eastAsia" w:ascii="宋体" w:hAnsi="宋体" w:eastAsia="宋体" w:cs="宋体"/>
          <w:color w:val="auto"/>
          <w:spacing w:val="0"/>
          <w:szCs w:val="21"/>
        </w:rPr>
        <w:t xml:space="preserve">（2）参加政府采购活动的监狱企业提供由省级以上</w:t>
      </w:r>
      <w:bookmarkStart w:id="50" w:name="_Hlk163033106"/>
      <w:r>
        <w:rPr>
          <w:rFonts w:hint="eastAsia" w:ascii="宋体" w:hAnsi="宋体" w:eastAsia="宋体" w:cs="宋体"/>
          <w:color w:val="auto"/>
          <w:spacing w:val="0"/>
          <w:szCs w:val="21"/>
        </w:rPr>
        <w:t xml:space="preserve">监狱管理局、戒毒管理局</w:t>
      </w:r>
      <w:bookmarkEnd w:id="50"/>
      <w:r>
        <w:rPr>
          <w:rFonts w:hint="eastAsia" w:ascii="宋体" w:hAnsi="宋体" w:eastAsia="宋体" w:cs="宋体"/>
          <w:color w:val="auto"/>
          <w:spacing w:val="0"/>
          <w:szCs w:val="21"/>
        </w:rPr>
        <w:t xml:space="preserve">(含新疆生产建设兵团)出具的属于监狱企业的证明文件，监狱和戒毒企业享受政府采购支持政策的要求详见《关于政府采购支持监狱企业发展有关问题的通知》（财库〔2014〕68号）。</w:t>
      </w:r>
      <w:bookmarkEnd w:id="49"/>
      <w:r/>
      <w:r/>
    </w:p>
    <w:p>
      <w:pPr>
        <w:ind w:left="0" w:right="0" w:firstLine="422"/>
        <w:jc w:val="left"/>
        <w:keepLines w:val="0"/>
        <w:keepNext w:val="0"/>
        <w:pageBreakBefore w:val="0"/>
        <w:spacing w:line="360" w:lineRule="auto"/>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3.3促进残疾人就业政策</w:t>
      </w:r>
      <w:r/>
    </w:p>
    <w:p>
      <w:p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51" w:name="_Hlk77845921"/>
      <w:r>
        <w:rPr>
          <w:rFonts w:hint="eastAsia" w:ascii="宋体" w:hAnsi="宋体" w:eastAsia="宋体" w:cs="宋体"/>
          <w:color w:val="auto"/>
          <w:spacing w:val="0"/>
          <w:szCs w:val="21"/>
        </w:rPr>
        <w:t xml:space="preserve">（2）参加政府采购活动的残疾人福利性单位提供《残疾人福利性单位声明函》，残疾人福利性单位享受政府采购支持政策的要求详见《关于促进残疾人就业政府采购政策的通知》（财库〔2017〕141号）。</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3.4节能产品、环境标志产品政策 </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52" w:name="_Hlk176359127"/>
      <w:r>
        <w:rPr>
          <w:rFonts w:hint="eastAsia" w:ascii="宋体" w:hAnsi="宋体" w:eastAsia="宋体" w:cs="宋体"/>
          <w:color w:val="auto"/>
          <w:spacing w:val="0"/>
          <w:szCs w:val="21"/>
        </w:rPr>
        <w:t xml:space="preserve">（1）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（2）采购产品属于</w:t>
      </w:r>
      <w:bookmarkStart w:id="53" w:name="OLE_LINK15"/>
      <w:r/>
      <w:bookmarkStart w:id="54" w:name="OLE_LINK16"/>
      <w:r>
        <w:rPr>
          <w:rFonts w:hint="eastAsia" w:ascii="宋体" w:hAnsi="宋体" w:eastAsia="宋体" w:cs="宋体"/>
          <w:color w:val="auto"/>
          <w:spacing w:val="0"/>
          <w:szCs w:val="21"/>
        </w:rPr>
        <w:t xml:space="preserve">政府强制采购</w:t>
      </w:r>
      <w:bookmarkEnd w:id="53"/>
      <w:r>
        <w:rPr>
          <w:rFonts w:hint="eastAsia" w:ascii="宋体" w:hAnsi="宋体" w:eastAsia="宋体" w:cs="宋体"/>
          <w:color w:val="auto"/>
          <w:spacing w:val="0"/>
          <w:szCs w:val="21"/>
        </w:rPr>
        <w:t xml:space="preserve">节能产品</w:t>
      </w:r>
      <w:bookmarkEnd w:id="54"/>
      <w:r>
        <w:rPr>
          <w:rFonts w:hint="eastAsia" w:ascii="宋体" w:hAnsi="宋体" w:eastAsia="宋体" w:cs="宋体"/>
          <w:color w:val="auto"/>
          <w:spacing w:val="0"/>
          <w:szCs w:val="21"/>
        </w:rPr>
        <w:t xml:space="preserve">的，投标人应当选择依据</w:t>
      </w:r>
      <w:bookmarkStart w:id="55" w:name="OLE_LINK12"/>
      <w:r>
        <w:rPr>
          <w:rFonts w:hint="eastAsia" w:ascii="宋体" w:hAnsi="宋体" w:eastAsia="宋体" w:cs="宋体"/>
          <w:color w:val="auto"/>
          <w:spacing w:val="0"/>
          <w:szCs w:val="21"/>
        </w:rPr>
        <w:t xml:space="preserve">国家能效标准中二级能效（水效）指标认证的节能产品投标</w:t>
      </w:r>
      <w:bookmarkEnd w:id="55"/>
      <w:r>
        <w:rPr>
          <w:rFonts w:hint="eastAsia" w:ascii="宋体" w:hAnsi="宋体" w:eastAsia="宋体" w:cs="宋体"/>
          <w:color w:val="auto"/>
          <w:spacing w:val="0"/>
          <w:szCs w:val="21"/>
        </w:rPr>
        <w:t xml:space="preserve">，并提供国家确定的认证机构出具的、处于有效期之内的节能产品认证证书。 </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3）采购产品属于政府优先采购节能产品和环境标志产品的，对投标人提供的国家确定的认证机构出具的、处于有效期之内的节能产品或环境标志产品认证证书实行优先采购，分别给予投标价2%价格扣除，用扣除后的价格参与评审。</w:t>
      </w:r>
      <w:bookmarkEnd w:id="52"/>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3.5</w:t>
      </w:r>
      <w:r>
        <w:rPr>
          <w:rFonts w:hint="eastAsia" w:ascii="宋体" w:hAnsi="宋体" w:eastAsia="宋体" w:cs="宋体"/>
          <w:b/>
          <w:color w:val="auto"/>
          <w:spacing w:val="0"/>
          <w:szCs w:val="21"/>
        </w:rPr>
        <w:tab/>
      </w:r>
      <w:r>
        <w:rPr>
          <w:rFonts w:hint="eastAsia" w:ascii="宋体" w:hAnsi="宋体" w:eastAsia="宋体" w:cs="宋体"/>
          <w:b/>
          <w:color w:val="auto"/>
          <w:spacing w:val="0"/>
          <w:szCs w:val="21"/>
        </w:rPr>
        <w:t xml:space="preserve">进口产品政策</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（2）允许进口产品参加的，满足需求的国内产品可以参加。</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（3）允许进口产品参加的，优先采购向我国企业转让技术、与我国企业签订消化吸收再创新方案的投标人的进口产品。</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3.6绿色采购政策</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拟采购产品涉及商品包装、快递包装要求的，应按照《商品包装政府采购需求标准（试行）》《快递包装政府采购需求标准（试行）》（财办库〔2020〕123号）、《江苏省财政厅关于加强政府绿色采购有关事项的通知》（苏财购〔2023〕65号）文件执行。招标文件对商品包装和快递包装有具体要求的，政府采购合同中应当载明对投标人提供产品及相关快递服务的具体包装要求和履约验收相关条款，投标人须严格执行，必要时应按照要求在履约验收环节出具检测报告。</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拟采购产品涉及数据中心相关设备、运维服务的，应按照《关于印发〈绿色数据中心政府采购需求标准（试行）的通知》（财办库〔2023〕7号）、《江苏省财政厅关于加强政府绿色采购有关事项的通知》（苏财购〔2023〕65号）等文件执行。招标文件中涉及数据中心相关设备、运维服务的，投标人均以《绿色数据中心政府采购需求标准（试行）》提出的指标、标准为准。采购人应在政府采购合同中明确对相关指标的验收方式和违约责任，投标人应按合同约定提供设备或服务。</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（3）拟采购产品涉及涂料、胶黏剂、油墨、清洗剂等挥发性有机物产品的，属于强制性标准的，投标人应当提供符合国家和江苏省相关VOCs 含量限制标准的产品。拟采购产品涉及通用类货物、家具的，投标人应当优先使用低挥发性原辅材料，采购人将使用低VOCs含量的涂料、胶黏剂等纳入政府采购合同条款的，投标人必须严格执行。</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4）拟采购产品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3.7 本国产品支持政策</w:t>
      </w:r>
      <w:r/>
    </w:p>
    <w:p>
      <w:p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本国产品应当符合以下条件：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本国产品标准的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bCs/>
          <w:color w:val="auto"/>
          <w:spacing w:val="0"/>
          <w:szCs w:val="21"/>
        </w:rPr>
        <w:t xml:space="preserve">政府采购活动涉及本国产品的，投标人应当出具</w:t>
      </w:r>
      <w:bookmarkStart w:id="56" w:name="OLE_LINK44"/>
      <w:r>
        <w:rPr>
          <w:rFonts w:hint="eastAsia" w:ascii="宋体" w:hAnsi="宋体" w:eastAsia="宋体" w:cs="宋体"/>
          <w:b/>
          <w:bCs/>
          <w:color w:val="auto"/>
          <w:spacing w:val="0"/>
          <w:szCs w:val="21"/>
        </w:rPr>
        <w:t xml:space="preserve">《</w:t>
      </w:r>
      <w:bookmarkStart w:id="57" w:name="OLE_LINK43"/>
      <w:r>
        <w:rPr>
          <w:rFonts w:hint="eastAsia" w:ascii="宋体" w:hAnsi="宋体" w:eastAsia="宋体" w:cs="宋体"/>
          <w:b/>
          <w:bCs/>
          <w:color w:val="auto"/>
          <w:spacing w:val="0"/>
          <w:szCs w:val="21"/>
        </w:rPr>
        <w:t xml:space="preserve">关于符合本国产品标准的声明函</w:t>
      </w:r>
      <w:bookmarkEnd w:id="57"/>
      <w:r>
        <w:rPr>
          <w:rFonts w:hint="eastAsia" w:ascii="宋体" w:hAnsi="宋体" w:eastAsia="宋体" w:cs="宋体"/>
          <w:b/>
          <w:bCs/>
          <w:color w:val="auto"/>
          <w:spacing w:val="0"/>
          <w:szCs w:val="21"/>
        </w:rPr>
        <w:t xml:space="preserve">》</w:t>
      </w:r>
      <w:bookmarkEnd w:id="56"/>
      <w:r>
        <w:rPr>
          <w:rFonts w:hint="eastAsia" w:ascii="宋体" w:hAnsi="宋体" w:eastAsia="宋体" w:cs="宋体"/>
          <w:b/>
          <w:bCs/>
          <w:color w:val="auto"/>
          <w:spacing w:val="0"/>
          <w:szCs w:val="21"/>
        </w:rPr>
        <w:t xml:space="preserve">（格式见第六章附件，下同），否则不得享受价格评审优惠。</w:t>
      </w:r>
      <w:r>
        <w:rPr>
          <w:rFonts w:hint="eastAsia" w:ascii="宋体" w:hAnsi="宋体" w:eastAsia="宋体" w:cs="宋体"/>
          <w:color w:val="auto"/>
          <w:spacing w:val="0"/>
          <w:szCs w:val="21"/>
        </w:rPr>
        <w:t xml:space="preserve">本国产品支持政策详见《国务院办公厅关于在政府采购中实施本国产品标准及相关政策的通知》（国办发〔2025〕34号）。</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（3）对本国产品的支持政策：本项目政府采购活动中既有本国产品又有非本国产品参与竞争的，依法对本国产品给予价格评审优惠，对本国产品的报价给予20%的价格扣除，用扣除后的价格参与评审。</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color w:val="auto"/>
          <w:spacing w:val="0"/>
          <w:szCs w:val="21"/>
        </w:rPr>
        <w:t xml:space="preserve">采购项目或者采购包中含有多种产品，</w:t>
      </w:r>
      <w:bookmarkStart w:id="58" w:name="_Hlk223360973"/>
      <w:r>
        <w:rPr>
          <w:rFonts w:hint="eastAsia" w:ascii="宋体" w:hAnsi="宋体" w:eastAsia="宋体" w:cs="宋体"/>
          <w:color w:val="auto"/>
          <w:spacing w:val="0"/>
          <w:szCs w:val="21"/>
        </w:rPr>
        <w:t xml:space="preserve">投标人</w:t>
      </w:r>
      <w:bookmarkEnd w:id="58"/>
      <w:r>
        <w:rPr>
          <w:rFonts w:hint="eastAsia" w:ascii="宋体" w:hAnsi="宋体" w:eastAsia="宋体" w:cs="宋体"/>
          <w:color w:val="auto"/>
          <w:spacing w:val="0"/>
          <w:szCs w:val="21"/>
        </w:rPr>
        <w:t xml:space="preserve">为该采购项目或者采购包提供的符合本国产品标准的产品成本之和占该投标人提供的全部产品成本之和的比例达到80%以上时</w:t>
      </w:r>
      <w:r>
        <w:rPr>
          <w:rFonts w:hint="eastAsia" w:ascii="宋体" w:hAnsi="宋体" w:eastAsia="宋体" w:cs="宋体"/>
          <w:b/>
          <w:bCs/>
          <w:color w:val="auto"/>
          <w:spacing w:val="0"/>
          <w:szCs w:val="21"/>
        </w:rPr>
        <w:t xml:space="preserve">(投标人需在</w:t>
      </w:r>
      <w:bookmarkStart w:id="59" w:name="OLE_LINK45"/>
      <w:r>
        <w:rPr>
          <w:rFonts w:hint="eastAsia" w:ascii="宋体" w:hAnsi="宋体" w:eastAsia="宋体" w:cs="宋体"/>
          <w:b/>
          <w:bCs/>
          <w:color w:val="auto"/>
          <w:spacing w:val="0"/>
          <w:szCs w:val="21"/>
        </w:rPr>
        <w:t xml:space="preserve">《关于符合本国产品标准的声明函》</w:t>
      </w:r>
      <w:bookmarkEnd w:id="59"/>
      <w:r>
        <w:rPr>
          <w:rFonts w:hint="eastAsia" w:ascii="宋体" w:hAnsi="宋体" w:eastAsia="宋体" w:cs="宋体"/>
          <w:b/>
          <w:bCs/>
          <w:color w:val="auto"/>
          <w:spacing w:val="0"/>
          <w:szCs w:val="21"/>
        </w:rPr>
        <w:t xml:space="preserve">中填写比例数值）</w:t>
      </w:r>
      <w:r>
        <w:rPr>
          <w:rFonts w:hint="eastAsia" w:ascii="宋体" w:hAnsi="宋体" w:eastAsia="宋体" w:cs="宋体"/>
          <w:color w:val="auto"/>
          <w:spacing w:val="0"/>
          <w:szCs w:val="21"/>
        </w:rPr>
        <w:t xml:space="preserve">，依法对该投标人提供的全部产品给予价格评审优惠，即对该投标人提供的全部产品的总报价给予20%的价格扣除，用扣除后的价格参与评审。</w:t>
      </w:r>
      <w:r>
        <w:rPr>
          <w:rFonts w:hint="eastAsia" w:ascii="宋体" w:hAnsi="宋体" w:eastAsia="宋体" w:cs="宋体"/>
          <w:b/>
          <w:bCs/>
          <w:color w:val="auto"/>
          <w:spacing w:val="0"/>
          <w:szCs w:val="21"/>
        </w:rPr>
        <w:t xml:space="preserve">投标人未填写比例数值，或比例数值未达到80%的，将不享受本国产品价格评审优惠。</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color w:val="auto"/>
          <w:spacing w:val="0"/>
          <w:szCs w:val="21"/>
        </w:rPr>
        <w:t xml:space="preserve">（4）政策执行要求：</w:t>
      </w:r>
      <w:r>
        <w:rPr>
          <w:rFonts w:hint="eastAsia" w:ascii="宋体" w:hAnsi="宋体" w:eastAsia="宋体" w:cs="宋体"/>
          <w:b/>
          <w:bCs/>
          <w:color w:val="auto"/>
          <w:spacing w:val="0"/>
          <w:szCs w:val="21"/>
        </w:rPr>
        <w:t xml:space="preserve">投标人需在《关于符合本国产品标准的声明函》中逐一、准确填写产品名称、厂名、生产厂址三项信息，三项信息中任意一项未填写的视为该项产品不符合本国产品标准，不享受本国产品价格评审优惠。</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评标过程中，如发现投标人提供的</w:t>
      </w:r>
      <w:bookmarkStart w:id="60" w:name="OLE_LINK48"/>
      <w:r>
        <w:rPr>
          <w:rFonts w:hint="eastAsia" w:ascii="宋体" w:hAnsi="宋体" w:eastAsia="宋体" w:cs="宋体"/>
          <w:color w:val="auto"/>
          <w:spacing w:val="0"/>
          <w:szCs w:val="21"/>
        </w:rPr>
        <w:t xml:space="preserve">《关于符合本国产品标准的声明函》</w:t>
      </w:r>
      <w:bookmarkEnd w:id="60"/>
      <w:r>
        <w:rPr>
          <w:rFonts w:hint="eastAsia" w:ascii="宋体" w:hAnsi="宋体" w:eastAsia="宋体" w:cs="宋体"/>
          <w:color w:val="auto"/>
          <w:spacing w:val="0"/>
          <w:szCs w:val="21"/>
        </w:rPr>
        <w:t xml:space="preserve">内容含义不明确、同类事项与投标文件表述不一致或者有明显文字错误等情况的，评标委员会应当以书面形式要求</w:t>
      </w:r>
      <w:bookmarkStart w:id="61" w:name="OLE_LINK46"/>
      <w:r>
        <w:rPr>
          <w:rFonts w:hint="eastAsia" w:ascii="宋体" w:hAnsi="宋体" w:eastAsia="宋体" w:cs="宋体"/>
          <w:color w:val="auto"/>
          <w:spacing w:val="0"/>
          <w:szCs w:val="21"/>
        </w:rPr>
        <w:t xml:space="preserve">投标人</w:t>
      </w:r>
      <w:bookmarkEnd w:id="61"/>
      <w:r>
        <w:rPr>
          <w:rFonts w:hint="eastAsia" w:ascii="宋体" w:hAnsi="宋体" w:eastAsia="宋体" w:cs="宋体"/>
          <w:color w:val="auto"/>
          <w:spacing w:val="0"/>
          <w:szCs w:val="21"/>
        </w:rPr>
        <w:t xml:space="preserve">作出必要的澄清、说明或者补正。经澄清、说明或者补正的《关于符合本国产品标准的声明函》仍然不符合《国务院办公厅关于在政府采购中实施本国产品标准及相关政策的通知》（国办发〔2025〕34号）和招标文件规定的，投标人提供的相关产品视为不符合本国产品标准。</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bookmarkStart w:id="62" w:name="_Hlk223514161"/>
      <w:r>
        <w:rPr>
          <w:rFonts w:hint="eastAsia" w:ascii="宋体" w:hAnsi="宋体" w:eastAsia="宋体" w:cs="宋体"/>
          <w:b/>
          <w:bCs/>
          <w:color w:val="auto"/>
          <w:spacing w:val="0"/>
          <w:szCs w:val="21"/>
        </w:rPr>
        <w:t xml:space="preserve">对本国产品的支持政策与政府采购支持中小企业、节能环保等优惠政策可叠加使用，对应执行价格扣除政策的项目，统一在原报价的基础上给予价格扣除。</w:t>
      </w:r>
      <w:bookmarkEnd w:id="42"/>
      <w:r/>
      <w:bookmarkEnd w:id="51"/>
      <w:r/>
      <w:bookmarkEnd w:id="62"/>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二、招标文件构成 </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4.招标文件组成</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4.1 招标文件由以下部分组成：</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（1）招标公告</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（2）投标人须知</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（3）评标标准</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（4）采购项目的内容和相关技术要求等</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（5）合同主要条款及格式</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（6）投标文件格式</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投标人应仔细检查招标文件是否齐全，如有缺漏请立即与采购代理机构联系。</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4.3 采购代理机构如果要求投标人按照招标文件规定提交备选投标方案的，投标人可以提交备选方案；招标文件中未明确规定允许提交备选方案的，投标人不得提交备选方案，否则，备选方案将被拒绝。</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4.4如招标文件中明确有核心产品，需提供核心产品品牌一览表，核心产品品牌一览表中所投核心产品品牌缺项的将视为无效投标。</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5.招标文件的澄清或者修改</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5.1采购人或者采购代理机构可以对已发出的招标文件、招标公告进行必要的澄清或者修改，但不得改变采购标的和资格条件。澄清或者修改应当在原公告发布媒体上发布更正公告。更正内容将作为招标文件的组成部分，并对投标人具有约束力。</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63" w:name="OLE_LINK47"/>
      <w:r>
        <w:rPr>
          <w:rFonts w:hint="eastAsia" w:ascii="宋体" w:hAnsi="宋体" w:eastAsia="宋体" w:cs="宋体"/>
          <w:color w:val="auto"/>
          <w:spacing w:val="0"/>
          <w:szCs w:val="21"/>
        </w:rPr>
        <w:t xml:space="preserve">5.2 投标人应在提交投标文件截止时间前，关注原公告媒体有关本项目的更正公告，根据更正公告内容自行决定是否需要重新制作和提交投标文件，并承担由此产生的相应责任。</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5.3 采购代理机构有权按照法律法规的要求推迟投标截止日期和开标日期，并在原公告媒体发布更正公告。</w:t>
      </w:r>
      <w:bookmarkEnd w:id="63"/>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三、投标文件的编制</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6.投标文件的语言、计量单位</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6.2 除技术性能另有规定外，投标文件所使用的度量衡单位，均须采用国家法定计量单位。</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7.投标文件的组成</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7.1投标人编写的投标文件应包括资格条件证明文件、符合条件证明文件、开标一览表、响应及偏离表、其他证明文件、分项报价表等部分。</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7.2 如标书制作工具中格式和内容与“江苏政府采购网”发布的招标文件不一致，以“江苏政府采购网”发布的招标文件为准。</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64" w:name="_Toc513029219"/>
      <w:r/>
      <w:bookmarkStart w:id="65" w:name="_Toc14577357"/>
      <w:r/>
      <w:bookmarkStart w:id="66" w:name="_Toc49090509"/>
      <w:r/>
      <w:bookmarkStart w:id="67" w:name="_Toc14577354"/>
      <w:r/>
      <w:bookmarkStart w:id="68" w:name="_Toc513029216"/>
      <w:r/>
      <w:bookmarkStart w:id="69" w:name="_Toc49090507"/>
      <w:r/>
      <w:bookmarkStart w:id="70" w:name="_Hlk176530273"/>
      <w:r>
        <w:rPr>
          <w:rFonts w:hint="eastAsia" w:ascii="宋体" w:hAnsi="宋体" w:eastAsia="宋体" w:cs="宋体"/>
          <w:b/>
          <w:bCs/>
          <w:color w:val="auto"/>
          <w:spacing w:val="0"/>
          <w:szCs w:val="21"/>
        </w:rPr>
        <w:t xml:space="preserve">8.证明投标人及投标标的符合招标文件规定的文件</w:t>
      </w:r>
      <w:bookmarkEnd w:id="64"/>
      <w:r/>
      <w:bookmarkEnd w:id="65"/>
      <w:r/>
      <w:bookmarkEnd w:id="66"/>
      <w:r/>
      <w:bookmarkEnd w:id="67"/>
      <w:r/>
      <w:bookmarkEnd w:id="68"/>
      <w:r/>
      <w:bookmarkEnd w:id="69"/>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71" w:name="_Toc49090508"/>
      <w:r/>
      <w:bookmarkStart w:id="72" w:name="_Toc14577355"/>
      <w:r>
        <w:rPr>
          <w:rFonts w:hint="eastAsia" w:ascii="宋体" w:hAnsi="宋体" w:eastAsia="宋体" w:cs="宋体"/>
          <w:color w:val="auto"/>
          <w:spacing w:val="0"/>
          <w:szCs w:val="21"/>
        </w:rPr>
        <w:t xml:space="preserve">8.1 投标人应按照法律、法规、规章和规范性文件以及招标文件要求提交证明文件，证明其投标标的符合招标文件规定。</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8.2 招标文件对证明文件无明确形式要求的，证明文件可以以文字资料、图纸和数据等形式提交。</w:t>
      </w:r>
      <w:bookmarkEnd w:id="70"/>
      <w:r/>
      <w:bookmarkEnd w:id="71"/>
      <w:r/>
      <w:bookmarkEnd w:id="72"/>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73" w:name="_Hlt26670482"/>
      <w:r/>
      <w:bookmarkEnd w:id="73"/>
      <w:r/>
      <w:bookmarkStart w:id="74" w:name="_Hlt26670425"/>
      <w:r/>
      <w:bookmarkEnd w:id="74"/>
      <w:r/>
      <w:bookmarkStart w:id="75" w:name="_Hlt26954848"/>
      <w:r/>
      <w:bookmarkEnd w:id="75"/>
      <w:r/>
      <w:bookmarkStart w:id="76" w:name="_Hlt26670403"/>
      <w:r/>
      <w:bookmarkEnd w:id="76"/>
      <w:r/>
      <w:bookmarkStart w:id="77" w:name="_Hlt26954842"/>
      <w:r/>
      <w:bookmarkEnd w:id="77"/>
      <w:r/>
      <w:bookmarkStart w:id="78" w:name="_Hlt26954844"/>
      <w:r/>
      <w:bookmarkEnd w:id="78"/>
      <w:r/>
      <w:bookmarkStart w:id="79" w:name="_Hlt26668983"/>
      <w:r/>
      <w:bookmarkEnd w:id="79"/>
      <w:r/>
      <w:bookmarkStart w:id="80" w:name="_Hlt26954846"/>
      <w:r/>
      <w:bookmarkEnd w:id="80"/>
      <w:r/>
      <w:bookmarkStart w:id="81" w:name="_Hlt26670486"/>
      <w:r/>
      <w:bookmarkEnd w:id="81"/>
      <w:r/>
      <w:bookmarkStart w:id="82" w:name="_Hlt26954731"/>
      <w:r/>
      <w:bookmarkEnd w:id="82"/>
      <w:r>
        <w:rPr>
          <w:rFonts w:hint="eastAsia" w:ascii="宋体" w:hAnsi="宋体" w:eastAsia="宋体" w:cs="宋体"/>
          <w:b/>
          <w:bCs/>
          <w:color w:val="auto"/>
          <w:spacing w:val="0"/>
          <w:szCs w:val="21"/>
        </w:rPr>
        <w:t xml:space="preserve">9. 投标货币</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9.1</w:t>
      </w:r>
      <w:bookmarkStart w:id="83" w:name="OLE_LINK63"/>
      <w:r>
        <w:rPr>
          <w:rFonts w:hint="eastAsia" w:ascii="宋体" w:hAnsi="宋体" w:eastAsia="宋体" w:cs="宋体"/>
          <w:color w:val="auto"/>
          <w:spacing w:val="0"/>
          <w:szCs w:val="21"/>
        </w:rPr>
        <w:t xml:space="preserve">投标文件中的单价和总价无特殊规定的采用人民币报价，以元为单位标注。招标文件中另有规定的按规定执行。</w:t>
      </w:r>
      <w:bookmarkEnd w:id="83"/>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10.</w:t>
      </w:r>
      <w:bookmarkStart w:id="84" w:name="OLE_LINK60"/>
      <w:r>
        <w:rPr>
          <w:rFonts w:hint="eastAsia" w:ascii="宋体" w:hAnsi="宋体" w:eastAsia="宋体" w:cs="宋体"/>
          <w:b/>
          <w:bCs/>
          <w:color w:val="auto"/>
          <w:spacing w:val="0"/>
          <w:szCs w:val="21"/>
        </w:rPr>
        <w:t xml:space="preserve">响应及偏离</w:t>
      </w:r>
      <w:bookmarkEnd w:id="84"/>
      <w:r>
        <w:rPr>
          <w:rFonts w:hint="eastAsia" w:ascii="宋体" w:hAnsi="宋体" w:eastAsia="宋体" w:cs="宋体"/>
          <w:b/>
          <w:bCs/>
          <w:color w:val="auto"/>
          <w:spacing w:val="0"/>
          <w:szCs w:val="21"/>
        </w:rPr>
        <w:t xml:space="preserve">表</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10.1投标人须对招标文件中的</w:t>
      </w:r>
      <w:bookmarkStart w:id="85" w:name="OLE_LINK57"/>
      <w:r>
        <w:rPr>
          <w:rFonts w:hint="eastAsia" w:ascii="宋体" w:hAnsi="宋体" w:eastAsia="宋体" w:cs="宋体"/>
          <w:b/>
          <w:bCs/>
          <w:color w:val="auto"/>
          <w:spacing w:val="0"/>
          <w:szCs w:val="21"/>
        </w:rPr>
        <w:t xml:space="preserve">技术要求与商务要求的</w:t>
      </w:r>
      <w:bookmarkStart w:id="86" w:name="OLE_LINK58"/>
      <w:r>
        <w:rPr>
          <w:rFonts w:hint="eastAsia" w:ascii="宋体" w:hAnsi="宋体" w:eastAsia="宋体" w:cs="宋体"/>
          <w:b/>
          <w:bCs/>
          <w:color w:val="auto"/>
          <w:spacing w:val="0"/>
          <w:szCs w:val="21"/>
        </w:rPr>
        <w:t xml:space="preserve">实质性要求</w:t>
      </w:r>
      <w:bookmarkEnd w:id="85"/>
      <w:r/>
      <w:bookmarkEnd w:id="86"/>
      <w:r>
        <w:rPr>
          <w:rFonts w:hint="eastAsia" w:ascii="宋体" w:hAnsi="宋体" w:eastAsia="宋体" w:cs="宋体"/>
          <w:b/>
          <w:bCs/>
          <w:color w:val="auto"/>
          <w:spacing w:val="0"/>
          <w:szCs w:val="21"/>
        </w:rPr>
        <w:t xml:space="preserve">（斜体且有下划线部分，或者打“★”“*”等其他文字说明的商务和技术要求）做出明确响应，投标人未对实质性要求作出明确响应或有负偏离的，视为无效投标。</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10.2 </w:t>
      </w:r>
      <w:bookmarkStart w:id="87" w:name="OLE_LINK56"/>
      <w:r>
        <w:rPr>
          <w:rFonts w:hint="eastAsia" w:ascii="宋体" w:hAnsi="宋体" w:eastAsia="宋体" w:cs="宋体"/>
          <w:color w:val="auto"/>
          <w:spacing w:val="0"/>
          <w:szCs w:val="21"/>
        </w:rPr>
        <w:t xml:space="preserve">招标文件中除了实质性要求外的</w:t>
      </w:r>
      <w:bookmarkStart w:id="88" w:name="OLE_LINK52"/>
      <w:r>
        <w:rPr>
          <w:rFonts w:hint="eastAsia" w:ascii="宋体" w:hAnsi="宋体" w:eastAsia="宋体" w:cs="宋体"/>
          <w:color w:val="auto"/>
          <w:spacing w:val="0"/>
          <w:szCs w:val="21"/>
        </w:rPr>
        <w:t xml:space="preserve">技术要求与商务要求</w:t>
      </w:r>
      <w:bookmarkEnd w:id="87"/>
      <w:r>
        <w:rPr>
          <w:rFonts w:hint="eastAsia" w:ascii="宋体" w:hAnsi="宋体" w:eastAsia="宋体" w:cs="宋体"/>
          <w:color w:val="auto"/>
          <w:spacing w:val="0"/>
          <w:szCs w:val="21"/>
        </w:rPr>
        <w:t xml:space="preserve">，投标人未明确列明的，则视为全部响应、无偏离。</w:t>
      </w:r>
      <w:bookmarkEnd w:id="88"/>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10.3 </w:t>
      </w:r>
      <w:bookmarkStart w:id="89" w:name="_Hlk225775771"/>
      <w:r>
        <w:rPr>
          <w:rFonts w:hint="eastAsia" w:ascii="宋体" w:hAnsi="宋体" w:eastAsia="宋体" w:cs="宋体"/>
          <w:color w:val="auto"/>
          <w:spacing w:val="0"/>
          <w:szCs w:val="21"/>
        </w:rPr>
        <w:t xml:space="preserve">投标人可以在投标文件中提供认为需要的其他技术文件或说明。</w:t>
      </w:r>
      <w:bookmarkEnd w:id="89"/>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90" w:name="_Toc49090510"/>
      <w:r/>
      <w:bookmarkStart w:id="91" w:name="_Toc14577359"/>
      <w:r>
        <w:rPr>
          <w:rFonts w:hint="eastAsia" w:ascii="宋体" w:hAnsi="宋体" w:eastAsia="宋体" w:cs="宋体"/>
          <w:b/>
          <w:bCs/>
          <w:color w:val="auto"/>
          <w:spacing w:val="0"/>
          <w:szCs w:val="21"/>
        </w:rPr>
        <w:t xml:space="preserve">11.</w:t>
      </w:r>
      <w:bookmarkStart w:id="92" w:name="OLE_LINK27"/>
      <w:r>
        <w:rPr>
          <w:rFonts w:hint="eastAsia" w:ascii="宋体" w:hAnsi="宋体" w:eastAsia="宋体" w:cs="宋体"/>
          <w:b/>
          <w:bCs/>
          <w:color w:val="auto"/>
          <w:spacing w:val="0"/>
          <w:szCs w:val="21"/>
        </w:rPr>
        <w:t xml:space="preserve">投标函</w:t>
      </w:r>
      <w:bookmarkEnd w:id="92"/>
      <w:r>
        <w:rPr>
          <w:rFonts w:hint="eastAsia" w:ascii="宋体" w:hAnsi="宋体" w:eastAsia="宋体" w:cs="宋体"/>
          <w:b/>
          <w:bCs/>
          <w:color w:val="auto"/>
          <w:spacing w:val="0"/>
          <w:szCs w:val="21"/>
        </w:rPr>
        <w:t xml:space="preserve">和开标一览表</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11.1 投标人应按照招标文件规定格式完整、正确填报投标函、开标一览表。</w:t>
      </w:r>
      <w:bookmarkEnd w:id="90"/>
      <w:r/>
      <w:bookmarkEnd w:id="91"/>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93" w:name="_Hlk176879442"/>
      <w:r>
        <w:rPr>
          <w:rFonts w:hint="eastAsia" w:ascii="宋体" w:hAnsi="宋体" w:eastAsia="宋体" w:cs="宋体"/>
          <w:color w:val="auto"/>
          <w:spacing w:val="0"/>
          <w:szCs w:val="21"/>
        </w:rPr>
        <w:t xml:space="preserve">11.2 </w:t>
      </w:r>
      <w:bookmarkStart w:id="94" w:name="OLE_LINK61"/>
      <w:r/>
      <w:bookmarkStart w:id="95" w:name="_Hlk175667315"/>
      <w:r>
        <w:rPr>
          <w:rFonts w:hint="eastAsia" w:ascii="宋体" w:hAnsi="宋体" w:eastAsia="宋体" w:cs="宋体"/>
          <w:color w:val="auto"/>
          <w:spacing w:val="0"/>
          <w:szCs w:val="21"/>
        </w:rPr>
        <w:t xml:space="preserve">对于采用货币报价的项目，开标一览表中的投标总价应与分项报价表中的投标总价一致</w:t>
      </w:r>
      <w:bookmarkEnd w:id="94"/>
      <w:r>
        <w:rPr>
          <w:rFonts w:hint="eastAsia" w:ascii="宋体" w:hAnsi="宋体" w:eastAsia="宋体" w:cs="宋体"/>
          <w:color w:val="auto"/>
          <w:spacing w:val="0"/>
          <w:szCs w:val="21"/>
        </w:rPr>
        <w:t xml:space="preserve">，如不一致评标时以开标一览表中价格为准。</w:t>
      </w:r>
      <w:bookmarkEnd w:id="93"/>
      <w:r/>
      <w:bookmarkEnd w:id="95"/>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12.投标保证金</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color w:val="auto"/>
          <w:spacing w:val="0"/>
          <w:szCs w:val="21"/>
        </w:rPr>
        <w:t xml:space="preserve">12.1</w:t>
      </w:r>
      <w:bookmarkStart w:id="96" w:name="_Hlk68014334"/>
      <w:r>
        <w:rPr>
          <w:rFonts w:hint="eastAsia" w:ascii="宋体" w:hAnsi="宋体" w:eastAsia="宋体" w:cs="宋体"/>
          <w:bCs/>
          <w:color w:val="auto"/>
          <w:spacing w:val="0"/>
          <w:szCs w:val="21"/>
        </w:rPr>
        <w:t xml:space="preserve">本项目不收取投标保证金。</w:t>
      </w:r>
      <w:bookmarkEnd w:id="96"/>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bookmarkStart w:id="97" w:name="_Hlk176182487"/>
      <w:r>
        <w:rPr>
          <w:rFonts w:hint="eastAsia" w:ascii="宋体" w:hAnsi="宋体" w:eastAsia="宋体" w:cs="宋体"/>
          <w:b/>
          <w:bCs/>
          <w:color w:val="auto"/>
          <w:spacing w:val="0"/>
          <w:szCs w:val="21"/>
        </w:rPr>
        <w:t xml:space="preserve">13.投标有效期</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13.1 自开标之日起90天内投标有效</w:t>
      </w:r>
      <w:r>
        <w:rPr>
          <w:rFonts w:hint="eastAsia" w:ascii="宋体" w:hAnsi="宋体" w:eastAsia="宋体" w:cs="宋体"/>
          <w:color w:val="auto"/>
          <w:spacing w:val="0"/>
          <w:szCs w:val="21"/>
        </w:rPr>
        <w:t xml:space="preserve">，投标有效期从提交投标文件的截止之日起算，投标文件中承诺的投标有效期应当不少于招标文件中载明的投标有效期。</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13.2 特殊情况下，在原投标有效期截止之前，采购代理机构可要求投标人同意延长投标有效期，这种要求与答复均应以书面形式提交。投标人可以拒绝采购代理机构的这一要求而放弃投标。同意延长投标有效期的投标人既不能要求也不允许修改其投标文件，同时受投标有效期约束的所有权利与义务均延长至新的有效期满。</w:t>
      </w:r>
      <w:bookmarkEnd w:id="97"/>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14.</w:t>
      </w:r>
      <w:bookmarkStart w:id="98" w:name="OLE_LINK22"/>
      <w:r>
        <w:rPr>
          <w:rFonts w:hint="eastAsia" w:ascii="宋体" w:hAnsi="宋体" w:eastAsia="宋体" w:cs="宋体"/>
          <w:b/>
          <w:bCs/>
          <w:color w:val="auto"/>
          <w:spacing w:val="0"/>
          <w:szCs w:val="21"/>
        </w:rPr>
        <w:t xml:space="preserve">公开招标费用</w:t>
      </w:r>
      <w:bookmarkEnd w:id="98"/>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14.</w:t>
      </w:r>
      <w:bookmarkStart w:id="99" w:name="_Hlk75346033"/>
      <w:r>
        <w:rPr>
          <w:rFonts w:hint="eastAsia" w:ascii="宋体" w:hAnsi="宋体" w:eastAsia="宋体" w:cs="宋体"/>
          <w:bCs/>
          <w:color w:val="auto"/>
          <w:spacing w:val="0"/>
          <w:szCs w:val="21"/>
        </w:rPr>
        <w:t xml:space="preserve">1 </w:t>
      </w:r>
      <w:bookmarkStart w:id="100" w:name="_Hlk75346060"/>
      <w:r>
        <w:rPr>
          <w:rFonts w:hint="eastAsia" w:ascii="宋体" w:hAnsi="宋体" w:eastAsia="宋体" w:cs="宋体"/>
          <w:bCs/>
          <w:color w:val="auto"/>
          <w:spacing w:val="0"/>
          <w:szCs w:val="21"/>
        </w:rPr>
        <w:t xml:space="preserve">采购代理服务费</w:t>
      </w:r>
      <w:bookmarkEnd w:id="99"/>
      <w:r/>
      <w:bookmarkEnd w:id="100"/>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101" w:name="_Hlk66377575"/>
      <w:r>
        <w:rPr>
          <w:rFonts w:hint="eastAsia" w:ascii="宋体" w:hAnsi="宋体" w:eastAsia="宋体" w:cs="宋体"/>
          <w:color w:val="auto"/>
          <w:spacing w:val="0"/>
          <w:szCs w:val="21"/>
        </w:rPr>
        <w:t xml:space="preserve">本次采购，预算金额包含采购代理服务费，采购代理服务费参照《招标代理服务收费管理暂行办法》（国家发展计划委员会计价格【2002】1980号）招标收费基准费率45%计算，代理服务费保底金额为4000元。</w:t>
      </w:r>
      <w:r>
        <w:rPr>
          <w:rFonts w:hint="eastAsia" w:ascii="宋体" w:hAnsi="宋体" w:eastAsia="宋体" w:cs="宋体"/>
          <w:color w:val="auto"/>
          <w:spacing w:val="0"/>
          <w:szCs w:val="21"/>
          <w:lang w:val="en-US" w:eastAsia="zh-CN"/>
        </w:rPr>
        <w:t xml:space="preserve">中标人</w:t>
      </w:r>
      <w:r>
        <w:rPr>
          <w:rFonts w:hint="eastAsia" w:ascii="宋体" w:hAnsi="宋体" w:eastAsia="宋体" w:cs="宋体"/>
          <w:color w:val="auto"/>
          <w:spacing w:val="0"/>
          <w:szCs w:val="21"/>
        </w:rPr>
        <w:t xml:space="preserve">在领取中标通知书前向采购代理机构支付采购代理服务费。</w:t>
      </w:r>
      <w:bookmarkEnd w:id="101"/>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102" w:name="OLE_LINK24"/>
      <w:r/>
      <w:bookmarkStart w:id="103" w:name="_Hlk77845966"/>
      <w:r>
        <w:rPr>
          <w:rFonts w:hint="eastAsia" w:ascii="宋体" w:hAnsi="宋体" w:eastAsia="宋体" w:cs="宋体"/>
          <w:color w:val="auto"/>
          <w:spacing w:val="0"/>
          <w:szCs w:val="21"/>
        </w:rPr>
        <w:t xml:space="preserve">代理服务费汇款信息：单位名称：江苏国采工程咨询有限公司</w:t>
      </w:r>
      <w:r/>
    </w:p>
    <w:p>
      <w:pPr>
        <w:pStyle w:val="922"/>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银行账户：3205 0159 5536 0000 1231</w:t>
      </w:r>
      <w:r/>
    </w:p>
    <w:p>
      <w:pPr>
        <w:pStyle w:val="922"/>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开户行：中国建设银行股份有限公司南京鼓楼支行</w:t>
      </w:r>
      <w:r/>
    </w:p>
    <w:p>
      <w:pPr>
        <w:ind w:left="0" w:right="0" w:firstLine="422"/>
        <w:jc w:val="left"/>
        <w:keepLines w:val="0"/>
        <w:keepNext w:val="0"/>
        <w:pageBreakBefore w:val="0"/>
        <w:spacing w:line="360" w:lineRule="auto"/>
        <w:tabs>
          <w:tab w:val="left" w:pos="7619" w:leader="none"/>
        </w:tabs>
        <w:rPr>
          <w:rFonts w:hint="eastAsia" w:ascii="宋体" w:hAnsi="宋体" w:eastAsia="宋体" w:cs="宋体"/>
          <w:b/>
          <w:bCs/>
          <w:color w:val="auto"/>
          <w:spacing w:val="0"/>
          <w:szCs w:val="21"/>
          <w:lang w:val="en-US" w:eastAsia="zh-CN"/>
        </w:rPr>
      </w:pPr>
      <w:r>
        <w:rPr>
          <w:rFonts w:hint="eastAsia" w:ascii="宋体" w:hAnsi="宋体" w:eastAsia="宋体" w:cs="宋体"/>
          <w:b/>
          <w:bCs/>
          <w:color w:val="auto"/>
          <w:spacing w:val="0"/>
          <w:szCs w:val="21"/>
        </w:rPr>
        <w:t xml:space="preserve">注：代理服务费汇款时需备注汇款单位名称、项目名称、项目编号。</w:t>
      </w:r>
      <w:r/>
    </w:p>
    <w:p>
      <w:pPr>
        <w:ind w:left="0" w:right="0" w:firstLine="422"/>
        <w:jc w:val="left"/>
        <w:keepLines w:val="0"/>
        <w:keepNext w:val="0"/>
        <w:pageBreakBefore w:val="0"/>
        <w:spacing w:line="360" w:lineRule="auto"/>
        <w:tabs>
          <w:tab w:val="left" w:pos="7619" w:leader="none"/>
        </w:tabs>
        <w:rPr>
          <w:rFonts w:hint="eastAsia" w:ascii="宋体" w:hAnsi="宋体" w:eastAsia="宋体" w:cs="宋体"/>
          <w:b/>
          <w:bCs/>
          <w:color w:val="auto"/>
          <w:spacing w:val="0"/>
          <w:szCs w:val="21"/>
          <w:lang w:val="en-US" w:eastAsia="zh-CN"/>
        </w:rPr>
      </w:pPr>
      <w:r>
        <w:rPr>
          <w:rFonts w:hint="eastAsia" w:ascii="宋体" w:hAnsi="宋体" w:cs="宋体"/>
          <w:b/>
          <w:bCs/>
          <w:color w:val="auto"/>
          <w:spacing w:val="0"/>
          <w:szCs w:val="21"/>
          <w:lang w:val="en-US" w:eastAsia="zh-CN"/>
        </w:rPr>
        <w:t xml:space="preserve">14.2</w:t>
      </w:r>
      <w:bookmarkStart w:id="104" w:name="_Hlk228952622"/>
      <w:r>
        <w:rPr>
          <w:rFonts w:hint="eastAsia" w:ascii="宋体" w:hAnsi="宋体" w:eastAsia="宋体" w:cs="宋体"/>
          <w:b/>
          <w:bCs/>
          <w:color w:val="auto"/>
          <w:spacing w:val="0"/>
          <w:szCs w:val="21"/>
          <w:lang w:val="en-US" w:eastAsia="zh-CN"/>
        </w:rPr>
        <w:t xml:space="preserve">专家评审费</w:t>
      </w:r>
      <w:r/>
    </w:p>
    <w:p>
      <w:pPr>
        <w:ind w:left="0" w:right="0" w:firstLine="420"/>
        <w:jc w:val="left"/>
        <w:keepLines w:val="0"/>
        <w:keepNext w:val="0"/>
        <w:pageBreakBefore w:val="0"/>
        <w:spacing w:line="360" w:lineRule="auto"/>
        <w:tabs>
          <w:tab w:val="left" w:pos="7619" w:leader="none"/>
        </w:tabs>
        <w:rPr>
          <w:rFonts w:hint="default" w:ascii="宋体" w:hAnsi="宋体" w:eastAsia="宋体" w:cs="宋体"/>
          <w:b w:val="0"/>
          <w:bCs w:val="0"/>
          <w:color w:val="auto"/>
          <w:spacing w:val="0"/>
          <w:szCs w:val="21"/>
          <w:lang w:val="en-US"/>
        </w:rPr>
      </w:pPr>
      <w:r/>
      <w:bookmarkStart w:id="226" w:name="_GoBack"/>
      <w:r>
        <w:rPr>
          <w:rFonts w:hint="eastAsia" w:ascii="宋体" w:hAnsi="宋体" w:eastAsia="宋体" w:cs="宋体"/>
          <w:b w:val="0"/>
          <w:bCs w:val="0"/>
          <w:color w:val="auto"/>
          <w:spacing w:val="0"/>
          <w:szCs w:val="21"/>
          <w:lang w:val="en-US" w:eastAsia="zh-CN"/>
        </w:rPr>
        <w:t xml:space="preserve">参照《关于规范江苏省政府采购专家评审费标准的通知》，由采购人支付。</w:t>
      </w:r>
      <w:bookmarkEnd w:id="104"/>
      <w:r/>
      <w:bookmarkEnd w:id="102"/>
      <w:r/>
      <w:bookmarkEnd w:id="103"/>
      <w:r/>
      <w:bookmarkEnd w:id="226"/>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四、投标文件的提交</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15.投标文件的提交</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105" w:name="OLE_LINK1"/>
      <w:r>
        <w:rPr>
          <w:rFonts w:hint="eastAsia" w:ascii="宋体" w:hAnsi="宋体" w:eastAsia="宋体" w:cs="宋体"/>
          <w:color w:val="auto"/>
          <w:spacing w:val="0"/>
          <w:szCs w:val="21"/>
        </w:rPr>
        <w:t xml:space="preserve">15.1 投标人应当按照《操作手册》规定，在招标公告规定的投标截止时间前制作并上传电子投标文件。</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15.2 投标人应充分考虑网络环境、网络带宽等因素可能对投标产生的影响，如因投标人自身原因造成的电子投标文件上传不成功的，按照本招标文件第二章第20.2.3.1条规定做无效投标处理。</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15.3 采购代理机构可以按照规定，通过修改招标文件酌情延长投标截止时间，在此情况下，投标人的所有权利和义务均以延长后新的截止时间为准。</w:t>
      </w:r>
      <w:bookmarkEnd w:id="105"/>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16.投标文件的拒收</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16.1 采购代理机构拒绝接收投标截止时间后上传的任何投标文件。</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17.投标文件的撤回和修改</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17.1 投标文件的撤回</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17.1.1 投标人可在投标截止时间前撤回其电子投标文件，具体操作方法见《操作手册》。</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17.1.2 投标人撤回电子投标文件，则认为其不再参与本项目投标活动。</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17.2 投标文件的修改</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17.2.1 投标人可在投标截止时间前对其电子投标文件进行修改，具体操作方法见《操作手册》。</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17.2.2 投标截止时间之后，投标人不得对其电子投标文件作任何修改。</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17.3 在投标截止时间至招标文件中规定的投标有效期满之间的这段时间内，投标人不得撤回其投标。</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18.诚实信用</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18.1投标人应当遵循公平竞争的原则，不得恶意串通，不得妨碍其他投标人的竞争行为，不得损害采购人或者其他投标人的合法权益。</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18.2在评标过程中发现投标人有上述情形的，评标委员会应当认定其投标无效，并书面报告本级财政部门。</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五、开标、评标与定标</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19.开标</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19.1 采购代理机构在招标公告中规定的时间和地点组织公开开标。投标人按照《操作手册》规定参加开标活动，并在苏采云系统规定的时间内对投标文件进行解密。苏采云系统公布各投标人名称和投标价格。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19.2 投标人在开标过程中涉及到的投标文件解密、开标结果确认等工作，应按照《操作手册》规定执行。</w:t>
      </w:r>
      <w:r/>
    </w:p>
    <w:p>
      <w:pPr>
        <w:ind w:left="0" w:right="0" w:firstLine="420"/>
        <w:jc w:val="left"/>
        <w:keepLines w:val="0"/>
        <w:keepNext w:val="0"/>
        <w:pageBreakBefore w:val="0"/>
        <w:spacing w:line="360" w:lineRule="auto"/>
        <w:rPr>
          <w:rFonts w:hint="eastAsia" w:ascii="宋体" w:hAnsi="宋体" w:eastAsia="宋体" w:cs="宋体"/>
          <w:bCs/>
          <w:color w:val="auto"/>
          <w:spacing w:val="0"/>
          <w:szCs w:val="21"/>
        </w:rPr>
      </w:pPr>
      <w:r>
        <w:rPr>
          <w:rFonts w:hint="eastAsia" w:ascii="宋体" w:hAnsi="宋体" w:eastAsia="宋体" w:cs="宋体"/>
          <w:color w:val="auto"/>
          <w:spacing w:val="0"/>
          <w:szCs w:val="21"/>
        </w:rPr>
        <w:t xml:space="preserve">19.3 投标人如果对开标过程和开标结果有疑义，应当根据《操作手册》规定提出，苏采云系统中《开标一览表》公布后5分钟内未提出的，视同认可开标结果。</w:t>
      </w:r>
      <w:bookmarkStart w:id="106" w:name="_Hlk44576482"/>
      <w:r/>
      <w:bookmarkEnd w:id="106"/>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20.评标 </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20.1 评标委员会 </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20.1.1评标委员会负责具体评标事务，并独立履行下列职责：</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（1）审查、评价投标文件是否符合招标文件的商务、技术等实质性要求；</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（2）要求投标人对投标文件有关事项作出澄清或者说明；</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（3）对投标文件进行比较和评价；</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（4）确定中标候选人名单，以及根据采购人委托直接确定中标人；</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Cs/>
          <w:color w:val="auto"/>
          <w:spacing w:val="0"/>
          <w:szCs w:val="21"/>
        </w:rPr>
        <w:t xml:space="preserve">（5）向采购人、采购代理机构或者有关部门报告评标中发现的违法行为。</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20.1.2 评标委员会由采购人代表和有关技术、经济等方面的专家组成，独立开展评审工作。</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20.2  评标程序</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20.</w:t>
      </w:r>
      <w:r>
        <w:rPr>
          <w:rFonts w:hint="eastAsia" w:ascii="宋体" w:hAnsi="宋体" w:eastAsia="宋体" w:cs="宋体"/>
          <w:color w:val="auto"/>
          <w:spacing w:val="0"/>
          <w:szCs w:val="21"/>
        </w:rPr>
        <w:t xml:space="preserve">2.1</w:t>
      </w:r>
      <w:r>
        <w:rPr>
          <w:rFonts w:hint="eastAsia" w:ascii="宋体" w:hAnsi="宋体" w:eastAsia="宋体" w:cs="宋体"/>
          <w:color w:val="auto"/>
          <w:spacing w:val="0"/>
          <w:szCs w:val="21"/>
        </w:rPr>
        <w:t xml:space="preserve">投标文件审查分为资格审查和符合性审查。</w:t>
      </w:r>
      <w:r/>
    </w:p>
    <w:p>
      <w:pPr>
        <w:ind w:left="0" w:right="0" w:firstLine="422"/>
        <w:jc w:val="left"/>
        <w:keepLines w:val="0"/>
        <w:keepNext w:val="0"/>
        <w:pageBreakBefore w:val="0"/>
        <w:spacing w:line="360" w:lineRule="auto"/>
        <w:tabs>
          <w:tab w:val="left" w:pos="4825" w:leader="none"/>
        </w:tabs>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20.</w:t>
      </w:r>
      <w:r>
        <w:rPr>
          <w:rFonts w:hint="eastAsia" w:ascii="宋体" w:hAnsi="宋体" w:eastAsia="宋体" w:cs="宋体"/>
          <w:b/>
          <w:bCs/>
          <w:color w:val="auto"/>
          <w:spacing w:val="0"/>
          <w:szCs w:val="21"/>
        </w:rPr>
        <w:t xml:space="preserve">2.2投标文件的资格审查</w:t>
      </w:r>
      <w:r/>
    </w:p>
    <w:p>
      <w:pPr>
        <w:ind w:left="0" w:right="0" w:firstLine="420"/>
        <w:jc w:val="left"/>
        <w:keepLines w:val="0"/>
        <w:keepNext w:val="0"/>
        <w:pageBreakBefore w:val="0"/>
        <w:spacing w:line="360" w:lineRule="auto"/>
        <w:tabs>
          <w:tab w:val="left" w:pos="4825" w:leader="none"/>
        </w:tabs>
        <w:rPr>
          <w:rFonts w:hint="eastAsia" w:ascii="宋体" w:hAnsi="宋体" w:eastAsia="宋体" w:cs="宋体"/>
          <w:color w:val="auto"/>
          <w:spacing w:val="0"/>
          <w:szCs w:val="21"/>
        </w:rPr>
      </w:pPr>
      <w:r/>
      <w:bookmarkStart w:id="107" w:name="_Hlk81573923"/>
      <w:r/>
      <w:bookmarkStart w:id="108" w:name="_Hlk84583325"/>
      <w:r>
        <w:rPr>
          <w:rFonts w:hint="eastAsia" w:ascii="宋体" w:hAnsi="宋体" w:eastAsia="宋体" w:cs="宋体"/>
          <w:color w:val="auto"/>
          <w:spacing w:val="0"/>
          <w:szCs w:val="21"/>
        </w:rPr>
        <w:t xml:space="preserve">资格审查：依据法律法规和招标文件规定，由</w:t>
      </w:r>
      <w:bookmarkStart w:id="109" w:name="OLE_LINK6"/>
      <w:r>
        <w:rPr>
          <w:rFonts w:hint="eastAsia" w:ascii="宋体" w:hAnsi="宋体" w:eastAsia="宋体" w:cs="宋体"/>
          <w:color w:val="auto"/>
          <w:spacing w:val="0"/>
          <w:szCs w:val="21"/>
        </w:rPr>
        <w:t xml:space="preserve">采购人或采购代理机构</w:t>
      </w:r>
      <w:bookmarkEnd w:id="109"/>
      <w:r>
        <w:rPr>
          <w:rFonts w:hint="eastAsia" w:ascii="宋体" w:hAnsi="宋体" w:eastAsia="宋体" w:cs="宋体"/>
          <w:color w:val="auto"/>
          <w:spacing w:val="0"/>
          <w:szCs w:val="21"/>
        </w:rPr>
        <w:t xml:space="preserve">对投标文件中的资格证明文件进行审查，并向评标委员会反馈审查结论。</w:t>
      </w:r>
      <w:bookmarkEnd w:id="107"/>
      <w:r/>
      <w:r/>
    </w:p>
    <w:p>
      <w:pPr>
        <w:ind w:left="0" w:right="0" w:firstLine="422"/>
        <w:jc w:val="left"/>
        <w:keepLines w:val="0"/>
        <w:keepNext w:val="0"/>
        <w:pageBreakBefore w:val="0"/>
        <w:spacing w:line="360" w:lineRule="auto"/>
        <w:tabs>
          <w:tab w:val="left" w:pos="4825" w:leader="none"/>
        </w:tabs>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20.2.2.1投标文件有下列情况之一的，在资格性审查时按照无效投标处理：</w:t>
      </w:r>
      <w:r/>
    </w:p>
    <w:p>
      <w:pPr>
        <w:numPr>
          <w:ilvl w:val="0"/>
          <w:numId w:val="4"/>
        </w:numPr>
        <w:ind w:left="0" w:right="0" w:firstLine="420"/>
        <w:jc w:val="left"/>
        <w:keepLines w:val="0"/>
        <w:keepNext w:val="0"/>
        <w:pageBreakBefore w:val="0"/>
        <w:spacing w:line="360" w:lineRule="auto"/>
        <w:tabs>
          <w:tab w:val="left" w:pos="4825" w:leader="none"/>
        </w:tabs>
        <w:rPr>
          <w:rFonts w:hint="eastAsia" w:ascii="宋体" w:hAnsi="宋体" w:eastAsia="宋体" w:cs="宋体"/>
          <w:color w:val="auto"/>
          <w:spacing w:val="0"/>
          <w:szCs w:val="21"/>
        </w:rPr>
      </w:pPr>
      <w:r/>
      <w:bookmarkStart w:id="110" w:name="_Hlk81314966"/>
      <w:r/>
      <w:bookmarkStart w:id="111" w:name="_Hlk81573945"/>
      <w:r>
        <w:rPr>
          <w:rFonts w:hint="eastAsia" w:ascii="宋体" w:hAnsi="宋体" w:eastAsia="宋体" w:cs="宋体"/>
          <w:color w:val="auto"/>
          <w:spacing w:val="0"/>
          <w:szCs w:val="21"/>
        </w:rPr>
        <w:t xml:space="preserve">不具备招标文件中规定资格条件的；</w:t>
      </w:r>
      <w:bookmarkEnd w:id="110"/>
      <w:r/>
      <w:r/>
    </w:p>
    <w:p>
      <w:pPr>
        <w:numPr>
          <w:ilvl w:val="0"/>
          <w:numId w:val="4"/>
        </w:numPr>
        <w:ind w:left="0" w:right="0" w:firstLine="420"/>
        <w:jc w:val="left"/>
        <w:keepLines w:val="0"/>
        <w:keepNext w:val="0"/>
        <w:pageBreakBefore w:val="0"/>
        <w:spacing w:line="360" w:lineRule="auto"/>
        <w:tabs>
          <w:tab w:val="left" w:pos="4825" w:leader="none"/>
        </w:tabs>
        <w:rPr>
          <w:rFonts w:hint="eastAsia" w:ascii="宋体" w:hAnsi="宋体" w:eastAsia="宋体" w:cs="宋体"/>
          <w:color w:val="auto"/>
          <w:spacing w:val="0"/>
          <w:szCs w:val="21"/>
        </w:rPr>
      </w:pPr>
      <w:r/>
      <w:bookmarkStart w:id="112" w:name="_Hlk77845984"/>
      <w:r>
        <w:rPr>
          <w:rFonts w:hint="eastAsia" w:ascii="宋体" w:hAnsi="宋体" w:eastAsia="宋体" w:cs="宋体"/>
          <w:color w:val="auto"/>
          <w:spacing w:val="0"/>
          <w:szCs w:val="21"/>
        </w:rPr>
        <w:t xml:space="preserve">投标人被“信用中国”网站（www.crditchina.gov.cn）、“中国政府采购网”（www.ccgp.gov.cn）列入失信被执行人、重大税收违法案件当事人名单、政府采购严重违法失信行为记录名单的。接收联合体的项目，两个以上的自然人、法人或者其他组织组成的一个联合体，以一个投标人的身份共同参加政府采购活动的，联合体成员存在不良信用记录的，视同联合体存在不良应用记录。</w:t>
      </w:r>
      <w:bookmarkEnd w:id="108"/>
      <w:r/>
      <w:bookmarkEnd w:id="111"/>
      <w:r/>
      <w:bookmarkEnd w:id="112"/>
      <w:r/>
      <w:r/>
    </w:p>
    <w:p>
      <w:pPr>
        <w:ind w:left="0" w:right="0" w:firstLine="422"/>
        <w:jc w:val="left"/>
        <w:keepLines w:val="0"/>
        <w:keepNext w:val="0"/>
        <w:pageBreakBefore w:val="0"/>
        <w:spacing w:line="360" w:lineRule="auto"/>
        <w:tabs>
          <w:tab w:val="left" w:pos="4825" w:leader="none"/>
        </w:tabs>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20.2.3投标文件的</w:t>
      </w:r>
      <w:bookmarkStart w:id="113" w:name="OLE_LINK18"/>
      <w:r>
        <w:rPr>
          <w:rFonts w:hint="eastAsia" w:ascii="宋体" w:hAnsi="宋体" w:eastAsia="宋体" w:cs="宋体"/>
          <w:b/>
          <w:color w:val="auto"/>
          <w:spacing w:val="0"/>
          <w:szCs w:val="21"/>
        </w:rPr>
        <w:t xml:space="preserve">符合性检查</w:t>
      </w:r>
      <w:bookmarkEnd w:id="113"/>
      <w:r/>
      <w:r/>
    </w:p>
    <w:p>
      <w:pPr>
        <w:ind w:left="0" w:right="0" w:firstLine="420"/>
        <w:jc w:val="left"/>
        <w:keepLines w:val="0"/>
        <w:keepNext w:val="0"/>
        <w:pageBreakBefore w:val="0"/>
        <w:spacing w:line="360" w:lineRule="auto"/>
        <w:tabs>
          <w:tab w:val="left" w:pos="4825" w:leader="none"/>
        </w:tabs>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（1）评标委员会将依据法律法规和招标文件的规定，对投标文件的有效性完整性和对招标文件的响应程度进行审查，以确定是否对招标文件的实质性要求作出响应。</w:t>
      </w:r>
      <w:r/>
    </w:p>
    <w:p>
      <w:pPr>
        <w:ind w:left="0" w:right="0" w:firstLine="422"/>
        <w:jc w:val="left"/>
        <w:keepLines w:val="0"/>
        <w:keepNext w:val="0"/>
        <w:pageBreakBefore w:val="0"/>
        <w:spacing w:line="360" w:lineRule="auto"/>
        <w:tabs>
          <w:tab w:val="left" w:pos="4825" w:leader="none"/>
        </w:tabs>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（2）</w:t>
      </w:r>
      <w:bookmarkStart w:id="114" w:name="_Hlk176530503"/>
      <w:r>
        <w:rPr>
          <w:rFonts w:hint="eastAsia" w:ascii="宋体" w:hAnsi="宋体" w:eastAsia="宋体" w:cs="宋体"/>
          <w:b/>
          <w:bCs/>
          <w:color w:val="auto"/>
          <w:spacing w:val="0"/>
          <w:szCs w:val="21"/>
        </w:rPr>
        <w:t xml:space="preserve">实质性要求是指本</w:t>
      </w:r>
      <w:bookmarkStart w:id="115" w:name="OLE_LINK36"/>
      <w:r>
        <w:rPr>
          <w:rFonts w:hint="eastAsia" w:ascii="宋体" w:hAnsi="宋体" w:eastAsia="宋体" w:cs="宋体"/>
          <w:b/>
          <w:bCs/>
          <w:color w:val="auto"/>
          <w:spacing w:val="0"/>
          <w:szCs w:val="21"/>
        </w:rPr>
        <w:t xml:space="preserve">招标文件中斜体且有下划线部分，或者打“★”“*”等其他文字说明的商务和技术要求。</w:t>
      </w:r>
      <w:bookmarkEnd w:id="114"/>
      <w:r/>
      <w:r/>
    </w:p>
    <w:p>
      <w:pPr>
        <w:ind w:left="0" w:right="0" w:firstLine="420"/>
        <w:jc w:val="left"/>
        <w:keepLines w:val="0"/>
        <w:keepNext w:val="0"/>
        <w:pageBreakBefore w:val="0"/>
        <w:spacing w:line="360" w:lineRule="auto"/>
        <w:tabs>
          <w:tab w:val="left" w:pos="4825" w:leader="none"/>
        </w:tabs>
        <w:rPr>
          <w:rFonts w:hint="eastAsia" w:ascii="宋体" w:hAnsi="宋体" w:eastAsia="宋体" w:cs="宋体"/>
          <w:color w:val="auto"/>
          <w:spacing w:val="0"/>
          <w:szCs w:val="21"/>
        </w:rPr>
      </w:pPr>
      <w:r/>
      <w:bookmarkStart w:id="116" w:name="OLE_LINK7"/>
      <w:r>
        <w:rPr>
          <w:rFonts w:hint="eastAsia" w:ascii="宋体" w:hAnsi="宋体" w:eastAsia="宋体" w:cs="宋体"/>
          <w:color w:val="auto"/>
          <w:spacing w:val="0"/>
          <w:szCs w:val="21"/>
        </w:rPr>
        <w:t xml:space="preserve">（3）如果投标文件实质上没有响应招标文件的要求，评标委员会将予以拒绝，投标人不得通过修改或撤销不合要求的偏离或保留而使其投标成为实质性响应的投标。</w:t>
      </w:r>
      <w:bookmarkEnd w:id="115"/>
      <w:r/>
      <w:bookmarkEnd w:id="116"/>
      <w:r/>
      <w:r/>
    </w:p>
    <w:p>
      <w:pPr>
        <w:ind w:left="0" w:right="0" w:firstLine="422"/>
        <w:jc w:val="left"/>
        <w:keepLines w:val="0"/>
        <w:keepNext w:val="0"/>
        <w:pageBreakBefore w:val="0"/>
        <w:spacing w:line="360" w:lineRule="auto"/>
        <w:tabs>
          <w:tab w:val="left" w:pos="4825" w:leader="none"/>
          <w:tab w:val="left" w:pos="7092" w:leader="none"/>
        </w:tabs>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20.2.3.1投标文件属于下列情形之一的，在符合性审查时按照无效投标处理：</w:t>
      </w:r>
      <w:r>
        <w:rPr>
          <w:rFonts w:hint="eastAsia" w:ascii="宋体" w:hAnsi="宋体" w:eastAsia="宋体" w:cs="宋体"/>
          <w:b/>
          <w:color w:val="auto"/>
          <w:spacing w:val="0"/>
          <w:szCs w:val="21"/>
        </w:rPr>
        <w:tab/>
      </w:r>
      <w:r/>
    </w:p>
    <w:p>
      <w:pPr>
        <w:numPr>
          <w:ilvl w:val="0"/>
          <w:numId w:val="0"/>
        </w:numPr>
        <w:ind w:left="0" w:right="0" w:firstLine="420"/>
        <w:jc w:val="left"/>
        <w:keepLines w:val="0"/>
        <w:keepNext w:val="0"/>
        <w:pageBreakBefore w:val="0"/>
        <w:spacing w:line="360" w:lineRule="auto"/>
        <w:tabs>
          <w:tab w:val="left" w:pos="4825" w:leader="none"/>
        </w:tabs>
        <w:rPr>
          <w:rFonts w:hint="eastAsia" w:ascii="宋体" w:hAnsi="宋体" w:eastAsia="宋体" w:cs="宋体"/>
          <w:color w:val="auto"/>
          <w:spacing w:val="0"/>
          <w:szCs w:val="21"/>
        </w:rPr>
      </w:pPr>
      <w:r>
        <w:rPr>
          <w:rFonts w:hint="eastAsia" w:ascii="宋体" w:hAnsi="宋体" w:eastAsia="宋体" w:cs="宋体"/>
          <w:color w:val="auto"/>
          <w:spacing w:val="0"/>
          <w:sz w:val="21"/>
          <w:szCs w:val="21"/>
          <w:lang w:val="en-US" w:eastAsia="zh-CN" w:bidi="ar-SA"/>
        </w:rPr>
        <w:t xml:space="preserve">（1）</w:t>
      </w:r>
      <w:r>
        <w:rPr>
          <w:rFonts w:hint="eastAsia" w:ascii="宋体" w:hAnsi="宋体" w:eastAsia="宋体" w:cs="宋体"/>
          <w:color w:val="auto"/>
          <w:spacing w:val="0"/>
          <w:szCs w:val="21"/>
        </w:rPr>
        <w:t xml:space="preserve">投标人在苏采云系统规定的时间内未成功解密电子投标文件；</w:t>
      </w:r>
      <w:r/>
    </w:p>
    <w:p>
      <w:pPr>
        <w:numPr>
          <w:ilvl w:val="0"/>
          <w:numId w:val="0"/>
        </w:numPr>
        <w:ind w:left="0" w:right="0" w:firstLine="420"/>
        <w:jc w:val="left"/>
        <w:keepLines w:val="0"/>
        <w:keepNext w:val="0"/>
        <w:pageBreakBefore w:val="0"/>
        <w:spacing w:line="360" w:lineRule="auto"/>
        <w:tabs>
          <w:tab w:val="left" w:pos="4825" w:leader="none"/>
        </w:tabs>
        <w:rPr>
          <w:rFonts w:hint="eastAsia" w:ascii="宋体" w:hAnsi="宋体" w:eastAsia="宋体" w:cs="宋体"/>
          <w:color w:val="auto"/>
          <w:spacing w:val="0"/>
          <w:szCs w:val="21"/>
        </w:rPr>
      </w:pPr>
      <w:r>
        <w:rPr>
          <w:rFonts w:hint="eastAsia" w:ascii="宋体" w:hAnsi="宋体" w:eastAsia="宋体" w:cs="宋体"/>
          <w:color w:val="auto"/>
          <w:spacing w:val="0"/>
          <w:sz w:val="21"/>
          <w:szCs w:val="21"/>
          <w:lang w:val="en-US" w:eastAsia="zh-CN" w:bidi="ar-SA"/>
        </w:rPr>
        <w:t xml:space="preserve">（2）</w:t>
      </w:r>
      <w:r>
        <w:rPr>
          <w:rFonts w:hint="eastAsia" w:ascii="宋体" w:hAnsi="宋体" w:eastAsia="宋体" w:cs="宋体"/>
          <w:color w:val="auto"/>
          <w:spacing w:val="0"/>
          <w:szCs w:val="21"/>
        </w:rPr>
        <w:t xml:space="preserve">投标人未按照招标文件要求上传电子投标文件；</w:t>
      </w:r>
      <w:r/>
    </w:p>
    <w:p>
      <w:pPr>
        <w:numPr>
          <w:ilvl w:val="0"/>
          <w:numId w:val="0"/>
        </w:numPr>
        <w:ind w:left="0" w:right="0" w:firstLine="420"/>
        <w:jc w:val="left"/>
        <w:keepLines w:val="0"/>
        <w:keepNext w:val="0"/>
        <w:pageBreakBefore w:val="0"/>
        <w:spacing w:line="360" w:lineRule="auto"/>
        <w:tabs>
          <w:tab w:val="left" w:pos="4825" w:leader="none"/>
        </w:tabs>
        <w:rPr>
          <w:rFonts w:hint="eastAsia" w:ascii="宋体" w:hAnsi="宋体" w:eastAsia="宋体" w:cs="宋体"/>
          <w:color w:val="auto"/>
          <w:spacing w:val="0"/>
          <w:szCs w:val="21"/>
        </w:rPr>
      </w:pPr>
      <w:r>
        <w:rPr>
          <w:rFonts w:hint="eastAsia" w:ascii="宋体" w:hAnsi="宋体" w:eastAsia="宋体" w:cs="宋体"/>
          <w:color w:val="auto"/>
          <w:spacing w:val="0"/>
          <w:sz w:val="21"/>
          <w:szCs w:val="21"/>
          <w:lang w:val="en-US" w:eastAsia="zh-CN" w:bidi="ar-SA"/>
        </w:rPr>
        <w:t xml:space="preserve">（3）</w:t>
      </w:r>
      <w:r>
        <w:rPr>
          <w:rFonts w:hint="eastAsia" w:ascii="宋体" w:hAnsi="宋体" w:eastAsia="宋体" w:cs="宋体"/>
          <w:color w:val="auto"/>
          <w:spacing w:val="0"/>
          <w:szCs w:val="21"/>
        </w:rPr>
        <w:t xml:space="preserve">投标文件未按照招标文件要求加盖电子公章；</w:t>
      </w:r>
      <w:r/>
    </w:p>
    <w:p>
      <w:pPr>
        <w:numPr>
          <w:ilvl w:val="0"/>
          <w:numId w:val="0"/>
        </w:numPr>
        <w:ind w:left="0" w:right="0" w:firstLine="420"/>
        <w:jc w:val="left"/>
        <w:keepLines w:val="0"/>
        <w:keepNext w:val="0"/>
        <w:pageBreakBefore w:val="0"/>
        <w:spacing w:line="360" w:lineRule="auto"/>
        <w:tabs>
          <w:tab w:val="left" w:pos="4825" w:leader="none"/>
        </w:tabs>
        <w:rPr>
          <w:rFonts w:hint="eastAsia" w:ascii="宋体" w:hAnsi="宋体" w:eastAsia="宋体" w:cs="宋体"/>
          <w:color w:val="auto"/>
          <w:spacing w:val="0"/>
          <w:szCs w:val="21"/>
        </w:rPr>
      </w:pPr>
      <w:r>
        <w:rPr>
          <w:rFonts w:hint="eastAsia" w:ascii="宋体" w:hAnsi="宋体" w:eastAsia="宋体" w:cs="宋体"/>
          <w:color w:val="auto"/>
          <w:spacing w:val="0"/>
          <w:sz w:val="21"/>
          <w:szCs w:val="21"/>
          <w:lang w:val="en-US" w:eastAsia="zh-CN" w:bidi="ar-SA"/>
        </w:rPr>
        <w:t xml:space="preserve">（4）</w:t>
      </w:r>
      <w:r>
        <w:rPr>
          <w:rFonts w:hint="eastAsia" w:ascii="宋体" w:hAnsi="宋体" w:eastAsia="宋体" w:cs="宋体"/>
          <w:color w:val="auto"/>
          <w:spacing w:val="0"/>
          <w:szCs w:val="21"/>
        </w:rPr>
        <w:t xml:space="preserve">不具备招标文件中规定实质性要求的；</w:t>
      </w:r>
      <w:r/>
    </w:p>
    <w:p>
      <w:pPr>
        <w:numPr>
          <w:ilvl w:val="0"/>
          <w:numId w:val="0"/>
        </w:numPr>
        <w:ind w:left="0" w:right="0" w:firstLine="420"/>
        <w:jc w:val="left"/>
        <w:keepLines w:val="0"/>
        <w:keepNext w:val="0"/>
        <w:pageBreakBefore w:val="0"/>
        <w:spacing w:line="360" w:lineRule="auto"/>
        <w:tabs>
          <w:tab w:val="left" w:pos="4825" w:leader="none"/>
        </w:tabs>
        <w:rPr>
          <w:rFonts w:hint="eastAsia" w:ascii="宋体" w:hAnsi="宋体" w:eastAsia="宋体" w:cs="宋体"/>
          <w:color w:val="auto"/>
          <w:spacing w:val="0"/>
          <w:szCs w:val="21"/>
        </w:rPr>
      </w:pPr>
      <w:r>
        <w:rPr>
          <w:rFonts w:hint="eastAsia" w:ascii="宋体" w:hAnsi="宋体" w:eastAsia="宋体" w:cs="宋体"/>
          <w:color w:val="auto"/>
          <w:spacing w:val="0"/>
          <w:sz w:val="21"/>
          <w:szCs w:val="21"/>
          <w:lang w:val="en-US" w:eastAsia="zh-CN" w:bidi="ar-SA"/>
        </w:rPr>
        <w:t xml:space="preserve">（5）</w:t>
      </w:r>
      <w:r>
        <w:rPr>
          <w:rFonts w:hint="eastAsia" w:ascii="宋体" w:hAnsi="宋体" w:eastAsia="宋体" w:cs="宋体"/>
          <w:color w:val="auto"/>
          <w:spacing w:val="0"/>
          <w:szCs w:val="21"/>
        </w:rPr>
        <w:t xml:space="preserve">投标总价超出采购项目预算或者最高限价的；</w:t>
      </w:r>
      <w:r/>
    </w:p>
    <w:p>
      <w:pPr>
        <w:numPr>
          <w:ilvl w:val="0"/>
          <w:numId w:val="0"/>
        </w:numPr>
        <w:ind w:left="0" w:right="0" w:firstLine="420"/>
        <w:jc w:val="left"/>
        <w:keepLines w:val="0"/>
        <w:keepNext w:val="0"/>
        <w:pageBreakBefore w:val="0"/>
        <w:spacing w:line="360" w:lineRule="auto"/>
        <w:tabs>
          <w:tab w:val="left" w:pos="4825" w:leader="none"/>
        </w:tabs>
        <w:rPr>
          <w:rFonts w:hint="eastAsia" w:ascii="宋体" w:hAnsi="宋体" w:eastAsia="宋体" w:cs="宋体"/>
          <w:color w:val="auto"/>
          <w:spacing w:val="0"/>
          <w:szCs w:val="21"/>
        </w:rPr>
      </w:pPr>
      <w:r>
        <w:rPr>
          <w:rFonts w:hint="eastAsia" w:ascii="宋体" w:hAnsi="宋体" w:eastAsia="宋体" w:cs="宋体"/>
          <w:color w:val="auto"/>
          <w:spacing w:val="0"/>
          <w:sz w:val="21"/>
          <w:szCs w:val="21"/>
          <w:lang w:val="en-US" w:eastAsia="zh-CN" w:bidi="ar-SA"/>
        </w:rPr>
        <w:t xml:space="preserve">（6）</w:t>
      </w:r>
      <w:r>
        <w:rPr>
          <w:rFonts w:hint="eastAsia" w:ascii="宋体" w:hAnsi="宋体" w:eastAsia="宋体" w:cs="宋体"/>
          <w:color w:val="auto"/>
          <w:spacing w:val="0"/>
          <w:szCs w:val="21"/>
        </w:rPr>
        <w:t xml:space="preserve">不同投标人的投标文件由同一单位或者个人编制的；</w:t>
      </w:r>
      <w:r/>
    </w:p>
    <w:p>
      <w:pPr>
        <w:numPr>
          <w:ilvl w:val="0"/>
          <w:numId w:val="0"/>
        </w:num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 w:val="21"/>
          <w:szCs w:val="21"/>
          <w:lang w:val="en-US" w:eastAsia="zh-CN" w:bidi="ar-SA"/>
        </w:rPr>
        <w:t xml:space="preserve">（7）</w:t>
      </w:r>
      <w:r>
        <w:rPr>
          <w:rFonts w:hint="eastAsia" w:ascii="宋体" w:hAnsi="宋体" w:eastAsia="宋体" w:cs="宋体"/>
          <w:color w:val="auto"/>
          <w:spacing w:val="0"/>
          <w:szCs w:val="21"/>
        </w:rPr>
        <w:t xml:space="preserve">不同投标人委托同一单位或者个人办理投标事宜；</w:t>
      </w:r>
      <w:r/>
    </w:p>
    <w:p>
      <w:pPr>
        <w:pStyle w:val="1093"/>
        <w:numPr>
          <w:ilvl w:val="0"/>
          <w:numId w:val="0"/>
        </w:num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 w:val="21"/>
          <w:szCs w:val="21"/>
          <w:lang w:val="en-US" w:eastAsia="zh-CN" w:bidi="ar-SA"/>
        </w:rPr>
        <w:t xml:space="preserve">（8）</w:t>
      </w:r>
      <w:r>
        <w:rPr>
          <w:rFonts w:hint="eastAsia" w:ascii="宋体" w:hAnsi="宋体" w:eastAsia="宋体" w:cs="宋体"/>
          <w:color w:val="auto"/>
          <w:spacing w:val="0"/>
          <w:szCs w:val="21"/>
        </w:rPr>
        <w:t xml:space="preserve">不同投标人的投标文件载明的项目管理成员</w:t>
      </w:r>
      <w:bookmarkStart w:id="117" w:name="_Hlk176185278"/>
      <w:r>
        <w:rPr>
          <w:rFonts w:hint="eastAsia" w:ascii="宋体" w:hAnsi="宋体" w:eastAsia="宋体" w:cs="宋体"/>
          <w:color w:val="auto"/>
          <w:spacing w:val="0"/>
          <w:szCs w:val="21"/>
        </w:rPr>
        <w:t xml:space="preserve">或者联系人员为同一人</w:t>
      </w:r>
      <w:bookmarkEnd w:id="117"/>
      <w:r>
        <w:rPr>
          <w:rFonts w:hint="eastAsia" w:ascii="宋体" w:hAnsi="宋体" w:eastAsia="宋体" w:cs="宋体"/>
          <w:color w:val="auto"/>
          <w:spacing w:val="0"/>
          <w:szCs w:val="21"/>
        </w:rPr>
        <w:t xml:space="preserve">；</w:t>
      </w:r>
      <w:r/>
    </w:p>
    <w:p>
      <w:pPr>
        <w:pStyle w:val="1093"/>
        <w:numPr>
          <w:ilvl w:val="0"/>
          <w:numId w:val="0"/>
        </w:num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 w:val="21"/>
          <w:szCs w:val="21"/>
          <w:lang w:val="en-US" w:eastAsia="zh-CN" w:bidi="ar-SA"/>
        </w:rPr>
        <w:t xml:space="preserve">（9）</w:t>
      </w:r>
      <w:r>
        <w:rPr>
          <w:rFonts w:hint="eastAsia" w:ascii="宋体" w:hAnsi="宋体" w:eastAsia="宋体" w:cs="宋体"/>
          <w:color w:val="auto"/>
          <w:spacing w:val="0"/>
          <w:szCs w:val="21"/>
        </w:rPr>
        <w:t xml:space="preserve">不同投标人的投标文件异常一致或者投标报价呈规律性差异；</w:t>
      </w:r>
      <w:r/>
    </w:p>
    <w:p>
      <w:pPr>
        <w:pStyle w:val="1093"/>
        <w:numPr>
          <w:ilvl w:val="0"/>
          <w:numId w:val="0"/>
        </w:num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 w:val="21"/>
          <w:szCs w:val="21"/>
          <w:lang w:val="en-US" w:eastAsia="zh-CN" w:bidi="ar-SA"/>
        </w:rPr>
        <w:t xml:space="preserve">（10）</w:t>
      </w:r>
      <w:r>
        <w:rPr>
          <w:rFonts w:hint="eastAsia" w:ascii="宋体" w:hAnsi="宋体" w:eastAsia="宋体" w:cs="宋体"/>
          <w:color w:val="auto"/>
          <w:spacing w:val="0"/>
          <w:szCs w:val="21"/>
        </w:rPr>
        <w:t xml:space="preserve">不同投标人的负责人为同一人或者存在控股、管理关系的；</w:t>
      </w:r>
      <w:r/>
    </w:p>
    <w:p>
      <w:pPr>
        <w:numPr>
          <w:ilvl w:val="0"/>
          <w:numId w:val="0"/>
        </w:numPr>
        <w:ind w:left="0" w:right="0" w:firstLine="420"/>
        <w:jc w:val="left"/>
        <w:keepLines w:val="0"/>
        <w:keepNext w:val="0"/>
        <w:pageBreakBefore w:val="0"/>
        <w:spacing w:line="360" w:lineRule="auto"/>
        <w:tabs>
          <w:tab w:val="left" w:pos="4825" w:leader="none"/>
        </w:tabs>
        <w:rPr>
          <w:rFonts w:hint="eastAsia" w:ascii="宋体" w:hAnsi="宋体" w:eastAsia="宋体" w:cs="宋体"/>
          <w:color w:val="auto"/>
          <w:spacing w:val="0"/>
          <w:szCs w:val="21"/>
        </w:rPr>
      </w:pPr>
      <w:r>
        <w:rPr>
          <w:rFonts w:hint="eastAsia" w:ascii="宋体" w:hAnsi="宋体" w:eastAsia="宋体" w:cs="宋体"/>
          <w:color w:val="auto"/>
          <w:spacing w:val="0"/>
          <w:sz w:val="21"/>
          <w:szCs w:val="21"/>
          <w:lang w:val="en-US" w:eastAsia="zh-CN" w:bidi="ar-SA"/>
        </w:rPr>
        <w:t xml:space="preserve">（11）</w:t>
      </w:r>
      <w:r>
        <w:rPr>
          <w:rFonts w:hint="eastAsia" w:ascii="宋体" w:hAnsi="宋体" w:eastAsia="宋体" w:cs="宋体"/>
          <w:color w:val="auto"/>
          <w:spacing w:val="0"/>
          <w:szCs w:val="21"/>
        </w:rPr>
        <w:t xml:space="preserve">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pStyle w:val="1093"/>
        <w:numPr>
          <w:ilvl w:val="0"/>
          <w:numId w:val="0"/>
        </w:num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 w:val="21"/>
          <w:szCs w:val="21"/>
          <w:lang w:val="en-US" w:eastAsia="zh-CN" w:bidi="ar-SA"/>
        </w:rPr>
        <w:t xml:space="preserve">（12）</w:t>
      </w:r>
      <w:r>
        <w:rPr>
          <w:rFonts w:hint="eastAsia" w:ascii="宋体" w:hAnsi="宋体" w:eastAsia="宋体" w:cs="宋体"/>
          <w:color w:val="auto"/>
          <w:spacing w:val="0"/>
          <w:szCs w:val="21"/>
        </w:rPr>
        <w:t xml:space="preserve">投标文件含有采购人不能接受的附加条件的；</w:t>
      </w:r>
      <w:r/>
    </w:p>
    <w:p>
      <w:pPr>
        <w:pStyle w:val="1093"/>
        <w:numPr>
          <w:ilvl w:val="0"/>
          <w:numId w:val="0"/>
        </w:num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 w:val="21"/>
          <w:szCs w:val="21"/>
          <w:lang w:val="en-US" w:eastAsia="zh-CN" w:bidi="ar-SA"/>
        </w:rPr>
        <w:t xml:space="preserve">（13）</w:t>
      </w:r>
      <w:r>
        <w:rPr>
          <w:rFonts w:hint="eastAsia" w:ascii="宋体" w:hAnsi="宋体" w:eastAsia="宋体" w:cs="宋体"/>
          <w:color w:val="auto"/>
          <w:spacing w:val="0"/>
          <w:szCs w:val="21"/>
        </w:rPr>
        <w:t xml:space="preserve">采购产品被财政部、国家发改委、生态环境部等列入“节能产品品目清单”强制采购范围，而投标人提供的产品不在强制采购范围内；</w:t>
      </w:r>
      <w:r/>
    </w:p>
    <w:p>
      <w:pPr>
        <w:pStyle w:val="1093"/>
        <w:numPr>
          <w:ilvl w:val="0"/>
          <w:numId w:val="0"/>
        </w:numPr>
        <w:ind w:left="0" w:right="0" w:firstLine="422"/>
        <w:jc w:val="left"/>
        <w:keepLines w:val="0"/>
        <w:keepNext w:val="0"/>
        <w:pageBreakBefore w:val="0"/>
        <w:spacing w:line="360" w:lineRule="auto"/>
        <w:rPr>
          <w:rFonts w:hint="eastAsia" w:ascii="宋体" w:hAnsi="宋体" w:eastAsia="宋体" w:cs="宋体"/>
          <w:b/>
          <w:bCs/>
          <w:color w:val="auto"/>
          <w:spacing w:val="0"/>
          <w:sz w:val="21"/>
          <w:szCs w:val="21"/>
          <w:lang w:val="en-US" w:eastAsia="zh-CN" w:bidi="ar-SA"/>
        </w:rPr>
      </w:pPr>
      <w:r>
        <w:rPr>
          <w:rFonts w:hint="eastAsia" w:ascii="宋体" w:hAnsi="宋体" w:eastAsia="宋体" w:cs="宋体"/>
          <w:b/>
          <w:bCs/>
          <w:color w:val="auto"/>
          <w:spacing w:val="0"/>
          <w:sz w:val="21"/>
          <w:szCs w:val="21"/>
          <w:lang w:val="en-US" w:eastAsia="zh-CN" w:bidi="ar-SA"/>
        </w:rPr>
        <w:t xml:space="preserve">（14）投标文件中已标价工程量清单与采购文件规定的暂估价、暂列金额及甲供材料价格不一致的；</w:t>
      </w:r>
      <w:r/>
    </w:p>
    <w:p>
      <w:pPr>
        <w:pStyle w:val="1093"/>
        <w:numPr>
          <w:ilvl w:val="0"/>
          <w:numId w:val="0"/>
        </w:numPr>
        <w:ind w:left="0" w:right="0" w:firstLine="422"/>
        <w:jc w:val="left"/>
        <w:keepLines w:val="0"/>
        <w:keepNext w:val="0"/>
        <w:pageBreakBefore w:val="0"/>
        <w:spacing w:line="360" w:lineRule="auto"/>
        <w:rPr>
          <w:rFonts w:hint="eastAsia" w:ascii="宋体" w:hAnsi="宋体" w:eastAsia="宋体" w:cs="宋体"/>
          <w:b/>
          <w:bCs/>
          <w:color w:val="auto"/>
          <w:spacing w:val="0"/>
          <w:sz w:val="21"/>
          <w:szCs w:val="21"/>
          <w:lang w:val="en-US" w:eastAsia="zh-CN" w:bidi="ar-SA"/>
        </w:rPr>
      </w:pPr>
      <w:r>
        <w:rPr>
          <w:rFonts w:hint="eastAsia" w:ascii="宋体" w:hAnsi="宋体" w:eastAsia="宋体" w:cs="宋体"/>
          <w:b/>
          <w:bCs/>
          <w:color w:val="auto"/>
          <w:spacing w:val="0"/>
          <w:sz w:val="21"/>
          <w:szCs w:val="21"/>
          <w:lang w:val="en-US" w:eastAsia="zh-CN" w:bidi="ar-SA"/>
        </w:rPr>
        <w:t xml:space="preserve">（1</w:t>
      </w:r>
      <w:r>
        <w:rPr>
          <w:rFonts w:hint="eastAsia" w:ascii="宋体" w:hAnsi="宋体" w:cs="宋体"/>
          <w:b/>
          <w:bCs/>
          <w:color w:val="auto"/>
          <w:spacing w:val="0"/>
          <w:sz w:val="21"/>
          <w:szCs w:val="21"/>
          <w:lang w:val="en-US" w:eastAsia="zh-CN" w:bidi="ar-SA"/>
        </w:rPr>
        <w:t xml:space="preserve">5</w:t>
      </w:r>
      <w:r>
        <w:rPr>
          <w:rFonts w:hint="eastAsia" w:ascii="宋体" w:hAnsi="宋体" w:eastAsia="宋体" w:cs="宋体"/>
          <w:b/>
          <w:bCs/>
          <w:color w:val="auto"/>
          <w:spacing w:val="0"/>
          <w:sz w:val="21"/>
          <w:szCs w:val="21"/>
          <w:lang w:val="en-US" w:eastAsia="zh-CN" w:bidi="ar-SA"/>
        </w:rPr>
        <w:t xml:space="preserve">）投标文件中已标价工程量清单与招标文件明确列出的不可竞争费用项目或费率或计算基础不一致的；</w:t>
      </w:r>
      <w:r/>
    </w:p>
    <w:p>
      <w:pPr>
        <w:pStyle w:val="1093"/>
        <w:numPr>
          <w:ilvl w:val="0"/>
          <w:numId w:val="0"/>
        </w:numPr>
        <w:ind w:left="0" w:right="0" w:firstLine="422"/>
        <w:jc w:val="left"/>
        <w:keepLines w:val="0"/>
        <w:keepNext w:val="0"/>
        <w:pageBreakBefore w:val="0"/>
        <w:spacing w:line="360" w:lineRule="auto"/>
        <w:rPr>
          <w:rFonts w:hint="eastAsia" w:ascii="宋体" w:hAnsi="宋体" w:eastAsia="宋体" w:cs="宋体"/>
          <w:b/>
          <w:bCs/>
          <w:color w:val="auto"/>
          <w:spacing w:val="0"/>
          <w:sz w:val="21"/>
          <w:szCs w:val="21"/>
          <w:lang w:val="en-US" w:eastAsia="zh-CN" w:bidi="ar-SA"/>
        </w:rPr>
      </w:pPr>
      <w:r>
        <w:rPr>
          <w:rFonts w:hint="eastAsia" w:ascii="宋体" w:hAnsi="宋体" w:eastAsia="宋体" w:cs="宋体"/>
          <w:b/>
          <w:bCs/>
          <w:color w:val="auto"/>
          <w:spacing w:val="0"/>
          <w:sz w:val="21"/>
          <w:szCs w:val="21"/>
          <w:lang w:val="en-US" w:eastAsia="zh-CN" w:bidi="ar-SA"/>
        </w:rPr>
        <w:t xml:space="preserve">（1</w:t>
      </w:r>
      <w:r>
        <w:rPr>
          <w:rFonts w:hint="eastAsia" w:ascii="宋体" w:hAnsi="宋体" w:cs="宋体"/>
          <w:b/>
          <w:bCs/>
          <w:color w:val="auto"/>
          <w:spacing w:val="0"/>
          <w:sz w:val="21"/>
          <w:szCs w:val="21"/>
          <w:lang w:val="en-US" w:eastAsia="zh-CN" w:bidi="ar-SA"/>
        </w:rPr>
        <w:t xml:space="preserve">6</w:t>
      </w:r>
      <w:r>
        <w:rPr>
          <w:rFonts w:hint="eastAsia" w:ascii="宋体" w:hAnsi="宋体" w:eastAsia="宋体" w:cs="宋体"/>
          <w:b/>
          <w:bCs/>
          <w:color w:val="auto"/>
          <w:spacing w:val="0"/>
          <w:sz w:val="21"/>
          <w:szCs w:val="21"/>
          <w:lang w:val="en-US" w:eastAsia="zh-CN" w:bidi="ar-SA"/>
        </w:rPr>
        <w:t xml:space="preserve">）措施项目安全生产费率低于苏建价〔2026〕76号规定下限费率的；</w:t>
      </w:r>
      <w:r/>
    </w:p>
    <w:p>
      <w:pPr>
        <w:pStyle w:val="1093"/>
        <w:numPr>
          <w:ilvl w:val="0"/>
          <w:numId w:val="0"/>
        </w:numPr>
        <w:ind w:left="0" w:right="0" w:firstLine="422"/>
        <w:jc w:val="left"/>
        <w:keepLines w:val="0"/>
        <w:keepNext w:val="0"/>
        <w:pageBreakBefore w:val="0"/>
        <w:spacing w:line="360" w:lineRule="auto"/>
        <w:rPr>
          <w:rFonts w:hint="eastAsia" w:ascii="宋体" w:hAnsi="宋体" w:eastAsia="宋体" w:cs="宋体"/>
          <w:b/>
          <w:bCs/>
          <w:color w:val="auto"/>
          <w:spacing w:val="0"/>
          <w:sz w:val="21"/>
          <w:szCs w:val="21"/>
          <w:lang w:val="en-US" w:eastAsia="zh-CN" w:bidi="ar-SA"/>
        </w:rPr>
      </w:pPr>
      <w:r>
        <w:rPr>
          <w:rFonts w:hint="eastAsia" w:ascii="宋体" w:hAnsi="宋体" w:eastAsia="宋体" w:cs="宋体"/>
          <w:b/>
          <w:bCs/>
          <w:color w:val="auto"/>
          <w:spacing w:val="0"/>
          <w:sz w:val="21"/>
          <w:szCs w:val="21"/>
          <w:lang w:val="en-US" w:eastAsia="zh-CN" w:bidi="ar-SA"/>
        </w:rPr>
        <w:t xml:space="preserve">（</w:t>
      </w:r>
      <w:r>
        <w:rPr>
          <w:rFonts w:hint="eastAsia" w:ascii="宋体" w:hAnsi="宋体" w:cs="宋体"/>
          <w:b/>
          <w:bCs/>
          <w:color w:val="auto"/>
          <w:spacing w:val="0"/>
          <w:sz w:val="21"/>
          <w:szCs w:val="21"/>
          <w:lang w:val="en-US" w:eastAsia="zh-CN" w:bidi="ar-SA"/>
        </w:rPr>
        <w:t xml:space="preserve">17</w:t>
      </w:r>
      <w:r>
        <w:rPr>
          <w:rFonts w:hint="eastAsia" w:ascii="宋体" w:hAnsi="宋体" w:eastAsia="宋体" w:cs="宋体"/>
          <w:b/>
          <w:bCs/>
          <w:color w:val="auto"/>
          <w:spacing w:val="0"/>
          <w:sz w:val="21"/>
          <w:szCs w:val="21"/>
          <w:lang w:val="en-US" w:eastAsia="zh-CN" w:bidi="ar-SA"/>
        </w:rPr>
        <w:t xml:space="preserve">）投标文件的已标价工程量清单与招标文件提供的工程量清单中的项目编码、项目名称、项目特征、计量单位、工程量不一致的；</w:t>
      </w:r>
      <w:r/>
    </w:p>
    <w:p>
      <w:pPr>
        <w:pStyle w:val="1093"/>
        <w:numPr>
          <w:ilvl w:val="0"/>
          <w:numId w:val="0"/>
        </w:num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cs="宋体"/>
          <w:color w:val="auto"/>
          <w:spacing w:val="0"/>
          <w:szCs w:val="21"/>
          <w:lang w:eastAsia="zh-CN"/>
        </w:rPr>
        <w:t xml:space="preserve">（</w:t>
      </w:r>
      <w:r>
        <w:rPr>
          <w:rFonts w:hint="eastAsia" w:ascii="宋体" w:hAnsi="宋体" w:cs="宋体"/>
          <w:color w:val="auto"/>
          <w:spacing w:val="0"/>
          <w:szCs w:val="21"/>
          <w:lang w:val="en-US" w:eastAsia="zh-CN"/>
        </w:rPr>
        <w:t xml:space="preserve">18</w:t>
      </w:r>
      <w:r>
        <w:rPr>
          <w:rFonts w:hint="eastAsia" w:ascii="宋体" w:hAnsi="宋体" w:cs="宋体"/>
          <w:color w:val="auto"/>
          <w:spacing w:val="0"/>
          <w:szCs w:val="21"/>
          <w:lang w:eastAsia="zh-CN"/>
        </w:rPr>
        <w:t xml:space="preserve">）</w:t>
      </w:r>
      <w:r>
        <w:rPr>
          <w:rFonts w:hint="eastAsia" w:ascii="宋体" w:hAnsi="宋体" w:eastAsia="宋体" w:cs="宋体"/>
          <w:color w:val="auto"/>
          <w:spacing w:val="0"/>
          <w:szCs w:val="21"/>
        </w:rPr>
        <w:t xml:space="preserve">不符合法律、法规和招标文件规定的其他实质性要求的。</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20.</w:t>
      </w:r>
      <w:r>
        <w:rPr>
          <w:rFonts w:hint="eastAsia" w:ascii="宋体" w:hAnsi="宋体" w:eastAsia="宋体" w:cs="宋体"/>
          <w:b/>
          <w:bCs/>
          <w:color w:val="auto"/>
          <w:spacing w:val="0"/>
          <w:szCs w:val="21"/>
        </w:rPr>
        <w:t xml:space="preserve">2.4</w:t>
      </w:r>
      <w:r>
        <w:rPr>
          <w:rFonts w:hint="eastAsia" w:ascii="宋体" w:hAnsi="宋体" w:eastAsia="宋体" w:cs="宋体"/>
          <w:b/>
          <w:bCs/>
          <w:color w:val="auto"/>
          <w:spacing w:val="0"/>
          <w:szCs w:val="21"/>
        </w:rPr>
        <w:t xml:space="preserve">有下列情形之一的予以废标：</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（1）符合资格条件的投标人或者对招标文件作实质性响应的投标人不足三家的；</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（2）出现影响采购公正的违法、违规行为的；</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（3）因重大变故，采购任务取消的；</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（4）因苏采云系统故障造成开标不成功。</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20.</w:t>
      </w:r>
      <w:r>
        <w:rPr>
          <w:rFonts w:hint="eastAsia" w:ascii="宋体" w:hAnsi="宋体" w:eastAsia="宋体" w:cs="宋体"/>
          <w:color w:val="auto"/>
          <w:spacing w:val="0"/>
          <w:szCs w:val="21"/>
        </w:rPr>
        <w:t xml:space="preserve">2.5</w:t>
      </w:r>
      <w:r>
        <w:rPr>
          <w:rFonts w:hint="eastAsia" w:ascii="宋体" w:hAnsi="宋体" w:eastAsia="宋体" w:cs="宋体"/>
          <w:color w:val="auto"/>
          <w:spacing w:val="0"/>
          <w:szCs w:val="21"/>
        </w:rPr>
        <w:t xml:space="preserve">未通过资格审查或符合性审查的投标人，采购代理机构将通过苏采云系统告知其具体原因，评标结束后不再接受有关询问。</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20.</w:t>
      </w:r>
      <w:r>
        <w:rPr>
          <w:rFonts w:hint="eastAsia" w:ascii="宋体" w:hAnsi="宋体" w:eastAsia="宋体" w:cs="宋体"/>
          <w:color w:val="auto"/>
          <w:spacing w:val="0"/>
          <w:szCs w:val="21"/>
        </w:rPr>
        <w:t xml:space="preserve">2.6</w:t>
      </w:r>
      <w:r>
        <w:rPr>
          <w:rFonts w:hint="eastAsia" w:ascii="宋体" w:hAnsi="宋体" w:eastAsia="宋体" w:cs="宋体"/>
          <w:color w:val="auto"/>
          <w:spacing w:val="0"/>
          <w:szCs w:val="21"/>
        </w:rPr>
        <w:t xml:space="preserve">如出现投标截止时间后参加的投标人或者对招标文件作出实质性响应的投标人不足三家的情况，按政府采购相关规定执行。</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20.3 评标过程中的澄清</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20.3.1 评标期间，评标委员会对投标文件中含义不明确、同类问题表述不一致或者有明显文字和计算错误的内容，有权要求投标人作出必要的澄清、说明或者补正。</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118" w:name="OLE_LINK4"/>
      <w:r>
        <w:rPr>
          <w:rFonts w:hint="eastAsia" w:ascii="宋体" w:hAnsi="宋体" w:eastAsia="宋体" w:cs="宋体"/>
          <w:color w:val="auto"/>
          <w:spacing w:val="0"/>
          <w:szCs w:val="21"/>
        </w:rPr>
        <w:t xml:space="preserve">投标人的澄清、说明或者补正不得超出投标文件的范围或者改变投标文件的实质性内容</w:t>
      </w:r>
      <w:bookmarkEnd w:id="118"/>
      <w:r>
        <w:rPr>
          <w:rFonts w:hint="eastAsia" w:ascii="宋体" w:hAnsi="宋体" w:eastAsia="宋体" w:cs="宋体"/>
          <w:color w:val="auto"/>
          <w:spacing w:val="0"/>
          <w:szCs w:val="21"/>
        </w:rPr>
        <w:t xml:space="preserve">。</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评标委员会并非对每个投标人都做澄清要求。</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20.3.2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20.3.3接到评标委员会澄清、说明和补正要求的，投标人如未按规定作出澄清、说明和补正，其风险由投标人自行承担。</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20.3.4投标文件报价出现前后不一致的，除招标文件另有规定外，按照下列规定修正：</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w:t>
      </w:r>
      <w:bookmarkStart w:id="119" w:name="_Hlk225777398"/>
      <w:r>
        <w:rPr>
          <w:rFonts w:hint="eastAsia" w:ascii="宋体" w:hAnsi="宋体" w:eastAsia="宋体" w:cs="宋体"/>
          <w:color w:val="auto"/>
          <w:spacing w:val="0"/>
          <w:szCs w:val="21"/>
        </w:rPr>
        <w:t xml:space="preserve">投标文件中开标一览表内容与投标文件中相应内容不一致的，以开标一览表为准</w:t>
      </w:r>
      <w:bookmarkEnd w:id="119"/>
      <w:r>
        <w:rPr>
          <w:rFonts w:hint="eastAsia" w:ascii="宋体" w:hAnsi="宋体" w:eastAsia="宋体" w:cs="宋体"/>
          <w:color w:val="auto"/>
          <w:spacing w:val="0"/>
          <w:szCs w:val="21"/>
        </w:rPr>
        <w:t xml:space="preserve">；</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（2）大写金额和小写金额不一致的，以大写金额为准；</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（3）单价金额小数点或者百分比有明显错位的，以开标一览表的总价为准，并修改单价；</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（4）总价金额与按单价汇总金额不一致的，以单价金额计算结果为准。</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同时出现两种以上不一致的，按照前款规定的顺序修正。</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120" w:name="_Hlk176184375"/>
      <w:r>
        <w:rPr>
          <w:rFonts w:hint="eastAsia" w:ascii="宋体" w:hAnsi="宋体" w:eastAsia="宋体" w:cs="宋体"/>
          <w:color w:val="auto"/>
          <w:spacing w:val="0"/>
          <w:szCs w:val="21"/>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20.3.5投标人在开、评标全过程中应保持通讯畅通，</w:t>
      </w:r>
      <w:bookmarkStart w:id="121" w:name="OLE_LINK25"/>
      <w:r>
        <w:rPr>
          <w:rFonts w:hint="eastAsia" w:ascii="宋体" w:hAnsi="宋体" w:eastAsia="宋体" w:cs="宋体"/>
          <w:b/>
          <w:bCs/>
          <w:color w:val="auto"/>
          <w:spacing w:val="0"/>
          <w:szCs w:val="21"/>
        </w:rPr>
        <w:t xml:space="preserve">及时登录苏采云系统查阅</w:t>
      </w:r>
      <w:bookmarkEnd w:id="121"/>
      <w:r>
        <w:rPr>
          <w:rFonts w:hint="eastAsia" w:ascii="宋体" w:hAnsi="宋体" w:eastAsia="宋体" w:cs="宋体"/>
          <w:b/>
          <w:bCs/>
          <w:color w:val="auto"/>
          <w:spacing w:val="0"/>
          <w:szCs w:val="21"/>
        </w:rPr>
        <w:t xml:space="preserve">、答复相关信息，并安排专人与采购代理机构及评标委员会联系。</w:t>
      </w:r>
      <w:bookmarkEnd w:id="120"/>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20.4比较与评价</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评标委员会应当按照招标文件中规定的评标方法和标准，对符合性审查合格的投标文件进行商务和技术评估，综合比较与评价。</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20.5 </w:t>
      </w:r>
      <w:bookmarkStart w:id="122" w:name="OLE_LINK8"/>
      <w:r>
        <w:rPr>
          <w:rFonts w:hint="eastAsia" w:ascii="宋体" w:hAnsi="宋体" w:eastAsia="宋体" w:cs="宋体"/>
          <w:b/>
          <w:bCs/>
          <w:color w:val="auto"/>
          <w:spacing w:val="0"/>
          <w:szCs w:val="21"/>
        </w:rPr>
        <w:t xml:space="preserve">评标委员会</w:t>
      </w:r>
      <w:bookmarkEnd w:id="122"/>
      <w:r>
        <w:rPr>
          <w:rFonts w:hint="eastAsia" w:ascii="宋体" w:hAnsi="宋体" w:eastAsia="宋体" w:cs="宋体"/>
          <w:b/>
          <w:bCs/>
          <w:color w:val="auto"/>
          <w:spacing w:val="0"/>
          <w:szCs w:val="21"/>
        </w:rPr>
        <w:t xml:space="preserve">启动异常低价投标审查的情形和具体要求</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20.5.1评标过程中出现下列情形之一的，评标委员会应当启动异常低价投标审查程序： </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（1）投标报价低于全部通过符合性审查投标人投标报价平均值50%的，即投标报价&lt;全部通过符合性审查投标人投标报价平均值×50%；</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（2）投标报价低于通过符合性审查的次低报价投标人投标报价50%的，即投标报价&lt;通过符合性审查的次低报价投标人投标报价×50%；</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（3）投标报价低于采购项目最高限价50%的，即投标报价&lt;采购项目最高限价×50%；</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（4）评标委员会基于专业判断，认为投标人报价过低，有可能影响产品质量或者不能诚信履约的其他情形。</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20.5.2 </w:t>
      </w:r>
      <w:bookmarkStart w:id="123" w:name="OLE_LINK33"/>
      <w:r>
        <w:rPr>
          <w:rFonts w:hint="eastAsia" w:ascii="宋体" w:hAnsi="宋体" w:eastAsia="宋体" w:cs="宋体"/>
          <w:color w:val="auto"/>
          <w:spacing w:val="0"/>
          <w:szCs w:val="21"/>
        </w:rPr>
        <w:t xml:space="preserve">评标委员会</w:t>
      </w:r>
      <w:bookmarkEnd w:id="123"/>
      <w:r>
        <w:rPr>
          <w:rFonts w:hint="eastAsia" w:ascii="宋体" w:hAnsi="宋体" w:eastAsia="宋体" w:cs="宋体"/>
          <w:color w:val="auto"/>
          <w:spacing w:val="0"/>
          <w:szCs w:val="21"/>
        </w:rPr>
        <w:t xml:space="preserve">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20.</w:t>
      </w:r>
      <w:bookmarkStart w:id="124" w:name="_Hlk176875986"/>
      <w:r>
        <w:rPr>
          <w:rFonts w:hint="eastAsia" w:ascii="宋体" w:hAnsi="宋体" w:eastAsia="宋体" w:cs="宋体"/>
          <w:b/>
          <w:bCs/>
          <w:color w:val="auto"/>
          <w:spacing w:val="0"/>
          <w:szCs w:val="21"/>
        </w:rPr>
        <w:t xml:space="preserve">6</w:t>
      </w:r>
      <w:r>
        <w:rPr>
          <w:rFonts w:hint="eastAsia" w:ascii="宋体" w:hAnsi="宋体" w:eastAsia="宋体" w:cs="宋体"/>
          <w:b/>
          <w:bCs/>
          <w:color w:val="auto"/>
          <w:spacing w:val="0"/>
          <w:szCs w:val="21"/>
        </w:rPr>
        <w:t xml:space="preserve">相同品牌产品的投标</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单一产品采购项目，使用综合评分法的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非</w:t>
      </w:r>
      <w:bookmarkStart w:id="125" w:name="OLE_LINK11"/>
      <w:r>
        <w:rPr>
          <w:rFonts w:hint="eastAsia" w:ascii="宋体" w:hAnsi="宋体" w:eastAsia="宋体" w:cs="宋体"/>
          <w:color w:val="auto"/>
          <w:spacing w:val="0"/>
          <w:szCs w:val="21"/>
        </w:rPr>
        <w:t xml:space="preserve">单一产品采购项目</w:t>
      </w:r>
      <w:bookmarkEnd w:id="125"/>
      <w:r>
        <w:rPr>
          <w:rFonts w:hint="eastAsia" w:ascii="宋体" w:hAnsi="宋体" w:eastAsia="宋体" w:cs="宋体"/>
          <w:color w:val="auto"/>
          <w:spacing w:val="0"/>
          <w:szCs w:val="21"/>
        </w:rPr>
        <w:t xml:space="preserve">，核心产品在招标文件技术需求中载明。多家投标人提供的核心产品品牌相同的，按前款规定处理。</w:t>
      </w:r>
      <w:bookmarkEnd w:id="124"/>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21.评标方法和标准</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21.1本次</w:t>
      </w:r>
      <w:r>
        <w:rPr>
          <w:rFonts w:hint="eastAsia" w:ascii="宋体" w:hAnsi="宋体" w:eastAsia="宋体" w:cs="宋体"/>
          <w:color w:val="auto"/>
          <w:spacing w:val="0"/>
          <w:szCs w:val="21"/>
        </w:rPr>
        <w:t xml:space="preserve">采购</w:t>
      </w:r>
      <w:r>
        <w:rPr>
          <w:rFonts w:hint="eastAsia" w:ascii="宋体" w:hAnsi="宋体" w:eastAsia="宋体" w:cs="宋体"/>
          <w:color w:val="auto"/>
          <w:spacing w:val="0"/>
          <w:szCs w:val="21"/>
        </w:rPr>
        <w:t xml:space="preserve">采用综合评分法，评标方法和标准，详见本招标文件第三章。</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21.2综合评分法，是指投标文件满足招标文件全部实质性要求，且按照评审因素的量化指标评审得分最高的投标人为中标候选人的评标方法。</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22.确定中标人</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22.1采用综合评分法的，评标结果按评审后得分由高到低顺序排列。得分相同的，按投标报价由低到高顺序排列。得分且投标报价相同的并列，按技术指标优劣顺序排列。</w:t>
      </w:r>
      <w:bookmarkStart w:id="126" w:name="_Hlk44576646"/>
      <w:r>
        <w:rPr>
          <w:rFonts w:hint="eastAsia" w:ascii="宋体" w:hAnsi="宋体" w:eastAsia="宋体" w:cs="宋体"/>
          <w:color w:val="auto"/>
          <w:spacing w:val="0"/>
          <w:szCs w:val="21"/>
        </w:rPr>
        <w:t xml:space="preserve">投标文件满足招标文件全部实质性要求，</w:t>
      </w:r>
      <w:bookmarkStart w:id="127" w:name="_Hlk128053036"/>
      <w:r>
        <w:rPr>
          <w:rFonts w:hint="eastAsia" w:ascii="宋体" w:hAnsi="宋体" w:eastAsia="宋体" w:cs="宋体"/>
          <w:color w:val="auto"/>
          <w:spacing w:val="0"/>
          <w:szCs w:val="21"/>
        </w:rPr>
        <w:t xml:space="preserve">且按照评审因素的量化指标评审得分最高的投标人为排名第一的中标候选人，经采购人授权，</w:t>
      </w:r>
      <w:bookmarkEnd w:id="126"/>
      <w:r>
        <w:rPr>
          <w:rFonts w:hint="eastAsia" w:ascii="宋体" w:hAnsi="宋体" w:eastAsia="宋体" w:cs="宋体"/>
          <w:color w:val="auto"/>
          <w:spacing w:val="0"/>
          <w:szCs w:val="21"/>
        </w:rPr>
        <w:t xml:space="preserve">评标委员会将综合排名第一的中标候选人确定为中标人。</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22.2中标人确定后，采购代理机构在</w:t>
      </w:r>
      <w:r>
        <w:rPr>
          <w:rFonts w:hint="eastAsia" w:ascii="宋体" w:hAnsi="宋体" w:eastAsia="宋体" w:cs="宋体"/>
          <w:color w:val="auto"/>
          <w:spacing w:val="0"/>
          <w:szCs w:val="21"/>
          <w:lang w:val="zh-CN"/>
        </w:rPr>
        <w:t xml:space="preserve">“江苏政府采购网”发布</w:t>
      </w:r>
      <w:r>
        <w:rPr>
          <w:rFonts w:hint="eastAsia" w:ascii="宋体" w:hAnsi="宋体" w:eastAsia="宋体" w:cs="宋体"/>
          <w:color w:val="auto"/>
          <w:spacing w:val="0"/>
          <w:szCs w:val="21"/>
        </w:rPr>
        <w:t xml:space="preserve">中标公告，公告期限为1个工作日。</w:t>
      </w:r>
      <w:bookmarkEnd w:id="127"/>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23.</w:t>
      </w:r>
      <w:r>
        <w:rPr>
          <w:rFonts w:hint="eastAsia" w:ascii="宋体" w:hAnsi="宋体" w:eastAsia="宋体" w:cs="宋体"/>
          <w:color w:val="auto"/>
          <w:spacing w:val="0"/>
        </w:rPr>
        <w:t xml:space="preserve"> </w:t>
      </w:r>
      <w:r>
        <w:rPr>
          <w:rFonts w:hint="eastAsia" w:ascii="宋体" w:hAnsi="宋体" w:eastAsia="宋体" w:cs="宋体"/>
          <w:b/>
          <w:bCs/>
          <w:color w:val="auto"/>
          <w:spacing w:val="0"/>
          <w:szCs w:val="21"/>
        </w:rPr>
        <w:t xml:space="preserve">中标通知书</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23.l 中标结果确定后，采购代理机构将向中标人发出中标通知书。中标人可在中标结果公告届满之日起三十日内</w:t>
      </w:r>
      <w:r>
        <w:rPr>
          <w:rFonts w:hint="eastAsia" w:ascii="宋体" w:hAnsi="宋体" w:cs="宋体"/>
          <w:color w:val="auto"/>
          <w:spacing w:val="0"/>
          <w:szCs w:val="21"/>
          <w:lang w:eastAsia="zh-CN"/>
        </w:rPr>
        <w:t xml:space="preserve">，</w:t>
      </w:r>
      <w:r>
        <w:rPr>
          <w:rFonts w:hint="eastAsia" w:ascii="宋体" w:hAnsi="宋体" w:eastAsia="宋体" w:cs="宋体"/>
          <w:color w:val="auto"/>
          <w:spacing w:val="0"/>
          <w:szCs w:val="21"/>
        </w:rPr>
        <w:t xml:space="preserve">登录苏采云系统下载。</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23.2 中标通知书是合同的一个组成部分，对采购人和中标人均具有法律效力。中标通知书发出后，采购人改变中标结果或者中标人放弃中标项目的，应当依法承担法律责任。</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23.3 中标人在领取中标通知书时，需向采购代理机构提供纸质版投标文件一式叁份（盖章版本），投标文件提倡按照A4幅面打印或复印并进行装订（采用胶装形式递交）。</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24.评标过程的保密性</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24.1 采购人和采购代理机构将采取必要措施，保证评标在严格保密的情况下进行。</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24.2 任何单位和个人不得非法干预、影响评标办法的确定，以及评标过程和结果。</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24.3 凡是与审查、澄清、评价和比较投标的有关资料等，均不向投标人及与评标无关的其他人员透露。</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24.4采购代理机构和评标委员会不向未中标的投标人解释未中标原因，也不公布评标过程中的相关细节。</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128" w:name="_Hlk176188663"/>
      <w:r>
        <w:rPr>
          <w:rFonts w:hint="eastAsia" w:ascii="宋体" w:hAnsi="宋体" w:eastAsia="宋体" w:cs="宋体"/>
          <w:b/>
          <w:bCs/>
          <w:color w:val="auto"/>
          <w:spacing w:val="0"/>
          <w:szCs w:val="21"/>
        </w:rPr>
        <w:t xml:space="preserve">六、签订合同</w:t>
      </w:r>
      <w:bookmarkEnd w:id="128"/>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25.签订合同</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25.1采购人与中标人应当自中标通知书发出之日起30日内，按照招标文件和中标人投标文件的规定，签订书面合同，</w:t>
      </w:r>
      <w:r>
        <w:rPr>
          <w:rFonts w:hint="eastAsia" w:ascii="宋体" w:hAnsi="宋体" w:eastAsia="宋体" w:cs="宋体"/>
          <w:b/>
          <w:bCs/>
          <w:color w:val="auto"/>
          <w:spacing w:val="0"/>
          <w:szCs w:val="21"/>
        </w:rPr>
        <w:t xml:space="preserve">采购人于合同签订后2个工作日内通过苏采云系统进行公示</w:t>
      </w:r>
      <w:r>
        <w:rPr>
          <w:rFonts w:hint="eastAsia" w:ascii="宋体" w:hAnsi="宋体" w:eastAsia="宋体" w:cs="宋体"/>
          <w:color w:val="auto"/>
          <w:spacing w:val="0"/>
          <w:szCs w:val="21"/>
        </w:rPr>
        <w:t xml:space="preserve">。所签订的合同不得对招标文件确定的事项和中标人投标文件作实质性修改。</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25.2采购人不得向中标人提出任何不合理的要求作为签订合同的条件。</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129" w:name="_Hlk128053131"/>
      <w:r>
        <w:rPr>
          <w:rFonts w:hint="eastAsia" w:ascii="宋体" w:hAnsi="宋体" w:eastAsia="宋体" w:cs="宋体"/>
          <w:color w:val="auto"/>
          <w:spacing w:val="0"/>
          <w:szCs w:val="21"/>
        </w:rPr>
        <w:t xml:space="preserve">25.3</w:t>
      </w:r>
      <w:bookmarkStart w:id="130" w:name="_Hlk134712780"/>
      <w:r>
        <w:rPr>
          <w:rFonts w:hint="eastAsia" w:ascii="宋体" w:hAnsi="宋体" w:eastAsia="宋体" w:cs="宋体"/>
          <w:color w:val="auto"/>
          <w:spacing w:val="0"/>
          <w:szCs w:val="21"/>
        </w:rPr>
        <w:t xml:space="preserve">中标人拒绝与采购人签订合同的，采购人可以按照评标报告推荐的中标候选人名单排序，确定下一候选人为中标人，也可以重新开展政府采购活动。</w:t>
      </w:r>
      <w:bookmarkEnd w:id="129"/>
      <w:r/>
      <w:bookmarkEnd w:id="130"/>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25.4 政府采购合同履行中，采购人需追加与合同标的相同的货物（包含与货物相关的服务），在不改变合同其他条款的前提下，可以与中标人协商签订补充合同，但所有补充合同的采购金额不得超过原合同采购金额的百分之十。</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25.5招标文件、中标人的投标文件及招标过程中有关澄清、承诺文件均作为合同附件。</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25.6采购人与中标人应当根据合同的约定依法履行合同义务。</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七、质疑和投诉</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26.质疑</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131" w:name="_Hlk135041925"/>
      <w:r>
        <w:rPr>
          <w:rFonts w:hint="eastAsia" w:ascii="宋体" w:hAnsi="宋体" w:eastAsia="宋体" w:cs="宋体"/>
          <w:color w:val="auto"/>
          <w:spacing w:val="0"/>
          <w:szCs w:val="21"/>
        </w:rPr>
        <w:t xml:space="preserve">26.1投标人对</w:t>
      </w:r>
      <w:r>
        <w:rPr>
          <w:rFonts w:hint="eastAsia" w:ascii="宋体" w:hAnsi="宋体" w:eastAsia="宋体" w:cs="宋体"/>
          <w:color w:val="auto"/>
          <w:spacing w:val="0"/>
          <w:szCs w:val="21"/>
        </w:rPr>
        <w:t xml:space="preserve">采购</w:t>
      </w:r>
      <w:r>
        <w:rPr>
          <w:rFonts w:hint="eastAsia" w:ascii="宋体" w:hAnsi="宋体" w:eastAsia="宋体" w:cs="宋体"/>
          <w:color w:val="auto"/>
          <w:spacing w:val="0"/>
          <w:szCs w:val="21"/>
        </w:rPr>
        <w:t xml:space="preserve">活动事项有疑问的，可以向采购代理机构提出询问，采购代理机构将依法作出答复，但答复的内容不涉及商业秘密。</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26.2提出质疑的投标人应当是参与所质疑项目采购活动的投标人。潜在投标人已依法获取其可质疑的招标文件的，可以对该文件提出质疑。</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以联合体形式参加政府采购活动的，其质疑应当由组成联合体的所有投标人共同提出，联合体各方均须按要求加盖公章。</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26.3投标人认为招标文件、采购过程和中标结果使自己的合法权益受到损害的，可以在知道或者应知其权益受到损害之日起七个工作日内，将质疑文件原件送达采购人或采购代理机构。</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投标人必须在法定质疑期内一次性提出针对同一采购程序环节的质疑。</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26.4 投标人提出质疑应当按照《政府采购质疑和投诉办法》的规定提交质疑函和必要的证明材料。质疑函应当包括下列内容：</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（1）投标人的姓名或者名称、地址、邮编、联系人及联系电话；</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（2）质疑项目的名称、编号；</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（3）具体、明确的质疑事项和与质疑事项相关的请求（具体条款）；</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（4）事实依据（具体条款）；</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（5）必要的法律依据（具体条款）；</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（6）提出质疑的日期。</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质疑函应当使用中文。相关当事人提供外文书证或者外国语视听资料的，应当附有中文译本，由翻译机构盖章或者翻译人员签名。</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26.5 质疑函应当现场提交至采购代理机构联系人处，提交时应出示有效身份证明。未按上述要求提交质疑函的，质疑不予受理。</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26.7 采购代理机构在收到投标人的书面质疑后将及时组织调查核实，在</w:t>
      </w:r>
      <w:r>
        <w:rPr>
          <w:rFonts w:hint="eastAsia" w:ascii="宋体" w:hAnsi="宋体" w:eastAsia="宋体" w:cs="宋体"/>
          <w:b/>
          <w:bCs/>
          <w:color w:val="auto"/>
          <w:spacing w:val="0"/>
          <w:szCs w:val="21"/>
        </w:rPr>
        <w:t xml:space="preserve">七个工作日内</w:t>
      </w:r>
      <w:r>
        <w:rPr>
          <w:rFonts w:hint="eastAsia" w:ascii="宋体" w:hAnsi="宋体" w:eastAsia="宋体" w:cs="宋体"/>
          <w:color w:val="auto"/>
          <w:spacing w:val="0"/>
          <w:szCs w:val="21"/>
        </w:rPr>
        <w:t xml:space="preserve">作出答复，并以书面或在网站公告形式通知质疑投标人和其他有关投标人，答复的内容不涉及商业秘密。</w:t>
      </w:r>
      <w:bookmarkEnd w:id="131"/>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27.投诉</w:t>
      </w:r>
      <w:r/>
    </w:p>
    <w:p>
      <w:p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27.1质疑投标人对采购代理机构的答复不满意或者采购代理机构未在规定的时间内作出答复的，可以在答复期满后十五个工作日内向同级政府采购监督管理部门投诉。</w:t>
      </w:r>
      <w:r/>
    </w:p>
    <w:p>
      <w:p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27.2 投标人投诉应当有明确的请求和必要的证明材料。投标人投诉的事项不得超出已质疑事项的范围。</w:t>
      </w:r>
      <w:r/>
    </w:p>
    <w:p>
      <w:p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27.3投诉人对政府采购监督管理部门的投诉处理决定不服或者政府采购监督管理部门逾期未作处理的，可以依法申请行政复议或者向人民法院提起行政诉讼。</w:t>
      </w:r>
      <w:r/>
    </w:p>
    <w:p>
      <w:p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27.4 投诉人在全国范围12个月内3次以上投诉查无实据的，由财政部门列入不良行为记录名单。</w:t>
      </w:r>
      <w:r/>
    </w:p>
    <w:p>
      <w:p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27.5投诉人有下列行为之一的，属于虚假、恶意投诉，由财政部门列入不良行为记录名单，禁止其1至3年内参加政府采购活动：</w:t>
      </w:r>
      <w:r/>
    </w:p>
    <w:p>
      <w:p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（1）捏造事实；</w:t>
      </w:r>
      <w:r/>
    </w:p>
    <w:p>
      <w:p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（2）提供虚假材料；</w:t>
      </w:r>
      <w:r/>
    </w:p>
    <w:p>
      <w:p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（3）以非法手段取得证明材料。证据来源的合法性存在明显疑问，投诉人无法证明其取得方式合法的，视为以非法手段取得证明材料。</w:t>
      </w:r>
      <w:r/>
    </w:p>
    <w:p>
      <w:pPr>
        <w:pStyle w:val="902"/>
        <w:numPr>
          <w:ilvl w:val="0"/>
          <w:numId w:val="0"/>
        </w:numPr>
        <w:rPr>
          <w:rFonts w:hint="eastAsia" w:ascii="宋体" w:hAnsi="宋体" w:eastAsia="宋体" w:cs="宋体"/>
          <w:color w:val="auto"/>
          <w:spacing w:val="0"/>
          <w:highlight w:val="none"/>
        </w:rPr>
      </w:pPr>
      <w:r>
        <w:rPr>
          <w:rFonts w:hint="eastAsia" w:ascii="宋体" w:hAnsi="宋体" w:eastAsia="宋体" w:cs="宋体"/>
          <w:color w:val="auto"/>
          <w:spacing w:val="0"/>
          <w:sz w:val="21"/>
          <w:szCs w:val="21"/>
        </w:rPr>
        <w:br w:type="page" w:clear="all"/>
      </w:r>
      <w:bookmarkStart w:id="132" w:name="_Toc176529669"/>
      <w:r/>
      <w:bookmarkStart w:id="133" w:name="_Toc2754"/>
      <w:r/>
      <w:bookmarkStart w:id="134" w:name="_Toc481057145"/>
      <w:r>
        <w:rPr>
          <w:rFonts w:hint="eastAsia" w:ascii="宋体" w:hAnsi="宋体" w:eastAsia="宋体" w:cs="宋体"/>
          <w:color w:val="auto"/>
          <w:spacing w:val="0"/>
          <w:highlight w:val="none"/>
        </w:rPr>
        <w:t xml:space="preserve">第三章 评标标准</w:t>
      </w:r>
      <w:bookmarkEnd w:id="132"/>
      <w:r/>
      <w:bookmarkEnd w:id="133"/>
      <w:r/>
      <w:bookmarkEnd w:id="134"/>
      <w:r/>
      <w:r/>
    </w:p>
    <w:p>
      <w:pPr>
        <w:ind w:firstLine="420"/>
        <w:spacing w:line="360" w:lineRule="auto"/>
        <w:rPr>
          <w:rFonts w:hint="eastAsia" w:ascii="宋体" w:hAnsi="宋体" w:eastAsia="宋体" w:cs="宋体"/>
          <w:color w:val="auto"/>
          <w:spacing w:val="0"/>
          <w:szCs w:val="21"/>
        </w:rPr>
      </w:pPr>
      <w:r/>
      <w:bookmarkStart w:id="135" w:name="_Hlk44577066"/>
      <w:r>
        <w:rPr>
          <w:rFonts w:hint="eastAsia" w:ascii="宋体" w:hAnsi="宋体" w:eastAsia="宋体" w:cs="宋体"/>
          <w:color w:val="auto"/>
          <w:spacing w:val="0"/>
          <w:szCs w:val="21"/>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评标委员会确定中标人。</w:t>
      </w:r>
      <w:bookmarkStart w:id="136" w:name="_Hlk176529455"/>
      <w:r/>
      <w:r/>
    </w:p>
    <w:tbl>
      <w:tblPr>
        <w:tblStyle w:val="912"/>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422"/>
          <w:tblHeader/>
        </w:trPr>
        <w:tc>
          <w:tcPr>
            <w:tcW w:w="5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pacing w:val="0"/>
              </w:rPr>
            </w:pPr>
            <w:r>
              <w:rPr>
                <w:rFonts w:hint="eastAsia" w:ascii="宋体" w:hAnsi="宋体" w:eastAsia="宋体" w:cs="宋体"/>
                <w:b/>
                <w:bCs/>
                <w:color w:val="auto"/>
                <w:spacing w:val="0"/>
              </w:rPr>
              <w:t xml:space="preserve">序号</w:t>
            </w:r>
            <w:r/>
          </w:p>
        </w:tc>
        <w:tc>
          <w:tcPr>
            <w:tcW w:w="103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pacing w:val="0"/>
              </w:rPr>
            </w:pPr>
            <w:r>
              <w:rPr>
                <w:rFonts w:hint="eastAsia" w:ascii="宋体" w:hAnsi="宋体" w:eastAsia="宋体" w:cs="宋体"/>
                <w:b/>
                <w:bCs/>
                <w:color w:val="auto"/>
                <w:spacing w:val="0"/>
              </w:rPr>
              <w:t xml:space="preserve">评分因素</w:t>
            </w:r>
            <w:r/>
          </w:p>
        </w:tc>
        <w:tc>
          <w:tcPr>
            <w:tcW w:w="68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pacing w:val="0"/>
              </w:rPr>
            </w:pPr>
            <w:r>
              <w:rPr>
                <w:rFonts w:hint="eastAsia" w:ascii="宋体" w:hAnsi="宋体" w:eastAsia="宋体" w:cs="宋体"/>
                <w:b/>
                <w:bCs/>
                <w:color w:val="auto"/>
                <w:spacing w:val="0"/>
              </w:rPr>
              <w:t xml:space="preserve">评审标准</w:t>
            </w:r>
            <w:r/>
          </w:p>
        </w:tc>
        <w:tc>
          <w:tcPr>
            <w:tcW w:w="5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pacing w:val="0"/>
              </w:rPr>
            </w:pPr>
            <w:r>
              <w:rPr>
                <w:rFonts w:hint="eastAsia" w:ascii="宋体" w:hAnsi="宋体" w:eastAsia="宋体" w:cs="宋体"/>
                <w:b/>
                <w:bCs/>
                <w:color w:val="auto"/>
                <w:spacing w:val="0"/>
              </w:rPr>
              <w:t xml:space="preserve">分值</w:t>
            </w:r>
            <w:r/>
          </w:p>
        </w:tc>
        <w:tc>
          <w:tcPr>
            <w:tcW w:w="7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pacing w:val="0"/>
              </w:rPr>
            </w:pPr>
            <w:r>
              <w:rPr>
                <w:rFonts w:hint="eastAsia" w:ascii="宋体" w:hAnsi="宋体" w:eastAsia="宋体" w:cs="宋体"/>
                <w:b/>
                <w:bCs/>
                <w:color w:val="auto"/>
                <w:spacing w:val="0"/>
              </w:rPr>
              <w:t xml:space="preserve">类型</w:t>
            </w:r>
            <w:r/>
          </w:p>
        </w:tc>
      </w:tr>
      <w:tr>
        <w:trPr>
          <w:jc w:val="center"/>
          <w:trHeight w:val="460"/>
        </w:trPr>
        <w:tc>
          <w:tcPr>
            <w:gridSpan w:val="5"/>
            <w:tcW w:w="9724" w:type="dxa"/>
            <w:vAlign w:val="center"/>
            <w:textDirection w:val="lrTb"/>
            <w:noWrap w:val="false"/>
          </w:tcPr>
          <w:p>
            <w:pPr>
              <w:ind w:left="114"/>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b/>
                <w:bCs/>
                <w:color w:val="auto"/>
                <w:spacing w:val="0"/>
              </w:rPr>
              <w:t xml:space="preserve">一、价格</w:t>
            </w:r>
            <w:r>
              <w:rPr>
                <w:rFonts w:hint="eastAsia" w:ascii="宋体" w:hAnsi="宋体" w:cs="宋体"/>
                <w:b/>
                <w:bCs/>
                <w:color w:val="auto"/>
                <w:spacing w:val="0"/>
                <w:lang w:val="en-US" w:eastAsia="zh-CN"/>
              </w:rPr>
              <w:t xml:space="preserve"> 30</w:t>
            </w:r>
            <w:r>
              <w:rPr>
                <w:rFonts w:hint="eastAsia" w:ascii="宋体" w:hAnsi="宋体" w:eastAsia="宋体" w:cs="宋体"/>
                <w:b/>
                <w:bCs/>
                <w:color w:val="auto"/>
                <w:spacing w:val="0"/>
              </w:rPr>
              <w:t xml:space="preserve">分</w:t>
            </w:r>
            <w:r/>
          </w:p>
        </w:tc>
      </w:tr>
      <w:tr>
        <w:trPr>
          <w:jc w:val="center"/>
          <w:trHeight w:val="398"/>
        </w:trPr>
        <w:tc>
          <w:tcPr>
            <w:tcW w:w="5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cs="宋体"/>
                <w:color w:val="auto"/>
                <w:spacing w:val="0"/>
                <w:lang w:val="en-US" w:eastAsia="zh-CN"/>
              </w:rPr>
              <w:t xml:space="preserve">1</w:t>
            </w:r>
            <w:r/>
          </w:p>
        </w:tc>
        <w:tc>
          <w:tcPr>
            <w:tcW w:w="103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cs="宋体"/>
                <w:color w:val="auto"/>
                <w:spacing w:val="0"/>
                <w:lang w:val="en-US" w:eastAsia="zh-CN"/>
              </w:rPr>
              <w:t xml:space="preserve">报价</w:t>
            </w:r>
            <w:r/>
          </w:p>
        </w:tc>
        <w:tc>
          <w:tcPr>
            <w:tcW w:w="680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lang w:val="zh-CN"/>
              </w:rPr>
              <w:t xml:space="preserve">采用低价优先法计算，即满足招标文件要求且投标价格最低的投标报价为评标基准价，其价格分为满分。其他投标人的价格分按照下列公式计算（小数点保留两位）。投标报价得分=(评标基准价／投标报价)×</w:t>
            </w:r>
            <w:r>
              <w:rPr>
                <w:rFonts w:hint="eastAsia" w:ascii="宋体" w:hAnsi="宋体" w:eastAsia="宋体" w:cs="宋体"/>
                <w:color w:val="auto"/>
                <w:spacing w:val="0"/>
              </w:rPr>
              <w:t xml:space="preserve">30</w:t>
            </w:r>
            <w:r>
              <w:rPr>
                <w:rFonts w:hint="eastAsia" w:ascii="宋体" w:hAnsi="宋体" w:eastAsia="宋体" w:cs="宋体"/>
                <w:color w:val="auto"/>
                <w:spacing w:val="0"/>
                <w:lang w:val="zh-CN"/>
              </w:rPr>
              <w:t xml:space="preserve">。</w:t>
            </w:r>
            <w:r/>
          </w:p>
        </w:tc>
        <w:tc>
          <w:tcPr>
            <w:tcW w:w="57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pacing w:val="0"/>
                <w:lang w:val="en-US" w:eastAsia="zh-CN"/>
              </w:rPr>
            </w:pPr>
            <w:r>
              <w:rPr>
                <w:rFonts w:hint="eastAsia" w:ascii="宋体" w:hAnsi="宋体" w:cs="宋体"/>
                <w:color w:val="auto"/>
                <w:spacing w:val="0"/>
                <w:lang w:val="en-US" w:eastAsia="zh-CN"/>
              </w:rPr>
              <w:t xml:space="preserve">30</w:t>
            </w:r>
            <w:r/>
          </w:p>
        </w:tc>
        <w:tc>
          <w:tcPr>
            <w:tcW w:w="7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价格分</w:t>
            </w:r>
            <w:r/>
          </w:p>
        </w:tc>
      </w:tr>
      <w:tr>
        <w:trPr>
          <w:jc w:val="center"/>
          <w:trHeight w:val="448"/>
        </w:trPr>
        <w:tc>
          <w:tcPr>
            <w:gridSpan w:val="5"/>
            <w:tcW w:w="9724" w:type="dxa"/>
            <w:vAlign w:val="center"/>
            <w:textDirection w:val="lrTb"/>
            <w:noWrap w:val="false"/>
          </w:tcPr>
          <w:p>
            <w:pPr>
              <w:ind w:left="114"/>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b/>
                <w:color w:val="auto"/>
                <w:spacing w:val="0"/>
                <w:szCs w:val="21"/>
              </w:rPr>
              <w:t xml:space="preserve">二、技术</w:t>
            </w:r>
            <w:r>
              <w:rPr>
                <w:rFonts w:hint="eastAsia" w:ascii="宋体" w:hAnsi="宋体" w:eastAsia="宋体" w:cs="宋体"/>
                <w:b/>
                <w:color w:val="auto"/>
                <w:spacing w:val="0"/>
                <w:szCs w:val="21"/>
                <w:lang w:val="en-US" w:eastAsia="zh-CN"/>
              </w:rPr>
              <w:t xml:space="preserve"> 4</w:t>
            </w:r>
            <w:r>
              <w:rPr>
                <w:rFonts w:hint="eastAsia" w:ascii="宋体" w:hAnsi="宋体" w:cs="宋体"/>
                <w:b/>
                <w:color w:val="auto"/>
                <w:spacing w:val="0"/>
                <w:szCs w:val="21"/>
                <w:lang w:val="en-US" w:eastAsia="zh-CN"/>
              </w:rPr>
              <w:t xml:space="preserve">2</w:t>
            </w:r>
            <w:r>
              <w:rPr>
                <w:rFonts w:hint="eastAsia" w:ascii="宋体" w:hAnsi="宋体" w:eastAsia="宋体" w:cs="宋体"/>
                <w:b/>
                <w:color w:val="auto"/>
                <w:spacing w:val="0"/>
                <w:szCs w:val="21"/>
              </w:rPr>
              <w:t xml:space="preserve">分</w:t>
            </w:r>
            <w:r/>
          </w:p>
        </w:tc>
      </w:tr>
      <w:tr>
        <w:trPr>
          <w:jc w:val="center"/>
          <w:trHeight w:val="463"/>
        </w:trPr>
        <w:tc>
          <w:tcPr>
            <w:tcW w:w="5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cs="宋体"/>
                <w:color w:val="auto"/>
                <w:spacing w:val="0"/>
                <w:lang w:val="en-US" w:eastAsia="zh-CN"/>
              </w:rPr>
              <w:t xml:space="preserve">1</w:t>
            </w:r>
            <w:r/>
          </w:p>
        </w:tc>
        <w:tc>
          <w:tcPr>
            <w:tcW w:w="1039"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pacing w:val="0"/>
                <w:lang w:val="en-US" w:eastAsia="zh-CN"/>
              </w:rPr>
            </w:pPr>
            <w:r>
              <w:rPr>
                <w:rFonts w:hint="eastAsia" w:ascii="宋体" w:hAnsi="宋体" w:cs="宋体"/>
                <w:color w:val="auto"/>
                <w:spacing w:val="0"/>
                <w:lang w:val="en-US" w:eastAsia="zh-CN"/>
              </w:rPr>
              <w:t xml:space="preserve">技术参数响应</w:t>
            </w:r>
            <w:r/>
          </w:p>
        </w:tc>
        <w:tc>
          <w:tcPr>
            <w:tcW w:w="680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0"/>
                <w:lang w:val="zh-CN"/>
              </w:rPr>
            </w:pPr>
            <w:r>
              <w:rPr>
                <w:rFonts w:hint="eastAsia" w:ascii="宋体" w:hAnsi="宋体" w:eastAsia="宋体" w:cs="宋体"/>
                <w:color w:val="auto"/>
                <w:spacing w:val="0"/>
                <w:lang w:val="zh-CN"/>
              </w:rPr>
              <w:t xml:space="preserve">根据投标人对第四章采购项目的内容和相关技术要求等中“三、</w:t>
            </w:r>
            <w:r>
              <w:rPr>
                <w:rFonts w:hint="eastAsia" w:ascii="宋体" w:hAnsi="宋体" w:cs="宋体"/>
                <w:color w:val="auto"/>
                <w:spacing w:val="0"/>
                <w:lang w:val="en-US" w:eastAsia="zh-CN"/>
              </w:rPr>
              <w:t xml:space="preserve">技术参数及要求</w:t>
            </w:r>
            <w:r>
              <w:rPr>
                <w:rFonts w:hint="eastAsia" w:ascii="宋体" w:hAnsi="宋体" w:eastAsia="宋体" w:cs="宋体"/>
                <w:color w:val="auto"/>
                <w:spacing w:val="0"/>
                <w:lang w:val="zh-CN"/>
              </w:rPr>
              <w:t xml:space="preserve">（一）</w:t>
            </w:r>
            <w:r>
              <w:rPr>
                <w:rFonts w:hint="eastAsia" w:ascii="宋体" w:hAnsi="宋体" w:eastAsia="宋体" w:cs="宋体"/>
                <w:color w:val="auto"/>
                <w:spacing w:val="0"/>
                <w:lang w:val="zh-CN" w:eastAsia="zh-CN"/>
              </w:rPr>
              <w:t xml:space="preserve">货物技术参数</w:t>
            </w:r>
            <w:r>
              <w:rPr>
                <w:rFonts w:hint="eastAsia" w:ascii="宋体" w:hAnsi="宋体" w:eastAsia="宋体" w:cs="宋体"/>
                <w:color w:val="auto"/>
                <w:spacing w:val="0"/>
                <w:lang w:val="zh-CN"/>
              </w:rPr>
              <w:t xml:space="preserve">”</w:t>
            </w:r>
            <w:r>
              <w:rPr>
                <w:rFonts w:hint="eastAsia" w:ascii="宋体" w:hAnsi="宋体" w:eastAsia="宋体" w:cs="宋体"/>
                <w:color w:val="auto"/>
                <w:spacing w:val="0"/>
                <w:lang w:val="en-US" w:eastAsia="zh-CN"/>
              </w:rPr>
              <w:t xml:space="preserve">技术参数要求的</w:t>
            </w:r>
            <w:r>
              <w:rPr>
                <w:rFonts w:hint="eastAsia" w:ascii="宋体" w:hAnsi="宋体" w:eastAsia="宋体" w:cs="宋体"/>
                <w:color w:val="auto"/>
                <w:spacing w:val="0"/>
                <w:lang w:val="zh-CN"/>
              </w:rPr>
              <w:t xml:space="preserve">响应情况进行评分，投标人需在技术指标偏离表中对技术参数要求条款逐项回复</w:t>
            </w:r>
            <w:r>
              <w:rPr>
                <w:rFonts w:hint="eastAsia" w:ascii="宋体" w:hAnsi="宋体" w:cs="宋体"/>
                <w:color w:val="auto"/>
                <w:spacing w:val="0"/>
                <w:lang w:val="zh-CN"/>
              </w:rPr>
              <w:t xml:space="preserve">；</w:t>
            </w:r>
            <w:r>
              <w:rPr>
                <w:rFonts w:hint="eastAsia" w:ascii="宋体" w:hAnsi="宋体" w:eastAsia="宋体" w:cs="宋体"/>
                <w:color w:val="auto"/>
                <w:spacing w:val="0"/>
                <w:lang w:val="zh-CN" w:eastAsia="zh-CN"/>
              </w:rPr>
              <w:t xml:space="preserve">打★号指标为实质性要求，如有负偏离将作为无效投标处理；</w:t>
            </w:r>
            <w:r>
              <w:rPr>
                <w:rFonts w:hint="eastAsia" w:ascii="宋体" w:hAnsi="宋体" w:eastAsia="宋体" w:cs="宋体"/>
                <w:color w:val="auto"/>
                <w:spacing w:val="0"/>
                <w:lang w:val="en-US" w:eastAsia="zh-CN"/>
              </w:rPr>
              <w:t xml:space="preserve">打</w:t>
            </w:r>
            <w:r>
              <w:rPr>
                <w:rFonts w:hint="eastAsia" w:ascii="宋体" w:hAnsi="宋体" w:eastAsia="宋体" w:cs="宋体"/>
                <w:color w:val="auto"/>
                <w:spacing w:val="0"/>
                <w:lang w:eastAsia="zh-Hans"/>
              </w:rPr>
              <w:t xml:space="preserve">▲</w:t>
            </w:r>
            <w:r>
              <w:rPr>
                <w:rFonts w:hint="eastAsia" w:ascii="宋体" w:hAnsi="宋体" w:eastAsia="宋体" w:cs="宋体"/>
                <w:color w:val="auto"/>
                <w:spacing w:val="0"/>
                <w:lang w:val="zh-CN"/>
              </w:rPr>
              <w:t xml:space="preserve">指标</w:t>
            </w:r>
            <w:r>
              <w:rPr>
                <w:rFonts w:hint="eastAsia" w:ascii="宋体" w:hAnsi="宋体" w:eastAsia="宋体" w:cs="宋体"/>
                <w:color w:val="auto"/>
                <w:spacing w:val="0"/>
                <w:lang w:val="en-US" w:eastAsia="zh-CN"/>
              </w:rPr>
              <w:t xml:space="preserve">为重要参数，</w:t>
            </w:r>
            <w:r>
              <w:rPr>
                <w:rFonts w:hint="eastAsia" w:ascii="宋体" w:hAnsi="宋体" w:eastAsia="宋体" w:cs="宋体"/>
                <w:color w:val="auto"/>
                <w:spacing w:val="0"/>
                <w:lang w:eastAsia="zh-Hans"/>
              </w:rPr>
              <w:t xml:space="preserve">有一项</w:t>
            </w:r>
            <w:r>
              <w:rPr>
                <w:rFonts w:hint="eastAsia" w:ascii="宋体" w:hAnsi="宋体" w:eastAsia="宋体" w:cs="宋体"/>
                <w:color w:val="auto"/>
                <w:spacing w:val="0"/>
                <w:lang w:val="zh-CN"/>
              </w:rPr>
              <w:t xml:space="preserve">负偏离扣2分；</w:t>
            </w:r>
            <w:r>
              <w:rPr>
                <w:rFonts w:hint="eastAsia" w:ascii="宋体" w:hAnsi="宋体" w:eastAsia="宋体" w:cs="宋体"/>
                <w:color w:val="auto"/>
                <w:spacing w:val="0"/>
                <w:lang w:val="en-US" w:eastAsia="zh-CN"/>
              </w:rPr>
              <w:t xml:space="preserve">其余指标，有一项负偏离扣1分，</w:t>
            </w:r>
            <w:r>
              <w:rPr>
                <w:rFonts w:hint="eastAsia" w:ascii="宋体" w:hAnsi="宋体" w:eastAsia="宋体" w:cs="宋体"/>
                <w:color w:val="auto"/>
                <w:spacing w:val="0"/>
                <w:lang w:val="zh-CN"/>
              </w:rPr>
              <w:t xml:space="preserve">扣完为止。</w:t>
            </w:r>
            <w:r/>
          </w:p>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lang w:val="zh-CN"/>
              </w:rPr>
              <w:t xml:space="preserve">（投标人需在技术指标偏离表中对技术参数要求条款逐项响应，</w:t>
            </w:r>
            <w:r>
              <w:rPr>
                <w:rFonts w:hint="eastAsia" w:ascii="宋体" w:hAnsi="宋体" w:eastAsia="宋体" w:cs="宋体"/>
                <w:color w:val="auto"/>
                <w:spacing w:val="0"/>
                <w:lang w:val="zh-CN" w:eastAsia="zh-CN"/>
              </w:rPr>
              <w:t xml:space="preserve">采购需求中要求提供证明材料的，以证明材料为准；采购需求中未要求提供证明材料的，以《技术条款偏离表》为准。</w:t>
            </w:r>
            <w:r>
              <w:rPr>
                <w:rFonts w:hint="eastAsia" w:ascii="宋体" w:hAnsi="宋体" w:eastAsia="宋体" w:cs="宋体"/>
                <w:color w:val="auto"/>
                <w:spacing w:val="0"/>
                <w:lang w:val="zh-CN"/>
              </w:rPr>
              <w:t xml:space="preserve">）</w:t>
            </w:r>
            <w:r/>
          </w:p>
        </w:tc>
        <w:tc>
          <w:tcPr>
            <w:tcW w:w="57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pacing w:val="0"/>
                <w:lang w:val="en-US" w:eastAsia="zh-CN"/>
              </w:rPr>
            </w:pPr>
            <w:r>
              <w:rPr>
                <w:rFonts w:hint="eastAsia" w:ascii="宋体" w:hAnsi="宋体" w:cs="宋体"/>
                <w:color w:val="auto"/>
                <w:spacing w:val="0"/>
                <w:lang w:val="en-US" w:eastAsia="zh-CN"/>
              </w:rPr>
              <w:t xml:space="preserve">20</w:t>
            </w:r>
            <w:r/>
          </w:p>
        </w:tc>
        <w:tc>
          <w:tcPr>
            <w:tcW w:w="7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bookmarkStart w:id="137" w:name="OLE_LINK35"/>
            <w:r>
              <w:rPr>
                <w:rFonts w:hint="eastAsia" w:ascii="宋体" w:hAnsi="宋体" w:eastAsia="宋体" w:cs="宋体"/>
                <w:color w:val="auto"/>
                <w:spacing w:val="0"/>
              </w:rPr>
              <w:t xml:space="preserve">客观分</w:t>
            </w:r>
            <w:bookmarkEnd w:id="137"/>
            <w:r/>
            <w:r/>
          </w:p>
        </w:tc>
      </w:tr>
      <w:tr>
        <w:trPr>
          <w:jc w:val="center"/>
          <w:trHeight w:val="463"/>
        </w:trPr>
        <w:tc>
          <w:tcPr>
            <w:tcW w:w="5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bookmarkStart w:id="138" w:name="OLE_LINK34"/>
            <w:r>
              <w:rPr>
                <w:rFonts w:hint="eastAsia" w:ascii="宋体" w:hAnsi="宋体" w:cs="宋体"/>
                <w:color w:val="auto"/>
                <w:spacing w:val="0"/>
                <w:lang w:val="en-US" w:eastAsia="zh-CN"/>
              </w:rPr>
              <w:t xml:space="preserve">2</w:t>
            </w:r>
            <w:r/>
          </w:p>
        </w:tc>
        <w:tc>
          <w:tcPr>
            <w:tcW w:w="103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割接保障方案</w:t>
            </w:r>
            <w:r/>
          </w:p>
        </w:tc>
        <w:tc>
          <w:tcPr>
            <w:tcW w:w="680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cs="宋体"/>
                <w:color w:val="auto"/>
                <w:spacing w:val="0"/>
                <w:lang w:eastAsia="zh-CN"/>
              </w:rPr>
              <w:t xml:space="preserve">投标人</w:t>
            </w:r>
            <w:r>
              <w:rPr>
                <w:rFonts w:hint="eastAsia" w:ascii="宋体" w:hAnsi="宋体" w:eastAsia="宋体" w:cs="宋体"/>
                <w:color w:val="auto"/>
                <w:spacing w:val="0"/>
              </w:rPr>
              <w:t xml:space="preserve">制定割接保障方案（含与该项目实际情况相符且有针对性的割接方案，临时电保障方案（含临时配电柜、临时转接电缆、过渡电源保障措施），保证项目施工对学校内教学和生活供电不受影响）：</w:t>
            </w:r>
            <w:r/>
          </w:p>
          <w:p>
            <w:pPr>
              <w:jc w:val="both"/>
              <w:keepLines w:val="0"/>
              <w:keepNext w:val="0"/>
              <w:pageBreakBefore w:val="0"/>
              <w:spacing w:line="360" w:lineRule="auto"/>
              <w:widowControl w:val="off"/>
              <w:rPr>
                <w:rFonts w:hint="eastAsia" w:ascii="宋体" w:hAnsi="宋体" w:eastAsia="宋体" w:cs="宋体"/>
                <w:color w:val="auto"/>
                <w:spacing w:val="0"/>
                <w:lang w:eastAsia="zh-CN"/>
              </w:rPr>
            </w:pPr>
            <w:r>
              <w:rPr>
                <w:rFonts w:hint="eastAsia" w:ascii="宋体" w:hAnsi="宋体" w:eastAsia="宋体" w:cs="宋体"/>
                <w:color w:val="auto"/>
                <w:spacing w:val="0"/>
                <w:lang w:eastAsia="zh-CN"/>
              </w:rPr>
              <w:t xml:space="preserve">内容非常全面、理解非常到位、方案科学合理、完全满足采购需求得</w:t>
            </w:r>
            <w:r>
              <w:rPr>
                <w:rFonts w:hint="eastAsia" w:ascii="宋体" w:hAnsi="宋体" w:eastAsia="宋体" w:cs="宋体"/>
                <w:color w:val="auto"/>
                <w:spacing w:val="0"/>
                <w:lang w:val="en-US" w:eastAsia="zh-CN"/>
              </w:rPr>
              <w:t xml:space="preserve">5</w:t>
            </w:r>
            <w:r>
              <w:rPr>
                <w:rFonts w:hint="eastAsia" w:ascii="宋体" w:hAnsi="宋体" w:eastAsia="宋体" w:cs="宋体"/>
                <w:color w:val="auto"/>
                <w:spacing w:val="0"/>
                <w:lang w:eastAsia="zh-CN"/>
              </w:rPr>
              <w:t xml:space="preserve">分；</w:t>
            </w:r>
            <w:r/>
          </w:p>
          <w:p>
            <w:pPr>
              <w:jc w:val="both"/>
              <w:keepLines w:val="0"/>
              <w:keepNext w:val="0"/>
              <w:pageBreakBefore w:val="0"/>
              <w:spacing w:line="360" w:lineRule="auto"/>
              <w:widowControl w:val="off"/>
              <w:rPr>
                <w:rFonts w:hint="eastAsia" w:ascii="宋体" w:hAnsi="宋体" w:eastAsia="宋体" w:cs="宋体"/>
                <w:color w:val="auto"/>
                <w:spacing w:val="0"/>
                <w:lang w:eastAsia="zh-CN"/>
              </w:rPr>
            </w:pPr>
            <w:r>
              <w:rPr>
                <w:rFonts w:hint="eastAsia" w:ascii="宋体" w:hAnsi="宋体" w:eastAsia="宋体" w:cs="宋体"/>
                <w:color w:val="auto"/>
                <w:spacing w:val="0"/>
                <w:lang w:eastAsia="zh-CN"/>
              </w:rPr>
              <w:t xml:space="preserve">内容较为全面、理解较为到位、方案较为合理、较为满足采购需求得</w:t>
            </w:r>
            <w:r>
              <w:rPr>
                <w:rFonts w:hint="eastAsia" w:ascii="宋体" w:hAnsi="宋体" w:eastAsia="宋体" w:cs="宋体"/>
                <w:color w:val="auto"/>
                <w:spacing w:val="0"/>
                <w:lang w:val="en-US" w:eastAsia="zh-CN"/>
              </w:rPr>
              <w:t xml:space="preserve">3</w:t>
            </w:r>
            <w:r>
              <w:rPr>
                <w:rFonts w:hint="eastAsia" w:ascii="宋体" w:hAnsi="宋体" w:eastAsia="宋体" w:cs="宋体"/>
                <w:color w:val="auto"/>
                <w:spacing w:val="0"/>
                <w:lang w:eastAsia="zh-CN"/>
              </w:rPr>
              <w:t xml:space="preserve">分；</w:t>
            </w:r>
            <w:r/>
          </w:p>
          <w:p>
            <w:pPr>
              <w:jc w:val="both"/>
              <w:keepLines w:val="0"/>
              <w:keepNext w:val="0"/>
              <w:pageBreakBefore w:val="0"/>
              <w:spacing w:line="360" w:lineRule="auto"/>
              <w:widowControl w:val="off"/>
              <w:rPr>
                <w:rFonts w:hint="eastAsia" w:ascii="宋体" w:hAnsi="宋体" w:eastAsia="宋体" w:cs="宋体"/>
                <w:color w:val="auto"/>
                <w:spacing w:val="0"/>
                <w:lang w:eastAsia="zh-CN"/>
              </w:rPr>
            </w:pPr>
            <w:r>
              <w:rPr>
                <w:rFonts w:hint="eastAsia" w:ascii="宋体" w:hAnsi="宋体" w:eastAsia="宋体" w:cs="宋体"/>
                <w:color w:val="auto"/>
                <w:spacing w:val="0"/>
                <w:lang w:eastAsia="zh-CN"/>
              </w:rPr>
              <w:t xml:space="preserve">内容不全面、理解基本正确、方案基本合理、基本满足采购需求得</w:t>
            </w:r>
            <w:r>
              <w:rPr>
                <w:rFonts w:hint="eastAsia" w:ascii="宋体" w:hAnsi="宋体" w:eastAsia="宋体" w:cs="宋体"/>
                <w:color w:val="auto"/>
                <w:spacing w:val="0"/>
                <w:lang w:val="en-US" w:eastAsia="zh-CN"/>
              </w:rPr>
              <w:t xml:space="preserve">1</w:t>
            </w:r>
            <w:r>
              <w:rPr>
                <w:rFonts w:hint="eastAsia" w:ascii="宋体" w:hAnsi="宋体" w:eastAsia="宋体" w:cs="宋体"/>
                <w:color w:val="auto"/>
                <w:spacing w:val="0"/>
                <w:lang w:eastAsia="zh-CN"/>
              </w:rPr>
              <w:t xml:space="preserve">分；</w:t>
            </w:r>
            <w:r/>
          </w:p>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lang w:eastAsia="zh-CN"/>
              </w:rPr>
              <w:t xml:space="preserve">未提供方案的不得分。</w:t>
            </w:r>
            <w:r/>
          </w:p>
        </w:tc>
        <w:tc>
          <w:tcPr>
            <w:tcW w:w="5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cs="宋体"/>
                <w:color w:val="auto"/>
                <w:spacing w:val="0"/>
                <w:lang w:val="en-US" w:eastAsia="zh-CN"/>
              </w:rPr>
              <w:t xml:space="preserve">5</w:t>
            </w:r>
            <w:r/>
          </w:p>
        </w:tc>
        <w:tc>
          <w:tcPr>
            <w:tcW w:w="7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cs="宋体"/>
                <w:color w:val="auto"/>
                <w:spacing w:val="0"/>
                <w:lang w:val="en-US" w:eastAsia="zh-CN"/>
              </w:rPr>
              <w:t xml:space="preserve">主观分</w:t>
            </w:r>
            <w:r/>
          </w:p>
        </w:tc>
      </w:tr>
      <w:tr>
        <w:trPr>
          <w:jc w:val="center"/>
          <w:trHeight w:val="463"/>
        </w:trPr>
        <w:tc>
          <w:tcPr>
            <w:tcW w:w="5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cs="宋体"/>
                <w:color w:val="auto"/>
                <w:spacing w:val="0"/>
                <w:lang w:val="en-US" w:eastAsia="zh-CN"/>
              </w:rPr>
              <w:t xml:space="preserve">3</w:t>
            </w:r>
            <w:r/>
          </w:p>
        </w:tc>
        <w:tc>
          <w:tcPr>
            <w:tcW w:w="103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安装调试方案</w:t>
            </w:r>
            <w:r/>
          </w:p>
        </w:tc>
        <w:tc>
          <w:tcPr>
            <w:tcW w:w="6800" w:type="dxa"/>
            <w:vAlign w:val="center"/>
            <w:textDirection w:val="lrTb"/>
            <w:noWrap w:val="false"/>
          </w:tcPr>
          <w:p>
            <w:pPr>
              <w:jc w:val="both"/>
              <w:keepLines w:val="0"/>
              <w:keepNext w:val="0"/>
              <w:pageBreakBefore w:val="0"/>
              <w:spacing w:line="360" w:lineRule="auto"/>
              <w:widowControl w:val="off"/>
              <w:rPr>
                <w:rFonts w:hint="eastAsia" w:ascii="宋体" w:hAnsi="宋体" w:cs="宋体"/>
                <w:color w:val="auto"/>
                <w:spacing w:val="0"/>
                <w:lang w:eastAsia="zh-CN"/>
              </w:rPr>
            </w:pPr>
            <w:r>
              <w:rPr>
                <w:rFonts w:hint="eastAsia" w:ascii="宋体" w:hAnsi="宋体" w:cs="宋体"/>
                <w:color w:val="auto"/>
                <w:spacing w:val="0"/>
                <w:lang w:eastAsia="zh-CN"/>
              </w:rPr>
              <w:t xml:space="preserve">投标人</w:t>
            </w:r>
            <w:r>
              <w:rPr>
                <w:rFonts w:hint="eastAsia" w:ascii="宋体" w:hAnsi="宋体" w:eastAsia="宋体" w:cs="宋体"/>
                <w:color w:val="auto"/>
                <w:spacing w:val="0"/>
              </w:rPr>
              <w:t xml:space="preserve">针对本项目提供实际制定的安装调试方案</w:t>
            </w:r>
            <w:r>
              <w:rPr>
                <w:rFonts w:hint="eastAsia" w:ascii="宋体" w:hAnsi="宋体" w:cs="宋体"/>
                <w:color w:val="auto"/>
                <w:spacing w:val="0"/>
                <w:lang w:eastAsia="zh-CN"/>
              </w:rPr>
              <w:t xml:space="preserve">：</w:t>
            </w:r>
            <w:r/>
          </w:p>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方案详实具体、安装调试流程各环节描述完整、清晰；安装技术重点、难点突出、具有可行的解决办法的得</w:t>
            </w:r>
            <w:r>
              <w:rPr>
                <w:rFonts w:hint="eastAsia" w:ascii="宋体" w:hAnsi="宋体" w:cs="宋体"/>
                <w:color w:val="auto"/>
                <w:spacing w:val="0"/>
                <w:lang w:val="en-US" w:eastAsia="zh-CN"/>
              </w:rPr>
              <w:t xml:space="preserve">5</w:t>
            </w:r>
            <w:r>
              <w:rPr>
                <w:rFonts w:hint="eastAsia" w:ascii="宋体" w:hAnsi="宋体" w:eastAsia="宋体" w:cs="宋体"/>
                <w:color w:val="auto"/>
                <w:spacing w:val="0"/>
              </w:rPr>
              <w:t xml:space="preserve">分；</w:t>
            </w:r>
            <w:r/>
          </w:p>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方案较为详细、安装调试流程各环节描述较完整；安装技术重点突出、具有较可行的解决办法得</w:t>
            </w:r>
            <w:r>
              <w:rPr>
                <w:rFonts w:hint="eastAsia" w:ascii="宋体" w:hAnsi="宋体" w:cs="宋体"/>
                <w:color w:val="auto"/>
                <w:spacing w:val="0"/>
                <w:lang w:val="en-US" w:eastAsia="zh-CN"/>
              </w:rPr>
              <w:t xml:space="preserve">3</w:t>
            </w:r>
            <w:r>
              <w:rPr>
                <w:rFonts w:hint="eastAsia" w:ascii="宋体" w:hAnsi="宋体" w:eastAsia="宋体" w:cs="宋体"/>
                <w:color w:val="auto"/>
                <w:spacing w:val="0"/>
              </w:rPr>
              <w:t xml:space="preserve">分；</w:t>
            </w:r>
            <w:r/>
          </w:p>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方案不够详细，安装调试流程简单，安装技术简单描述得</w:t>
            </w:r>
            <w:r>
              <w:rPr>
                <w:rFonts w:hint="eastAsia" w:ascii="宋体" w:hAnsi="宋体" w:eastAsia="宋体" w:cs="宋体"/>
                <w:color w:val="auto"/>
                <w:spacing w:val="0"/>
                <w:lang w:val="en-US" w:eastAsia="zh-CN"/>
              </w:rPr>
              <w:t xml:space="preserve">1</w:t>
            </w:r>
            <w:r>
              <w:rPr>
                <w:rFonts w:hint="eastAsia" w:ascii="宋体" w:hAnsi="宋体" w:eastAsia="宋体" w:cs="宋体"/>
                <w:color w:val="auto"/>
                <w:spacing w:val="0"/>
              </w:rPr>
              <w:t xml:space="preserve">分；</w:t>
            </w:r>
            <w:r/>
          </w:p>
          <w:p>
            <w:pPr>
              <w:jc w:val="both"/>
              <w:keepLines w:val="0"/>
              <w:keepNext w:val="0"/>
              <w:pageBreakBefore w:val="0"/>
              <w:spacing w:line="360" w:lineRule="auto"/>
              <w:widowControl w:val="off"/>
              <w:rPr>
                <w:rFonts w:hint="eastAsia" w:ascii="宋体" w:hAnsi="宋体" w:eastAsia="宋体" w:cs="宋体"/>
                <w:color w:val="auto"/>
                <w:spacing w:val="0"/>
                <w:lang w:eastAsia="zh-CN"/>
              </w:rPr>
            </w:pPr>
            <w:r>
              <w:rPr>
                <w:rFonts w:hint="eastAsia" w:ascii="宋体" w:hAnsi="宋体" w:eastAsia="宋体" w:cs="宋体"/>
                <w:color w:val="auto"/>
                <w:spacing w:val="0"/>
              </w:rPr>
              <w:t xml:space="preserve">方案内容无描述的不得分</w:t>
            </w:r>
            <w:r>
              <w:rPr>
                <w:rFonts w:hint="eastAsia" w:ascii="宋体" w:hAnsi="宋体" w:cs="宋体"/>
                <w:color w:val="auto"/>
                <w:spacing w:val="0"/>
                <w:lang w:eastAsia="zh-CN"/>
              </w:rPr>
              <w:t xml:space="preserve">。</w:t>
            </w:r>
            <w:r/>
          </w:p>
        </w:tc>
        <w:tc>
          <w:tcPr>
            <w:tcW w:w="5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cs="宋体"/>
                <w:color w:val="auto"/>
                <w:spacing w:val="0"/>
                <w:lang w:val="en-US" w:eastAsia="zh-CN"/>
              </w:rPr>
              <w:t xml:space="preserve">5</w:t>
            </w:r>
            <w:r/>
          </w:p>
        </w:tc>
        <w:tc>
          <w:tcPr>
            <w:tcW w:w="7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lang w:val="en-US" w:eastAsia="zh-CN"/>
              </w:rPr>
              <w:t xml:space="preserve">主观分</w:t>
            </w:r>
            <w:r/>
          </w:p>
        </w:tc>
      </w:tr>
      <w:tr>
        <w:trPr>
          <w:jc w:val="center"/>
          <w:trHeight w:val="463"/>
        </w:trPr>
        <w:tc>
          <w:tcPr>
            <w:tcW w:w="5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cs="宋体"/>
                <w:color w:val="auto"/>
                <w:spacing w:val="0"/>
                <w:lang w:val="en-US" w:eastAsia="zh-CN"/>
              </w:rPr>
              <w:t xml:space="preserve">4</w:t>
            </w:r>
            <w:r/>
          </w:p>
        </w:tc>
        <w:tc>
          <w:tcPr>
            <w:tcW w:w="103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安全管理及内部管理方案</w:t>
            </w:r>
            <w:r/>
          </w:p>
        </w:tc>
        <w:tc>
          <w:tcPr>
            <w:tcW w:w="680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cs="宋体"/>
                <w:color w:val="auto"/>
                <w:spacing w:val="0"/>
                <w:lang w:eastAsia="zh-CN"/>
              </w:rPr>
              <w:t xml:space="preserve">投标人</w:t>
            </w:r>
            <w:r>
              <w:rPr>
                <w:rFonts w:hint="eastAsia" w:ascii="宋体" w:hAnsi="宋体" w:eastAsia="宋体" w:cs="宋体"/>
                <w:color w:val="auto"/>
                <w:spacing w:val="0"/>
              </w:rPr>
              <w:t xml:space="preserve">针对本项目提出安全管理及内部管理方案，主要包括项目实施及维护过程中的安全防护措施和内部管理，包括：安全文明施工、消防安全措施等，根据内容详细具有可行性比较。</w:t>
            </w:r>
            <w:r/>
          </w:p>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具备各类安全预案，方案针对性强，合理性可行性强，完全符合项目需求的得</w:t>
            </w:r>
            <w:r>
              <w:rPr>
                <w:rFonts w:hint="eastAsia" w:ascii="宋体" w:hAnsi="宋体" w:cs="宋体"/>
                <w:color w:val="auto"/>
                <w:spacing w:val="0"/>
                <w:lang w:val="en-US" w:eastAsia="zh-CN"/>
              </w:rPr>
              <w:t xml:space="preserve">6</w:t>
            </w:r>
            <w:r>
              <w:rPr>
                <w:rFonts w:hint="eastAsia" w:ascii="宋体" w:hAnsi="宋体" w:eastAsia="宋体" w:cs="宋体"/>
                <w:color w:val="auto"/>
                <w:spacing w:val="0"/>
              </w:rPr>
              <w:t xml:space="preserve">分；</w:t>
            </w:r>
            <w:r/>
          </w:p>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具备各类安全预案，方案较为完整，总体安排可行的得</w:t>
            </w:r>
            <w:r>
              <w:rPr>
                <w:rFonts w:hint="eastAsia" w:ascii="宋体" w:hAnsi="宋体" w:cs="宋体"/>
                <w:color w:val="auto"/>
                <w:spacing w:val="0"/>
                <w:lang w:val="en-US" w:eastAsia="zh-CN"/>
              </w:rPr>
              <w:t xml:space="preserve">4</w:t>
            </w:r>
            <w:r>
              <w:rPr>
                <w:rFonts w:hint="eastAsia" w:ascii="宋体" w:hAnsi="宋体" w:eastAsia="宋体" w:cs="宋体"/>
                <w:color w:val="auto"/>
                <w:spacing w:val="0"/>
              </w:rPr>
              <w:t xml:space="preserve">分；</w:t>
            </w:r>
            <w:r/>
          </w:p>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具有安全预案，方案描述较为简单，可行性一般的得</w:t>
            </w:r>
            <w:r>
              <w:rPr>
                <w:rFonts w:hint="eastAsia" w:ascii="宋体" w:hAnsi="宋体" w:cs="宋体"/>
                <w:color w:val="auto"/>
                <w:spacing w:val="0"/>
                <w:lang w:val="en-US" w:eastAsia="zh-CN"/>
              </w:rPr>
              <w:t xml:space="preserve">2</w:t>
            </w:r>
            <w:r>
              <w:rPr>
                <w:rFonts w:hint="eastAsia" w:ascii="宋体" w:hAnsi="宋体" w:eastAsia="宋体" w:cs="宋体"/>
                <w:color w:val="auto"/>
                <w:spacing w:val="0"/>
              </w:rPr>
              <w:t xml:space="preserve">分；</w:t>
            </w:r>
            <w:r/>
          </w:p>
          <w:p>
            <w:pPr>
              <w:jc w:val="both"/>
              <w:keepLines w:val="0"/>
              <w:keepNext w:val="0"/>
              <w:pageBreakBefore w:val="0"/>
              <w:spacing w:line="360" w:lineRule="auto"/>
              <w:widowControl w:val="off"/>
              <w:rPr>
                <w:rFonts w:hint="eastAsia" w:ascii="宋体" w:hAnsi="宋体" w:eastAsia="宋体" w:cs="宋体"/>
                <w:color w:val="auto"/>
                <w:spacing w:val="0"/>
                <w:lang w:eastAsia="zh-CN"/>
              </w:rPr>
            </w:pPr>
            <w:r>
              <w:rPr>
                <w:rFonts w:hint="eastAsia" w:ascii="宋体" w:hAnsi="宋体" w:eastAsia="宋体" w:cs="宋体"/>
                <w:color w:val="auto"/>
                <w:spacing w:val="0"/>
              </w:rPr>
              <w:t xml:space="preserve">方案内容无描述的不得分。</w:t>
            </w:r>
            <w:r/>
          </w:p>
        </w:tc>
        <w:tc>
          <w:tcPr>
            <w:tcW w:w="5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cs="宋体"/>
                <w:color w:val="auto"/>
                <w:spacing w:val="0"/>
                <w:lang w:val="en-US" w:eastAsia="zh-CN"/>
              </w:rPr>
              <w:t xml:space="preserve">6</w:t>
            </w:r>
            <w:r/>
          </w:p>
        </w:tc>
        <w:tc>
          <w:tcPr>
            <w:tcW w:w="7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lang w:val="en-US" w:eastAsia="zh-CN"/>
              </w:rPr>
              <w:t xml:space="preserve">主观分</w:t>
            </w:r>
            <w:r/>
          </w:p>
        </w:tc>
      </w:tr>
      <w:tr>
        <w:trPr>
          <w:jc w:val="center"/>
          <w:trHeight w:val="463"/>
        </w:trPr>
        <w:tc>
          <w:tcPr>
            <w:tcW w:w="5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cs="宋体"/>
                <w:color w:val="auto"/>
                <w:spacing w:val="0"/>
                <w:lang w:val="en-US" w:eastAsia="zh-CN"/>
              </w:rPr>
              <w:t xml:space="preserve">5</w:t>
            </w:r>
            <w:r/>
          </w:p>
        </w:tc>
        <w:tc>
          <w:tcPr>
            <w:tcW w:w="103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lang w:eastAsia="zh-CN"/>
              </w:rPr>
              <w:t xml:space="preserve">售后服务及应急保障方案</w:t>
            </w:r>
            <w:r/>
          </w:p>
        </w:tc>
        <w:tc>
          <w:tcPr>
            <w:tcW w:w="6800" w:type="dxa"/>
            <w:vAlign w:val="center"/>
            <w:textDirection w:val="lrTb"/>
            <w:noWrap w:val="false"/>
          </w:tcPr>
          <w:p>
            <w:pPr>
              <w:jc w:val="both"/>
              <w:keepLines w:val="0"/>
              <w:keepNext w:val="0"/>
              <w:pageBreakBefore w:val="0"/>
              <w:spacing w:line="360" w:lineRule="auto"/>
              <w:widowControl w:val="off"/>
              <w:rPr>
                <w:rFonts w:hint="eastAsia" w:ascii="宋体" w:hAnsi="宋体" w:cs="宋体"/>
                <w:color w:val="auto"/>
                <w:spacing w:val="0"/>
                <w:lang w:eastAsia="zh-CN"/>
              </w:rPr>
            </w:pPr>
            <w:r>
              <w:rPr>
                <w:rFonts w:hint="eastAsia" w:ascii="宋体" w:hAnsi="宋体" w:cs="宋体"/>
                <w:color w:val="auto"/>
                <w:spacing w:val="0"/>
                <w:lang w:eastAsia="zh-CN"/>
              </w:rPr>
              <w:t xml:space="preserve">投标人针对本项目提出售后服务及应急保障方案，包括但不限于售后服务（含维修响应时间、</w:t>
            </w:r>
            <w:r>
              <w:rPr>
                <w:rFonts w:hint="eastAsia" w:ascii="宋体" w:hAnsi="宋体" w:cs="宋体"/>
                <w:color w:val="auto"/>
                <w:spacing w:val="0"/>
                <w:lang w:val="en-US" w:eastAsia="zh-CN"/>
              </w:rPr>
              <w:t xml:space="preserve">本地服务网点、备件库情况等</w:t>
            </w:r>
            <w:r>
              <w:rPr>
                <w:rFonts w:hint="eastAsia" w:ascii="宋体" w:hAnsi="宋体" w:cs="宋体"/>
                <w:color w:val="auto"/>
                <w:spacing w:val="0"/>
                <w:lang w:eastAsia="zh-CN"/>
              </w:rPr>
              <w:t xml:space="preserve">）的描述和说明。</w:t>
            </w:r>
            <w:r/>
          </w:p>
          <w:p>
            <w:pPr>
              <w:jc w:val="both"/>
              <w:keepLines w:val="0"/>
              <w:keepNext w:val="0"/>
              <w:pageBreakBefore w:val="0"/>
              <w:spacing w:line="360" w:lineRule="auto"/>
              <w:widowControl w:val="off"/>
              <w:rPr>
                <w:rFonts w:hint="eastAsia" w:ascii="宋体" w:hAnsi="宋体" w:cs="宋体"/>
                <w:color w:val="auto"/>
                <w:spacing w:val="0"/>
                <w:lang w:eastAsia="zh-CN"/>
              </w:rPr>
            </w:pPr>
            <w:r>
              <w:rPr>
                <w:rFonts w:hint="eastAsia" w:ascii="宋体" w:hAnsi="宋体" w:cs="宋体"/>
                <w:color w:val="auto"/>
                <w:spacing w:val="0"/>
                <w:lang w:eastAsia="zh-CN"/>
              </w:rPr>
              <w:t xml:space="preserve">方案合理、详尽、可行性高、与用户需求贴合度高，维修响应时间及时、本地服务网点配置完善，设立专属备件库，备件品类齐全、库存储备充足得</w:t>
            </w:r>
            <w:r>
              <w:rPr>
                <w:rFonts w:hint="eastAsia" w:ascii="宋体" w:hAnsi="宋体" w:cs="宋体"/>
                <w:color w:val="auto"/>
                <w:spacing w:val="0"/>
                <w:lang w:val="en-US" w:eastAsia="zh-CN"/>
              </w:rPr>
              <w:t xml:space="preserve">6</w:t>
            </w:r>
            <w:r>
              <w:rPr>
                <w:rFonts w:hint="eastAsia" w:ascii="宋体" w:hAnsi="宋体" w:cs="宋体"/>
                <w:color w:val="auto"/>
                <w:spacing w:val="0"/>
                <w:lang w:eastAsia="zh-CN"/>
              </w:rPr>
              <w:t xml:space="preserve">分；</w:t>
            </w:r>
            <w:r/>
          </w:p>
          <w:p>
            <w:pPr>
              <w:jc w:val="both"/>
              <w:keepLines w:val="0"/>
              <w:keepNext w:val="0"/>
              <w:pageBreakBefore w:val="0"/>
              <w:spacing w:line="360" w:lineRule="auto"/>
              <w:widowControl w:val="off"/>
              <w:rPr>
                <w:rFonts w:hint="eastAsia" w:ascii="宋体" w:hAnsi="宋体" w:cs="宋体"/>
                <w:color w:val="auto"/>
                <w:spacing w:val="0"/>
                <w:lang w:eastAsia="zh-CN"/>
              </w:rPr>
            </w:pPr>
            <w:r>
              <w:rPr>
                <w:rFonts w:hint="eastAsia" w:ascii="宋体" w:hAnsi="宋体" w:cs="宋体"/>
                <w:color w:val="auto"/>
                <w:spacing w:val="0"/>
                <w:lang w:eastAsia="zh-CN"/>
              </w:rPr>
              <w:t xml:space="preserve">方案较合理、可行性较高、与用户需求贴合度较高，维修响应时间较快，设有本地合作服务网点，配备基础常备备件，备件库存量可覆盖多数常见故障的得</w:t>
            </w:r>
            <w:r>
              <w:rPr>
                <w:rFonts w:hint="eastAsia" w:ascii="宋体" w:hAnsi="宋体" w:cs="宋体"/>
                <w:color w:val="auto"/>
                <w:spacing w:val="0"/>
                <w:lang w:val="en-US" w:eastAsia="zh-CN"/>
              </w:rPr>
              <w:t xml:space="preserve">4</w:t>
            </w:r>
            <w:r>
              <w:rPr>
                <w:rFonts w:hint="eastAsia" w:ascii="宋体" w:hAnsi="宋体" w:cs="宋体"/>
                <w:color w:val="auto"/>
                <w:spacing w:val="0"/>
                <w:lang w:eastAsia="zh-CN"/>
              </w:rPr>
              <w:t xml:space="preserve">分；</w:t>
            </w:r>
            <w:r/>
          </w:p>
          <w:p>
            <w:pPr>
              <w:jc w:val="both"/>
              <w:keepLines w:val="0"/>
              <w:keepNext w:val="0"/>
              <w:pageBreakBefore w:val="0"/>
              <w:spacing w:line="360" w:lineRule="auto"/>
              <w:widowControl w:val="off"/>
              <w:rPr>
                <w:rFonts w:hint="eastAsia" w:ascii="宋体" w:hAnsi="宋体" w:cs="宋体"/>
                <w:color w:val="auto"/>
                <w:spacing w:val="0"/>
                <w:lang w:eastAsia="zh-CN"/>
              </w:rPr>
            </w:pPr>
            <w:r>
              <w:rPr>
                <w:rFonts w:hint="eastAsia" w:ascii="宋体" w:hAnsi="宋体" w:cs="宋体"/>
                <w:color w:val="auto"/>
                <w:spacing w:val="0"/>
                <w:lang w:eastAsia="zh-CN"/>
              </w:rPr>
              <w:t xml:space="preserve">方案合理性、可行性一般、与用户需求贴合度不太匹配、维护响应时间较慢，本地服务网点覆盖薄弱，备件库规模小，仅少量通用配件得</w:t>
            </w:r>
            <w:r>
              <w:rPr>
                <w:rFonts w:hint="eastAsia" w:ascii="宋体" w:hAnsi="宋体" w:cs="宋体"/>
                <w:color w:val="auto"/>
                <w:spacing w:val="0"/>
                <w:lang w:val="en-US" w:eastAsia="zh-CN"/>
              </w:rPr>
              <w:t xml:space="preserve">2</w:t>
            </w:r>
            <w:r>
              <w:rPr>
                <w:rFonts w:hint="eastAsia" w:ascii="宋体" w:hAnsi="宋体" w:cs="宋体"/>
                <w:color w:val="auto"/>
                <w:spacing w:val="0"/>
                <w:lang w:eastAsia="zh-CN"/>
              </w:rPr>
              <w:t xml:space="preserve">分；</w:t>
            </w:r>
            <w:r/>
          </w:p>
          <w:p>
            <w:pPr>
              <w:jc w:val="both"/>
              <w:keepLines w:val="0"/>
              <w:keepNext w:val="0"/>
              <w:pageBreakBefore w:val="0"/>
              <w:spacing w:line="360" w:lineRule="auto"/>
              <w:widowControl w:val="off"/>
              <w:rPr>
                <w:rFonts w:hint="eastAsia" w:ascii="宋体" w:hAnsi="宋体" w:cs="宋体"/>
                <w:color w:val="auto"/>
                <w:spacing w:val="0"/>
                <w:lang w:eastAsia="zh-CN"/>
              </w:rPr>
            </w:pPr>
            <w:r>
              <w:rPr>
                <w:rFonts w:hint="eastAsia" w:ascii="宋体" w:hAnsi="宋体" w:cs="宋体"/>
                <w:color w:val="auto"/>
                <w:spacing w:val="0"/>
                <w:lang w:eastAsia="zh-CN"/>
              </w:rPr>
              <w:t xml:space="preserve">方案内容无描述的不得分。</w:t>
            </w:r>
            <w:r/>
          </w:p>
        </w:tc>
        <w:tc>
          <w:tcPr>
            <w:tcW w:w="575"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pacing w:val="0"/>
                <w:lang w:val="en-US" w:eastAsia="zh-CN"/>
              </w:rPr>
            </w:pPr>
            <w:r>
              <w:rPr>
                <w:rFonts w:hint="eastAsia" w:ascii="宋体" w:hAnsi="宋体" w:cs="宋体"/>
                <w:color w:val="auto"/>
                <w:spacing w:val="0"/>
                <w:lang w:val="en-US" w:eastAsia="zh-CN"/>
              </w:rPr>
              <w:t xml:space="preserve">6</w:t>
            </w:r>
            <w:r/>
          </w:p>
        </w:tc>
        <w:tc>
          <w:tcPr>
            <w:tcW w:w="7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lang w:val="en-US" w:eastAsia="zh-CN"/>
              </w:rPr>
              <w:t xml:space="preserve">主观分</w:t>
            </w:r>
            <w:r/>
          </w:p>
        </w:tc>
      </w:tr>
      <w:tr>
        <w:trPr>
          <w:jc w:val="center"/>
          <w:trHeight w:val="323"/>
        </w:trPr>
        <w:tc>
          <w:tcPr>
            <w:gridSpan w:val="5"/>
            <w:tcW w:w="972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b/>
                <w:color w:val="auto"/>
                <w:spacing w:val="0"/>
                <w:szCs w:val="21"/>
              </w:rPr>
              <w:t xml:space="preserve">三、</w:t>
            </w:r>
            <w:bookmarkEnd w:id="138"/>
            <w:r>
              <w:rPr>
                <w:rFonts w:hint="eastAsia" w:ascii="宋体" w:hAnsi="宋体" w:eastAsia="宋体" w:cs="宋体"/>
                <w:b/>
                <w:color w:val="auto"/>
                <w:spacing w:val="0"/>
                <w:szCs w:val="21"/>
              </w:rPr>
              <w:t xml:space="preserve">商务 </w:t>
            </w:r>
            <w:r>
              <w:rPr>
                <w:rFonts w:hint="eastAsia" w:ascii="宋体" w:hAnsi="宋体" w:cs="宋体"/>
                <w:b/>
                <w:color w:val="auto"/>
                <w:spacing w:val="0"/>
                <w:szCs w:val="21"/>
                <w:lang w:val="en-US" w:eastAsia="zh-CN"/>
              </w:rPr>
              <w:t xml:space="preserve">28</w:t>
            </w:r>
            <w:r>
              <w:rPr>
                <w:rFonts w:hint="eastAsia" w:ascii="宋体" w:hAnsi="宋体" w:eastAsia="宋体" w:cs="宋体"/>
                <w:b/>
                <w:color w:val="auto"/>
                <w:spacing w:val="0"/>
                <w:szCs w:val="21"/>
              </w:rPr>
              <w:t xml:space="preserve">分</w:t>
            </w:r>
            <w:r/>
          </w:p>
        </w:tc>
      </w:tr>
      <w:tr>
        <w:trPr>
          <w:jc w:val="center"/>
          <w:trHeight w:val="410"/>
        </w:trPr>
        <w:tc>
          <w:tcPr>
            <w:tcW w:w="5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cs="宋体"/>
                <w:color w:val="auto"/>
                <w:spacing w:val="0"/>
                <w:lang w:val="en-US" w:eastAsia="zh-CN"/>
              </w:rPr>
              <w:t xml:space="preserve">1</w:t>
            </w:r>
            <w:r/>
          </w:p>
        </w:tc>
        <w:tc>
          <w:tcPr>
            <w:tcW w:w="103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cs="宋体"/>
                <w:color w:val="auto"/>
                <w:spacing w:val="0"/>
                <w:lang w:val="en-US" w:eastAsia="zh-CN"/>
              </w:rPr>
              <w:t xml:space="preserve">业绩</w:t>
            </w:r>
            <w:r/>
          </w:p>
        </w:tc>
        <w:tc>
          <w:tcPr>
            <w:tcW w:w="680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自2023年1月1日（以合同签订时间为准）以来，</w:t>
            </w:r>
            <w:r>
              <w:rPr>
                <w:rFonts w:hint="eastAsia" w:ascii="宋体" w:hAnsi="宋体" w:cs="宋体"/>
                <w:color w:val="auto"/>
                <w:spacing w:val="0"/>
                <w:lang w:eastAsia="zh-CN"/>
              </w:rPr>
              <w:t xml:space="preserve">投标人</w:t>
            </w:r>
            <w:r>
              <w:rPr>
                <w:rFonts w:hint="eastAsia" w:ascii="宋体" w:hAnsi="宋体" w:cs="宋体"/>
                <w:color w:val="auto"/>
                <w:spacing w:val="0"/>
                <w:lang w:val="en-US" w:eastAsia="zh-CN"/>
              </w:rPr>
              <w:t xml:space="preserve">或所投核心产品制造商</w:t>
            </w:r>
            <w:r>
              <w:rPr>
                <w:rFonts w:hint="eastAsia" w:ascii="宋体" w:hAnsi="宋体" w:eastAsia="宋体" w:cs="宋体"/>
                <w:color w:val="auto"/>
                <w:spacing w:val="0"/>
              </w:rPr>
              <w:t xml:space="preserve">具有已完工且验收合格的类似项目</w:t>
            </w:r>
            <w:r>
              <w:rPr>
                <w:rFonts w:hint="eastAsia" w:ascii="宋体" w:hAnsi="宋体" w:cs="宋体"/>
                <w:color w:val="auto"/>
                <w:spacing w:val="0"/>
                <w:lang w:val="en-US" w:eastAsia="zh-CN"/>
              </w:rPr>
              <w:t xml:space="preserve">供货</w:t>
            </w:r>
            <w:r>
              <w:rPr>
                <w:rFonts w:hint="eastAsia" w:ascii="宋体" w:hAnsi="宋体" w:eastAsia="宋体" w:cs="宋体"/>
                <w:color w:val="auto"/>
                <w:spacing w:val="0"/>
              </w:rPr>
              <w:t xml:space="preserve">业绩</w:t>
            </w:r>
            <w:r>
              <w:rPr>
                <w:rFonts w:hint="eastAsia" w:ascii="宋体" w:hAnsi="宋体" w:cs="宋体"/>
                <w:color w:val="auto"/>
                <w:spacing w:val="0"/>
                <w:lang w:eastAsia="zh-CN"/>
              </w:rPr>
              <w:t xml:space="preserve">（</w:t>
            </w:r>
            <w:r>
              <w:rPr>
                <w:rFonts w:hint="eastAsia" w:ascii="宋体" w:hAnsi="宋体" w:cs="宋体"/>
                <w:color w:val="auto"/>
                <w:spacing w:val="0"/>
                <w:lang w:val="en-US" w:eastAsia="zh-CN"/>
              </w:rPr>
              <w:t xml:space="preserve">供货内容至少包含变压器</w:t>
            </w:r>
            <w:r>
              <w:rPr>
                <w:rFonts w:hint="eastAsia" w:ascii="宋体" w:hAnsi="宋体" w:cs="宋体"/>
                <w:color w:val="auto"/>
                <w:spacing w:val="0"/>
                <w:lang w:eastAsia="zh-CN"/>
              </w:rPr>
              <w:t xml:space="preserve">）</w:t>
            </w:r>
            <w:r>
              <w:rPr>
                <w:rFonts w:hint="eastAsia" w:ascii="宋体" w:hAnsi="宋体" w:eastAsia="宋体" w:cs="宋体"/>
                <w:color w:val="auto"/>
                <w:spacing w:val="0"/>
              </w:rPr>
              <w:t xml:space="preserve">，每提供一个有效业绩得3分，最多得9分。</w:t>
            </w:r>
            <w:r/>
          </w:p>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注：提供合同</w:t>
            </w:r>
            <w:r>
              <w:rPr>
                <w:rFonts w:hint="eastAsia" w:ascii="宋体" w:hAnsi="宋体" w:cs="宋体"/>
                <w:color w:val="auto"/>
                <w:spacing w:val="0"/>
                <w:lang w:eastAsia="zh-CN"/>
              </w:rPr>
              <w:t xml:space="preserve">、验收证明</w:t>
            </w:r>
            <w:r>
              <w:rPr>
                <w:rFonts w:hint="eastAsia" w:ascii="宋体" w:hAnsi="宋体" w:eastAsia="宋体" w:cs="宋体"/>
                <w:color w:val="auto"/>
                <w:spacing w:val="0"/>
              </w:rPr>
              <w:t xml:space="preserve">和合同对应（部分或全部）发票复印件以及在（https://inv-veri.chinatax.gov.cn/）国家税务总局全国增值税发票查验平台对于发票查验结果的截图（发票内容与发票查验结果不一致的不予认可），并加盖</w:t>
            </w:r>
            <w:r>
              <w:rPr>
                <w:rFonts w:hint="eastAsia" w:ascii="宋体" w:hAnsi="宋体" w:cs="宋体"/>
                <w:color w:val="auto"/>
                <w:spacing w:val="0"/>
                <w:lang w:eastAsia="zh-CN"/>
              </w:rPr>
              <w:t xml:space="preserve">投标人</w:t>
            </w:r>
            <w:r>
              <w:rPr>
                <w:rFonts w:hint="eastAsia" w:ascii="宋体" w:hAnsi="宋体" w:eastAsia="宋体" w:cs="宋体"/>
                <w:color w:val="auto"/>
                <w:spacing w:val="0"/>
              </w:rPr>
              <w:t xml:space="preserve">公章。</w:t>
            </w:r>
            <w:r/>
          </w:p>
        </w:tc>
        <w:tc>
          <w:tcPr>
            <w:tcW w:w="5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cs="宋体"/>
                <w:color w:val="auto"/>
                <w:spacing w:val="0"/>
                <w:lang w:val="en-US" w:eastAsia="zh-CN"/>
              </w:rPr>
              <w:t xml:space="preserve">9</w:t>
            </w:r>
            <w:r/>
          </w:p>
        </w:tc>
        <w:tc>
          <w:tcPr>
            <w:tcW w:w="7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客观分</w:t>
            </w:r>
            <w:r/>
          </w:p>
        </w:tc>
      </w:tr>
      <w:tr>
        <w:trPr>
          <w:jc w:val="center"/>
          <w:trHeight w:val="410"/>
        </w:trPr>
        <w:tc>
          <w:tcPr>
            <w:tcW w:w="5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cs="宋体"/>
                <w:color w:val="auto"/>
                <w:spacing w:val="0"/>
                <w:lang w:val="en-US" w:eastAsia="zh-CN"/>
              </w:rPr>
              <w:t xml:space="preserve">2</w:t>
            </w:r>
            <w:r/>
          </w:p>
        </w:tc>
        <w:tc>
          <w:tcPr>
            <w:tcW w:w="103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cs="宋体"/>
                <w:color w:val="auto"/>
                <w:spacing w:val="0"/>
                <w:lang w:val="en-US" w:eastAsia="zh-CN"/>
              </w:rPr>
              <w:t xml:space="preserve">项目负责人</w:t>
            </w:r>
            <w:r/>
          </w:p>
        </w:tc>
        <w:tc>
          <w:tcPr>
            <w:tcW w:w="6800" w:type="dxa"/>
            <w:vAlign w:val="center"/>
            <w:textDirection w:val="lrTb"/>
            <w:noWrap w:val="false"/>
          </w:tcPr>
          <w:p>
            <w:pPr>
              <w:jc w:val="both"/>
              <w:keepLines w:val="0"/>
              <w:keepNext w:val="0"/>
              <w:pageBreakBefore w:val="0"/>
              <w:spacing w:line="360" w:lineRule="auto"/>
              <w:widowControl w:val="off"/>
              <w:rPr>
                <w:rFonts w:hint="default" w:ascii="宋体" w:hAnsi="宋体" w:eastAsia="宋体" w:cs="宋体"/>
                <w:color w:val="auto"/>
                <w:spacing w:val="0"/>
                <w:lang w:val="en-US" w:eastAsia="zh-CN"/>
              </w:rPr>
            </w:pPr>
            <w:r>
              <w:rPr>
                <w:rFonts w:hint="eastAsia" w:ascii="宋体" w:hAnsi="宋体" w:cs="宋体"/>
                <w:color w:val="auto"/>
                <w:spacing w:val="0"/>
                <w:lang w:val="en-US" w:eastAsia="zh-CN"/>
              </w:rPr>
              <w:t xml:space="preserve">投标人拟派项目负责人具有电力相关专业中级职称证书的得1分；具有电力相关专业高级及以上职称证书的得3分。（提供有效职称证书复印件及投标人近三个月中任意一个月为其缴纳社保的证明材料并加盖投标人公章，未提供的不得分。）</w:t>
            </w:r>
            <w:r/>
          </w:p>
        </w:tc>
        <w:tc>
          <w:tcPr>
            <w:tcW w:w="57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pacing w:val="0"/>
                <w:lang w:val="en-US" w:eastAsia="zh-CN"/>
              </w:rPr>
            </w:pPr>
            <w:r>
              <w:rPr>
                <w:rFonts w:hint="eastAsia" w:ascii="宋体" w:hAnsi="宋体" w:cs="宋体"/>
                <w:color w:val="auto"/>
                <w:spacing w:val="0"/>
                <w:lang w:val="en-US" w:eastAsia="zh-CN"/>
              </w:rPr>
              <w:t xml:space="preserve">3</w:t>
            </w:r>
            <w:r/>
          </w:p>
        </w:tc>
        <w:tc>
          <w:tcPr>
            <w:tcW w:w="7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客观分</w:t>
            </w:r>
            <w:r/>
          </w:p>
        </w:tc>
      </w:tr>
      <w:tr>
        <w:trPr>
          <w:jc w:val="center"/>
          <w:trHeight w:val="410"/>
        </w:trPr>
        <w:tc>
          <w:tcPr>
            <w:tcW w:w="5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cs="宋体"/>
                <w:color w:val="auto"/>
                <w:spacing w:val="0"/>
                <w:lang w:val="en-US" w:eastAsia="zh-CN"/>
              </w:rPr>
              <w:t xml:space="preserve">3</w:t>
            </w:r>
            <w:r/>
          </w:p>
        </w:tc>
        <w:tc>
          <w:tcPr>
            <w:tcW w:w="103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cs="宋体"/>
                <w:color w:val="auto"/>
                <w:spacing w:val="0"/>
                <w:lang w:val="en-US" w:eastAsia="zh-CN"/>
              </w:rPr>
              <w:t xml:space="preserve">团队人员（不含项目负责人）</w:t>
            </w:r>
            <w:r/>
          </w:p>
        </w:tc>
        <w:tc>
          <w:tcPr>
            <w:tcW w:w="6800" w:type="dxa"/>
            <w:vAlign w:val="center"/>
            <w:textDirection w:val="lrTb"/>
            <w:noWrap w:val="false"/>
          </w:tcPr>
          <w:p>
            <w:pPr>
              <w:jc w:val="both"/>
              <w:keepLines w:val="0"/>
              <w:keepNext w:val="0"/>
              <w:pageBreakBefore w:val="0"/>
              <w:spacing w:line="360" w:lineRule="auto"/>
              <w:widowControl w:val="off"/>
              <w:rPr>
                <w:rFonts w:hint="eastAsia" w:ascii="宋体" w:hAnsi="宋体" w:cs="宋体"/>
                <w:color w:val="auto"/>
                <w:spacing w:val="0"/>
                <w:lang w:val="en-US" w:eastAsia="zh-CN"/>
              </w:rPr>
            </w:pPr>
            <w:r>
              <w:rPr>
                <w:rFonts w:hint="eastAsia" w:ascii="宋体" w:hAnsi="宋体" w:cs="宋体"/>
                <w:color w:val="auto"/>
                <w:spacing w:val="0"/>
                <w:lang w:val="en-US" w:eastAsia="zh-CN"/>
              </w:rPr>
              <w:t xml:space="preserve">（1）投标人拟派技术人员具有特种作业操作证（电工）（操作项目：高压电工作业证或电气试验作业证或继电保护作业证或电力电缆作业证)，每人得1分（每个操作项目限评2人），最多得6分（一人多证不重复计分）。</w:t>
            </w:r>
            <w:r/>
          </w:p>
          <w:p>
            <w:pPr>
              <w:jc w:val="both"/>
              <w:keepLines w:val="0"/>
              <w:keepNext w:val="0"/>
              <w:pageBreakBefore w:val="0"/>
              <w:spacing w:line="360" w:lineRule="auto"/>
              <w:widowControl w:val="off"/>
              <w:rPr>
                <w:rFonts w:hint="eastAsia" w:ascii="宋体" w:hAnsi="宋体" w:cs="宋体"/>
                <w:color w:val="auto"/>
                <w:spacing w:val="0"/>
                <w:lang w:val="en-US" w:eastAsia="zh-CN"/>
              </w:rPr>
            </w:pPr>
            <w:r>
              <w:rPr>
                <w:rFonts w:hint="eastAsia" w:ascii="宋体" w:hAnsi="宋体" w:cs="宋体"/>
                <w:color w:val="auto"/>
                <w:spacing w:val="0"/>
                <w:lang w:val="en-US" w:eastAsia="zh-CN"/>
              </w:rPr>
              <w:t xml:space="preserve">（2）投标人拟派特种作业人员具有特种作业熔化焊接与热切割作业证，每提供一个证书得2分，最多得4分（一人多证不重复计分）。</w:t>
            </w:r>
            <w:r/>
          </w:p>
          <w:p>
            <w:pPr>
              <w:jc w:val="both"/>
              <w:keepLines w:val="0"/>
              <w:keepNext w:val="0"/>
              <w:pageBreakBefore w:val="0"/>
              <w:spacing w:line="360" w:lineRule="auto"/>
              <w:widowControl w:val="off"/>
              <w:rPr>
                <w:rFonts w:hint="default" w:ascii="宋体" w:hAnsi="宋体" w:eastAsia="宋体" w:cs="宋体"/>
                <w:color w:val="auto"/>
                <w:spacing w:val="0"/>
                <w:lang w:val="en-US" w:eastAsia="zh-CN"/>
              </w:rPr>
            </w:pPr>
            <w:r>
              <w:rPr>
                <w:rFonts w:hint="eastAsia" w:ascii="宋体" w:hAnsi="宋体" w:cs="宋体"/>
                <w:color w:val="auto"/>
                <w:spacing w:val="0"/>
                <w:lang w:val="en-US" w:eastAsia="zh-CN"/>
              </w:rPr>
              <w:t xml:space="preserve">（提供有效证书复印件及投标人近三个月中任意一个月为其缴纳社保的证明材料并加盖投标人公章，未提供的不得分。）</w:t>
            </w:r>
            <w:r/>
          </w:p>
        </w:tc>
        <w:tc>
          <w:tcPr>
            <w:tcW w:w="57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pacing w:val="0"/>
                <w:lang w:val="en-US" w:eastAsia="zh-CN"/>
              </w:rPr>
            </w:pPr>
            <w:r>
              <w:rPr>
                <w:rFonts w:hint="eastAsia" w:ascii="宋体" w:hAnsi="宋体" w:cs="宋体"/>
                <w:color w:val="auto"/>
                <w:spacing w:val="0"/>
                <w:lang w:val="en-US" w:eastAsia="zh-CN"/>
              </w:rPr>
              <w:t xml:space="preserve">10</w:t>
            </w:r>
            <w:r/>
          </w:p>
        </w:tc>
        <w:tc>
          <w:tcPr>
            <w:tcW w:w="7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客观分</w:t>
            </w:r>
            <w:r/>
          </w:p>
        </w:tc>
      </w:tr>
      <w:tr>
        <w:trPr>
          <w:jc w:val="center"/>
          <w:trHeight w:val="410"/>
        </w:trPr>
        <w:tc>
          <w:tcPr>
            <w:tcW w:w="521"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pacing w:val="0"/>
                <w:lang w:val="en-US" w:eastAsia="zh-CN"/>
              </w:rPr>
            </w:pPr>
            <w:r>
              <w:rPr>
                <w:rFonts w:hint="eastAsia" w:ascii="宋体" w:hAnsi="宋体" w:cs="宋体"/>
                <w:color w:val="auto"/>
                <w:spacing w:val="0"/>
                <w:lang w:val="en-US" w:eastAsia="zh-CN"/>
              </w:rPr>
              <w:t xml:space="preserve">4</w:t>
            </w:r>
            <w:r/>
          </w:p>
        </w:tc>
        <w:tc>
          <w:tcPr>
            <w:tcW w:w="1039"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pacing w:val="0"/>
                <w:lang w:val="en-US" w:eastAsia="zh-CN"/>
              </w:rPr>
            </w:pPr>
            <w:r>
              <w:rPr>
                <w:rFonts w:hint="eastAsia" w:ascii="宋体" w:hAnsi="宋体" w:cs="宋体"/>
                <w:color w:val="auto"/>
                <w:spacing w:val="0"/>
                <w:lang w:val="en-US" w:eastAsia="zh-CN"/>
              </w:rPr>
              <w:t xml:space="preserve">质保期</w:t>
            </w:r>
            <w:r/>
          </w:p>
        </w:tc>
        <w:tc>
          <w:tcPr>
            <w:tcW w:w="6800" w:type="dxa"/>
            <w:vAlign w:val="center"/>
            <w:textDirection w:val="lrTb"/>
            <w:noWrap w:val="false"/>
          </w:tcPr>
          <w:p>
            <w:pPr>
              <w:jc w:val="both"/>
              <w:keepLines w:val="0"/>
              <w:keepNext w:val="0"/>
              <w:pageBreakBefore w:val="0"/>
              <w:spacing w:line="360" w:lineRule="auto"/>
              <w:widowControl w:val="off"/>
              <w:rPr>
                <w:rFonts w:hint="default" w:ascii="宋体" w:hAnsi="宋体" w:cs="宋体"/>
                <w:color w:val="auto"/>
                <w:spacing w:val="0"/>
                <w:lang w:val="en-US" w:eastAsia="zh-CN"/>
              </w:rPr>
            </w:pPr>
            <w:r>
              <w:rPr>
                <w:rFonts w:hint="eastAsia" w:ascii="宋体" w:hAnsi="宋体" w:cs="宋体"/>
                <w:color w:val="auto"/>
                <w:spacing w:val="0"/>
                <w:lang w:val="en-US" w:eastAsia="zh-CN"/>
              </w:rPr>
              <w:t xml:space="preserve">在满足本项目最低质保期2年的基础上，投标人承诺延长质保期的，承诺质保期每增加1年得1分，本项最多得3分（即质保期达到5年）。（提供承诺书加盖投标人公章，承诺书格式自拟，未提供不得分。）</w:t>
            </w:r>
            <w:r/>
          </w:p>
        </w:tc>
        <w:tc>
          <w:tcPr>
            <w:tcW w:w="575"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pacing w:val="0"/>
                <w:lang w:val="en-US" w:eastAsia="zh-CN"/>
              </w:rPr>
            </w:pPr>
            <w:r>
              <w:rPr>
                <w:rFonts w:hint="eastAsia" w:ascii="宋体" w:hAnsi="宋体" w:cs="宋体"/>
                <w:color w:val="auto"/>
                <w:spacing w:val="0"/>
                <w:lang w:val="en-US" w:eastAsia="zh-CN"/>
              </w:rPr>
              <w:t xml:space="preserve">3</w:t>
            </w:r>
            <w:r/>
          </w:p>
        </w:tc>
        <w:tc>
          <w:tcPr>
            <w:tcW w:w="7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客观分</w:t>
            </w:r>
            <w:r/>
          </w:p>
        </w:tc>
      </w:tr>
      <w:tr>
        <w:trPr>
          <w:jc w:val="center"/>
          <w:trHeight w:val="410"/>
        </w:trPr>
        <w:tc>
          <w:tcPr>
            <w:tcW w:w="521"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pacing w:val="0"/>
                <w:lang w:val="en-US" w:eastAsia="zh-CN"/>
              </w:rPr>
            </w:pPr>
            <w:r>
              <w:rPr>
                <w:rFonts w:hint="eastAsia" w:ascii="宋体" w:hAnsi="宋体" w:cs="宋体"/>
                <w:color w:val="auto"/>
                <w:spacing w:val="0"/>
                <w:lang w:val="en-US" w:eastAsia="zh-CN"/>
              </w:rPr>
              <w:t xml:space="preserve">5</w:t>
            </w:r>
            <w:r/>
          </w:p>
        </w:tc>
        <w:tc>
          <w:tcPr>
            <w:tcW w:w="1039"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pacing w:val="0"/>
                <w:lang w:val="en-US" w:eastAsia="zh-CN"/>
              </w:rPr>
            </w:pPr>
            <w:r>
              <w:rPr>
                <w:rFonts w:hint="eastAsia" w:ascii="宋体" w:hAnsi="宋体" w:cs="宋体"/>
                <w:color w:val="auto"/>
                <w:spacing w:val="0"/>
                <w:lang w:val="en-US" w:eastAsia="zh-CN"/>
              </w:rPr>
              <w:t xml:space="preserve">履约能力</w:t>
            </w:r>
            <w:r/>
          </w:p>
        </w:tc>
        <w:tc>
          <w:tcPr>
            <w:tcW w:w="6800" w:type="dxa"/>
            <w:vAlign w:val="center"/>
            <w:textDirection w:val="lrTb"/>
            <w:noWrap w:val="false"/>
          </w:tcPr>
          <w:p>
            <w:pPr>
              <w:jc w:val="left"/>
              <w:keepLines w:val="0"/>
              <w:keepNext w:val="0"/>
              <w:pageBreakBefore w:val="0"/>
              <w:spacing w:line="360" w:lineRule="auto"/>
              <w:widowControl/>
              <w:rPr>
                <w:rFonts w:hint="default" w:ascii="宋体" w:hAnsi="宋体" w:cs="宋体"/>
                <w:color w:val="auto"/>
                <w:spacing w:val="0"/>
                <w:lang w:val="en-US" w:eastAsia="zh-CN"/>
              </w:rPr>
            </w:pPr>
            <w:r>
              <w:rPr>
                <w:rFonts w:hint="eastAsia" w:ascii="宋体" w:hAnsi="宋体" w:cs="宋体"/>
                <w:color w:val="auto"/>
                <w:spacing w:val="0"/>
                <w:lang w:val="en-US" w:eastAsia="zh-CN"/>
              </w:rPr>
              <w:t xml:space="preserve">投标人承诺：质保期内，本次项目涉及设备（高压柜、变压器、低压柜）的制造商提供原厂保修，原厂保修范围包含免费上门维修、配件供应，每项设备得1分，本项最多得3分。</w:t>
            </w:r>
            <w:r/>
          </w:p>
          <w:p>
            <w:pPr>
              <w:jc w:val="both"/>
              <w:keepLines w:val="0"/>
              <w:keepNext w:val="0"/>
              <w:pageBreakBefore w:val="0"/>
              <w:spacing w:line="360" w:lineRule="auto"/>
              <w:widowControl w:val="off"/>
              <w:rPr>
                <w:rFonts w:hint="eastAsia" w:ascii="宋体" w:hAnsi="宋体" w:cs="宋体"/>
                <w:color w:val="auto"/>
                <w:spacing w:val="0"/>
                <w:lang w:val="en-US" w:eastAsia="zh-CN"/>
              </w:rPr>
            </w:pPr>
            <w:r>
              <w:rPr>
                <w:rFonts w:hint="eastAsia" w:ascii="宋体" w:hAnsi="宋体" w:cs="宋体"/>
                <w:color w:val="auto"/>
                <w:spacing w:val="0"/>
                <w:lang w:val="en-US" w:eastAsia="zh-CN"/>
              </w:rPr>
              <w:t xml:space="preserve">（提供承诺书及相关证明材料加盖投标人公章，承诺书格式自拟，未提供不得分。）</w:t>
            </w:r>
            <w:r/>
          </w:p>
        </w:tc>
        <w:tc>
          <w:tcPr>
            <w:tcW w:w="575"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pacing w:val="0"/>
                <w:lang w:val="en-US" w:eastAsia="zh-CN"/>
              </w:rPr>
            </w:pPr>
            <w:r>
              <w:rPr>
                <w:rFonts w:hint="eastAsia" w:ascii="宋体" w:hAnsi="宋体" w:cs="宋体"/>
                <w:color w:val="auto"/>
                <w:spacing w:val="0"/>
                <w:lang w:val="en-US" w:eastAsia="zh-CN"/>
              </w:rPr>
              <w:t xml:space="preserve">3</w:t>
            </w:r>
            <w:r/>
          </w:p>
        </w:tc>
        <w:tc>
          <w:tcPr>
            <w:tcW w:w="7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客观分</w:t>
            </w:r>
            <w:r/>
          </w:p>
        </w:tc>
      </w:tr>
    </w:tbl>
    <w:p>
      <w:pPr>
        <w:ind w:firstLine="422"/>
        <w:spacing w:line="360" w:lineRule="auto"/>
        <w:rPr>
          <w:rFonts w:hint="eastAsia" w:ascii="宋体" w:hAnsi="宋体" w:eastAsia="宋体" w:cs="宋体"/>
          <w:b/>
          <w:color w:val="auto"/>
          <w:spacing w:val="0"/>
          <w:szCs w:val="21"/>
        </w:rPr>
      </w:pPr>
      <w:r>
        <w:rPr>
          <w:rFonts w:hint="eastAsia" w:ascii="宋体" w:hAnsi="宋体" w:eastAsia="宋体" w:cs="宋体"/>
          <w:b/>
          <w:color w:val="auto"/>
          <w:spacing w:val="0"/>
          <w:szCs w:val="21"/>
        </w:rPr>
      </w:r>
      <w:bookmarkEnd w:id="135"/>
      <w:r/>
      <w:r/>
    </w:p>
    <w:p>
      <w:pPr>
        <w:spacing w:line="360" w:lineRule="auto"/>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r>
      <w:bookmarkEnd w:id="136"/>
      <w:r/>
      <w:r/>
    </w:p>
    <w:p>
      <w:pPr>
        <w:ind w:firstLine="480"/>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p>
      <w:pPr>
        <w:ind w:firstLine="480"/>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p>
      <w:pPr>
        <w:rPr>
          <w:rFonts w:hint="eastAsia" w:ascii="宋体" w:hAnsi="宋体" w:eastAsia="宋体" w:cs="宋体"/>
          <w:color w:val="auto"/>
          <w:spacing w:val="0"/>
        </w:rPr>
      </w:pPr>
      <w:r/>
      <w:bookmarkStart w:id="139" w:name="_Toc14826"/>
      <w:r/>
      <w:bookmarkStart w:id="140" w:name="_Toc176529670"/>
      <w:r>
        <w:rPr>
          <w:rFonts w:hint="eastAsia" w:ascii="宋体" w:hAnsi="宋体" w:eastAsia="宋体" w:cs="宋体"/>
          <w:color w:val="auto"/>
          <w:spacing w:val="0"/>
        </w:rPr>
        <w:br w:type="page" w:clear="all"/>
      </w:r>
      <w:r/>
    </w:p>
    <w:p>
      <w:pPr>
        <w:pStyle w:val="902"/>
        <w:numPr>
          <w:ilvl w:val="0"/>
          <w:numId w:val="0"/>
        </w:numPr>
        <w:ind w:left="567"/>
        <w:rPr>
          <w:rFonts w:hint="eastAsia" w:ascii="宋体" w:hAnsi="宋体" w:eastAsia="宋体" w:cs="宋体"/>
          <w:color w:val="auto"/>
          <w:spacing w:val="0"/>
        </w:rPr>
      </w:pPr>
      <w:r>
        <w:rPr>
          <w:rFonts w:hint="eastAsia" w:ascii="宋体" w:hAnsi="宋体" w:eastAsia="宋体" w:cs="宋体"/>
          <w:color w:val="auto"/>
          <w:spacing w:val="0"/>
        </w:rPr>
        <w:t xml:space="preserve">第四章 </w:t>
      </w:r>
      <w:bookmarkEnd w:id="139"/>
      <w:r/>
      <w:bookmarkStart w:id="141" w:name="_Toc8808"/>
      <w:r/>
      <w:bookmarkStart w:id="142" w:name="_Toc481057147"/>
      <w:r>
        <w:rPr>
          <w:rFonts w:hint="eastAsia" w:ascii="宋体" w:hAnsi="宋体" w:eastAsia="宋体" w:cs="宋体"/>
          <w:color w:val="auto"/>
          <w:spacing w:val="0"/>
        </w:rPr>
        <w:t xml:space="preserve">采购项目的内容和相关技术要求等</w:t>
      </w:r>
      <w:bookmarkEnd w:id="140"/>
      <w:r/>
      <w:r/>
    </w:p>
    <w:p>
      <w:pPr>
        <w:ind w:firstLine="422"/>
        <w:jc w:val="left"/>
        <w:spacing w:line="360" w:lineRule="auto"/>
        <w:rPr>
          <w:rFonts w:ascii="宋体" w:hAnsi="宋体" w:eastAsia="宋体" w:cs="宋体"/>
          <w:b/>
          <w:szCs w:val="21"/>
          <w:highlight w:val="none"/>
        </w:rPr>
      </w:pPr>
      <w:r/>
      <w:bookmarkStart w:id="143" w:name="_Hlk66377641"/>
      <w:r/>
      <w:bookmarkStart w:id="144" w:name="_Hlk176529481"/>
      <w:r>
        <w:rPr>
          <w:rFonts w:hint="eastAsia" w:ascii="宋体" w:hAnsi="宋体" w:eastAsia="宋体" w:cs="宋体"/>
          <w:b/>
          <w:szCs w:val="21"/>
          <w:highlight w:val="none"/>
        </w:rPr>
        <w:t xml:space="preserve">一、项目概况</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（一）项目需求</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1．建设单位：南京信息职业技术学院。</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2．建设地点：南京市栖霞区仙林街道文澜路99号，南京信息职业技术学院中心子站及女生宿舍子站。</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项目简介：根据学院现状供配电系统运行情况总结分析，中心子电站负载包含二食堂、教学工厂、大浴室及水泵房周边用电负载，用电需求大，变压器长期高负荷运转；女生宿舍子电站负载包含11-20栋宿舍及体育馆用电，用电需求大，变压器长期高负荷运转；变压器长期处于重载或过载运行状态，存在严重安全隐患；文澜子站负载包含文澜公寓及北苑公寓，用电需求大，变压器长期高负荷运转。</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现状中心子电站、女生宿舍子电站及文澜子站变压器于2009年投运，已使用约17年，为确保学院后续新增用电需求的顺利投运、保障宿舍、食堂等重要场馆的可靠供电、并满足学院中长期发展的电力需求，亟需对以上三个子站进行增容更新改造。</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4.工期要求：自合同签订之日起40日内完成供货、安装及相关调试工作，通过验收，交付使用。</w:t>
      </w:r>
      <w:r/>
    </w:p>
    <w:p>
      <w:pPr>
        <w:ind w:firstLine="422"/>
        <w:jc w:val="left"/>
        <w:spacing w:line="360" w:lineRule="auto"/>
        <w:rPr>
          <w:rFonts w:ascii="宋体" w:hAnsi="宋体" w:eastAsia="宋体" w:cs="宋体"/>
          <w:b/>
          <w:szCs w:val="21"/>
          <w:highlight w:val="none"/>
        </w:rPr>
      </w:pPr>
      <w:r>
        <w:rPr>
          <w:rFonts w:hint="eastAsia" w:ascii="宋体" w:hAnsi="宋体" w:eastAsia="宋体" w:cs="宋体"/>
          <w:b/>
          <w:szCs w:val="21"/>
          <w:highlight w:val="none"/>
        </w:rPr>
        <w:t xml:space="preserve">（二）项目内容</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1．本次容量增容</w:t>
      </w:r>
      <w:r>
        <w:rPr>
          <w:rFonts w:hint="eastAsia" w:ascii="宋体" w:hAnsi="宋体" w:eastAsia="宋体" w:cs="宋体"/>
          <w:szCs w:val="21"/>
          <w:highlight w:val="none"/>
          <w:lang w:val="zh-CN"/>
        </w:rPr>
        <w:t xml:space="preserve">为：</w:t>
      </w:r>
      <w:r>
        <w:rPr>
          <w:rFonts w:hint="eastAsia" w:ascii="宋体" w:hAnsi="宋体" w:eastAsia="宋体" w:cs="宋体"/>
          <w:szCs w:val="21"/>
          <w:highlight w:val="none"/>
        </w:rPr>
        <w:t xml:space="preserve">中心子站装机容量均由现状1000kVA（2*500kVA）提升至2000kVA（2*1000kVA），女生宿舍子站由现状3200kVA（2*1600kVA）提升至4000kVA（2*2000kVA），文澜子站装机容量均由现状1000kVA（2*500kVA）提升至2000kVA（2*1000kVA）；增容后，中心开关站新增装机容量2800kVA。</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2．本次设备更新</w:t>
      </w:r>
      <w:r>
        <w:rPr>
          <w:rFonts w:hint="eastAsia" w:ascii="宋体" w:hAnsi="宋体" w:eastAsia="宋体" w:cs="宋体"/>
          <w:szCs w:val="21"/>
          <w:highlight w:val="none"/>
          <w:lang w:val="zh-CN"/>
        </w:rPr>
        <w:t xml:space="preserve">为：</w:t>
      </w:r>
      <w:r>
        <w:rPr>
          <w:rFonts w:hint="eastAsia" w:ascii="宋体" w:hAnsi="宋体" w:eastAsia="宋体" w:cs="宋体"/>
          <w:szCs w:val="21"/>
          <w:highlight w:val="none"/>
        </w:rPr>
        <w:t xml:space="preserve">中心子站现状两台500kVA干式变压器，更换为两台1000kVA的SCB14节能型干式变压器；女生宿舍子站两台1600kVA干式变压器，更换为两台2000kVA的SCB14节能型干式变压器；文澜子站现状两台500kVA干式变压器，更换为两台1000kVA的SCB14节能型干式变压器。</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3．本次配套改造</w:t>
      </w:r>
      <w:r>
        <w:rPr>
          <w:rFonts w:hint="eastAsia" w:ascii="宋体" w:hAnsi="宋体" w:eastAsia="宋体" w:cs="宋体"/>
          <w:szCs w:val="21"/>
          <w:highlight w:val="none"/>
          <w:lang w:val="zh-CN"/>
        </w:rPr>
        <w:t xml:space="preserve">为：</w:t>
      </w:r>
      <w:r>
        <w:rPr>
          <w:rFonts w:hint="eastAsia" w:ascii="宋体" w:hAnsi="宋体" w:eastAsia="宋体" w:cs="宋体"/>
          <w:szCs w:val="21"/>
          <w:highlight w:val="none"/>
        </w:rPr>
        <w:t xml:space="preserve">相应升级改造各配电房内的10kV高压柜、低压配电柜等配套设施，确保系统配套设施与新容量匹配，供配电系统安全、可靠、稳定运行。</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具体施工工艺及工程量详见：设计图纸、工程量清单和特征描述。</w:t>
      </w:r>
      <w:r/>
    </w:p>
    <w:p>
      <w:pPr>
        <w:ind w:firstLine="422"/>
        <w:jc w:val="left"/>
        <w:spacing w:line="360" w:lineRule="auto"/>
        <w:rPr>
          <w:rFonts w:ascii="宋体" w:hAnsi="宋体" w:eastAsia="宋体" w:cs="宋体"/>
          <w:b/>
          <w:szCs w:val="21"/>
          <w:highlight w:val="none"/>
        </w:rPr>
      </w:pPr>
      <w:r>
        <w:rPr>
          <w:rFonts w:hint="eastAsia" w:ascii="宋体" w:hAnsi="宋体" w:eastAsia="宋体" w:cs="宋体"/>
          <w:b/>
          <w:szCs w:val="21"/>
          <w:highlight w:val="none"/>
        </w:rPr>
        <w:t xml:space="preserve">二、设备清单</w:t>
      </w:r>
      <w:r/>
    </w:p>
    <w:tbl>
      <w:tblPr>
        <w:tblStyle w:val="912"/>
        <w:tblW w:w="4082" w:type="pct"/>
        <w:jc w:val="center"/>
        <w:tblLayout w:type="autofit"/>
        <w:tblCellMar>
          <w:left w:w="108" w:type="dxa"/>
          <w:top w:w="0" w:type="dxa"/>
          <w:right w:w="108" w:type="dxa"/>
          <w:bottom w:w="0" w:type="dxa"/>
        </w:tblCellMar>
        <w:tblLook w:val="04A0" w:firstRow="1" w:lastRow="0" w:firstColumn="1" w:lastColumn="0" w:noHBand="0" w:noVBand="1"/>
      </w:tblPr>
      <w:tblGrid>
        <w:gridCol w:w="1096"/>
        <w:gridCol w:w="1099"/>
        <w:gridCol w:w="2909"/>
        <w:gridCol w:w="1540"/>
        <w:gridCol w:w="1401"/>
      </w:tblGrid>
      <w:tr>
        <w:trPr>
          <w:jc w:val="center"/>
          <w:trHeight w:val="203"/>
        </w:trPr>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地点</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单位</w:t>
            </w:r>
            <w:r/>
          </w:p>
        </w:tc>
      </w:tr>
      <w:tr>
        <w:trPr>
          <w:jc w:val="center"/>
          <w:trHeight w:val="156"/>
        </w:trPr>
        <w:tc>
          <w:tcPr>
            <w:shd w:val="clear" w:color="auto" w:fill="auto"/>
            <w:tcBorders>
              <w:top w:val="single" w:color="000000" w:sz="4" w:space="0"/>
              <w:left w:val="single" w:color="000000" w:sz="4" w:space="0"/>
              <w:right w:val="single" w:color="000000" w:sz="4" w:space="0"/>
            </w:tcBorders>
            <w:tcW w:w="681" w:type="pct"/>
            <w:vAlign w:val="center"/>
            <w:vMerge w:val="restart"/>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中心子站变电所改造</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变压器柜</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台</w:t>
            </w:r>
            <w:r/>
          </w:p>
        </w:tc>
      </w:tr>
      <w:tr>
        <w:trPr>
          <w:jc w:val="center"/>
          <w:trHeight w:val="156"/>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hint="eastAsia" w:ascii="宋体" w:hAnsi="宋体" w:eastAsia="宋体" w:cs="宋体"/>
                <w:b/>
                <w:bCs/>
                <w:szCs w:val="21"/>
                <w:highlight w:val="none"/>
                <w:lang w:eastAsia="zh-CN"/>
              </w:rPr>
              <w:outlineLvl w:val="1"/>
            </w:pPr>
            <w:r>
              <w:rPr>
                <w:rFonts w:hint="eastAsia" w:ascii="宋体" w:hAnsi="宋体" w:eastAsia="宋体" w:cs="宋体"/>
                <w:b/>
                <w:bCs/>
                <w:szCs w:val="21"/>
                <w:highlight w:val="none"/>
              </w:rPr>
              <w:t xml:space="preserve">干式变压器SCB14</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lang w:val="en-US" w:eastAsia="zh-CN"/>
              </w:rPr>
              <w:t xml:space="preserve">核心产品</w:t>
            </w:r>
            <w:r>
              <w:rPr>
                <w:rFonts w:hint="eastAsia" w:ascii="宋体" w:hAnsi="宋体" w:eastAsia="宋体" w:cs="宋体"/>
                <w:b/>
                <w:bCs/>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台</w:t>
            </w:r>
            <w:r/>
          </w:p>
        </w:tc>
      </w:tr>
      <w:tr>
        <w:trPr>
          <w:jc w:val="center"/>
          <w:trHeight w:val="156"/>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低压进线总柜</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台</w:t>
            </w:r>
            <w:r/>
          </w:p>
        </w:tc>
      </w:tr>
      <w:tr>
        <w:trPr>
          <w:jc w:val="center"/>
          <w:trHeight w:val="156"/>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电容补偿柜</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套</w:t>
            </w:r>
            <w:r/>
          </w:p>
        </w:tc>
      </w:tr>
      <w:tr>
        <w:trPr>
          <w:jc w:val="center"/>
          <w:trHeight w:val="156"/>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母联柜</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套</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低压馈线柜</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台</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母线槽</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米</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低压伸缩接头</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套</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铜母排</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米</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铜母排</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米</w:t>
            </w:r>
            <w:r/>
          </w:p>
        </w:tc>
      </w:tr>
      <w:tr>
        <w:trPr>
          <w:jc w:val="center"/>
          <w:trHeight w:val="165"/>
        </w:trPr>
        <w:tc>
          <w:tcPr>
            <w:shd w:val="clear" w:color="auto" w:fill="auto"/>
            <w:tcBorders>
              <w:left w:val="single" w:color="000000" w:sz="4" w:space="0"/>
              <w:bottom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10KV电流互感器</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只</w:t>
            </w:r>
            <w:r/>
          </w:p>
        </w:tc>
      </w:tr>
      <w:tr>
        <w:trPr>
          <w:jc w:val="center"/>
          <w:trHeight w:val="165"/>
        </w:trPr>
        <w:tc>
          <w:tcPr>
            <w:shd w:val="clear" w:color="auto" w:fill="auto"/>
            <w:tcBorders>
              <w:top w:val="single" w:color="000000" w:sz="4" w:space="0"/>
              <w:left w:val="single" w:color="000000" w:sz="4" w:space="0"/>
              <w:right w:val="single" w:color="000000" w:sz="4" w:space="0"/>
            </w:tcBorders>
            <w:tcW w:w="681" w:type="pct"/>
            <w:vAlign w:val="center"/>
            <w:vMerge w:val="restart"/>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东片区宿舍10kV变电所</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10kV进线柜改造</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台</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变压器柜</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台</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干式变压器SCB14</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台</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低压进线总柜</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台</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电容补偿柜</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套</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母联柜</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台</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低压馈线柜</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台</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母线槽</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米</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低压伸缩接头</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套</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铜母排</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米</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铜母排</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米</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壁挂式直流屏</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台</w:t>
            </w:r>
            <w:r/>
          </w:p>
        </w:tc>
      </w:tr>
      <w:tr>
        <w:trPr>
          <w:jc w:val="center"/>
          <w:trHeight w:val="165"/>
        </w:trPr>
        <w:tc>
          <w:tcPr>
            <w:shd w:val="clear" w:color="auto" w:fill="auto"/>
            <w:tcBorders>
              <w:left w:val="single" w:color="000000" w:sz="4" w:space="0"/>
              <w:bottom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直流屏电缆</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50.5</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米</w:t>
            </w:r>
            <w:r/>
          </w:p>
        </w:tc>
      </w:tr>
      <w:tr>
        <w:trPr>
          <w:jc w:val="center"/>
          <w:trHeight w:val="165"/>
        </w:trPr>
        <w:tc>
          <w:tcPr>
            <w:shd w:val="clear" w:color="auto" w:fill="auto"/>
            <w:tcBorders>
              <w:top w:val="single" w:color="000000" w:sz="4" w:space="0"/>
              <w:left w:val="single" w:color="000000" w:sz="4" w:space="0"/>
              <w:right w:val="single" w:color="000000" w:sz="4" w:space="0"/>
            </w:tcBorders>
            <w:tcW w:w="681" w:type="pct"/>
            <w:vAlign w:val="center"/>
            <w:vMerge w:val="restart"/>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文澜子站</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干式变压器SCB14</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台</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电容补偿柜</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套</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低压进线总柜</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台</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母联柜</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台</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母线槽</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米</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低压伸缩接头</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套</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高压出线柜熔断器</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只</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铜母排</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米</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铜母排</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米</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塑壳断路器</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台</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电流互感器</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只</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分合闸指示灯</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各2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只</w:t>
            </w:r>
            <w:r/>
          </w:p>
        </w:tc>
      </w:tr>
      <w:tr>
        <w:trPr>
          <w:jc w:val="center"/>
          <w:trHeight w:val="168"/>
        </w:trPr>
        <w:tc>
          <w:tcPr>
            <w:shd w:val="clear" w:color="auto" w:fill="auto"/>
            <w:tcBorders>
              <w:left w:val="single" w:color="000000" w:sz="4" w:space="0"/>
              <w:bottom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10KV电流互感器</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只</w:t>
            </w:r>
            <w:r/>
          </w:p>
        </w:tc>
      </w:tr>
    </w:tbl>
    <w:p>
      <w:pPr>
        <w:ind w:firstLine="422"/>
        <w:jc w:val="left"/>
        <w:spacing w:line="360" w:lineRule="auto"/>
        <w:rPr>
          <w:rFonts w:ascii="宋体" w:hAnsi="宋体" w:eastAsia="宋体" w:cs="宋体"/>
          <w:b/>
          <w:szCs w:val="21"/>
          <w:highlight w:val="none"/>
        </w:rPr>
      </w:pPr>
      <w:r>
        <w:rPr>
          <w:rFonts w:hint="eastAsia" w:ascii="宋体" w:hAnsi="宋体" w:eastAsia="宋体" w:cs="宋体"/>
          <w:b/>
          <w:szCs w:val="21"/>
          <w:highlight w:val="none"/>
        </w:rPr>
        <w:t xml:space="preserve">三、技术参数及要求</w:t>
      </w:r>
      <w:r/>
    </w:p>
    <w:p>
      <w:pPr>
        <w:ind w:firstLine="422"/>
        <w:jc w:val="left"/>
        <w:spacing w:line="360" w:lineRule="auto"/>
        <w:rPr>
          <w:rFonts w:ascii="Times New Roman" w:hAnsi="Times New Roman" w:eastAsia="宋体" w:cs="Times New Roman"/>
          <w:highlight w:val="none"/>
        </w:rPr>
      </w:pPr>
      <w:r>
        <w:rPr>
          <w:rFonts w:hint="eastAsia" w:ascii="宋体" w:hAnsi="宋体" w:eastAsia="宋体" w:cs="宋体"/>
          <w:b/>
          <w:szCs w:val="21"/>
          <w:highlight w:val="none"/>
        </w:rPr>
        <w:t xml:space="preserve">（一）设备技术参数</w:t>
      </w:r>
      <w:r/>
    </w:p>
    <w:tbl>
      <w:tblPr>
        <w:tblStyle w:val="912"/>
        <w:tblW w:w="4595" w:type="pct"/>
        <w:jc w:val="center"/>
        <w:tblLayout w:type="autofit"/>
        <w:tblCellMar>
          <w:left w:w="108" w:type="dxa"/>
          <w:top w:w="0" w:type="dxa"/>
          <w:right w:w="108" w:type="dxa"/>
          <w:bottom w:w="0" w:type="dxa"/>
        </w:tblCellMar>
        <w:tblLook w:val="04A0" w:firstRow="1" w:lastRow="0" w:firstColumn="1" w:lastColumn="0" w:noHBand="0" w:noVBand="1"/>
      </w:tblPr>
      <w:tblGrid>
        <w:gridCol w:w="1145"/>
        <w:gridCol w:w="765"/>
        <w:gridCol w:w="1522"/>
        <w:gridCol w:w="5624"/>
      </w:tblGrid>
      <w:tr>
        <w:trPr>
          <w:jc w:val="center"/>
          <w:trHeight w:val="203"/>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地点</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技术参数不低于以下要求</w:t>
            </w:r>
            <w:r/>
          </w:p>
        </w:tc>
      </w:tr>
      <w:tr>
        <w:trPr>
          <w:jc w:val="center"/>
          <w:trHeight w:val="156"/>
        </w:trPr>
        <w:tc>
          <w:tcPr>
            <w:shd w:val="clear" w:color="auto" w:fill="auto"/>
            <w:tcBorders>
              <w:top w:val="single" w:color="000000" w:sz="4" w:space="0"/>
              <w:left w:val="single" w:color="000000" w:sz="4" w:space="0"/>
              <w:right w:val="single" w:color="000000" w:sz="4" w:space="0"/>
            </w:tcBorders>
            <w:tcW w:w="632" w:type="pct"/>
            <w:vAlign w:val="center"/>
            <w:vMerge w:val="restart"/>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中心子站变电所改造</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变压器柜</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ascii="宋体" w:hAnsi="宋体" w:eastAsia="宋体" w:cs="宋体"/>
                <w:szCs w:val="21"/>
                <w:highlight w:val="none"/>
              </w:rPr>
              <w:t xml:space="preserve">ZBN2-10；</w:t>
            </w:r>
            <w:r>
              <w:rPr>
                <w:rFonts w:hint="eastAsia" w:ascii="宋体" w:hAnsi="宋体" w:eastAsia="宋体" w:cs="宋体"/>
                <w:szCs w:val="21"/>
                <w:highlight w:val="none"/>
              </w:rPr>
              <w:t xml:space="preserve">户内安装，落地式，与变压器配套；防护等级≥IP40；柜体尺寸须与SCB14-1000/10变压器外形尺寸匹配，并满足现场基础安装条件；材质与工艺：柜体采用优质冷轧钢板，厚度≥2.0mm，表面静电喷涂防腐处理；所有金属构件须作防腐处理；柜体须与接地系统可靠连接；柜门与接地开关/隔离开关设机械联锁；满足“五防”要求；变压器柜自带通风风机，起动控制信号引至变压器温度传感器。</w:t>
            </w:r>
            <w:r/>
          </w:p>
        </w:tc>
      </w:tr>
      <w:tr>
        <w:trPr>
          <w:jc w:val="center"/>
          <w:trHeight w:val="156"/>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干式变压器SCB14</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b/>
                <w:bCs/>
                <w:szCs w:val="21"/>
                <w:highlight w:val="none"/>
              </w:rPr>
              <w:outlineLvl w:val="1"/>
            </w:pPr>
            <w:r>
              <w:rPr>
                <w:rFonts w:ascii="宋体" w:hAnsi="宋体" w:eastAsia="宋体" w:cs="宋体"/>
                <w:szCs w:val="21"/>
                <w:highlight w:val="none"/>
              </w:rPr>
              <w:t xml:space="preserve">1000kVA；</w:t>
            </w:r>
            <w:r>
              <w:rPr>
                <w:rFonts w:hint="eastAsia" w:ascii="宋体" w:hAnsi="宋体" w:eastAsia="宋体" w:cs="宋体"/>
                <w:szCs w:val="21"/>
                <w:highlight w:val="none"/>
              </w:rPr>
              <w:t xml:space="preserve">额定电压</w:t>
            </w:r>
            <w:r>
              <w:rPr>
                <w:rFonts w:ascii="宋体" w:hAnsi="宋体" w:eastAsia="宋体" w:cs="宋体"/>
                <w:szCs w:val="21"/>
                <w:highlight w:val="none"/>
              </w:rPr>
              <w:t xml:space="preserve">：</w:t>
            </w:r>
            <w:r>
              <w:rPr>
                <w:rFonts w:hint="eastAsia" w:ascii="宋体" w:hAnsi="宋体" w:eastAsia="宋体" w:cs="宋体"/>
                <w:szCs w:val="21"/>
                <w:highlight w:val="none"/>
              </w:rPr>
              <w:t xml:space="preserve">高压10kV；低压0.4kV；分接范围：高压侧 ±2×2.5%；冷却方式：AN/AF（自然风冷/强制风冷），变压器自带温控风机；防护等级：IP40（带外壳）；三相；频率：50Hz；配温控仪、风机、不锈钢或铝合金外壳、铜母线连接件等。</w:t>
            </w:r>
            <w:r>
              <w:rPr>
                <w:rFonts w:ascii="宋体" w:hAnsi="宋体" w:eastAsia="宋体" w:cs="宋体"/>
                <w:szCs w:val="21"/>
                <w:highlight w:val="none"/>
              </w:rPr>
              <w:br/>
            </w:r>
            <w:r>
              <w:rPr>
                <w:rFonts w:ascii="宋体" w:hAnsi="宋体" w:eastAsia="宋体" w:cs="宋体"/>
                <w:b/>
                <w:bCs/>
                <w:szCs w:val="21"/>
                <w:highlight w:val="none"/>
              </w:rPr>
              <w:t xml:space="preserve">★变压器必须是SCB14及以上系列二级能效产品，空载损耗及负载损耗不得有正偏差。</w:t>
            </w:r>
            <w:r>
              <w:rPr>
                <w:rFonts w:hint="eastAsia" w:ascii="宋体" w:hAnsi="宋体" w:eastAsia="宋体" w:cs="宋体"/>
                <w:b/>
                <w:bCs/>
                <w:szCs w:val="21"/>
                <w:highlight w:val="none"/>
              </w:rPr>
              <w:t xml:space="preserve">（提供产品说明书等技术支持资料（如白皮书或产品手册或官网截图或具有CMA标识的检测报告等证明材料</w:t>
            </w:r>
            <w:r>
              <w:rPr>
                <w:rFonts w:hint="eastAsia" w:ascii="宋体" w:hAnsi="宋体" w:eastAsia="宋体" w:cs="宋体"/>
                <w:b/>
                <w:bCs/>
                <w:szCs w:val="21"/>
                <w:highlight w:val="none"/>
                <w:lang w:val="en-US" w:eastAsia="zh-CN"/>
              </w:rPr>
              <w:t xml:space="preserve">复印件加盖公章</w:t>
            </w:r>
            <w:r>
              <w:rPr>
                <w:rFonts w:hint="eastAsia" w:ascii="宋体" w:hAnsi="宋体" w:eastAsia="宋体" w:cs="宋体"/>
                <w:b/>
                <w:bCs/>
                <w:szCs w:val="21"/>
                <w:highlight w:val="none"/>
              </w:rPr>
              <w:t xml:space="preserve">）。</w:t>
            </w:r>
            <w:r/>
          </w:p>
          <w:p>
            <w:pPr>
              <w:rPr>
                <w:rFonts w:ascii="宋体" w:hAnsi="宋体" w:eastAsia="宋体" w:cs="宋体"/>
                <w:szCs w:val="21"/>
                <w:highlight w:val="none"/>
              </w:rPr>
              <w:outlineLvl w:val="1"/>
            </w:pPr>
            <w:r>
              <w:rPr>
                <w:rFonts w:ascii="宋体" w:hAnsi="宋体" w:eastAsia="宋体" w:cs="宋体"/>
                <w:szCs w:val="21"/>
                <w:highlight w:val="none"/>
              </w:rPr>
              <w:t xml:space="preserve">推荐品牌：大全、顺特、许继、华鹏</w:t>
            </w:r>
            <w:r>
              <w:rPr>
                <w:rFonts w:hint="eastAsia" w:ascii="宋体" w:hAnsi="宋体" w:eastAsia="宋体" w:cs="宋体"/>
                <w:szCs w:val="21"/>
                <w:highlight w:val="none"/>
              </w:rPr>
              <w:t xml:space="preserve">或</w:t>
            </w:r>
            <w:r>
              <w:rPr>
                <w:rFonts w:ascii="宋体" w:hAnsi="宋体" w:eastAsia="宋体" w:cs="宋体"/>
                <w:szCs w:val="21"/>
                <w:highlight w:val="none"/>
              </w:rPr>
              <w:t xml:space="preserve">等同档次品牌</w:t>
            </w:r>
            <w:r>
              <w:rPr>
                <w:rFonts w:hint="eastAsia" w:ascii="宋体" w:hAnsi="宋体" w:eastAsia="宋体" w:cs="宋体"/>
                <w:szCs w:val="21"/>
                <w:highlight w:val="none"/>
              </w:rPr>
              <w:t xml:space="preserve">。</w:t>
            </w:r>
            <w:r/>
          </w:p>
        </w:tc>
      </w:tr>
      <w:tr>
        <w:trPr>
          <w:jc w:val="center"/>
          <w:trHeight w:val="156"/>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低压进线总柜</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hint="eastAsia" w:ascii="宋体" w:hAnsi="宋体" w:eastAsia="宋体" w:cs="宋体"/>
                <w:szCs w:val="21"/>
                <w:highlight w:val="none"/>
                <w:lang w:eastAsia="zh-CN"/>
              </w:rPr>
              <w:outlineLvl w:val="1"/>
            </w:pPr>
            <w:r>
              <w:rPr>
                <w:rFonts w:hint="eastAsia" w:ascii="宋体" w:hAnsi="宋体" w:eastAsia="宋体" w:cs="宋体"/>
                <w:szCs w:val="21"/>
                <w:highlight w:val="none"/>
              </w:rPr>
              <w:t xml:space="preserve">▲MNS 800x1000x2200</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提供设备型式试验报告及中国国家强制性产品认证证书复印件加盖公章</w:t>
            </w:r>
            <w:r>
              <w:rPr>
                <w:rFonts w:hint="eastAsia" w:ascii="宋体" w:hAnsi="宋体" w:eastAsia="宋体" w:cs="宋体"/>
                <w:szCs w:val="21"/>
                <w:highlight w:val="none"/>
                <w:lang w:eastAsia="zh-CN"/>
              </w:rPr>
              <w:t xml:space="preserve">）。</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抽出式（抽屉式），模数化组装；柜体采用优质冷轧钢板，厚度≥2.0mm，表面静电喷涂防腐处理；户内安装，落地式，点焊固定于基础型钢上；防护等级≥IP31；进线总柜进线总开上端预留10A/2P开关作为负控装置220V电源端；进线断路器须具备电气分闸功能，至少有两副空辅助接点，其中一副供负控专用；设六档专用端子排组；电动分闸接点通过转接插头引至仪表室。</w:t>
            </w:r>
            <w:r/>
          </w:p>
          <w:p>
            <w:pPr>
              <w:rPr>
                <w:rFonts w:ascii="宋体" w:hAnsi="宋体" w:eastAsia="宋体" w:cs="宋体"/>
                <w:b/>
                <w:bCs/>
                <w:szCs w:val="21"/>
                <w:highlight w:val="none"/>
              </w:rPr>
              <w:outlineLvl w:val="1"/>
            </w:pPr>
            <w:r>
              <w:rPr>
                <w:rFonts w:hint="eastAsia" w:ascii="宋体" w:hAnsi="宋体" w:eastAsia="宋体" w:cs="宋体"/>
                <w:b/>
                <w:bCs/>
                <w:szCs w:val="21"/>
                <w:highlight w:val="none"/>
              </w:rPr>
              <w:t xml:space="preserve">★断路器技术要求：进线柜和母联柜框架断路器为4极。（提供产品说明书等技术支持资料（如白皮书或产品手册或官网截图或具有CMA标识的检测报告等证明材料</w:t>
            </w:r>
            <w:r>
              <w:rPr>
                <w:rFonts w:hint="eastAsia" w:ascii="宋体" w:hAnsi="宋体" w:eastAsia="宋体" w:cs="宋体"/>
                <w:b/>
                <w:bCs/>
                <w:szCs w:val="21"/>
                <w:highlight w:val="none"/>
                <w:lang w:val="en-US" w:eastAsia="zh-CN"/>
              </w:rPr>
              <w:t xml:space="preserve">复印件加盖公章</w:t>
            </w:r>
            <w:r>
              <w:rPr>
                <w:rFonts w:hint="eastAsia" w:ascii="宋体" w:hAnsi="宋体" w:eastAsia="宋体" w:cs="宋体"/>
                <w:b/>
                <w:bCs/>
                <w:szCs w:val="21"/>
                <w:highlight w:val="none"/>
              </w:rPr>
              <w:t xml:space="preserve">）。</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低压开关柜的柜体颜色按如下要求：改造现场截取原低压柜部分门板作为色板，柜体结构兼容并柜要求，颜色与现场协调统一。</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推荐品牌：</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框架断路器：施耐德、ABB、西门子或等同档次品牌；</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塑壳断路器：施耐德、ABB、西门子或等同档次品牌；</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多功能表：施耐德、ABB、西门子或等同档次品牌。</w:t>
            </w:r>
            <w:r/>
          </w:p>
        </w:tc>
      </w:tr>
      <w:tr>
        <w:trPr>
          <w:jc w:val="center"/>
          <w:trHeight w:val="156"/>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电容补偿柜</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hint="eastAsia" w:ascii="宋体" w:hAnsi="宋体" w:eastAsia="宋体" w:cs="宋体"/>
                <w:szCs w:val="21"/>
                <w:highlight w:val="none"/>
                <w:lang w:eastAsia="zh-CN"/>
              </w:rPr>
              <w:outlineLvl w:val="1"/>
            </w:pPr>
            <w:r>
              <w:rPr>
                <w:rFonts w:hint="eastAsia" w:ascii="宋体" w:hAnsi="宋体" w:eastAsia="宋体" w:cs="宋体"/>
                <w:szCs w:val="21"/>
                <w:highlight w:val="none"/>
              </w:rPr>
              <w:t xml:space="preserve">▲</w:t>
            </w:r>
            <w:r>
              <w:rPr>
                <w:rFonts w:ascii="宋体" w:hAnsi="宋体" w:eastAsia="宋体" w:cs="宋体"/>
                <w:szCs w:val="21"/>
                <w:highlight w:val="none"/>
              </w:rPr>
              <w:t xml:space="preserve">800x1000x2200</w:t>
            </w:r>
            <w:r>
              <w:rPr>
                <w:rFonts w:hint="eastAsia" w:ascii="宋体" w:hAnsi="宋体" w:eastAsia="宋体" w:cs="宋体"/>
                <w:szCs w:val="21"/>
                <w:highlight w:val="none"/>
              </w:rPr>
              <w:t xml:space="preserve">MNS</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提供设备型式试验报告及中国国家强制性产品认证证书复印件加盖公章</w:t>
            </w:r>
            <w:r>
              <w:rPr>
                <w:rFonts w:hint="eastAsia" w:ascii="宋体" w:hAnsi="宋体" w:eastAsia="宋体" w:cs="宋体"/>
                <w:szCs w:val="21"/>
                <w:highlight w:val="none"/>
                <w:lang w:eastAsia="zh-CN"/>
              </w:rPr>
              <w:t xml:space="preserve">）。</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型抽出式开关柜；补偿容量：300kvar/套；电抗器配置：串联电抗器，电抗率7%；防护等级≥IP31；补偿后功率因数：≥0.9；标准MNS柜要求。</w:t>
            </w:r>
            <w:r/>
          </w:p>
        </w:tc>
      </w:tr>
      <w:tr>
        <w:trPr>
          <w:jc w:val="center"/>
          <w:trHeight w:val="156"/>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母联柜</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hint="eastAsia" w:ascii="宋体" w:hAnsi="宋体" w:eastAsia="宋体" w:cs="宋体"/>
                <w:szCs w:val="21"/>
                <w:highlight w:val="none"/>
              </w:rPr>
              <w:t xml:space="preserve">MNS 800x1000x2200；户内安装，落地式，点焊固定于基础型钢上；</w:t>
            </w:r>
            <w:bookmarkStart w:id="145" w:name="OLE_LINK5"/>
            <w:r>
              <w:rPr>
                <w:rFonts w:hint="eastAsia" w:ascii="宋体" w:hAnsi="宋体" w:eastAsia="宋体" w:cs="宋体"/>
                <w:szCs w:val="21"/>
                <w:highlight w:val="none"/>
              </w:rPr>
              <w:t xml:space="preserve">防护等级≥IP31</w:t>
            </w:r>
            <w:bookmarkEnd w:id="145"/>
            <w:r>
              <w:rPr>
                <w:rFonts w:hint="eastAsia" w:ascii="宋体" w:hAnsi="宋体" w:eastAsia="宋体" w:cs="宋体"/>
                <w:szCs w:val="21"/>
                <w:highlight w:val="none"/>
              </w:rPr>
              <w:t xml:space="preserve">；抽出式（抽屉式），模数化组装；柜体采用优质冷轧钢板，厚度≥2.0mm，表面静电喷涂防腐处理；机械联锁和电气联锁，三合二。</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低压馈线柜</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hint="eastAsia" w:ascii="宋体" w:hAnsi="宋体" w:eastAsia="宋体" w:cs="宋体"/>
                <w:szCs w:val="21"/>
                <w:highlight w:val="none"/>
              </w:rPr>
              <w:t xml:space="preserve">MNS 600x1000x2200；抽出式（抽屉式），模数化组装；柜体采用优质冷轧钢板，厚度≥2.0mm，表面静电喷涂防腐处理；防护等级≥IP31。</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母线槽</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hint="eastAsia" w:ascii="宋体" w:hAnsi="宋体" w:eastAsia="宋体" w:cs="宋体"/>
                <w:szCs w:val="21"/>
                <w:highlight w:val="none"/>
              </w:rPr>
              <w:t xml:space="preserve">2000A；额定电压</w:t>
            </w:r>
            <w:r>
              <w:rPr>
                <w:rFonts w:hint="eastAsia" w:ascii="宋体" w:hAnsi="宋体" w:eastAsia="宋体" w:cs="宋体"/>
                <w:szCs w:val="21"/>
                <w:highlight w:val="none"/>
              </w:rPr>
              <w:tab/>
            </w:r>
            <w:r>
              <w:rPr>
                <w:rFonts w:hint="eastAsia" w:ascii="宋体" w:hAnsi="宋体" w:eastAsia="宋体" w:cs="宋体"/>
                <w:szCs w:val="21"/>
                <w:highlight w:val="none"/>
              </w:rPr>
              <w:t xml:space="preserve">0.4kV（380V/220V）；极数：4P（三相+中性线）或5P（三相+中性线+PE）；导体材质；铜排，高纯度电解铜，导电率≥97%IACS。</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低压伸缩接头</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hint="eastAsia" w:ascii="宋体" w:hAnsi="宋体" w:eastAsia="宋体" w:cs="宋体"/>
                <w:szCs w:val="21"/>
                <w:highlight w:val="none"/>
              </w:rPr>
              <w:t xml:space="preserve">2000A；极数</w:t>
            </w:r>
            <w:r>
              <w:rPr>
                <w:rFonts w:hint="eastAsia" w:ascii="宋体" w:hAnsi="宋体" w:eastAsia="宋体" w:cs="宋体"/>
                <w:szCs w:val="21"/>
                <w:highlight w:val="none"/>
              </w:rPr>
              <w:tab/>
            </w:r>
            <w:r>
              <w:rPr>
                <w:rFonts w:hint="eastAsia" w:ascii="宋体" w:hAnsi="宋体" w:eastAsia="宋体" w:cs="宋体"/>
                <w:szCs w:val="21"/>
                <w:highlight w:val="none"/>
              </w:rPr>
              <w:t xml:space="preserve">4P或5P（与母线槽极数一致）；安装位置</w:t>
            </w:r>
            <w:r>
              <w:rPr>
                <w:rFonts w:ascii="宋体" w:hAnsi="宋体" w:eastAsia="宋体" w:cs="宋体"/>
                <w:szCs w:val="21"/>
                <w:highlight w:val="none"/>
              </w:rPr>
              <w:t xml:space="preserve">：</w:t>
            </w:r>
            <w:r>
              <w:rPr>
                <w:rFonts w:hint="eastAsia" w:ascii="宋体" w:hAnsi="宋体" w:eastAsia="宋体" w:cs="宋体"/>
                <w:szCs w:val="21"/>
                <w:highlight w:val="none"/>
              </w:rPr>
              <w:t xml:space="preserve">变压器出线端</w:t>
            </w:r>
            <w:r>
              <w:rPr>
                <w:rFonts w:ascii="宋体" w:hAnsi="宋体" w:eastAsia="宋体" w:cs="宋体"/>
                <w:szCs w:val="21"/>
                <w:highlight w:val="none"/>
              </w:rPr>
              <w:t xml:space="preserve"> </w:t>
            </w:r>
            <w:r>
              <w:rPr>
                <w:rFonts w:ascii="Times New Roman" w:hAnsi="Times New Roman" w:eastAsia="宋体" w:cs="Times New Roman"/>
                <w:szCs w:val="21"/>
                <w:highlight w:val="none"/>
              </w:rPr>
              <w:t xml:space="preserve">↔</w:t>
            </w:r>
            <w:r>
              <w:rPr>
                <w:rFonts w:ascii="宋体" w:hAnsi="宋体" w:eastAsia="宋体" w:cs="宋体"/>
                <w:szCs w:val="21"/>
                <w:highlight w:val="none"/>
              </w:rPr>
              <w:t xml:space="preserve"> </w:t>
            </w:r>
            <w:r>
              <w:rPr>
                <w:rFonts w:hint="eastAsia" w:ascii="宋体" w:hAnsi="宋体" w:eastAsia="宋体" w:cs="宋体"/>
                <w:szCs w:val="21"/>
                <w:highlight w:val="none"/>
              </w:rPr>
              <w:t xml:space="preserve">低压进线总柜进线端。</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铜母排</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hint="eastAsia" w:ascii="宋体" w:hAnsi="宋体" w:eastAsia="宋体" w:cs="宋体"/>
                <w:szCs w:val="21"/>
                <w:highlight w:val="none"/>
              </w:rPr>
              <w:t xml:space="preserve">TMY-(125x10)</w:t>
            </w:r>
            <w:r>
              <w:rPr>
                <w:rFonts w:hint="eastAsia" w:ascii="Times New Roman" w:hAnsi="Times New Roman" w:eastAsia="宋体" w:cs="Times New Roman"/>
                <w:highlight w:val="none"/>
              </w:rPr>
              <w:t xml:space="preserve"> ；</w:t>
            </w:r>
            <w:r>
              <w:rPr>
                <w:rFonts w:hint="eastAsia" w:ascii="宋体" w:hAnsi="宋体" w:eastAsia="宋体" w:cs="宋体"/>
                <w:szCs w:val="21"/>
                <w:highlight w:val="none"/>
              </w:rPr>
              <w:t xml:space="preserve">导电率</w:t>
            </w:r>
            <w:r>
              <w:rPr>
                <w:rFonts w:hint="eastAsia" w:ascii="宋体" w:hAnsi="宋体" w:eastAsia="宋体" w:cs="宋体"/>
                <w:szCs w:val="21"/>
                <w:highlight w:val="none"/>
              </w:rPr>
              <w:tab/>
            </w:r>
            <w:r>
              <w:rPr>
                <w:rFonts w:hint="eastAsia" w:ascii="宋体" w:hAnsi="宋体" w:eastAsia="宋体" w:cs="宋体"/>
                <w:szCs w:val="21"/>
                <w:highlight w:val="none"/>
              </w:rPr>
              <w:t xml:space="preserve">≥97%IACS，电阻率≤0.01777Ω·mm²/m</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铜母排</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ascii="宋体" w:hAnsi="宋体" w:eastAsia="宋体" w:cs="宋体"/>
                <w:szCs w:val="21"/>
                <w:highlight w:val="none"/>
              </w:rPr>
              <w:t xml:space="preserve">PE-1(80x8)</w:t>
            </w:r>
            <w:r/>
          </w:p>
        </w:tc>
      </w:tr>
      <w:tr>
        <w:trPr>
          <w:jc w:val="center"/>
          <w:trHeight w:val="165"/>
        </w:trPr>
        <w:tc>
          <w:tcPr>
            <w:shd w:val="clear" w:color="auto" w:fill="auto"/>
            <w:tcBorders>
              <w:left w:val="single" w:color="000000" w:sz="4" w:space="0"/>
              <w:bottom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10KV电流互感器</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hint="eastAsia" w:ascii="宋体" w:hAnsi="宋体" w:eastAsia="宋体" w:cs="宋体"/>
                <w:szCs w:val="21"/>
                <w:highlight w:val="none"/>
              </w:rPr>
              <w:t xml:space="preserve">75/5A</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推荐品牌：施耐德、ABB、西门子等同档次品牌。</w:t>
            </w:r>
            <w:r/>
          </w:p>
        </w:tc>
      </w:tr>
      <w:tr>
        <w:trPr>
          <w:jc w:val="center"/>
          <w:trHeight w:val="165"/>
        </w:trPr>
        <w:tc>
          <w:tcPr>
            <w:shd w:val="clear" w:color="auto" w:fill="auto"/>
            <w:tcBorders>
              <w:top w:val="single" w:color="000000" w:sz="4" w:space="0"/>
              <w:left w:val="single" w:color="000000" w:sz="4" w:space="0"/>
              <w:right w:val="single" w:color="000000" w:sz="4" w:space="0"/>
            </w:tcBorders>
            <w:tcW w:w="632" w:type="pct"/>
            <w:vAlign w:val="center"/>
            <w:vMerge w:val="restart"/>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东片区宿舍10kV变电所</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10kV进线柜改造</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hint="eastAsia" w:ascii="宋体" w:hAnsi="宋体" w:eastAsia="宋体" w:cs="宋体"/>
                <w:szCs w:val="21"/>
                <w:highlight w:val="none"/>
                <w:lang w:eastAsia="zh-CN"/>
              </w:rPr>
              <w:outlineLvl w:val="1"/>
            </w:pPr>
            <w:r>
              <w:rPr>
                <w:rFonts w:hint="eastAsia" w:ascii="宋体" w:hAnsi="宋体" w:eastAsia="宋体" w:cs="宋体"/>
                <w:szCs w:val="21"/>
                <w:highlight w:val="none"/>
              </w:rPr>
              <w:t xml:space="preserve">▲户内交流金属铠装中置移开式开关设备，型号KYN28-12</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提供设备型式试验报告及中国国家强制性产品认证证书复印件加盖公章</w:t>
            </w:r>
            <w:r>
              <w:rPr>
                <w:rFonts w:hint="eastAsia" w:ascii="宋体" w:hAnsi="宋体" w:eastAsia="宋体" w:cs="宋体"/>
                <w:szCs w:val="21"/>
                <w:highlight w:val="none"/>
                <w:lang w:eastAsia="zh-CN"/>
              </w:rPr>
              <w:t xml:space="preserve">）。</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安装方式：户内布置，并排安装；额定电压：1</w:t>
            </w:r>
            <w:r>
              <w:rPr>
                <w:rFonts w:ascii="宋体" w:hAnsi="宋体" w:eastAsia="宋体" w:cs="宋体"/>
                <w:szCs w:val="21"/>
                <w:highlight w:val="none"/>
              </w:rPr>
              <w:t xml:space="preserve">2KV</w:t>
            </w:r>
            <w:r>
              <w:rPr>
                <w:rFonts w:ascii="Times New Roman" w:hAnsi="Times New Roman" w:eastAsia="宋体" w:cs="Times New Roman"/>
                <w:highlight w:val="none"/>
              </w:rPr>
              <w:t xml:space="preserve">;</w:t>
            </w:r>
            <w:r>
              <w:rPr>
                <w:rFonts w:hint="eastAsia" w:ascii="宋体" w:hAnsi="宋体" w:eastAsia="宋体" w:cs="宋体"/>
                <w:szCs w:val="21"/>
                <w:highlight w:val="none"/>
              </w:rPr>
              <w:t xml:space="preserve">额定频率:50Hz</w:t>
            </w:r>
            <w:r>
              <w:rPr>
                <w:rFonts w:ascii="宋体" w:hAnsi="宋体" w:eastAsia="宋体" w:cs="宋体"/>
                <w:szCs w:val="21"/>
                <w:highlight w:val="none"/>
              </w:rPr>
              <w:t xml:space="preserve">；</w:t>
            </w:r>
            <w:r>
              <w:rPr>
                <w:rFonts w:hint="eastAsia" w:ascii="宋体" w:hAnsi="宋体" w:eastAsia="宋体" w:cs="宋体"/>
                <w:szCs w:val="21"/>
                <w:highlight w:val="none"/>
              </w:rPr>
              <w:t xml:space="preserve">额定电流:主母线/断路器 630A</w:t>
            </w:r>
            <w:r>
              <w:rPr>
                <w:rFonts w:ascii="宋体" w:hAnsi="宋体" w:eastAsia="宋体" w:cs="宋体"/>
                <w:szCs w:val="21"/>
                <w:highlight w:val="none"/>
              </w:rPr>
              <w:t xml:space="preserve">；</w:t>
            </w:r>
            <w:r>
              <w:rPr>
                <w:rFonts w:hint="eastAsia" w:ascii="Times New Roman" w:hAnsi="Times New Roman" w:eastAsia="宋体" w:cs="Times New Roman"/>
                <w:highlight w:val="none"/>
              </w:rPr>
              <w:t xml:space="preserve"> </w:t>
            </w:r>
            <w:r>
              <w:rPr>
                <w:rFonts w:hint="eastAsia" w:ascii="宋体" w:hAnsi="宋体" w:eastAsia="宋体" w:cs="宋体"/>
                <w:szCs w:val="21"/>
                <w:highlight w:val="none"/>
              </w:rPr>
              <w:t xml:space="preserve">防护等级</w:t>
            </w:r>
            <w:r>
              <w:rPr>
                <w:rFonts w:ascii="宋体" w:hAnsi="宋体" w:eastAsia="宋体" w:cs="宋体"/>
                <w:szCs w:val="21"/>
                <w:highlight w:val="none"/>
              </w:rPr>
              <w:t xml:space="preserve">:</w:t>
            </w:r>
            <w:r>
              <w:rPr>
                <w:rFonts w:hint="eastAsia" w:ascii="宋体" w:hAnsi="宋体" w:eastAsia="宋体" w:cs="宋体"/>
                <w:szCs w:val="21"/>
                <w:highlight w:val="none"/>
              </w:rPr>
              <w:t xml:space="preserve">外壳IP4X，隔室间IP2X</w:t>
            </w:r>
            <w:r>
              <w:rPr>
                <w:rFonts w:ascii="宋体" w:hAnsi="宋体" w:eastAsia="宋体" w:cs="宋体"/>
                <w:szCs w:val="21"/>
                <w:highlight w:val="none"/>
              </w:rPr>
              <w:t xml:space="preserve">；</w:t>
            </w:r>
            <w:r>
              <w:rPr>
                <w:rFonts w:hint="eastAsia" w:ascii="宋体" w:hAnsi="宋体" w:eastAsia="宋体" w:cs="宋体"/>
                <w:szCs w:val="21"/>
                <w:highlight w:val="none"/>
              </w:rPr>
              <w:t xml:space="preserve">进出线方式</w:t>
            </w:r>
            <w:r>
              <w:rPr>
                <w:rFonts w:ascii="宋体" w:hAnsi="宋体" w:eastAsia="宋体" w:cs="宋体"/>
                <w:szCs w:val="21"/>
                <w:highlight w:val="none"/>
              </w:rPr>
              <w:t xml:space="preserve">:</w:t>
            </w:r>
            <w:r>
              <w:rPr>
                <w:rFonts w:hint="eastAsia" w:ascii="宋体" w:hAnsi="宋体" w:eastAsia="宋体" w:cs="宋体"/>
                <w:szCs w:val="21"/>
                <w:highlight w:val="none"/>
              </w:rPr>
              <w:t xml:space="preserve">下进下出（配封闭母线桥或电缆终端）</w:t>
            </w:r>
            <w:r>
              <w:rPr>
                <w:rFonts w:ascii="宋体" w:hAnsi="宋体" w:eastAsia="宋体" w:cs="宋体"/>
                <w:szCs w:val="21"/>
                <w:highlight w:val="none"/>
              </w:rPr>
              <w:t xml:space="preserve">。具体</w:t>
            </w:r>
            <w:r>
              <w:rPr>
                <w:rFonts w:hint="eastAsia" w:ascii="宋体" w:hAnsi="宋体" w:eastAsia="宋体" w:cs="宋体"/>
                <w:szCs w:val="21"/>
                <w:highlight w:val="none"/>
              </w:rPr>
              <w:t xml:space="preserve">见</w:t>
            </w:r>
            <w:r>
              <w:rPr>
                <w:rFonts w:ascii="宋体" w:hAnsi="宋体" w:eastAsia="宋体" w:cs="宋体"/>
                <w:szCs w:val="21"/>
                <w:highlight w:val="none"/>
              </w:rPr>
              <w:t xml:space="preserve">第四章技术规范要求</w:t>
            </w:r>
            <w:r>
              <w:rPr>
                <w:rFonts w:hint="eastAsia" w:ascii="宋体" w:hAnsi="宋体" w:eastAsia="宋体" w:cs="宋体"/>
                <w:szCs w:val="21"/>
                <w:highlight w:val="none"/>
              </w:rPr>
              <w:t xml:space="preserve">。</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变压器柜</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ascii="宋体" w:hAnsi="宋体" w:eastAsia="宋体" w:cs="宋体"/>
                <w:szCs w:val="21"/>
                <w:highlight w:val="none"/>
              </w:rPr>
              <w:t xml:space="preserve">ZBN2-10；</w:t>
            </w:r>
            <w:r>
              <w:rPr>
                <w:rFonts w:hint="eastAsia" w:ascii="宋体" w:hAnsi="宋体" w:eastAsia="宋体" w:cs="宋体"/>
                <w:szCs w:val="21"/>
                <w:highlight w:val="none"/>
              </w:rPr>
              <w:t xml:space="preserve">户内安装，落地式，与变压器配套；防护等级≥IP40；柜体尺寸须与SCB14-1000/10变压器外形尺寸匹配，并满足现场基础安装条件；材质与工艺：柜体采用优质冷轧钢板，厚度≥2.0mm，表面静电喷涂防腐处理；所有金属构件须作防腐处理；柜体须与接地系统可靠连接；柜门与接地开关/隔离开关设机械联锁；满足“五防”要求；变压器柜自带通风风机，起动控制信号引至变压器温度传感器。</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干式变压器SCB14</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b/>
                <w:bCs/>
                <w:szCs w:val="21"/>
                <w:highlight w:val="none"/>
              </w:rPr>
              <w:outlineLvl w:val="1"/>
            </w:pPr>
            <w:r>
              <w:rPr>
                <w:rFonts w:ascii="宋体" w:hAnsi="宋体" w:eastAsia="宋体" w:cs="宋体"/>
                <w:szCs w:val="21"/>
                <w:highlight w:val="none"/>
              </w:rPr>
              <w:t xml:space="preserve">2000kVA</w:t>
            </w:r>
            <w:r>
              <w:rPr>
                <w:rFonts w:hint="eastAsia" w:ascii="宋体" w:hAnsi="宋体" w:eastAsia="宋体" w:cs="宋体"/>
                <w:szCs w:val="21"/>
                <w:highlight w:val="none"/>
              </w:rPr>
              <w:t xml:space="preserve">额定电压：高压10kV；低压0.4kV；分接范围：高压侧 ±2×2.5%；冷却方式：AN/AF（自然风冷/强制风冷），变压器自带温控风机；防护等级：IP40（带外壳）；三相；频率：50Hz；配温控仪、风机、不锈钢或铝合金外壳、铜母线连接件等。</w:t>
            </w:r>
            <w:r>
              <w:rPr>
                <w:rFonts w:hint="eastAsia" w:ascii="宋体" w:hAnsi="宋体" w:eastAsia="宋体" w:cs="宋体"/>
                <w:szCs w:val="21"/>
                <w:highlight w:val="none"/>
              </w:rPr>
              <w:br/>
            </w:r>
            <w:r>
              <w:rPr>
                <w:rFonts w:hint="eastAsia" w:ascii="宋体" w:hAnsi="宋体" w:eastAsia="宋体" w:cs="宋体"/>
                <w:b/>
                <w:bCs/>
                <w:szCs w:val="21"/>
                <w:highlight w:val="none"/>
              </w:rPr>
              <w:t xml:space="preserve">★变压器必须是SCB14及以上系列二级能效产品，空载损耗及负载损耗不得有正偏差。（提供产品说明书等技术支持资料（如白皮书或产品手册或官网截图或具有CMA标识的检测报告等证明材料</w:t>
            </w:r>
            <w:r>
              <w:rPr>
                <w:rFonts w:hint="eastAsia" w:ascii="宋体" w:hAnsi="宋体" w:eastAsia="宋体" w:cs="宋体"/>
                <w:b/>
                <w:bCs/>
                <w:szCs w:val="21"/>
                <w:highlight w:val="none"/>
                <w:lang w:val="en-US" w:eastAsia="zh-CN"/>
              </w:rPr>
              <w:t xml:space="preserve">复印件加盖公章</w:t>
            </w:r>
            <w:r>
              <w:rPr>
                <w:rFonts w:hint="eastAsia" w:ascii="宋体" w:hAnsi="宋体" w:eastAsia="宋体" w:cs="宋体"/>
                <w:b/>
                <w:bCs/>
                <w:szCs w:val="21"/>
                <w:highlight w:val="none"/>
              </w:rPr>
              <w:t xml:space="preserve">）。</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推荐品牌：大全、顺特、许继、华鹏或等同档次品牌。</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低压进线总柜</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hint="eastAsia" w:ascii="宋体" w:hAnsi="宋体" w:eastAsia="宋体" w:cs="宋体"/>
                <w:szCs w:val="21"/>
                <w:highlight w:val="none"/>
              </w:rPr>
              <w:t xml:space="preserve">MNS 800x1000x2500 抽出式（抽屉式），模数化组装；柜体采用优质冷轧钢板，厚度≥2.0mm，表面静电喷涂防腐处理；户内安装，落地式，点焊固定于基础型钢上；防护等级≥IP31；进线总柜进线总开上端预留10A/2P开关作为负控装置220V电源端；进线断路器须具备电气分闸功能，至少有两副空辅助接点，其中一副供负控专用；设六档专用端子排组；电动分闸接点通过转接插头引至仪表室。</w:t>
            </w:r>
            <w:r/>
          </w:p>
          <w:p>
            <w:pPr>
              <w:rPr>
                <w:rFonts w:ascii="宋体" w:hAnsi="宋体" w:eastAsia="宋体" w:cs="宋体"/>
                <w:b/>
                <w:bCs/>
                <w:szCs w:val="21"/>
                <w:highlight w:val="none"/>
              </w:rPr>
              <w:outlineLvl w:val="1"/>
            </w:pPr>
            <w:r>
              <w:rPr>
                <w:rFonts w:hint="eastAsia" w:ascii="宋体" w:hAnsi="宋体" w:eastAsia="宋体" w:cs="宋体"/>
                <w:b/>
                <w:bCs/>
                <w:szCs w:val="21"/>
                <w:highlight w:val="none"/>
              </w:rPr>
              <w:t xml:space="preserve">★3.1.1 断路器技术要求：进线柜和母联柜框架断路器为4极。（提供产品说明书等技术支持资料（如白皮书或产品手册或官网截图或具有CMA标识的检测报告等证明材料</w:t>
            </w:r>
            <w:r>
              <w:rPr>
                <w:rFonts w:hint="eastAsia" w:ascii="宋体" w:hAnsi="宋体" w:eastAsia="宋体" w:cs="宋体"/>
                <w:b/>
                <w:bCs/>
                <w:szCs w:val="21"/>
                <w:highlight w:val="none"/>
                <w:lang w:val="en-US" w:eastAsia="zh-CN"/>
              </w:rPr>
              <w:t xml:space="preserve">复印件加盖公章</w:t>
            </w:r>
            <w:r>
              <w:rPr>
                <w:rFonts w:hint="eastAsia" w:ascii="宋体" w:hAnsi="宋体" w:eastAsia="宋体" w:cs="宋体"/>
                <w:b/>
                <w:bCs/>
                <w:szCs w:val="21"/>
                <w:highlight w:val="none"/>
              </w:rPr>
              <w:t xml:space="preserve">）。</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低压开关柜的柜体颜色按如下要求：改造现场截取原低压柜部分门板作为色板，柜体结构兼容并柜要求，颜色与现场协调统一。</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推荐品牌：</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框架断路器：施耐德、ABB、西门子等同档次品牌；</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塑壳断路器：施耐德、ABB、西门子等同档次品牌；</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多功能表：施耐德、ABB、西门子等同档次品牌。 </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电容补偿柜</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ascii="宋体" w:hAnsi="宋体" w:eastAsia="宋体" w:cs="宋体"/>
                <w:szCs w:val="21"/>
                <w:highlight w:val="none"/>
              </w:rPr>
              <w:t xml:space="preserve">800x1000x2200+1000x1000x2200</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型抽出式开关柜；补偿容量：300kvar/套；电抗器配置：串联电抗器，电抗率7%；防护等级≥IP31；补偿后功率因数：≥0.9；标准MNS柜要求。</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母联柜</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hint="eastAsia" w:ascii="宋体" w:hAnsi="宋体" w:eastAsia="宋体" w:cs="宋体"/>
                <w:szCs w:val="21"/>
                <w:highlight w:val="none"/>
              </w:rPr>
              <w:t xml:space="preserve">MNS 1000x1000x2200；户内安装，落地式，点焊固定于基础型钢上；防护等级≥IP31；抽出式（抽屉式），模数化组装；柜体采用优质冷轧钢板，厚度≥2.0mm，表面静电喷涂防腐处理；机械联锁和电气联锁，三合二。</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低压馈线柜</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hint="eastAsia" w:ascii="宋体" w:hAnsi="宋体" w:eastAsia="宋体" w:cs="宋体"/>
                <w:szCs w:val="21"/>
                <w:highlight w:val="none"/>
              </w:rPr>
              <w:t xml:space="preserve">MNS 600x1000x2200；抽出式（抽屉式），模数化组装；柜体采用优质冷轧钢板，厚度≥2.0mm，表面静电喷涂防腐处理；防护等级≥IP31。</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母线槽</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hint="eastAsia" w:ascii="宋体" w:hAnsi="宋体" w:eastAsia="宋体" w:cs="宋体"/>
                <w:szCs w:val="21"/>
                <w:highlight w:val="none"/>
              </w:rPr>
              <w:t xml:space="preserve">4000A 额定电压</w:t>
            </w:r>
            <w:r>
              <w:rPr>
                <w:rFonts w:hint="eastAsia" w:ascii="宋体" w:hAnsi="宋体" w:eastAsia="宋体" w:cs="宋体"/>
                <w:szCs w:val="21"/>
                <w:highlight w:val="none"/>
              </w:rPr>
              <w:tab/>
            </w:r>
            <w:r>
              <w:rPr>
                <w:rFonts w:hint="eastAsia" w:ascii="宋体" w:hAnsi="宋体" w:eastAsia="宋体" w:cs="宋体"/>
                <w:szCs w:val="21"/>
                <w:highlight w:val="none"/>
              </w:rPr>
              <w:t xml:space="preserve">0.4kV（380V/220V）；极数：4P（三相+中性线）或5P（三相+中性线+PE）；导体材质</w:t>
            </w:r>
            <w:r>
              <w:rPr>
                <w:rFonts w:hint="eastAsia" w:ascii="宋体" w:hAnsi="宋体" w:eastAsia="宋体" w:cs="宋体"/>
                <w:szCs w:val="21"/>
                <w:highlight w:val="none"/>
              </w:rPr>
              <w:tab/>
            </w:r>
            <w:r>
              <w:rPr>
                <w:rFonts w:hint="eastAsia" w:ascii="宋体" w:hAnsi="宋体" w:eastAsia="宋体" w:cs="宋体"/>
                <w:szCs w:val="21"/>
                <w:highlight w:val="none"/>
              </w:rPr>
              <w:t xml:space="preserve">铜排，高纯度电解铜，导电率≥97%IACS。</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低压伸缩接头</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hint="eastAsia" w:ascii="宋体" w:hAnsi="宋体" w:eastAsia="宋体" w:cs="宋体"/>
                <w:szCs w:val="21"/>
                <w:highlight w:val="none"/>
              </w:rPr>
              <w:t xml:space="preserve">4000A 极数</w:t>
            </w:r>
            <w:r>
              <w:rPr>
                <w:rFonts w:hint="eastAsia" w:ascii="宋体" w:hAnsi="宋体" w:eastAsia="宋体" w:cs="宋体"/>
                <w:szCs w:val="21"/>
                <w:highlight w:val="none"/>
              </w:rPr>
              <w:tab/>
            </w:r>
            <w:r>
              <w:rPr>
                <w:rFonts w:hint="eastAsia" w:ascii="宋体" w:hAnsi="宋体" w:eastAsia="宋体" w:cs="宋体"/>
                <w:szCs w:val="21"/>
                <w:highlight w:val="none"/>
              </w:rPr>
              <w:t xml:space="preserve">4P或5P（与母线槽极数一致）；安装位置：变压器出线端 ↔ 低压进线总柜进线端。</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铜母排</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hint="eastAsia" w:ascii="宋体" w:hAnsi="宋体" w:eastAsia="宋体" w:cs="宋体"/>
                <w:szCs w:val="21"/>
                <w:highlight w:val="none"/>
              </w:rPr>
              <w:t xml:space="preserve">TMY-(125x10) ；导电率</w:t>
            </w:r>
            <w:r>
              <w:rPr>
                <w:rFonts w:hint="eastAsia" w:ascii="宋体" w:hAnsi="宋体" w:eastAsia="宋体" w:cs="宋体"/>
                <w:szCs w:val="21"/>
                <w:highlight w:val="none"/>
              </w:rPr>
              <w:tab/>
            </w:r>
            <w:r>
              <w:rPr>
                <w:rFonts w:hint="eastAsia" w:ascii="宋体" w:hAnsi="宋体" w:eastAsia="宋体" w:cs="宋体"/>
                <w:szCs w:val="21"/>
                <w:highlight w:val="none"/>
              </w:rPr>
              <w:t xml:space="preserve">≥97%IACS，电阻率≤0.01777Ω·mm²/m</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铜母排</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ascii="宋体" w:hAnsi="宋体" w:eastAsia="宋体" w:cs="宋体"/>
                <w:szCs w:val="21"/>
                <w:highlight w:val="none"/>
              </w:rPr>
              <w:t xml:space="preserve">PE-125x10</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壁挂式直流屏</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ascii="宋体" w:hAnsi="宋体" w:eastAsia="宋体" w:cs="宋体"/>
                <w:szCs w:val="21"/>
                <w:highlight w:val="none"/>
              </w:rPr>
              <w:t xml:space="preserve">20Ah</w:t>
            </w:r>
            <w:r/>
          </w:p>
        </w:tc>
      </w:tr>
      <w:tr>
        <w:trPr>
          <w:jc w:val="center"/>
          <w:trHeight w:val="165"/>
        </w:trPr>
        <w:tc>
          <w:tcPr>
            <w:shd w:val="clear" w:color="auto" w:fill="auto"/>
            <w:tcBorders>
              <w:left w:val="single" w:color="000000" w:sz="4" w:space="0"/>
              <w:bottom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直流屏电缆</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hint="eastAsia" w:ascii="宋体" w:hAnsi="宋体" w:eastAsia="宋体" w:cs="宋体"/>
                <w:szCs w:val="21"/>
                <w:highlight w:val="none"/>
              </w:rPr>
              <w:t xml:space="preserve">ZRYJV-1-5x10mm2，具体见图纸。</w:t>
            </w:r>
            <w:r/>
          </w:p>
          <w:p>
            <w:pPr>
              <w:rPr>
                <w:rFonts w:ascii="宋体" w:hAnsi="宋体" w:eastAsia="宋体" w:cs="宋体"/>
                <w:b/>
                <w:bCs/>
                <w:szCs w:val="21"/>
                <w:highlight w:val="none"/>
              </w:rPr>
              <w:outlineLvl w:val="1"/>
            </w:pPr>
            <w:r>
              <w:rPr>
                <w:rFonts w:hint="eastAsia" w:ascii="宋体" w:hAnsi="宋体" w:eastAsia="宋体" w:cs="宋体"/>
                <w:b/>
                <w:bCs/>
                <w:szCs w:val="21"/>
                <w:highlight w:val="none"/>
              </w:rPr>
              <w:t xml:space="preserve">▲投标人用于本项目的电力电缆需留存样品送至国家或相关权威机构进行检验鉴定，相关检验鉴定报告作为竣工资料附件，装订在竣工资料中。（投标人提供承诺书，格式自拟）。</w:t>
            </w:r>
            <w:r/>
          </w:p>
          <w:p>
            <w:pPr>
              <w:rPr>
                <w:rFonts w:ascii="宋体" w:hAnsi="宋体" w:eastAsia="宋体" w:cs="宋体"/>
                <w:b/>
                <w:bCs/>
                <w:szCs w:val="21"/>
                <w:highlight w:val="none"/>
              </w:rPr>
              <w:outlineLvl w:val="1"/>
            </w:pPr>
            <w:r>
              <w:rPr>
                <w:rFonts w:hint="eastAsia" w:ascii="宋体" w:hAnsi="宋体" w:eastAsia="宋体" w:cs="宋体"/>
                <w:b/>
                <w:bCs/>
                <w:szCs w:val="21"/>
                <w:highlight w:val="none"/>
              </w:rPr>
              <w:t xml:space="preserve">▲无论原有电缆有无标牌，本次施工完成后，所有电缆均需挂设标牌。（提供承诺书加盖公章）</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推荐品牌：远东、江南、上上或等同档次品牌。</w:t>
            </w:r>
            <w:r/>
          </w:p>
        </w:tc>
      </w:tr>
      <w:tr>
        <w:trPr>
          <w:jc w:val="center"/>
          <w:trHeight w:val="165"/>
        </w:trPr>
        <w:tc>
          <w:tcPr>
            <w:shd w:val="clear" w:color="auto" w:fill="auto"/>
            <w:tcBorders>
              <w:top w:val="single" w:color="000000" w:sz="4" w:space="0"/>
              <w:left w:val="single" w:color="000000" w:sz="4" w:space="0"/>
              <w:right w:val="single" w:color="000000" w:sz="4" w:space="0"/>
            </w:tcBorders>
            <w:tcW w:w="632" w:type="pct"/>
            <w:vAlign w:val="center"/>
            <w:vMerge w:val="restart"/>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文澜子站</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干式变压器SCB14</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b/>
                <w:bCs/>
                <w:szCs w:val="21"/>
                <w:highlight w:val="none"/>
              </w:rPr>
              <w:outlineLvl w:val="1"/>
            </w:pPr>
            <w:r>
              <w:rPr>
                <w:rFonts w:hint="eastAsia" w:ascii="宋体" w:hAnsi="宋体" w:eastAsia="宋体" w:cs="宋体"/>
                <w:szCs w:val="21"/>
                <w:highlight w:val="none"/>
              </w:rPr>
              <w:t xml:space="preserve">1000kVA；额定电压：高压10kV；低压0.4kV；分接范围：高压侧 ±2×2.5%；冷却方式：AN/AF（自然风冷/强制风冷），变压器自带温控风机；防护等级：IP40（带外壳）；三相；频率：50Hz；配温控仪、风机、不锈钢或铝合金外壳、铜母线连接件等。</w:t>
            </w:r>
            <w:r>
              <w:rPr>
                <w:rFonts w:hint="eastAsia" w:ascii="宋体" w:hAnsi="宋体" w:eastAsia="宋体" w:cs="宋体"/>
                <w:szCs w:val="21"/>
                <w:highlight w:val="none"/>
              </w:rPr>
              <w:br/>
            </w:r>
            <w:r>
              <w:rPr>
                <w:rFonts w:hint="eastAsia" w:ascii="宋体" w:hAnsi="宋体" w:eastAsia="宋体" w:cs="宋体"/>
                <w:b/>
                <w:bCs/>
                <w:szCs w:val="21"/>
                <w:highlight w:val="none"/>
              </w:rPr>
              <w:t xml:space="preserve">★变压器必须是SCB14及以上系列二级能效产品，空载损耗及负载损耗不得有正偏差。（提供产品说明书等技术支持资料（如白皮书或产品手册或官网截图或具有CMA标识的检测报告等证明材料</w:t>
            </w:r>
            <w:r>
              <w:rPr>
                <w:rFonts w:hint="eastAsia" w:ascii="宋体" w:hAnsi="宋体" w:eastAsia="宋体" w:cs="宋体"/>
                <w:b/>
                <w:bCs/>
                <w:szCs w:val="21"/>
                <w:highlight w:val="none"/>
                <w:lang w:val="en-US" w:eastAsia="zh-CN"/>
              </w:rPr>
              <w:t xml:space="preserve">复印件加盖公章</w:t>
            </w:r>
            <w:r>
              <w:rPr>
                <w:rFonts w:hint="eastAsia" w:ascii="宋体" w:hAnsi="宋体" w:eastAsia="宋体" w:cs="宋体"/>
                <w:b/>
                <w:bCs/>
                <w:szCs w:val="21"/>
                <w:highlight w:val="none"/>
              </w:rPr>
              <w:t xml:space="preserve">）。</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推荐品牌：大全、顺特、许继、华鹏等同档次品牌。</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电容补偿柜</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hint="eastAsia" w:ascii="宋体" w:hAnsi="宋体" w:eastAsia="宋体" w:cs="宋体"/>
                <w:szCs w:val="21"/>
                <w:highlight w:val="none"/>
                <w:lang w:eastAsia="zh-CN"/>
              </w:rPr>
              <w:outlineLvl w:val="1"/>
            </w:pPr>
            <w:r>
              <w:rPr>
                <w:rFonts w:hint="eastAsia" w:ascii="宋体" w:hAnsi="宋体" w:eastAsia="宋体" w:cs="宋体"/>
                <w:szCs w:val="21"/>
                <w:highlight w:val="none"/>
              </w:rPr>
              <w:t xml:space="preserve">▲</w:t>
            </w:r>
            <w:r>
              <w:rPr>
                <w:rFonts w:ascii="宋体" w:hAnsi="宋体" w:eastAsia="宋体" w:cs="宋体"/>
                <w:szCs w:val="21"/>
                <w:highlight w:val="none"/>
              </w:rPr>
              <w:t xml:space="preserve">800x1000x2200</w:t>
            </w:r>
            <w:r>
              <w:rPr>
                <w:rFonts w:hint="eastAsia" w:ascii="宋体" w:hAnsi="宋体" w:eastAsia="宋体" w:cs="宋体"/>
                <w:szCs w:val="21"/>
                <w:highlight w:val="none"/>
              </w:rPr>
              <w:t xml:space="preserve">MNS</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提供设备型式试验报告及中国国家强制性产品认证证书复印件加盖公章</w:t>
            </w:r>
            <w:r>
              <w:rPr>
                <w:rFonts w:hint="eastAsia" w:ascii="宋体" w:hAnsi="宋体" w:eastAsia="宋体" w:cs="宋体"/>
                <w:szCs w:val="21"/>
                <w:highlight w:val="none"/>
                <w:lang w:eastAsia="zh-CN"/>
              </w:rPr>
              <w:t xml:space="preserve">）。</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型抽出式开关柜；补偿容量：300kvar/套；电抗器配置：串联电抗器，电抗率7%；防护等级≥IP31；补偿后功率因数：≥0.9；标准MNS柜要求。</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低压进线总柜</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hint="eastAsia" w:ascii="Times New Roman" w:hAnsi="Times New Roman" w:eastAsia="宋体" w:cs="Times New Roman"/>
                <w:highlight w:val="none"/>
                <w:lang w:eastAsia="zh-CN"/>
              </w:rPr>
              <w:outlineLvl w:val="1"/>
            </w:pPr>
            <w:r>
              <w:rPr>
                <w:rFonts w:hint="eastAsia" w:ascii="宋体" w:hAnsi="宋体" w:eastAsia="宋体" w:cs="宋体"/>
                <w:szCs w:val="21"/>
                <w:highlight w:val="none"/>
              </w:rPr>
              <w:t xml:space="preserve">▲MNS 800x1000x2200</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提供设备型式试验报告及中国国家强制性产品认证证书复印件加盖公章</w:t>
            </w:r>
            <w:r>
              <w:rPr>
                <w:rFonts w:hint="eastAsia" w:ascii="Times New Roman" w:hAnsi="Times New Roman" w:eastAsia="宋体" w:cs="Times New Roman"/>
                <w:highlight w:val="none"/>
                <w:lang w:eastAsia="zh-CN"/>
              </w:rPr>
              <w:t xml:space="preserve">）。</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抽出式（抽屉式），模数化组装；柜体采用优质冷轧钢板，厚度≥2.0mm，表面静电喷涂防腐处理；户内安装，落地式，点焊固定于基础型钢上；防护等级≥IP31；进线总柜进线总开上端预留10A/2P开关作为负控装置220V电源端；进线断路器须具备电气分闸功能，至少有两副空辅助接点，其中一副供负控专用；设六档专用端子排组；电动分闸接点通过转接插头引至仪表室。</w:t>
            </w:r>
            <w:r/>
          </w:p>
          <w:p>
            <w:pPr>
              <w:rPr>
                <w:rFonts w:ascii="宋体" w:hAnsi="宋体" w:eastAsia="宋体" w:cs="宋体"/>
                <w:b/>
                <w:bCs/>
                <w:szCs w:val="21"/>
                <w:highlight w:val="none"/>
              </w:rPr>
              <w:outlineLvl w:val="1"/>
            </w:pPr>
            <w:r>
              <w:rPr>
                <w:rFonts w:hint="eastAsia" w:ascii="宋体" w:hAnsi="宋体" w:eastAsia="宋体" w:cs="宋体"/>
                <w:b/>
                <w:bCs/>
                <w:szCs w:val="21"/>
                <w:highlight w:val="none"/>
              </w:rPr>
              <w:t xml:space="preserve">★断路器技术要求：进线柜和母联柜框架断路器为4极。（提供产品说明书等技术支持资料（如白皮书或产品手册或官网截图或具有CMA标识的检测报告等证明材料</w:t>
            </w:r>
            <w:r>
              <w:rPr>
                <w:rFonts w:hint="eastAsia" w:ascii="宋体" w:hAnsi="宋体" w:eastAsia="宋体" w:cs="宋体"/>
                <w:b/>
                <w:bCs/>
                <w:szCs w:val="21"/>
                <w:highlight w:val="none"/>
                <w:lang w:val="en-US" w:eastAsia="zh-CN"/>
              </w:rPr>
              <w:t xml:space="preserve">复印件加盖公章</w:t>
            </w:r>
            <w:r>
              <w:rPr>
                <w:rFonts w:hint="eastAsia" w:ascii="宋体" w:hAnsi="宋体" w:eastAsia="宋体" w:cs="宋体"/>
                <w:b/>
                <w:bCs/>
                <w:szCs w:val="21"/>
                <w:highlight w:val="none"/>
              </w:rPr>
              <w:t xml:space="preserve">）。</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低压开关柜的柜体颜色按如下要求：改造现场截取原低压柜部分门板作为色板，柜体结构兼容并柜要求，颜色与现场协调统一。</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推荐品牌：</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框架断路器：施耐德、ABB、西门子或或等同档次品牌；。</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塑壳断路器：施耐德、ABB、西门子或等同档次品牌；</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多功能表：施耐德、ABB、西门子或等同档次品牌。</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母联柜</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hint="eastAsia" w:ascii="宋体" w:hAnsi="宋体" w:eastAsia="宋体" w:cs="宋体"/>
                <w:szCs w:val="21"/>
                <w:highlight w:val="none"/>
              </w:rPr>
              <w:t xml:space="preserve">MNS 800x1000x2200 户内安装，落地式，点焊固定于基础型钢上；防护等级≥IP31；抽出式（抽屉式），模数化组装；柜体采用优质冷轧钢板，厚度≥2.0mm，表面静电喷涂防腐处理；机械联锁和电气联锁，三合二。</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母线槽</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hint="eastAsia" w:ascii="宋体" w:hAnsi="宋体" w:eastAsia="宋体" w:cs="宋体"/>
                <w:szCs w:val="21"/>
                <w:highlight w:val="none"/>
              </w:rPr>
              <w:t xml:space="preserve">2000A；额定电压</w:t>
            </w:r>
            <w:r>
              <w:rPr>
                <w:rFonts w:hint="eastAsia" w:ascii="宋体" w:hAnsi="宋体" w:eastAsia="宋体" w:cs="宋体"/>
                <w:szCs w:val="21"/>
                <w:highlight w:val="none"/>
              </w:rPr>
              <w:tab/>
            </w:r>
            <w:r>
              <w:rPr>
                <w:rFonts w:hint="eastAsia" w:ascii="宋体" w:hAnsi="宋体" w:eastAsia="宋体" w:cs="宋体"/>
                <w:szCs w:val="21"/>
                <w:highlight w:val="none"/>
              </w:rPr>
              <w:t xml:space="preserve">0.4kV（380V/220V）；极数：4P（三相+中性线）或5P（三相+中性线+PE）；导体材质</w:t>
            </w:r>
            <w:r>
              <w:rPr>
                <w:rFonts w:hint="eastAsia" w:ascii="宋体" w:hAnsi="宋体" w:eastAsia="宋体" w:cs="宋体"/>
                <w:szCs w:val="21"/>
                <w:highlight w:val="none"/>
              </w:rPr>
              <w:tab/>
            </w:r>
            <w:r>
              <w:rPr>
                <w:rFonts w:hint="eastAsia" w:ascii="宋体" w:hAnsi="宋体" w:eastAsia="宋体" w:cs="宋体"/>
                <w:szCs w:val="21"/>
                <w:highlight w:val="none"/>
              </w:rPr>
              <w:t xml:space="preserve">铜排，高纯度电解铜，导电率≥97%IACS。</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低压伸缩接头</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hint="eastAsia" w:ascii="宋体" w:hAnsi="宋体" w:eastAsia="宋体" w:cs="宋体"/>
                <w:szCs w:val="21"/>
                <w:highlight w:val="none"/>
              </w:rPr>
              <w:t xml:space="preserve">2000A；极数</w:t>
            </w:r>
            <w:r>
              <w:rPr>
                <w:rFonts w:hint="eastAsia" w:ascii="宋体" w:hAnsi="宋体" w:eastAsia="宋体" w:cs="宋体"/>
                <w:szCs w:val="21"/>
                <w:highlight w:val="none"/>
              </w:rPr>
              <w:tab/>
            </w:r>
            <w:r>
              <w:rPr>
                <w:rFonts w:hint="eastAsia" w:ascii="宋体" w:hAnsi="宋体" w:eastAsia="宋体" w:cs="宋体"/>
                <w:szCs w:val="21"/>
                <w:highlight w:val="none"/>
              </w:rPr>
              <w:t xml:space="preserve">4P或5P（与母线槽极数一致）；安装位置：变压器出线端 ↔ 低压进线总柜进线端。</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高压出线柜熔断器</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hint="eastAsia" w:ascii="宋体" w:hAnsi="宋体" w:eastAsia="宋体" w:cs="宋体"/>
                <w:szCs w:val="21"/>
                <w:highlight w:val="none"/>
              </w:rPr>
              <w:t xml:space="preserve">XRNT-12/100A</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铜母排</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hint="eastAsia" w:ascii="宋体" w:hAnsi="宋体" w:eastAsia="宋体" w:cs="宋体"/>
                <w:szCs w:val="21"/>
                <w:highlight w:val="none"/>
              </w:rPr>
              <w:t xml:space="preserve">TMY-(125x10) ；导电率</w:t>
            </w:r>
            <w:r>
              <w:rPr>
                <w:rFonts w:hint="eastAsia" w:ascii="宋体" w:hAnsi="宋体" w:eastAsia="宋体" w:cs="宋体"/>
                <w:szCs w:val="21"/>
                <w:highlight w:val="none"/>
              </w:rPr>
              <w:tab/>
            </w:r>
            <w:r>
              <w:rPr>
                <w:rFonts w:hint="eastAsia" w:ascii="宋体" w:hAnsi="宋体" w:eastAsia="宋体" w:cs="宋体"/>
                <w:szCs w:val="21"/>
                <w:highlight w:val="none"/>
              </w:rPr>
              <w:t xml:space="preserve">≥97%IACS，电阻率≤0.01777Ω·mm²/m</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铜母排</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ascii="宋体" w:hAnsi="宋体" w:eastAsia="宋体" w:cs="宋体"/>
                <w:szCs w:val="21"/>
                <w:highlight w:val="none"/>
              </w:rPr>
              <w:t xml:space="preserve">PE-1(80x8)</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塑壳断路器</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hint="eastAsia" w:ascii="宋体" w:hAnsi="宋体" w:eastAsia="宋体" w:cs="宋体"/>
                <w:szCs w:val="21"/>
                <w:highlight w:val="none"/>
              </w:rPr>
              <w:t xml:space="preserve">推荐品牌：施耐德、ABB、西门子或等同档次品牌。</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电流互感器</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hint="eastAsia" w:ascii="宋体" w:hAnsi="宋体" w:eastAsia="宋体" w:cs="宋体"/>
                <w:szCs w:val="21"/>
                <w:highlight w:val="none"/>
              </w:rPr>
              <w:t xml:space="preserve">▲</w:t>
            </w:r>
            <w:r>
              <w:rPr>
                <w:rFonts w:ascii="宋体" w:hAnsi="宋体" w:eastAsia="宋体" w:cs="宋体"/>
                <w:szCs w:val="21"/>
                <w:highlight w:val="none"/>
              </w:rPr>
              <w:t xml:space="preserve">BH-0.66 400/5</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提供设备型式试验报告及中国国家强制性产品认证证书复印件加盖公章</w:t>
            </w:r>
            <w:r>
              <w:rPr>
                <w:rFonts w:hint="eastAsia" w:ascii="宋体" w:hAnsi="宋体" w:eastAsia="宋体" w:cs="宋体"/>
                <w:szCs w:val="21"/>
                <w:highlight w:val="none"/>
                <w:lang w:eastAsia="zh-CN"/>
              </w:rPr>
              <w:t xml:space="preserve">）。</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分合闸指示灯</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ascii="宋体" w:hAnsi="宋体" w:eastAsia="宋体" w:cs="宋体"/>
                <w:szCs w:val="21"/>
                <w:highlight w:val="none"/>
              </w:rPr>
              <w:t xml:space="preserve">AD11-25/41 ~220V 红、绿</w:t>
            </w:r>
            <w:r/>
          </w:p>
        </w:tc>
      </w:tr>
      <w:tr>
        <w:trPr>
          <w:jc w:val="center"/>
          <w:trHeight w:val="168"/>
        </w:trPr>
        <w:tc>
          <w:tcPr>
            <w:shd w:val="clear" w:color="auto" w:fill="auto"/>
            <w:tcBorders>
              <w:left w:val="single" w:color="000000" w:sz="4" w:space="0"/>
              <w:bottom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10KV电流互感器</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hint="eastAsia" w:ascii="宋体" w:hAnsi="宋体" w:eastAsia="宋体" w:cs="宋体"/>
                <w:szCs w:val="21"/>
                <w:highlight w:val="none"/>
              </w:rPr>
              <w:t xml:space="preserve">▲75/5A</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提供设备型式试验报告及中国国家强制性产品认证证书复印件加盖公章</w:t>
            </w:r>
            <w:r>
              <w:rPr>
                <w:rFonts w:hint="eastAsia" w:ascii="Times New Roman" w:hAnsi="Times New Roman" w:eastAsia="宋体" w:cs="Times New Roman"/>
                <w:highlight w:val="none"/>
                <w:lang w:eastAsia="zh-CN"/>
              </w:rPr>
              <w:t xml:space="preserve">）。</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推荐品牌：施耐德、ABB、西门子或等同档次品牌。</w:t>
            </w:r>
            <w:r/>
          </w:p>
        </w:tc>
      </w:tr>
    </w:tbl>
    <w:p>
      <w:pPr>
        <w:ind w:firstLine="420"/>
        <w:jc w:val="left"/>
        <w:spacing w:line="360" w:lineRule="auto"/>
        <w:rPr>
          <w:rFonts w:ascii="宋体" w:hAnsi="宋体" w:eastAsia="宋体" w:cs="宋体"/>
          <w:b/>
          <w:szCs w:val="21"/>
          <w:highlight w:val="none"/>
        </w:rPr>
      </w:pPr>
      <w:r>
        <w:rPr>
          <w:rFonts w:hint="eastAsia" w:ascii="Times New Roman" w:hAnsi="Times New Roman" w:eastAsia="宋体" w:cs="Times New Roman"/>
          <w:highlight w:val="none"/>
        </w:rPr>
        <w:t xml:space="preserve"> </w:t>
      </w:r>
      <w:r/>
    </w:p>
    <w:p>
      <w:pPr>
        <w:ind w:firstLine="422"/>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（二）材料品控要求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1．投标人拟选用的材料、设备须符合环保、消防等要求，须满足国家现行规范标准、设计文件的相关要求及规定。</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投标人可自行选择品牌投标，但投标人选用的设备、元器件材料的品牌、型号的性能参数必须满足或优于文件要求。其他材料须满足采购人的要求，并为正规厂家合格产品。投标人自选的材料，投标时须在《供货一览表》中注明品牌、厂家、型号及规格，一旦中标后，严格按照本表所注明的材料进行供货。质量或档次低于文件要求的，采购人有权拒绝使用。</w:t>
      </w:r>
      <w:r/>
    </w:p>
    <w:p>
      <w:pPr>
        <w:ind w:firstLine="422"/>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★3．投标人须在投标文件中提供高压总柜、变压器、低压总柜、无功补偿装置、多功能仪表的国家或相关权威机构认证报告或检测报告（证明材料复印件加盖投标人公章，未提供将作为无效投标）。</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投标人拟用于本项目的所有材料的款式、颜色、型号、规格、材质等须经建设单位及设计师确认、封样后方可用于现场。材料进场前应接受监理组织的验收，不合格材料及与封样不符的材料由监理标识后，3天内运出场外。场内严禁堆放不合格材料和不符材料，过期不处理的不合格材料和不符材料，招标人有权自行处理。投标人使用的材料必须能通过质检、消防等有关部门的验收。</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5．有防潮、防锈、防霉使用要求的材料、零配件、五金件等应选用防潮、防锈、防霉产品或进行相应的防潮、防锈、防霉等处理。</w:t>
      </w:r>
      <w:r/>
    </w:p>
    <w:p>
      <w:pPr>
        <w:ind w:firstLine="422"/>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（三）施工工艺要求</w:t>
      </w:r>
      <w:r/>
    </w:p>
    <w:p>
      <w:pPr>
        <w:ind w:firstLine="422"/>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1．高低压设备拆除、安装</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1.1高低压柜部分母排需要重新制作，其所采用的的母排必须与原设备母排规格完全相同，母排应全部搪锡，不得采用裸铜排。高压柜母排应安装10kV绝缘热缩护套，接头处应安装接头护套。</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1.2变压器室母线伸缩节应采用无痕伸缩节，其截面不应小于变压器桩头截面的1.2倍，搭接面应搪锡。</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1.3基础槽钢采用10#槽钢，安装完成后其水平度、不直度应满足以下要求：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（1）水平度偏差：≤1mm/m，≤5mm/全长。</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（2）不直度偏差：≤1mm/m，≤5mm/全长。</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所有设备底座基准面必须位于同一基准面，最大水平偏差需小于5mm。</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1.4高低压设备安装完成后其允许偏差应满足以下要求：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（1）垂直度：≤1.5mm。</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（2）相邻两盘顶部水平度偏差：≤2mm。</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（3）成列两盘顶部水平度偏差：≤5mm。</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（4）相邻两盘边盘面偏差：≤1mm。</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（5）成列盘面偏差：≤5mm。</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（6）盘间接缝：≤2mm。</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1.5设备安装完成后需对设备机械部件进行调试，符合下列规定：</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（1）机械闭锁、电气闭锁应动作准确、可靠。特别是低压断路器机械联锁机构，应仔细调试，确保联锁正常。</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（2）手车推拉应轻便灵活，应无卡阻、碰撞现象，相同型号的手车、抽屉应能互换。</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（3）动触头与静触头的中心线应一致，触头接触应紧密。</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（4）安全隔离板随手车、抽屉的进出而相应动作开启灵活。</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（5）二次回路辅助开关的切换接点应动作准确，接触应可靠。</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（6）柜内控制电缆不应妨碍手车的进出，并应固定牢固。</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1.6对于改造施工中，临时拆除导致的原有设备结构、母排、机械部件等变形，应予以维修，必要时予以更换，以恢复其原有状态。</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1.7所有高低压设备、电缆送电后，需进行核相，确保相位正确，相序为正相序。</w:t>
      </w:r>
      <w:r/>
    </w:p>
    <w:p>
      <w:pPr>
        <w:ind w:firstLine="422"/>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2．母线拆、装、校正</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2.1母线拆装过程中，应对母线接头、法兰、母排进行检查，对开裂、变形、损坏的部件进行更换。</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2.2最终校正的母线其水平度、垂直度、同心度允许偏差为±5mm。</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2.3由于柜体、母线均进行了调整，最终安装完成后，母线法兰面与始端箱端面间隙不超过±5mm，超过此范围时，需更换始端箱，确保端面平整。更换的始端箱，其钢板厚度不小于2mm，颜色为RAL7035，表面喷塑。</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2.4母线法兰面与柜内母排（包括零母线、PE母线）全部采用母线伸缩节连接，母线伸缩节截面不小于柜内母排规格，安装完成后应有不小于50mm的伸缩裕度。</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2.5对于母线安装后，母线与柜内连接的母排长度存在偏差的，需重新按照原规格制作连接母排，母排表面应镀锡。母线、连接母排不得受额外机械力。</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2.6母线外壳、始端箱等部件应与柜内PE母线可靠连接。</w:t>
      </w:r>
      <w:r/>
    </w:p>
    <w:p>
      <w:pPr>
        <w:ind w:firstLine="422"/>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3．电缆敷设</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3.1本项目中所有电缆的敷设采用电缆沟、桥架、电管（钢管）形式敷设。</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3.2电缆在回抽及恢复时，应分路进行，即拆除、恢复、送电一路后，再进行下一路的迁改。单芯电缆敷设时，同一组内电缆应绑扎在一起。</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3.3电缆敷设时，在转角等位置应留有足够的裕度。</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3.4所有电缆不宜有接头。特别是高压电缆、控制电缆，不得有接头。</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3.5低压电缆终端采用热缩电缆终端，铜端子表面应镀锡。</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3.6控制电缆的连接应符合以下要求：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（1）本项目中采用的所有控制电缆采用ZR-KVVP2-22型阻燃铠装屏蔽电缆，线芯截面不小于2.5mm2</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（2）控制电缆终端采用热缩终端。</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（3）所有二次连接线两端应有标号，标号采用号码管打印机打印，不得采用手写。标号应与原柜内相同回路标号相同，如原柜内无相同回路，回路标号应符合规范要求。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3.7所有电缆在垂直转角处、垂直段、进柜处、柜内等位置均应进行绑扎，水平位置应进行间隔绑扎。电缆敷设应整齐，不得缠绕。动力电缆、控制电缆、通讯电缆敷设在同一桥架内时，应相互区分，不得相互缠绕穿越。</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3.8所有电缆（包括单芯电缆的每根电缆、控制电缆、通讯电缆等）两端应每根电缆（包括单芯电缆的每根电缆、控制电缆、通讯电缆等）两端应挂设标牌，标牌上应标明电缆起点、终点、电缆型号、相别，标牌应采用PVC或不锈钢材质，文字采用热转印或雕刻，不得采用手写、贴纸、塑封等方式。</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3.9电缆施工完毕后，每一路电缆应进行核相，与原相位一致，方可投入运行。</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3.10每一路电缆应逐一测试绝缘电阻，合格后方可送电，并出具试验报告。</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3.11电缆穿越墙体、管道、柜体等位置处，应进行防火封堵，封堵应采用绝缘防火油泥，封堵应有足够厚度，封堵严密。</w:t>
      </w:r>
      <w:r/>
    </w:p>
    <w:p>
      <w:pPr>
        <w:ind w:firstLine="422"/>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4．变压器温控系统安装</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4.1变压器原有通风管道变形，同时缺少独立风机及控制系统，本期在设备重新安装时予以更换。</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4.2通风管道采用冷轧镀锌薄钢板制作，采用矩形管道，单台变压器通风截面不小于0.1m2，两台变压器共用部分管道通风截面不小于0.15 m2。</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4.3为防止雨水倒灌，通风管道全长应设置不小于1.5%的坡度，低处指向户外。</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4.4管道安装应平直，表面不应有坑洼、变形现象。</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4.5管道采用法兰接口，采用螺栓连接，两法兰间应有密封垫，法兰采用角钢制作。</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4.6通风管道在变压器上方、风机外侧应安装防鼠网，防鼠网孔径不大于10mm，材料厚度不小于1.5mm。</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4.7风口外墙侧应安装不锈钢或铝合金百叶。</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4.8 1#、2#变（3#、4#变相同）共用一套通风控制系统，配置引风机、风机控制箱。控制箱具备“手动/自动”选择开关，手动状态下，风机可通过按钮启停。自动状态下，任意一台变压器启停风机，则引风机自动启停。</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4.9引风机采用SF4G-6低速低噪音380V三相风机，转速1000转/分钟。</w:t>
      </w:r>
      <w:r/>
    </w:p>
    <w:p>
      <w:pPr>
        <w:ind w:firstLine="422"/>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5．接地系统安装</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5.1本项目在实施期间，为确保在运行设备安全运行，必须全程确保接地系统能正常运行，如有需要，需做好临时措施。</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5.2本系统接地电阻要求不大于1Ω，如不能满足要求，则补打接地极直至满足要求。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5.3接地网应做成环形，接地网的引出至设备的连接点应不少于3个，且不得在同一位置。</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5.4电气装置的下列金属部分，均必须接地：</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（1）电气设备的金属底座、框架及外壳和传动装置。</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（2）配电、控制、保护用 的屏（柜、箱 ）及操作台的金属框架和底座。</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（3）电力电缆的金属护层、接头盒、终端头和金属保护管及二次电缆的屏蔽层。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（4）电缆桥架、支架和井架。</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5.5明敷接地线的安装应符合下列要求：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（1）明敷接地线规格采用变电所原规格接地线。</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（2）接地线的安装位置应合理，便于检查，不应妨碍设备检修和运行巡视。</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（3）接地线的连接应可靠，不应因加工造成接地线截面减小、强度减弱或锈蚀等问题。</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（4）接地线支撑件间的距离，在水平直线部分宜为0. 5m～1.5m，垂直部分宜为1.5m～3m，转弯部分宜为0. 3m～0.5m。</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（5）接地线应水平或垂直敷设，或可与建筑物倾斜结构平行敷设； 在直线段上，不应有高低起伏及弯曲等现象。</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（6）接地线沿建筑物墙壁水平敷设时，离地面距离宜为250mm～300mm；接地线与建筑物墙壁间的间隙宜为10mm～15mm。</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（7）在接地线跨越建筑物伸缩缝、沉降缝处时，应设置补偿器。补偿器可用接地线本身弯成弧状代替。</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5.6明敷接地线，在导体的全长度或区间段及每个连接部位附近的表面，应 涂以 15mm～100mm宽度相等的绿色和黄色相间的条纹标识。</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5.7在接地线引向建筑物的人口处和在检修用临时接地点处，均应刷白色底漆并标以黑色标识。同一接地极不应出现两种不同的标识。</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5.8电气装置的接地必须单独与接地母线或接地网相连接，严禁在一条接地线中串接两个及两个以上需要接地的电气装置。</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5.9接地线、接地极采用电弧焊连接时应采用搭接焊缝，其搭接长度应符合下列规定：</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（1）扁钢应为其宽度的2倍且不得少于3个棱边焊接。</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（2）圆钢应为其直径的6倍 。</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（3）圆钢与扁钢连接时，其长度应为圆钢直径的6倍 。</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（4）扁钢与钢管、扁钢与角钢焊接时，除应在其接触部位两侧进行焊接外，还应由钢带或钢带弯成的卡子与钢管或角钢焊接。</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5.10接地线所有焊接位置，涂刷不少于两道防锈漆，焊点位于土壤内、潮湿位置时，应涂刷沥青。</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5.11接地线转弯处，应避免采用直角弯。</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5.12高低压柜PE母线、设备基础槽钢、变压器底座灯应采用接地线与接地网单独连接，每列配电柜、基础槽钢与接地网的连接不少于2处。</w:t>
      </w:r>
      <w:r/>
    </w:p>
    <w:p>
      <w:pPr>
        <w:ind w:firstLine="422"/>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6．原有设备拆除、恢复、维修</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6.1本项目实施过程中，将对设备、电缆、母线进行多次拆装，为确保设备正常运行，避免争议，在项目实施过程中，自本项目实施开始至验收合格期间发现的所有设备损坏、故障，包括但不限于设备原有故障，均由投标人维修、更换直至恢复原有性能。投标人应详细勘察，合理预估。</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6.2针对拆装过程中可能存在一些未知的故障或缺陷，投标人应仔细检查、测试，同时结合试验，对故障或不合格元件进行维修或更换。</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6.3在项目实施过程中，需做好设备保护，对于施工过程中造成的损坏，投标人需予以维修或更换。</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6.4对现有设备进行维护，包括：</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（1）对所有电气连接点螺栓，按照规定力矩进行紧固检查。</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（2）安装完成后对所有设备进行清洁除尘。</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（3）对所有机械部件进行润滑。</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（4）对所有低压抽屉一次接插件涂抹导电复合脂。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（5）其它必要的维护、维修。</w:t>
      </w:r>
      <w:r/>
    </w:p>
    <w:p>
      <w:pPr>
        <w:ind w:firstLine="422"/>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7．交接（预防性）试验</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7.1本项目每阶段安装完成投入运行前，需对设备进行试验，确保其符合相关规范。</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7.2投标人提供试验相关设备的校验报告，校验报告由具有计量资质的第三方实验室出具。试验设备包括但不限于继电保护测试仪、直流电阻测试仪、万用表、绝缘兆欧表、伏安特性测试仪、回路电阻测试仪、接地电阻测试仪、电容测试仪、真空断路器特性测试仪、变比测试仪等所需的仪器设备。</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7.3对于新装的设备或元件，如互感器、电缆、断路器等，按照交接试验规范进行试验。对于原有设备拆除后的重新安装，按照预防性试验的规范进行试验。</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7.4高压柜试验项目：辅助回路和控制回路绝缘电阻测量、辅助回路和控制回路交流耐压试验、机械特性、主回路电阻、交流耐压试验、带电显示装置检查、联锁检查、加热除湿装置试验、其它元件试验。</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7.5继电保护装置试验项目：回路检查、二次回路绝缘检查、外观检查、上电检查、开关量输入回路检验、输出触点及输出信号检查、整定值的整定及检验、整组试验。</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7.6高压断路器试验项目：绝缘电阻测量、本体及断口耐压试验、辅助回路和控制回路交流耐压试验、机械特性测试、导电回路电阻测量、分合闸线圈的绝缘电阻和直流电阻测量、</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7.7电流互感器试验项目：绕组绝缘电阻测量、交流耐压试验。</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7.8零序电流互感器试验项目：绕组绝缘电阻测量、绕组直流电阻测量、极性检查、校核励磁特性曲线。</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7.9电压互感器试验项目：绕组绝缘电阻测量、交流耐压试验。</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7.10避雷器试验项目：绝缘电阻测量、底座绝缘电阻、直流参考电压（U1mA）及0.75倍U1mA下的泄漏电流、测试避雷器放电计数器动作情况。</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7.11直流屏试验项目：蓄电池内阻测量、蓄电池组0.1C容量测试、绝缘电阻测量、功能检查。</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7.12高压电缆试验项目（原有）：主绝缘绝缘电阻测量、外护套绝缘电阻测量。</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7.13高压电缆试验项目（新装）：主绝缘绝缘电阻测量、外护套绝缘电阻测量、主绝缘交流耐压测试、相位检查。</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7.14变压器试验项目：高低压绕组直流电阻测量、高低压绕组绝缘电阻测量、高低压绕组交流耐压测试、铁芯绝缘电阻测量、测温装置及其二次回路试验。</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7.15低压母线试验项目：绝缘电阻测量、交流耐压试验。</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7.16低压电容柜试验项目：电容器电容值测量、电容器绝缘电阻测量、电容柜自动投切功能检查、电容柜内元件检查。</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7.17低压断路器试验项目：绝缘电阻测量，保护整定值校核、调整、记录。</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7.18低压电缆试验项目：绝缘电阻测量。</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7.19接地系统试验项目：检查接地引下线与接地网的连接情况、接地网的接地阻抗、设备接地母线与接地网的导通电阻测量。</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7.20其它：设备投入运行后，对所有母线、柜内元件进行红外热成像测温，确保无过热现象。</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7.21上述工作完成后，出具试验报告，同时提交一份至供电公司用电检查员。</w:t>
      </w:r>
      <w:r/>
    </w:p>
    <w:p>
      <w:pPr>
        <w:ind w:firstLine="422"/>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四、技术规范要求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本项目所涉及到的安装及调试等均应参照适合于该项目的相关标准、试验规范。</w:t>
      </w:r>
      <w:r/>
    </w:p>
    <w:p>
      <w:pPr>
        <w:ind w:firstLine="422"/>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1．高压柜</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1.1 应遵守的标准</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合同中按照有关标准规范规定的设备包括卖方从别处购来的设备和附件，都必须符合下列标准规范和准则的最新版本或修订本，但不局限于这些标准。</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GB 156          《标准电压》</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GB 311.1        《高压输变电设备的绝缘配合》</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GB 3906         《3.6kV～40.5kV交流金属封闭开关设备和控制设备》</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GB 1408         《固体绝缘材料工频电气强度的试验方法》</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GB 3309         《高压开关设备常温下的机械试验》</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GB 7354         《局部放电测量》</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GB/T 11022      《高压开关设备和控制设备标准的共用技术要求》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DL/T 402        《交流高压断路器订货技术条件》</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DL/T 486        《交流高压隔离开关和接地开关订货技术条件》</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DL/T 593        《高压开关设备和控制设备标准的共用技术要求》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DL/T 404        《户内交流高压开关柜订货技术条件》</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DL/T 403        《12～40.5kV高压真空断路器订货技术条件》</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DL/T 615        《交流高压断路器参数选用导则》</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1.2 使用环境条件</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（1）环境温度：-15 ℃～+40 ℃，日温差：25 K</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（2）海拔高度：不超过1000 m</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（3）相对湿度：日平均不大于95%，月平均不大于90%</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（4）抗地震能力：水平加速度0.2 g，垂直加速度0.1 g</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试验时，整台设备应能承受上述加速度同时作用，试验方法采用共振、正弦、拍波试验法，激振 5 次，每次5波，间隔2s，安全系数1.67。动态试验报告由卖方提出。</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1.3 型式及额定参数</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 型式：</w:t>
      </w:r>
      <w:r>
        <w:rPr>
          <w:rFonts w:ascii="Times New Roman" w:hAnsi="Times New Roman" w:eastAsia="宋体" w:cs="Times New Roman"/>
          <w:highlight w:val="none"/>
        </w:rPr>
        <w:t xml:space="preserve">型式详见图纸</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 额定电压：12 kV</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 额定频率：50 Hz</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 额定电流：630A</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 温升：主回路在额定电流和额定频率下的温升，应遵守GB/T 11022的规定，柜内各组件的温升值不得超过该组件的相应标准的规定，可触及的外壳和盖板的温升不得超过30K。</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（6） 额定短路开断电流（有效值）：31.5kA</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 额定关合电流（峰值）：80kA</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（8） 额定热稳定电流（4s，有效值）：25kA</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（9） 额定动稳定电流（峰值）：80kA</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（10） 开关设备的绝缘水平：</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a、 工频耐压（1min，有效值），相间及对地42 kV，隔离断口间48 kV</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b、 雷电冲击耐压（峰值），相间及对地75 kV，隔离断口间85 kV</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c、辅助回路及二次控制回路工频耐压（1min，有效值）2000 V</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（11） 爬电比距（纯瓷绝缘、有机绝缘）≥18 mm/ kV、20 mm/ kV，空气净距(相间和相对地)≥125 mm</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采用绝缘隔板时，高压导体与该绝缘板间应保持不小于30mm的空气间隙。</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（12） 分合闸机构和辅助回路的额定电压：分、合闸回路：DC220 V，辅助回路：    AC/DC 220V</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（13） 系统中性点接地方式：不接地或经消弧线圈接地。</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1.4  电气元件的技术要求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1.4.1 断路器</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（1）型式：见设备清单</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 额定电压：                       12 kV</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 额定频率：                       50 Hz</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 额定电流：                       630A</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 额定短路开断电流（有效值）：     31.5kA</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（6） 额定关合电流（峰值）：           80kA</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 额定热稳定电流（4s，有效值）：   25kA</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（8） 额定动稳定电流（峰值）：         80kA</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（9） 断路器的绝缘水平：</w:t>
      </w:r>
      <w:r>
        <w:rPr>
          <w:rFonts w:hint="eastAsia" w:ascii="宋体" w:hAnsi="宋体" w:eastAsia="宋体" w:cs="宋体"/>
          <w:szCs w:val="21"/>
          <w:highlight w:val="none"/>
        </w:rPr>
        <w:tab/>
      </w:r>
      <w:r>
        <w:rPr>
          <w:rFonts w:hint="eastAsia" w:ascii="宋体" w:hAnsi="宋体" w:eastAsia="宋体" w:cs="宋体"/>
          <w:szCs w:val="21"/>
          <w:highlight w:val="none"/>
        </w:rPr>
        <w:t xml:space="preserve">           同4.3.10</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（10） 操作电源：分、合闸控制回路：DC220 V，储能电机：AC220 V</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（11） 安装方式：户内安装</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（12） 额定操作循环</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主变进线及分段断路器：O–180s-CO–180s-CO</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出线断路器：O-0.3s-CO–180s-CO</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（13） 开断和操作次数</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开断额定短路电流次数≥50次</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开断额定电流次数≥10000次</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分合闸不同期性≤2ms</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（14）机械寿命≥30000次</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（15）额定短路开断电流直流分量百分比: 52%</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（16）储能电机输出功率: ≤100W，最小储能时间:7秒</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（17）切电容能力要求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单个电容器切电容电流</w:t>
      </w:r>
      <w:r>
        <w:rPr>
          <w:rFonts w:hint="eastAsia" w:ascii="宋体" w:hAnsi="宋体" w:eastAsia="宋体" w:cs="宋体"/>
          <w:szCs w:val="21"/>
          <w:highlight w:val="none"/>
        </w:rPr>
        <w:tab/>
      </w:r>
      <w:r>
        <w:rPr>
          <w:rFonts w:hint="eastAsia" w:ascii="宋体" w:hAnsi="宋体" w:eastAsia="宋体" w:cs="宋体"/>
          <w:szCs w:val="21"/>
          <w:highlight w:val="none"/>
        </w:rPr>
        <w:t xml:space="preserve">630A</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背靠背电容器切电容电流400A</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（18） 开断小电感电流能力：过电压倍数和截流值由厂家提供</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（19） 提供买方使用的辅助接点：10常开，10常闭</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（20） 真空灭弧室：应符合JB8738-2008的有关规定，出厂时其真空度应≤1.33×10-3 Pa，有效期大于20年，要求经过老炼试验，要求电流值不低于2KA， 电压值不低于120KV，并提供测试报告。真空灭弧室要求采用一次封排工艺，无需任何部件焊接，100％冲击耐压测试，以保证真空断路器的运行可靠性。</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（21） 所有断路器均应配动作记数器，要求动作正确可靠，寿命长，显示清晰，安装于各柜手车正面，运行中可视。</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22）断路器极柱部分应采用环氧树脂全固封结构，并采用APG工艺浇注，以适应复杂环境并减小局放值，极柱阻燃等级为V1级，且断路器所配的真空灭弧室，固封极柱须与断路器为同一厂家，提高真空灭弧室的可靠性。</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23）操动机构采用与断路器一体化的弹簧储能操动机构，机构应结构紧凑、性能稳定。弹簧的储能方式为电动和手动两种方式。操动机构应具有完备的防跳跃回路、自保持功能、跳/合闸位置监视、电源监视。并能防止因控制回路的电磁干扰、振动等引起的误操作。</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（24）真空断路器应装设分、合闸按钮和分、合闸指示器。</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（25）真空断路器接地金属外壳上应装有导电性能良好、直径为不小于12mm的防锈接地螺钉。接地点附近应标有接地符号。</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（26）操动机构的二次回路及元件应能耐受工频电压2kV/1min。</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（27）操动机构的各种线圈（电动机绕组和接触器除外）的匝间绝缘应能耐受2.5倍额定电压（直流线圈）或3.5倍额定电压（交流线圈）1min感应耐压试验。</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（28）断路器至少应提供8常开、8常闭无源辅助接点，以满足开关柜内和柜间的闭锁和操作、并留有4常开、4常闭无源辅助接点供计算机监控系统和外部其它系统用。辅助接点容量为：220VDC 5A。</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（29）断路器应提供储能电机储能及未储能的信号接点。</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（30）手车的工作、试验和退出位置接点，除了应满足开关柜的闭锁及操作外、还应提供5常开、5常闭无源接点供计算机监控系统和外部其它系统用。辅助接点容量为：220VDC 2A。</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1.4.2 电流互感器</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 型式：环氧树脂浇注式。</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 变比及准确级：见图纸。</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 零序电流互感器选用抱箍式速饱和型，安装应牢固，并便于维修和更换。</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（4）其它要求：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a. 柜内电流互感器一次接线端子采用铜质板式接线端子，禁止用螺杆式接线端子。</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b. 电流互感器动、热稳定电流同断路器。</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c. 电流互感器应为符合凝露试验验证的产品。</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1.4.3 接地开关</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 型式： 接地开关</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 额定电压：                           12 kV</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（3）热稳定电流（4s）：                    31.5 kA</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 额定短路关合能力（峰值）：            80 kA</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（5）接地开关应带机械分合闸位置指示器。操动机构应配置机械联锁机构，与断路器手车进行联锁，操动机构盒具有程序锁的功能和带电显示器，能够实现柜间的联锁和带电显示功能。</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1.4.4 保护装置</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需采用集控制、保护、测量、监测等功能于一体并通过其自带的通讯接口能与计算机监控系统进行联网的综合继电保护装置。</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(1)总体功能要求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1)综保上的接线端子应具有阻燃性能、可靠、方便。所有电子元器件、组件及整机应符合国家标准和部颁标准的要求，使之具有高度的可靠性和互换性，具有较强的抗干扰能力。</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 采用全封闭钢结构防震机箱，继电保护装置采用插入式结构，各插件应接触良好，可靠耐用，并且有防震脱松的措施。</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3)继电保护的出口回路应设置因元器件损坏而引起误动的闭锁环节，防止保护误动作出口，并发出元器件损坏的警告信号。</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4)每回路开关柜安装的保护装置应具有全电量采集功能，能采集三相电压、三相电流、零序电流、功率等，并支持至少16路开入及8路开出量。</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5)每回路开关柜安装的保护装置应至少具备以下保护功能: 过电压、欠电压、限时速断、反时限过电流、接地保护、方向过流和接地保护。</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6)具有良好的人机界面，中文液晶屏显示，能显示完整的故障信息（故障类型，故障时间，故障值等）及单线图以方便查询。</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7)保护装置面板具有LED指示灯，能指示各种信号状态和报警或故障信息，在液晶屏上显示的报警或故障信息可由用户组态和修改。</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8)保护装置在前面板设有现场维护接口，保护装置的整定值及内部逻辑可就地编程设定。</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9)具有良好的逻辑编程功能，能根据电流、电压的保护元件及逻辑输入等信号，通过保护装置所具有的编程函数（逻辑与、或、非、异或，置位复位，定时器等）进行编程形成新的一些符合工业现场需要的控制功能。另外保护装置的开关量输入名称能根据现场实际接入的量名称进行灵活改变。</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10)保护装置应能对所有保护动作，开关量变位及通过逻辑编程功能实现的其它保护（如联锁跳闸）功能形成SOE事件，所有SOE事件不但能通过通信上传至后台监控主机，而且能通过保护装置显示面板进行查询。保护装置能保存2000个以上的SOE事件。事件记录应包括电压、电流、输入/输出开关量等信息内容。</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11)保护装置利用自身内部时钟，所有的事件记录、故障记录和故障录波都带有精度达1ms的时标。保护装置应能实现精确的时钟同步。保护装置必须保证实时时钟和所有记录不会因失去电源而丢失。</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12)保护装置应具有故障录波功能，录波的起动可设置为保护动作，开关量变位及其它通过逻辑编程形成的控制变量。能实现故障录波数据的远传。录波文件应包含所有模拟量和数字量且记录故障前时间可设，总计时间不少于10秒，上述数据在装置掉电后不会丢失，并能查询其事故报告。</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13) 组网灵活，开放性好，微机保护装置可通过RS485接口，并采用Modbus RTU或者IEC103标准通讯规约与本站动环监控系统和通信管理单元（RTU或通信管理机）进行通信。通信速率可设。投标方应负责与计算机监控系统供货商协商实现通信，另外还可采用与监控系统以I/O方式互传信息。投标方应协助相关的监控厂商实现远程监控系统的接入。</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（2）控制功能</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应有防止断路器多次跳、合闸的跳跃闭锁，若操作机构不具备机械防跳跃性能，则其控制回路应有电气防跳跃功能。</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开关柜应有指示断路器跳闸、合闸位置状态信号，并有位置状态信号接点送往计算机控制系统。</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在跳、合闸回路设位置继电器，以监视控制操作电源及跳、合闸回路的完整性，并有信号接点送往计算机控制系统。</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应有手车位置接点（包括工作位置和试验位置及手车到位指示）送往计算机监控系统。</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允许各母线的进线电源柜断路器手动合闸，但与联络柜的合闸回路应有闭锁回路。</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（3）测量功能</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测量用电流互感器准确度均为0.5级，各测量应能在本柜装置屏幕显示并能经通讯接口送往计算机监控系统。能显示三相电流、负序电流、零序电流、三相电压、零序电压Uo、有功功率P、无功功率Q、电度E、功率因数cosφ等相关测量值。</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（4）监测功能</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本装置应能监测以下功能，并能在屏幕的模拟接线的部件记录图表上显示。</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a.断路器工作位置，操作弹簧状态；</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b. PT断线；</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c.主要元器件和接点温度，当被监测温度越限时，发出告警信号；</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d.断路器操作次数，跳闸开断电流值；</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e.断路器跳、合保护动作及发生的时间；</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f.手车位置状态；</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g.告警信息描述；</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h.具备远程控制分合闸功能。</w:t>
      </w:r>
      <w:r/>
    </w:p>
    <w:p>
      <w:pPr>
        <w:ind w:firstLine="422"/>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2．干式变压器</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2.1　10kV干式变压器主要技术要求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（1）在短路下的耐受能力。具有良好的电气及机械性能，具备抗突发短路能力强和耐雷电冲击力高等特点，并符合GB 1094.5的试验规定。</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（2）变压器的寿命。变压器在规定的工作条件和负荷条件下运行，并按照说明书进行维护，变压器的预期寿命应不小于30年。</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线圈采用铜导线或铜箔绕制，玻璃纤维与环氧树脂复合材料作绝缘，薄绝缘结构，预埋树脂散热气道，真空状态浸渍式浇注，按特定的温度曲线固化成型，绕组内外表面用进口预浸树脂玻璃丝网覆盖加强。环氧树脂浇注的高低压绕组应一次成型，不得修补。</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（4）变压器分接引线需包封绝缘护套。</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变压器运行过程中，温度控制装置巡回显示各相绕组的温度值，高温报警，超温跳闸，声光警示，计算机接口。若有风机，则需有启、停，风机过载保护，并带有仪表故障自检、传感器故障报警等功能。温控线根据现场要求配置，这些装置应符合各自的技术标准。</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（6）要求大部分材料由不可燃烧的材料构成。800℃高温长期燃烧下只产生少量烟雾。</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对带防护外壳的变压器门要求加装机械锁或电磁锁，在变压器带电时不允许打开变压器门，并装有行程开关，对变压器运行状态下，强行开门跳主变压器高压侧开关。变压器和金属件均有可靠接地，接地装置有防锈镀层，并有明显标识，铁芯和全部金属件均有防锈保护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（8）变压器壳体选用易于安装、维护的优质非导磁材料，下有通风百叶或网孔，上有出风孔，出风口的总面积满足变压器满负载运行时的散热要求，外壳防护等级大于IP20。壳体设计应符合GB 4208的要求。变压器柜体高低压两侧均可采用上部和下部进线方式，并在外壳进线部位预留进线口；对下部进线应配有电缆支架，用于固定进线电缆。</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9）铁芯结构及材质：铁芯为硅钢片（包括卷铁式及叠铁式）。铁芯为优质冷轧、高导磁、晶粒取向硅钢片（铁芯规格不低于30ZH120）；采用优质环氧树脂。变压器铁芯采用45°全斜接缝，心柱表面应喷涂绝缘漆，心柱采用绝缘带绑扎及拉板结构。</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2.2　技术参数特性表</w:t>
      </w:r>
      <w:r/>
    </w:p>
    <w:tbl>
      <w:tblPr>
        <w:tblStyle w:val="912"/>
        <w:tblW w:w="831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0"/>
        <w:gridCol w:w="3091"/>
        <w:gridCol w:w="984"/>
        <w:gridCol w:w="3035"/>
      </w:tblGrid>
      <w:tr>
        <w:trPr>
          <w:jc w:val="center"/>
          <w:tblHead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序号</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名　　称</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单位</w:t>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标准参数值</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一</w:t>
            </w:r>
            <w:r/>
          </w:p>
        </w:tc>
        <w:tc>
          <w:tcPr>
            <w:gridSpan w:val="3"/>
            <w:tcW w:w="711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额定值</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变压器型号</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（供货方提供）</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铁心材质</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冷轧取向硅钢片</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线圈结构</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环氧浇注式（包封式）</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高压绕组</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kV</w:t>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10/10.5，供货前与项目单位确认</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低压绕组</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kV</w:t>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0.4</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6</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联结组</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Dyn11</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额定频率</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Hz</w:t>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50</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8</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额定容量</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kVA</w:t>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（供货方提供）</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9</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相数</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10</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调压方式</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无励磁</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11</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调压位置</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高压侧</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12</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调压范围</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±2×2.5%</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13</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中性点接地方式</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不接地</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14</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冷却方式</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AN/AF</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15</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磁通密度</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T</w:t>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（供货方提供）</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16</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绝缘耐热等级</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F级及以上</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17</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局部放电水平</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pC</w:t>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≤10</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二</w:t>
            </w:r>
            <w:r/>
          </w:p>
        </w:tc>
        <w:tc>
          <w:tcPr>
            <w:gridSpan w:val="3"/>
            <w:tcW w:w="711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绝缘水平</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高压绕组雷电全波冲击电压（峰值）</w:t>
            </w:r>
            <w:r/>
          </w:p>
        </w:tc>
        <w:tc>
          <w:tcPr>
            <w:tcW w:w="984" w:type="dxa"/>
            <w:vAlign w:val="center"/>
            <w:vMerge w:val="restart"/>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kV</w:t>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75</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高压绕组雷电截波冲击电压（峰值）</w:t>
            </w:r>
            <w:r/>
          </w:p>
        </w:tc>
        <w:tc>
          <w:tcPr>
            <w:tcW w:w="984" w:type="dxa"/>
            <w:vAlign w:val="center"/>
            <w:vMerge w:val="continue"/>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85</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高压绕组额定短时工频耐受电压（有效值）</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kV</w:t>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35</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低压绕组额定短时工频耐受电压（有效值）</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kV</w:t>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三</w:t>
            </w:r>
            <w:r/>
          </w:p>
        </w:tc>
        <w:tc>
          <w:tcPr>
            <w:gridSpan w:val="3"/>
            <w:tcW w:w="711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温升限值</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额定电流下的绕组平均温升（F）</w:t>
            </w:r>
            <w:r/>
          </w:p>
        </w:tc>
        <w:tc>
          <w:tcPr>
            <w:tcW w:w="984" w:type="dxa"/>
            <w:vAlign w:val="center"/>
            <w:vMerge w:val="restart"/>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K</w:t>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100</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额定电流下的绕组平均温升（H）</w:t>
            </w:r>
            <w:r/>
          </w:p>
        </w:tc>
        <w:tc>
          <w:tcPr>
            <w:tcW w:w="984" w:type="dxa"/>
            <w:vAlign w:val="center"/>
            <w:vMerge w:val="continue"/>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125</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四</w:t>
            </w:r>
            <w:r/>
          </w:p>
        </w:tc>
        <w:tc>
          <w:tcPr>
            <w:gridSpan w:val="3"/>
            <w:tcW w:w="711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空载损耗</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额定频率额定电压时空载损耗</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kW</w:t>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供货方提供</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五</w:t>
            </w:r>
            <w:r/>
          </w:p>
        </w:tc>
        <w:tc>
          <w:tcPr>
            <w:gridSpan w:val="3"/>
            <w:tcW w:w="711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空载电流</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100%额定电压时</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w:t>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供货方提供</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六</w:t>
            </w:r>
            <w:r/>
          </w:p>
        </w:tc>
        <w:tc>
          <w:tcPr>
            <w:gridSpan w:val="3"/>
            <w:tcW w:w="711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负载损耗</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主分接（120℃）</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kW</w:t>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供货方提供</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七</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噪声水平</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dB</w:t>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供货方提供</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八</w:t>
            </w:r>
            <w:r/>
          </w:p>
        </w:tc>
        <w:tc>
          <w:tcPr>
            <w:gridSpan w:val="3"/>
            <w:tcW w:w="711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质量和尺寸</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总质量</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t</w:t>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（供货方提供）</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九</w:t>
            </w:r>
            <w:r/>
          </w:p>
        </w:tc>
        <w:tc>
          <w:tcPr>
            <w:gridSpan w:val="3"/>
            <w:tcW w:w="711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变压器外壳</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结构材料</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不锈钢</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进出线方式</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下进上出/下进侧出</w:t>
            </w:r>
            <w:r/>
          </w:p>
        </w:tc>
      </w:tr>
    </w:tbl>
    <w:p>
      <w:pPr>
        <w:ind w:firstLine="420"/>
        <w:spacing w:line="360" w:lineRule="auto"/>
        <w:rPr>
          <w:rFonts w:ascii="宋体" w:hAnsi="宋体" w:eastAsia="宋体" w:cs="宋体"/>
          <w:szCs w:val="21"/>
          <w:highlight w:val="none"/>
        </w:rPr>
      </w:pPr>
      <w:r/>
      <w:bookmarkStart w:id="146" w:name="_Toc445905327"/>
      <w:r/>
      <w:bookmarkStart w:id="147" w:name="_Toc362271082"/>
      <w:r/>
      <w:bookmarkStart w:id="148" w:name="_Toc118845803"/>
      <w:r>
        <w:rPr>
          <w:rFonts w:hint="eastAsia" w:ascii="宋体" w:hAnsi="宋体" w:eastAsia="宋体" w:cs="宋体"/>
          <w:szCs w:val="21"/>
          <w:highlight w:val="none"/>
        </w:rPr>
        <w:t xml:space="preserve">2.3　使用环境条件表</w:t>
      </w:r>
      <w:bookmarkEnd w:id="146"/>
      <w:r/>
      <w:bookmarkEnd w:id="147"/>
      <w:r/>
      <w:bookmarkEnd w:id="148"/>
      <w:r/>
      <w:r/>
    </w:p>
    <w:tbl>
      <w:tblPr>
        <w:tblStyle w:val="912"/>
        <w:tblW w:w="784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706"/>
        <w:gridCol w:w="54"/>
        <w:gridCol w:w="2159"/>
        <w:gridCol w:w="1282"/>
        <w:gridCol w:w="2823"/>
      </w:tblGrid>
      <w:tr>
        <w:trPr>
          <w:jc w:val="center"/>
        </w:trPr>
        <w:tc>
          <w:tcPr>
            <w:tcW w:w="82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序号</w:t>
            </w:r>
            <w:r/>
          </w:p>
        </w:tc>
        <w:tc>
          <w:tcPr>
            <w:gridSpan w:val="3"/>
            <w:tcW w:w="2918"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名　　称</w:t>
            </w:r>
            <w:r/>
          </w:p>
        </w:tc>
        <w:tc>
          <w:tcPr>
            <w:tcW w:w="1282"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单位</w:t>
            </w:r>
            <w:r/>
          </w:p>
        </w:tc>
        <w:tc>
          <w:tcPr>
            <w:tcW w:w="2823"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项目需求值</w:t>
            </w:r>
            <w:r/>
          </w:p>
        </w:tc>
      </w:tr>
      <w:tr>
        <w:trPr>
          <w:jc w:val="center"/>
        </w:trPr>
        <w:tc>
          <w:tcPr>
            <w:tcW w:w="82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w:t>
            </w:r>
            <w:r/>
          </w:p>
        </w:tc>
        <w:tc>
          <w:tcPr>
            <w:gridSpan w:val="3"/>
            <w:tcW w:w="2918"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额定电压</w:t>
            </w:r>
            <w:r/>
          </w:p>
        </w:tc>
        <w:tc>
          <w:tcPr>
            <w:tcW w:w="1282"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kV</w:t>
            </w:r>
            <w:r/>
          </w:p>
        </w:tc>
        <w:tc>
          <w:tcPr>
            <w:tcW w:w="2823"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10</w:t>
            </w:r>
            <w:r/>
          </w:p>
        </w:tc>
      </w:tr>
      <w:tr>
        <w:trPr>
          <w:jc w:val="center"/>
        </w:trPr>
        <w:tc>
          <w:tcPr>
            <w:tcW w:w="82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w:t>
            </w:r>
            <w:r/>
          </w:p>
        </w:tc>
        <w:tc>
          <w:tcPr>
            <w:gridSpan w:val="3"/>
            <w:tcW w:w="2918"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最高运行电压</w:t>
            </w:r>
            <w:r/>
          </w:p>
        </w:tc>
        <w:tc>
          <w:tcPr>
            <w:tcW w:w="1282"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kV</w:t>
            </w:r>
            <w:r/>
          </w:p>
        </w:tc>
        <w:tc>
          <w:tcPr>
            <w:tcW w:w="2823"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12</w:t>
            </w:r>
            <w:r/>
          </w:p>
        </w:tc>
      </w:tr>
      <w:tr>
        <w:trPr>
          <w:jc w:val="center"/>
        </w:trPr>
        <w:tc>
          <w:tcPr>
            <w:tcW w:w="82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w:t>
            </w:r>
            <w:r/>
          </w:p>
        </w:tc>
        <w:tc>
          <w:tcPr>
            <w:gridSpan w:val="3"/>
            <w:tcW w:w="2918"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系统中性点接地方式</w:t>
            </w:r>
            <w:r/>
          </w:p>
        </w:tc>
        <w:tc>
          <w:tcPr>
            <w:tcW w:w="1282" w:type="dxa"/>
            <w:vAlign w:val="center"/>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2823"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不接地</w:t>
            </w:r>
            <w:r/>
          </w:p>
        </w:tc>
      </w:tr>
      <w:tr>
        <w:trPr>
          <w:jc w:val="center"/>
        </w:trPr>
        <w:tc>
          <w:tcPr>
            <w:tcW w:w="82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w:t>
            </w:r>
            <w:r/>
          </w:p>
        </w:tc>
        <w:tc>
          <w:tcPr>
            <w:gridSpan w:val="3"/>
            <w:tcW w:w="2918"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额定频率</w:t>
            </w:r>
            <w:r/>
          </w:p>
        </w:tc>
        <w:tc>
          <w:tcPr>
            <w:tcW w:w="1282"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Hz</w:t>
            </w:r>
            <w:r/>
          </w:p>
        </w:tc>
        <w:tc>
          <w:tcPr>
            <w:tcW w:w="2823"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50</w:t>
            </w:r>
            <w:r/>
          </w:p>
        </w:tc>
      </w:tr>
      <w:tr>
        <w:trPr>
          <w:jc w:val="center"/>
        </w:trPr>
        <w:tc>
          <w:tcPr>
            <w:tcW w:w="82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w:t>
            </w:r>
            <w:r/>
          </w:p>
        </w:tc>
        <w:tc>
          <w:tcPr>
            <w:gridSpan w:val="3"/>
            <w:tcW w:w="2918"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污秽等级</w:t>
            </w:r>
            <w:r/>
          </w:p>
        </w:tc>
        <w:tc>
          <w:tcPr>
            <w:tcW w:w="1282" w:type="dxa"/>
            <w:vAlign w:val="center"/>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2823"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Ⅲ</w:t>
            </w:r>
            <w:r/>
          </w:p>
        </w:tc>
      </w:tr>
      <w:tr>
        <w:trPr>
          <w:jc w:val="center"/>
        </w:trPr>
        <w:tc>
          <w:tcPr>
            <w:tcW w:w="82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6</w:t>
            </w:r>
            <w:r/>
          </w:p>
        </w:tc>
        <w:tc>
          <w:tcPr>
            <w:gridSpan w:val="3"/>
            <w:tcW w:w="2918"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系统短路电流水平（高压侧）</w:t>
            </w:r>
            <w:r/>
          </w:p>
        </w:tc>
        <w:tc>
          <w:tcPr>
            <w:tcW w:w="1282"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kA</w:t>
            </w:r>
            <w:r/>
          </w:p>
        </w:tc>
        <w:tc>
          <w:tcPr>
            <w:tcW w:w="2823"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20</w:t>
            </w:r>
            <w:r/>
          </w:p>
        </w:tc>
      </w:tr>
      <w:tr>
        <w:trPr>
          <w:jc w:val="center"/>
        </w:trPr>
        <w:tc>
          <w:tcPr>
            <w:tcW w:w="825" w:type="dxa"/>
            <w:vAlign w:val="center"/>
            <w:vMerge w:val="restart"/>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w:t>
            </w:r>
            <w:r/>
          </w:p>
        </w:tc>
        <w:tc>
          <w:tcPr>
            <w:gridSpan w:val="2"/>
            <w:tcW w:w="760" w:type="dxa"/>
            <w:vAlign w:val="center"/>
            <w:vMerge w:val="restart"/>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环境温度</w:t>
            </w:r>
            <w:r/>
          </w:p>
        </w:tc>
        <w:tc>
          <w:tcPr>
            <w:tcW w:w="2158"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最高日温度</w:t>
            </w:r>
            <w:r/>
          </w:p>
        </w:tc>
        <w:tc>
          <w:tcPr>
            <w:tcW w:w="1282" w:type="dxa"/>
            <w:vAlign w:val="center"/>
            <w:vMerge w:val="restart"/>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w:t>
            </w:r>
            <w:r/>
          </w:p>
        </w:tc>
        <w:tc>
          <w:tcPr>
            <w:tcW w:w="2823" w:type="dxa"/>
            <w:vAlign w:val="center"/>
            <w:vMerge w:val="restart"/>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40</w:t>
            </w:r>
            <w:r/>
          </w:p>
        </w:tc>
      </w:tr>
      <w:tr>
        <w:trPr>
          <w:jc w:val="center"/>
        </w:trPr>
        <w:tc>
          <w:tcPr>
            <w:tcW w:w="825" w:type="dxa"/>
            <w:vAlign w:val="center"/>
            <w:vMerge w:val="continue"/>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gridSpan w:val="2"/>
            <w:tcW w:w="760" w:type="dxa"/>
            <w:vAlign w:val="center"/>
            <w:vMerge w:val="continue"/>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2158"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最低日温度</w:t>
            </w:r>
            <w:r/>
          </w:p>
        </w:tc>
        <w:tc>
          <w:tcPr>
            <w:tcW w:w="1282" w:type="dxa"/>
            <w:vAlign w:val="center"/>
            <w:vMerge w:val="continue"/>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2823"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25</w:t>
            </w:r>
            <w:r/>
          </w:p>
        </w:tc>
      </w:tr>
      <w:tr>
        <w:trPr>
          <w:jc w:val="center"/>
        </w:trPr>
        <w:tc>
          <w:tcPr>
            <w:tcW w:w="825" w:type="dxa"/>
            <w:vAlign w:val="center"/>
            <w:vMerge w:val="continue"/>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gridSpan w:val="2"/>
            <w:tcW w:w="760" w:type="dxa"/>
            <w:vAlign w:val="center"/>
            <w:vMerge w:val="continue"/>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2158"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最大日温差</w:t>
            </w:r>
            <w:r/>
          </w:p>
        </w:tc>
        <w:tc>
          <w:tcPr>
            <w:tcW w:w="1282"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K</w:t>
            </w:r>
            <w:r/>
          </w:p>
        </w:tc>
        <w:tc>
          <w:tcPr>
            <w:tcW w:w="2823"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25</w:t>
            </w:r>
            <w:r/>
          </w:p>
        </w:tc>
      </w:tr>
      <w:tr>
        <w:trPr>
          <w:jc w:val="center"/>
        </w:trPr>
        <w:tc>
          <w:tcPr>
            <w:tcW w:w="825" w:type="dxa"/>
            <w:vAlign w:val="center"/>
            <w:vMerge w:val="continue"/>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gridSpan w:val="2"/>
            <w:tcW w:w="760" w:type="dxa"/>
            <w:vAlign w:val="center"/>
            <w:vMerge w:val="continue"/>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2158"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最热月平均温度</w:t>
            </w:r>
            <w:r/>
          </w:p>
        </w:tc>
        <w:tc>
          <w:tcPr>
            <w:tcW w:w="1282" w:type="dxa"/>
            <w:vAlign w:val="center"/>
            <w:vMerge w:val="restart"/>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w:t>
            </w:r>
            <w:r/>
          </w:p>
        </w:tc>
        <w:tc>
          <w:tcPr>
            <w:tcW w:w="2823" w:type="dxa"/>
            <w:vAlign w:val="center"/>
            <w:vMerge w:val="restart"/>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30</w:t>
            </w:r>
            <w:r/>
          </w:p>
        </w:tc>
      </w:tr>
      <w:tr>
        <w:trPr>
          <w:jc w:val="center"/>
        </w:trPr>
        <w:tc>
          <w:tcPr>
            <w:tcW w:w="825" w:type="dxa"/>
            <w:vAlign w:val="center"/>
            <w:vMerge w:val="continue"/>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gridSpan w:val="2"/>
            <w:tcW w:w="760" w:type="dxa"/>
            <w:vAlign w:val="center"/>
            <w:vMerge w:val="continue"/>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2158"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最高年平均温度</w:t>
            </w:r>
            <w:r/>
          </w:p>
        </w:tc>
        <w:tc>
          <w:tcPr>
            <w:tcW w:w="1282" w:type="dxa"/>
            <w:vAlign w:val="center"/>
            <w:vMerge w:val="continue"/>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2823"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20</w:t>
            </w:r>
            <w:r/>
          </w:p>
        </w:tc>
      </w:tr>
      <w:tr>
        <w:trPr>
          <w:jc w:val="center"/>
        </w:trPr>
        <w:tc>
          <w:tcPr>
            <w:tcW w:w="825" w:type="dxa"/>
            <w:vAlign w:val="center"/>
            <w:vMerge w:val="restart"/>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8</w:t>
            </w:r>
            <w:r/>
          </w:p>
        </w:tc>
        <w:tc>
          <w:tcPr>
            <w:gridSpan w:val="2"/>
            <w:tcW w:w="760" w:type="dxa"/>
            <w:vAlign w:val="center"/>
            <w:vMerge w:val="restart"/>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湿度</w:t>
            </w:r>
            <w:r/>
          </w:p>
        </w:tc>
        <w:tc>
          <w:tcPr>
            <w:tcW w:w="2158"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日相对湿度平均值</w:t>
            </w:r>
            <w:r/>
          </w:p>
        </w:tc>
        <w:tc>
          <w:tcPr>
            <w:tcW w:w="1282" w:type="dxa"/>
            <w:vAlign w:val="center"/>
            <w:vMerge w:val="restart"/>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w:t>
            </w:r>
            <w:r/>
          </w:p>
        </w:tc>
        <w:tc>
          <w:tcPr>
            <w:tcW w:w="2823" w:type="dxa"/>
            <w:vAlign w:val="center"/>
            <w:vMerge w:val="restart"/>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≤95</w:t>
            </w:r>
            <w:r/>
          </w:p>
        </w:tc>
      </w:tr>
      <w:tr>
        <w:trPr>
          <w:jc w:val="center"/>
        </w:trPr>
        <w:tc>
          <w:tcPr>
            <w:tcW w:w="825" w:type="dxa"/>
            <w:vAlign w:val="center"/>
            <w:vMerge w:val="continue"/>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gridSpan w:val="2"/>
            <w:tcW w:w="760" w:type="dxa"/>
            <w:vAlign w:val="center"/>
            <w:vMerge w:val="continue"/>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2158"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月相对湿度平均值</w:t>
            </w:r>
            <w:r/>
          </w:p>
        </w:tc>
        <w:tc>
          <w:tcPr>
            <w:tcW w:w="1282" w:type="dxa"/>
            <w:vAlign w:val="center"/>
            <w:vMerge w:val="continue"/>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2823"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≤90</w:t>
            </w:r>
            <w:r/>
          </w:p>
        </w:tc>
      </w:tr>
      <w:tr>
        <w:trPr>
          <w:jc w:val="center"/>
        </w:trPr>
        <w:tc>
          <w:tcPr>
            <w:tcW w:w="82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9</w:t>
            </w:r>
            <w:r/>
          </w:p>
        </w:tc>
        <w:tc>
          <w:tcPr>
            <w:gridSpan w:val="3"/>
            <w:tcW w:w="2918"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海拔</w:t>
            </w:r>
            <w:r/>
          </w:p>
        </w:tc>
        <w:tc>
          <w:tcPr>
            <w:tcW w:w="1282"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m</w:t>
            </w:r>
            <w:r/>
          </w:p>
        </w:tc>
        <w:tc>
          <w:tcPr>
            <w:tcW w:w="2823"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≤1000</w:t>
            </w:r>
            <w:r/>
          </w:p>
        </w:tc>
      </w:tr>
      <w:tr>
        <w:trPr>
          <w:jc w:val="center"/>
        </w:trPr>
        <w:tc>
          <w:tcPr>
            <w:tcW w:w="82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10</w:t>
            </w:r>
            <w:r/>
          </w:p>
        </w:tc>
        <w:tc>
          <w:tcPr>
            <w:gridSpan w:val="3"/>
            <w:tcW w:w="2918"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太阳辐射强度</w:t>
            </w:r>
            <w:r/>
          </w:p>
        </w:tc>
        <w:tc>
          <w:tcPr>
            <w:tcW w:w="1282"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W∕cm2</w:t>
            </w:r>
            <w:r/>
          </w:p>
        </w:tc>
        <w:tc>
          <w:tcPr>
            <w:tcW w:w="2823"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0.1</w:t>
            </w:r>
            <w:r/>
          </w:p>
        </w:tc>
      </w:tr>
      <w:tr>
        <w:trPr>
          <w:jc w:val="center"/>
        </w:trPr>
        <w:tc>
          <w:tcPr>
            <w:tcW w:w="82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11</w:t>
            </w:r>
            <w:r/>
          </w:p>
        </w:tc>
        <w:tc>
          <w:tcPr>
            <w:gridSpan w:val="3"/>
            <w:tcW w:w="2918"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最大覆冰厚度</w:t>
            </w:r>
            <w:r/>
          </w:p>
        </w:tc>
        <w:tc>
          <w:tcPr>
            <w:tcW w:w="1282"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mm</w:t>
            </w:r>
            <w:r/>
          </w:p>
        </w:tc>
        <w:tc>
          <w:tcPr>
            <w:tcW w:w="2823"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20</w:t>
            </w:r>
            <w:r/>
          </w:p>
        </w:tc>
      </w:tr>
      <w:tr>
        <w:trPr>
          <w:jc w:val="center"/>
        </w:trPr>
        <w:tc>
          <w:tcPr>
            <w:tcW w:w="82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12</w:t>
            </w:r>
            <w:r/>
          </w:p>
        </w:tc>
        <w:tc>
          <w:tcPr>
            <w:gridSpan w:val="3"/>
            <w:tcW w:w="2918"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离地面高10m处，维持10min的平均最大风速</w:t>
            </w:r>
            <w:r/>
          </w:p>
        </w:tc>
        <w:tc>
          <w:tcPr>
            <w:tcW w:w="1282"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m/s</w:t>
            </w:r>
            <w:r/>
          </w:p>
        </w:tc>
        <w:tc>
          <w:tcPr>
            <w:tcW w:w="2823"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35</w:t>
            </w:r>
            <w:r/>
          </w:p>
        </w:tc>
      </w:tr>
      <w:tr>
        <w:trPr>
          <w:jc w:val="center"/>
        </w:trPr>
        <w:tc>
          <w:tcPr>
            <w:tcW w:w="825" w:type="dxa"/>
            <w:vAlign w:val="center"/>
            <w:vMerge w:val="restart"/>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13</w:t>
            </w:r>
            <w:r/>
          </w:p>
        </w:tc>
        <w:tc>
          <w:tcPr>
            <w:tcW w:w="706" w:type="dxa"/>
            <w:vAlign w:val="center"/>
            <w:vMerge w:val="restart"/>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耐受地震能力</w:t>
            </w:r>
            <w:r/>
          </w:p>
        </w:tc>
        <w:tc>
          <w:tcPr>
            <w:gridSpan w:val="2"/>
            <w:tcW w:w="2213"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地面水平加速度</w:t>
            </w:r>
            <w:r/>
          </w:p>
        </w:tc>
        <w:tc>
          <w:tcPr>
            <w:tcW w:w="1282"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m/s2</w:t>
            </w:r>
            <w:r/>
          </w:p>
        </w:tc>
        <w:tc>
          <w:tcPr>
            <w:tcW w:w="2823"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w:t>
            </w:r>
            <w:r/>
          </w:p>
        </w:tc>
      </w:tr>
      <w:tr>
        <w:trPr>
          <w:jc w:val="center"/>
        </w:trPr>
        <w:tc>
          <w:tcPr>
            <w:tcW w:w="825" w:type="dxa"/>
            <w:vAlign w:val="center"/>
            <w:vMerge w:val="continue"/>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706" w:type="dxa"/>
            <w:vAlign w:val="center"/>
            <w:vMerge w:val="continue"/>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gridSpan w:val="2"/>
            <w:tcW w:w="2213"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正弦共振三个周期安全系数</w:t>
            </w:r>
            <w:r/>
          </w:p>
        </w:tc>
        <w:tc>
          <w:tcPr>
            <w:tcW w:w="1282" w:type="dxa"/>
            <w:vAlign w:val="center"/>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2823"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≥1.67</w:t>
            </w:r>
            <w:r/>
          </w:p>
        </w:tc>
      </w:tr>
      <w:tr>
        <w:trPr>
          <w:jc w:val="center"/>
        </w:trPr>
        <w:tc>
          <w:tcPr>
            <w:tcW w:w="82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14</w:t>
            </w:r>
            <w:r/>
          </w:p>
        </w:tc>
        <w:tc>
          <w:tcPr>
            <w:gridSpan w:val="3"/>
            <w:tcW w:w="2918"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安装场所（户内/外）</w:t>
            </w:r>
            <w:r/>
          </w:p>
        </w:tc>
        <w:tc>
          <w:tcPr>
            <w:tcW w:w="1282" w:type="dxa"/>
            <w:vAlign w:val="center"/>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2823"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户内</w:t>
            </w:r>
            <w:r/>
          </w:p>
        </w:tc>
      </w:tr>
      <w:tr>
        <w:trPr>
          <w:jc w:val="center"/>
        </w:trPr>
        <w:tc>
          <w:tcPr>
            <w:gridSpan w:val="6"/>
            <w:tcW w:w="7848"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注1：环境最低气温超过25℃的需要进行温度修正。</w:t>
            </w:r>
            <w:r/>
          </w:p>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注2：污秽等级为Ⅳ级的需提供该地区的污秽等级图。</w:t>
            </w:r>
            <w:r/>
          </w:p>
        </w:tc>
      </w:tr>
    </w:tbl>
    <w:p>
      <w:pPr>
        <w:ind w:firstLine="422"/>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3．低压柜</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型号为MNS，需与原设备完成并柜，具体要求如下：</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3.1. 断路器</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框架断路器：</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 主进线框架断路器保护脱扣器应选用电子脱扣器，能提供过载长延时、短路短延时、短路瞬时、接地故障四段保护，并具有电流及时间参数整定范围广、设定精度高的特性，精度不低于1级。母联框架断路器可配置三段保护。</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 断路器应具有电动操作机构，机械自保持。低压柜采用交流操作时，相应操作电压为交流 220V。当交流电压为85%-110%额定电压范围时，应能可靠分闸和合闸。</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 额定运行短路分断能力 Ics (有效值) ：≥65kA。</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 额定极限短路分断能力 Icu：Icu=100%Ics</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 框架断路器三段式保护整定范围要求如下：</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①</w:t>
      </w:r>
      <w:r>
        <w:rPr>
          <w:rFonts w:hint="eastAsia" w:ascii="宋体" w:hAnsi="宋体" w:eastAsia="宋体" w:cs="宋体"/>
          <w:szCs w:val="21"/>
          <w:highlight w:val="none"/>
        </w:rPr>
        <w:tab/>
      </w:r>
      <w:r>
        <w:rPr>
          <w:rFonts w:hint="eastAsia" w:ascii="宋体" w:hAnsi="宋体" w:eastAsia="宋体" w:cs="宋体"/>
          <w:szCs w:val="21"/>
          <w:highlight w:val="none"/>
        </w:rPr>
        <w:t xml:space="preserve">长延时：0.4~1.0×Ir，0.5~30S</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②</w:t>
      </w:r>
      <w:r>
        <w:rPr>
          <w:rFonts w:hint="eastAsia" w:ascii="宋体" w:hAnsi="宋体" w:eastAsia="宋体" w:cs="宋体"/>
          <w:szCs w:val="21"/>
          <w:highlight w:val="none"/>
        </w:rPr>
        <w:tab/>
      </w:r>
      <w:r>
        <w:rPr>
          <w:rFonts w:hint="eastAsia" w:ascii="宋体" w:hAnsi="宋体" w:eastAsia="宋体" w:cs="宋体"/>
          <w:szCs w:val="21"/>
          <w:highlight w:val="none"/>
        </w:rPr>
        <w:t xml:space="preserve">短延时：1.25~12×Ir，0.1~0.4S</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③</w:t>
      </w:r>
      <w:r>
        <w:rPr>
          <w:rFonts w:hint="eastAsia" w:ascii="宋体" w:hAnsi="宋体" w:eastAsia="宋体" w:cs="宋体"/>
          <w:szCs w:val="21"/>
          <w:highlight w:val="none"/>
        </w:rPr>
        <w:tab/>
      </w:r>
      <w:r>
        <w:rPr>
          <w:rFonts w:hint="eastAsia" w:ascii="宋体" w:hAnsi="宋体" w:eastAsia="宋体" w:cs="宋体"/>
          <w:szCs w:val="21"/>
          <w:highlight w:val="none"/>
        </w:rPr>
        <w:t xml:space="preserve">短路瞬时：1.5~10×Ir</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(6) 可实现脱扣事件及脱扣原因的储存，便于进行详细的故障分析。</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 断路器要求为零飞弧产品。</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(8) 操作方式：电动机操作，直接手动/电动。</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塑壳断路器：</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 塑壳断路器保护脱扣器选用电子脱扣器，提供过载长延时、短路短延时、短路瞬时保护功能，并具有电流及时间参数整定范围广，短路短延时可调等特性。</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 塑壳断路器应具有可靠的隔离功能，保证触头指示系统的机械可靠性符合国标或IEC947-3标准。</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 额定运行短路分断能力 Ics (有效值)≥50KA。</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 额定极限短路分断能力 Icu：Icu=100%Ics。</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 塑壳断路器三段式保护整定范围要求如下：</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①</w:t>
      </w:r>
      <w:r>
        <w:rPr>
          <w:rFonts w:hint="eastAsia" w:ascii="宋体" w:hAnsi="宋体" w:eastAsia="宋体" w:cs="宋体"/>
          <w:szCs w:val="21"/>
          <w:highlight w:val="none"/>
        </w:rPr>
        <w:tab/>
      </w:r>
      <w:r>
        <w:rPr>
          <w:rFonts w:hint="eastAsia" w:ascii="宋体" w:hAnsi="宋体" w:eastAsia="宋体" w:cs="宋体"/>
          <w:szCs w:val="21"/>
          <w:highlight w:val="none"/>
        </w:rPr>
        <w:t xml:space="preserve">长延时：0.4~1.0×Ir，0.5~15S</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②</w:t>
      </w:r>
      <w:r>
        <w:rPr>
          <w:rFonts w:hint="eastAsia" w:ascii="宋体" w:hAnsi="宋体" w:eastAsia="宋体" w:cs="宋体"/>
          <w:szCs w:val="21"/>
          <w:highlight w:val="none"/>
        </w:rPr>
        <w:tab/>
      </w:r>
      <w:r>
        <w:rPr>
          <w:rFonts w:hint="eastAsia" w:ascii="宋体" w:hAnsi="宋体" w:eastAsia="宋体" w:cs="宋体"/>
          <w:szCs w:val="21"/>
          <w:highlight w:val="none"/>
        </w:rPr>
        <w:t xml:space="preserve">短延时：1.5~10×Ir，0.1~0.4S</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③</w:t>
      </w:r>
      <w:r>
        <w:rPr>
          <w:rFonts w:hint="eastAsia" w:ascii="宋体" w:hAnsi="宋体" w:eastAsia="宋体" w:cs="宋体"/>
          <w:szCs w:val="21"/>
          <w:highlight w:val="none"/>
        </w:rPr>
        <w:tab/>
      </w:r>
      <w:r>
        <w:rPr>
          <w:rFonts w:hint="eastAsia" w:ascii="宋体" w:hAnsi="宋体" w:eastAsia="宋体" w:cs="宋体"/>
          <w:szCs w:val="21"/>
          <w:highlight w:val="none"/>
        </w:rPr>
        <w:t xml:space="preserve">短路瞬时：10×Ir</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浪涌保护器及专用保护装置：</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 电源浪涌保护器及专用保护装置中标后须提供第三方检测机构出具的产品检测报告。</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 其技术参数、使用寿命、执行标准、功能要求须满足要求，中标后须提供第三方检测机构出具的检测报告。</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 浪涌保护器工作状态及专用保护装置分别提供独立的辅助触点，接入到智能仪表的DI 口中。</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3.2. 低压无功补偿</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3.2.1 电容补偿柜要求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低压电容器补偿柜与低压开关柜配套定货，补偿电容器可自动投入也可手动投入。电容器采用三角形接法，电容器为自愈型、压敏断路器保护的密闭电容器，电容器持续过流能力在不小于额定电流的2倍的情况下可以长期使用。串联同品牌调谐电抗器。电容器的补偿容量应为系统工作电压下的容量，非电容器额定电压下容量。在完成深化设计后，要确保在任何负载、任何负载率下均能满足低压侧功率因数不小于 0.9，且保证不与滤波器发生谐振。</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变压器的低压侧集中设置无功补偿装置。补偿后变压器的10kV侧功率因数达到0.9以上。电容器可手、自动控制投切。自动时由控制器控制自动循环投切。投标人中标后，需要提供如何避免频繁投切的方案和说明。</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3.2.2 一般要求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低压滤波补偿装置是由滤波型电容器、滤波电抗器、晶闸管投切开关、熔断器、补偿控制器组合而成，滤波补偿系统将能够自动控制电容器投入补偿无功电流，提高功率因数，并有效的抑制谐波电流。需符合以下要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 电容器额定电压为 480V。</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 全金属化聚丙烯膜 PPMh/MKPh，具有自愈性；同时此种介质的介质损耗≤ 0.2W/Kvar。</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 最大连续过载电流能力1.5In。</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 最大涌流为 200In。</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 外置放电电阻，60秒放电到50V以下。</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(6) 金属外壳，并配置过压力保护装置。</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 保证电容器的密封性。</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(8) 调谐滤波电抗器电抗率为 7%；避免5次以上的谐波发生谐振。</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(9) 调谐滤波电抗器应为铜制或铝制绕组，采用H级原料，绝缘耐温高于 180℃，具备5、7、11、13 等次谐波耐流功能。</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(10) 调谐滤波电抗器内置热敏电阻，温度大于170℃时过温度保护动作。</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(11) 调谐滤波电抗器线性度不小于1.73。</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(12) 调谐滤波电抗器品质因数 Q&gt;20。</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(13) 电容器柜内，单支电容器容量不大于50KVAR 。</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(14) 功率因数控制器必须有谐波过载、过温度、过电压等保护功能。 </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(15) 滤波型电容器、滤波电抗器、补偿控制器等各元件必须满足现场参数需求。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(16) 电容器必须选用防爆型电容。</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3.3. 低压柜柜体技术规格</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 低压柜柜型：MNS组装式抽屉式开关柜。</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 设备外型尺寸：详见图纸。</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 设备框架断路器电流：详见设计图纸</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 额定绝缘电压：AC 690V</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 绝缘试验电压：2500V／1min，冲击耐受电压：12kV</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(6) 额定工作电压：≥400V</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 防护等级：IP40 (滤波柜/有源无功混合补偿柜为 IP20)</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(8) 电气间隙：</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rPr>
        <w:tab/>
      </w:r>
      <w:r>
        <w:rPr>
          <w:rFonts w:hint="eastAsia" w:ascii="宋体" w:hAnsi="宋体" w:eastAsia="宋体" w:cs="宋体"/>
          <w:szCs w:val="21"/>
          <w:highlight w:val="none"/>
        </w:rPr>
        <w:t xml:space="preserve">电气间隙：14mm</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rPr>
        <w:tab/>
      </w:r>
      <w:r>
        <w:rPr>
          <w:rFonts w:hint="eastAsia" w:ascii="宋体" w:hAnsi="宋体" w:eastAsia="宋体" w:cs="宋体"/>
          <w:szCs w:val="21"/>
          <w:highlight w:val="none"/>
        </w:rPr>
        <w:t xml:space="preserve">爬电距离：16mm</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rPr>
        <w:tab/>
      </w:r>
      <w:r>
        <w:rPr>
          <w:rFonts w:hint="eastAsia" w:ascii="宋体" w:hAnsi="宋体" w:eastAsia="宋体" w:cs="宋体"/>
          <w:szCs w:val="21"/>
          <w:highlight w:val="none"/>
        </w:rPr>
        <w:t xml:space="preserve">间隔距离：符合相应的标准要求，同时应考虑到制造公差和由于磨损而造成的尺寸变化。</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(9) 温升：</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rPr>
        <w:tab/>
      </w:r>
      <w:r>
        <w:rPr>
          <w:rFonts w:hint="eastAsia" w:ascii="宋体" w:hAnsi="宋体" w:eastAsia="宋体" w:cs="宋体"/>
          <w:szCs w:val="21"/>
          <w:highlight w:val="none"/>
        </w:rPr>
        <w:t xml:space="preserve">温升：符合国标或IEC947-1 有关温升的规定，且温升值不超过组件相应的标准要求。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rPr>
        <w:tab/>
      </w:r>
      <w:r>
        <w:rPr>
          <w:rFonts w:hint="eastAsia" w:ascii="宋体" w:hAnsi="宋体" w:eastAsia="宋体" w:cs="宋体"/>
          <w:szCs w:val="21"/>
          <w:highlight w:val="none"/>
        </w:rPr>
        <w:t xml:space="preserve">连接外部绝缘导线的端子：不大于 70K</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rPr>
        <w:tab/>
      </w:r>
      <w:r>
        <w:rPr>
          <w:rFonts w:hint="eastAsia" w:ascii="宋体" w:hAnsi="宋体" w:eastAsia="宋体" w:cs="宋体"/>
          <w:szCs w:val="21"/>
          <w:highlight w:val="none"/>
        </w:rPr>
        <w:t xml:space="preserve">母线固定连接处(铜-铜)：不大于 70K</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rPr>
        <w:tab/>
      </w:r>
      <w:r>
        <w:rPr>
          <w:rFonts w:hint="eastAsia" w:ascii="宋体" w:hAnsi="宋体" w:eastAsia="宋体" w:cs="宋体"/>
          <w:szCs w:val="21"/>
          <w:highlight w:val="none"/>
        </w:rPr>
        <w:t xml:space="preserve">操作手柄：金属的不大于 15K，绝缘材料的不大于 25K。</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rPr>
        <w:tab/>
      </w:r>
      <w:r>
        <w:rPr>
          <w:rFonts w:hint="eastAsia" w:ascii="宋体" w:hAnsi="宋体" w:eastAsia="宋体" w:cs="宋体"/>
          <w:szCs w:val="21"/>
          <w:highlight w:val="none"/>
        </w:rPr>
        <w:t xml:space="preserve">可接触的外壳和覆板：金属表面不大于 30K，绝缘表面不大于 40K。</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3.4. 低压柜柜体结构</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 开关柜型式为直立式、落地安装、自撑式结构的金属封闭型柜体。开关柜外形应平整美观且应满足运输、安装、运行、检修等的机械强度要求。柜体宽度必须满足电缆安装和维护要求。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 低压开关柜结构的基本骨架为组合装配式结构，柜架应采用冷轧钢板或覆铝锌板拉伸成型后用螺栓组装而成，面板采用不小于 2mm 厚的高质量的冷轧钢板静电喷塑。基本骨架均带 25mm 或 50mm 模数孔免维护骨架具优良的表面保护性能。</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 柜体安装为不靠墙（电力集装箱墙板可拆卸，提供柜体维护空间）。开关柜应提供便于起吊的吊环。</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 柜架和面板应有足够机械强度和刚度，应能承受所安装元件及短路时所产生的机械 应力和热应力，并应考虑防止构成足以引起较大涡流损耗的磁性通路，不能因设备的吊装、运输等情况而影响设备的性能。</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 框架结构应具有灵活性，且维护工作量小。设备的布置应方便操作，在任何情况下不应妨碍良好的运行性能，柜内空间应满足检修要求。开关柜端部结构、母线排和电线电缆敷线槽的布置应考虑便于扩建。</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(6) 柜子与柜子之间应设金属隔板。柜体材料及柜体结构应能防止故障电弧的产生，一旦发生故障电弧，能在短时间内熄灭。每个电器室及主母线与单元间应有隔板，电缆出入口应采取密封措施。设备应保证任何一个分支回路故障，可不停主母线更换开关和元件、检修电缆。柜体屏与屏之间应有隔板，以防止事故扩大。</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 在满足防护等级下百叶窗或其他通风孔的布置和安装，应能防止由上面滴水或地板上溅起的水进入开关柜内。</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(8) 柜体应设有前后门，开门时，设备不误动，柜体底部有可密封的电缆安装孔。</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(9) 低压柜应具有抗地震、防震动和抗撞击的技术性能，所有安装在柜上的设备在受到地震、震动和撞击时能够达到国标或IEC所规定的标准。</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(10) 设备的布置应方便操作，在任何情况下不应妨碍良好的运行性能，柜内空间应满足电缆接线、检修要求。开关柜端部结构、母线排和电线电缆敷线槽的布置，应考虑便于扩建。</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(11) 采用通风孔散热时，通风孔设计和安装应使得当</w:t>
      </w:r>
      <w:r>
        <w:rPr>
          <w:rFonts w:hint="eastAsia" w:ascii="宋体" w:hAnsi="宋体" w:eastAsia="宋体" w:cs="宋体"/>
          <w:szCs w:val="21"/>
          <w:highlight w:val="none"/>
        </w:rPr>
        <w:t xml:space="preserve">熔断器、断路器在正常工作或短路 情况时没有电弧或可溶金属喷出，通风孔设置不应降低设备的外壳防护等级。在环境温度变化范围内应自然通风良好，不应出现因环境温度升高导致配电柜内电器元件的降容。靠近变压器安装的低压进线柜以及电容补偿柜、有源滤波器柜等内部存在发热部件的柜体，应配置隔热措施和强制风扇散热装置，并对进出风气流组织进行良好设计，利于带走热量。投标人中标后应提供风扇选型计算。风扇整体结构阻燃等级应符合 UL94 标准中 V-0 级别。散热风扇应具备过载、短路保护等功能且能通过温度控制器利用柜体问题自动启停。</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(12) 开关柜应具有内部燃弧故障耐受能力，当出现内部燃弧故障时，开关柜隔室的结构应能承受三相短路产生的电弧或游离气体所产生的压力而不造成损坏，并且防止电弧对操作人员造成伤害。</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(13) 为了能在受电柜及电容补偿柜正面接近断路器或仪表小室等，开关柜应装绞链门。在每个垂直部分的背面，应装可拆卸的板或绞链门。柜门的开启角度大于90º。</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(14) 受电柜及电容补偿柜的仪表板应是绞链连接，或者其他结构方式应保证当仪表板摇到最大开启位置时，允许不受限制地进入前面间隔。预留安装的仪表和继电器等，其位置不被布线占用。</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(15) 控制板应予以加强，以防止变形。控制板应用暗式或内装式加强绞链固定，并且应采用能使板或绞链部件避免下陷、卡死或整体变形的方法将它撑牢。为了能牢牢地将板固定在关闭和打开位置，应提供锁扣装置或拇指旋动的金属螺栓。</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(16) 装于柜体上的继电器，应能防止断路器或其他电器设备正常操作振动而误动作。</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(17) 低压接地系统采用 TN-S 系统，三相五线制配置，母线规格应严格按照规范要求选用。柜体中门、框架及安装板等与接地间应具有良好的导电连续性，以保证操作安全。</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(18) 配线应考虑多条电缆母线与断路器的连接方式。</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(19) 柜深与柜总宽度不能超过平面图所注尺寸，且进出线位置不可错位，以免影响预留孔洞。</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(20) 柜体的结构应允许电缆从顶部进入柜体。对柜顶出线应在每个柜顶设置电缆出线室，用于低压柜电缆引接，该出线室为开关柜整体的一部分，由开关柜厂统一设计、供货。电缆出线室布置应美观、牢靠，与开关柜柜体成为一有机整体，并根据要求提供相当数量的外部接口。</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(21) 开关柜电缆入口的开孔位置在柜的前部。一次电缆开孔的大小及位置能根据招标人的要求修改。</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(22) 开关柜与变压器以母排形式侧向连接，开关柜预留接口位置与变压器进线口等高，柜内母排侧进变压器 200mm。</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(23) 母联开关柜以母线形式在柜体顶部连接，母联开关柜连接铜排伸出柜顶，连接铜排伸出柜顶 200mm。</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(24) 开关柜中母线和导线的颜色和排列应符合相应的国标规定。</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3.5. 抽屉柜</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 柜型：低压柜采用组装式抽屉式柜型，每个抽屉均能将断路器及二次元器件整体抽出。分隔要求达到柜间分隔回路分隔一次、二次间分隔，进线与出线分隔，出线端子间各相分隔以达到运行可靠、保证安全、维护方便、接线顺畅的要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 低压开关柜的抽屉功能单元有明显的三个标志：连接位置、试验位置和分离状态。各个位置有明显的符号标志。</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 功能手柄：有脱扣、试验、工作位置，每一定位必须清晰、正确。</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 开关操作手柄：分、合位置定位必须正确，手柄在水平或垂直位置摆动不能大于2º。开关操作机构的方轴必须与开关垂直不能松动。</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 母线应有能承受该台抽屉式开关柜总电流的能力。</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(6) 一次触头的圆弧接触部分必须光滑，圆弧部分不允许有毛刺和不平整。一次插件用优质无氧铜板精冲成型，表面经过镀镍处理，具有很好的电气性能和耐磨性能，质量应满足国家标准，保障电气连接可靠性以及温升等级。</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 抽屉能安全可靠的运行，一次触头是关键，制造厂从工艺上必须保证抽屉抽插 500次接触部位不露铜。</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(8) 具有明显的运行、试验、抽出和隔离位置，并配有相应的符号标志，抽屉单元带有导轨和推进机构，设有运行、试验和分离位置，且有定位机构。同类型抽屉具有互换性，一旦发生故障，可在系统供电情况下更换故障开关，迅速恢复供电。</w:t>
      </w:r>
      <w:r/>
    </w:p>
    <w:p>
      <w:pPr>
        <w:ind w:firstLine="422"/>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4．主母线、母线槽</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4.1. 主母线和母线槽基本要求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 主母线和工作零线母线最大持续电流：满足各回路配置表要求。并应满足与变压器容量相匹配的动稳定、热稳定校验。进线单元、馈线单元分支母线所能承受的额定短时耐受电流及额定峰值耐受电流应不低于水平母线的相应值。</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 每个联络母线桥由中标人供货，母线桥动、热稳定电流、额定电流及相数应与各段主母线一致。</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 投标人应负责与变压器低压侧连接的母排（变压器二次侧母线侧出，与低压柜之间采用铜箔软连接），并应与变压器供货商协调母线与变压器接口处理方法。</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 投标人应负责在柜体与外接封闭母线连接时的铜排，伸出柜外铜排长度依据最终与封闭母线连接方案，连接为3相5线。</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 主母线和分支母线应由螺栓连接的高导电率的铜排制成，符合规定的载流量。螺栓连接的方法，应在不限制使用寿命的期间内，从标准的额定环境温度到额定满载温度范围内，螺孔周围的初始接触压力应大体保持不变，每个连接有四个螺栓。</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(6) 低压开关柜内的主母线和配电母线槽均为三相五线制（TN-S），材料为导电率为99.95%的铜。</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 主母线、分支母线等裸露部位以及接头，都套有与三相颜色相对应色彩的热缩以防护。</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(8) 母线系统中所用的母线绝缘支架(SMC材料为高强度、不吸潮、阻燃、长寿命的并能耐受规定的环境条件产品)以及柜内所用的塑料材料，均不含有任何 CFC 或卤素元素，具有阻燃和难燃的特性，并符合对环境保护的要求。在设备的使用寿命内，其机械强度和电气性能应保持不变。</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(9) 母线之间的连接应保证足够的面积和压力，但不应使母线变形。振动和温度变化不应影响母线连接部位的接触。</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(10) 母线和主电路连接件的带电部件之间及其接地金属构件的爬电距离和电气间隙应不小于 20mm。母线绝缘物和支持件应具有防潮性能，以保持其介电强度不变。</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(11) 开关柜内母线和截面积的选择是投标人的职责，除了必须承载的电流外，还应考虑到开关柜承受的机械应力、敷设方法、绝缘类型以及所连接的元件种类等因素的影响。</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(12) 垂直母线应既可防止电弧引起的放电，又能防止人体接触，通过特殊连接件与主母线连接。当抽出单元抽出时可以防止意外触及垂直母线。垂直母线载流量须满足整面柜各功能单元的需求。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(13) 安装于主母线及分支母线上的二次回路采样线连接点及二次元器件（如 CT），应处于可视范围内，且便于维护更换。</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3.2. 主母线</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 额定电流：需满足使用要求。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 正常的温升、绝缘材料的老化和正常工作时所产生的振动不应造成载流部件的连接有异常变化，尤其应考虑到不同金属材料的热膨胀和电解作用以及实际温度对材料耐久性的影响。</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 螺栓连接的方法，应在不限制使用寿命的期间内，从标准的额定环境温度到额定满载温度范围内(满足国标或IEC60439 中关于允许温升的规定)，螺孔周围的初始接触压力应大体保持不变。</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 主母线支持件和母线绝缘物，应为不吸潮、阻燃、长寿命的并能耐受规定的环境条件产品。在设备的使用寿命内，其机械强度和电气性能应保持不变。</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 所有导体的支持件，应能耐受相当于它所接的断路器的最大额定开断电流所引起的应力等动热稳定的要求。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(6) 配电柜中工作零线母线截面要求和相线母线截面相同。</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 馈线柜竖直工作零线应伸至柜底且与最下面一个抽屉开关接线端子平齐。</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3.3. 接地母线</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 接地母线应由螺栓连接的高导电率的铜排制成，铜接地母线应延伸至整段结构，并应用螺栓接在每一面开关柜的框架上。</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 铜接地母线截面应按有关国标选择，每个螺栓接头和塔接头应不少于两个螺栓，每个分支接头按需要应有一个或一个以上的螺栓。</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 每台柜体应装有足够截面的铜接地导线，满足相关标准要求前提下，不低于 1/2 相线母线截面积，连接到主框架的前面、侧面和后面，接地母线末端应安装有可靠的压接式端子，以便接到变电所的接地网上。所有柜体的接地线与接地母线的连接至少用两颗螺钉，所有金属结构的部件，应按有关规定可靠连接到柜内接地母线上。</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 低压开关柜内设有独立的 PE 接地保护系统，并且贯穿整个装置。在每台开关柜的显眼处设置保护接地端子并设有清楚而永久的标识。</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 保护接地端子采取抗腐蚀的适当措施。</w:t>
      </w:r>
      <w:r/>
    </w:p>
    <w:p>
      <w:pPr>
        <w:ind w:firstLine="422"/>
        <w:spacing w:line="360" w:lineRule="auto"/>
        <w:rPr>
          <w:rFonts w:ascii="宋体" w:hAnsi="宋体" w:eastAsia="宋体" w:cs="宋体"/>
          <w:b/>
          <w:szCs w:val="21"/>
          <w:highlight w:val="none"/>
        </w:rPr>
      </w:pPr>
      <w:r>
        <w:rPr>
          <w:rFonts w:hint="eastAsia" w:ascii="宋体" w:hAnsi="宋体" w:eastAsia="宋体" w:cs="宋体"/>
          <w:b/>
          <w:szCs w:val="21"/>
          <w:highlight w:val="none"/>
        </w:rPr>
        <w:t xml:space="preserve">五、商务要求</w:t>
      </w:r>
      <w:r/>
    </w:p>
    <w:p>
      <w:pPr>
        <w:ind w:firstLine="422"/>
        <w:jc w:val="left"/>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（一）质保与售后要求</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1.质保期要求：产品实行“三包”，产品质保期为产品安装、调试、终验收合格后</w:t>
      </w:r>
      <w:r>
        <w:rPr>
          <w:rFonts w:hint="eastAsia" w:ascii="宋体" w:hAnsi="宋体" w:eastAsia="宋体" w:cs="宋体"/>
          <w:b/>
          <w:bCs/>
          <w:szCs w:val="21"/>
          <w:highlight w:val="none"/>
        </w:rPr>
        <w:t xml:space="preserve">不少于2年</w:t>
      </w:r>
      <w:r>
        <w:rPr>
          <w:rFonts w:hint="eastAsia" w:ascii="宋体" w:hAnsi="宋体" w:eastAsia="宋体" w:cs="宋体"/>
          <w:szCs w:val="21"/>
          <w:highlight w:val="none"/>
        </w:rPr>
        <w:t xml:space="preserve">，质保（含维保、含所有耗材）服务，费用包含在投标总价中（自验收报告签字确认日起，开始进入质保期）。 </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2.售后服务要求：</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（1）中标人提供详细的售后服务承诺书，包括质保期、质量问题处理方法。提供标准配置的附件和专用维修工具，备件和易损件。</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（2）质保期内，中标人接到保修请求，应在半小时内响应，2小时内维修人员到达现场，必要时应向采购人提供应急备用设备，修复或更换零部件须满足国家及行业环保和质量标准。</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备件停止生产的情况下，中标人应事先将要停止生产的计划通知采购人，使采购人有足够时间采购所需的备件，如果采购人要求，中标人须免费向采购人提供备件图纸和资料。技术资料：产品说明书，安装、操作、维修手册等。</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4.质保期内维保服务要求：</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（1）巡检周期：中标人承诺质保期内每月安排专业售后人员来校实地巡视二次，巡视过程中应根据学校要求检查所提供产品运行情况，发现隐患及时上报并做好相关记录存档。</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（2）硬件故障维修时间超过24小时则需提供备用件更换。</w:t>
      </w:r>
      <w:r/>
    </w:p>
    <w:p>
      <w:pPr>
        <w:ind w:firstLine="422"/>
        <w:jc w:val="left"/>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（二）工程质量要求</w:t>
      </w:r>
      <w:r/>
    </w:p>
    <w:p>
      <w:pPr>
        <w:ind w:firstLine="420"/>
        <w:jc w:val="left"/>
        <w:spacing w:line="360" w:lineRule="auto"/>
        <w:rPr>
          <w:rFonts w:ascii="宋体" w:hAnsi="宋体" w:eastAsia="宋体" w:cs="宋体"/>
          <w:b/>
          <w:bCs/>
          <w:szCs w:val="21"/>
          <w:highlight w:val="none"/>
        </w:rPr>
      </w:pPr>
      <w:r>
        <w:rPr>
          <w:rFonts w:hint="eastAsia" w:ascii="宋体" w:hAnsi="宋体" w:eastAsia="宋体" w:cs="宋体"/>
          <w:szCs w:val="21"/>
          <w:highlight w:val="none"/>
        </w:rPr>
        <w:t xml:space="preserve">1</w:t>
      </w:r>
      <w:r>
        <w:rPr>
          <w:rFonts w:hint="eastAsia" w:ascii="宋体" w:hAnsi="宋体" w:cs="宋体"/>
          <w:szCs w:val="21"/>
          <w:highlight w:val="none"/>
          <w:lang w:val="en-US" w:eastAsia="zh-CN"/>
        </w:rPr>
        <w:t xml:space="preserve">.</w:t>
      </w:r>
      <w:r>
        <w:rPr>
          <w:rFonts w:hint="eastAsia" w:ascii="宋体" w:hAnsi="宋体" w:eastAsia="宋体" w:cs="宋体"/>
          <w:szCs w:val="21"/>
          <w:highlight w:val="none"/>
        </w:rPr>
        <w:t xml:space="preserve">按现行国家施工规范的要求进行施工，工程质量必须符合国家《建筑工程施工质量验收统一标准》（GB50300-2013）和南京市地方有关标准。自项目竣工验收合格之日起算，</w:t>
      </w:r>
      <w:r>
        <w:rPr>
          <w:rFonts w:hint="eastAsia" w:ascii="宋体" w:hAnsi="宋体" w:eastAsia="宋体" w:cs="宋体"/>
          <w:b/>
          <w:bCs/>
          <w:szCs w:val="21"/>
          <w:highlight w:val="none"/>
        </w:rPr>
        <w:t xml:space="preserve">质量保修期不低于二年。</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cs="宋体"/>
          <w:szCs w:val="21"/>
          <w:highlight w:val="none"/>
          <w:lang w:val="en-US" w:eastAsia="zh-CN"/>
        </w:rPr>
        <w:t xml:space="preserve">.</w:t>
      </w:r>
      <w:r>
        <w:rPr>
          <w:rFonts w:hint="eastAsia" w:ascii="宋体" w:hAnsi="宋体" w:eastAsia="宋体" w:cs="宋体"/>
          <w:szCs w:val="21"/>
          <w:highlight w:val="none"/>
        </w:rPr>
        <w:t xml:space="preserve">参照图纸、施工图集、国家现行施工规范及有关工程验收规范进行验收。</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cs="宋体"/>
          <w:szCs w:val="21"/>
          <w:highlight w:val="none"/>
          <w:lang w:val="en-US" w:eastAsia="zh-CN"/>
        </w:rPr>
        <w:t xml:space="preserve">.</w:t>
      </w:r>
      <w:r>
        <w:rPr>
          <w:rFonts w:hint="eastAsia" w:ascii="宋体" w:hAnsi="宋体" w:eastAsia="宋体" w:cs="宋体"/>
          <w:szCs w:val="21"/>
          <w:highlight w:val="none"/>
        </w:rPr>
        <w:t xml:space="preserve">施工时，必须有序组织，整个施工期间必须做好安全警示工作，夜间悬挂红灯，制做安全警示牌。出现的一切安全事故均由施工单位自负。</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cs="宋体"/>
          <w:szCs w:val="21"/>
          <w:highlight w:val="none"/>
          <w:lang w:val="en-US" w:eastAsia="zh-CN"/>
        </w:rPr>
        <w:t xml:space="preserve">.</w:t>
      </w:r>
      <w:r>
        <w:rPr>
          <w:rFonts w:hint="eastAsia" w:ascii="宋体" w:hAnsi="宋体" w:eastAsia="宋体" w:cs="宋体"/>
          <w:szCs w:val="21"/>
          <w:highlight w:val="none"/>
        </w:rPr>
        <w:t xml:space="preserve">所有施工场地拆除的建筑垃圾运至室外后自行运至校外，运距自行考虑，报价中体现，不再另行结算并且负责清理渣土车在校内道路上跑冒滴漏的建筑垃圾。</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cs="宋体"/>
          <w:szCs w:val="21"/>
          <w:highlight w:val="none"/>
          <w:lang w:val="en-US" w:eastAsia="zh-CN"/>
        </w:rPr>
        <w:t xml:space="preserve">.</w:t>
      </w:r>
      <w:r>
        <w:rPr>
          <w:rFonts w:hint="eastAsia" w:ascii="宋体" w:hAnsi="宋体" w:eastAsia="宋体" w:cs="宋体"/>
          <w:szCs w:val="21"/>
          <w:highlight w:val="none"/>
        </w:rPr>
        <w:t xml:space="preserve">施工单位自行办理渣土营运证，因各种原因导致的任何渣土外运事宜与本校无关。</w:t>
      </w:r>
      <w:r/>
    </w:p>
    <w:p>
      <w:pPr>
        <w:ind w:firstLine="420"/>
        <w:jc w:val="left"/>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6.施工单位将旧设备拆除后送至采购人指定的校内地点。</w:t>
      </w:r>
      <w:r/>
    </w:p>
    <w:p>
      <w:pPr>
        <w:ind w:firstLine="422"/>
        <w:jc w:val="left"/>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（三）踏勘现场</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1、投标单位根据自身需要自行对施工现场进行踏勘，以获取编制投标文件所需的资料。</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2、招标单位向投标单位提供的数据仅作为投标报价的依据，结算时按实结算。</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3、投标单位对本招标文件所作出的理解、推论和解释由其自己负责。</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4、由于现场踏勘没有进行或者不详细，所导致的一切问题均由投标单位自行负责。</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5、集中考察或答疑：采购人不组织集中考察，投标人可自行联系采购人。</w:t>
      </w:r>
      <w:r/>
    </w:p>
    <w:p>
      <w:pPr>
        <w:ind w:firstLine="422"/>
        <w:jc w:val="left"/>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（四）工期要求</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自合同签订之日起40日内完成供货、安装及相关调试工作，通过验收，交付使用。完工后必须将施工现场打扫干净交付使用单位。每逾期超过一天，直接从项目款中扣除人民币1000元/天的罚款（不可抗力因素除外）。</w:t>
      </w:r>
      <w:r/>
    </w:p>
    <w:p>
      <w:pPr>
        <w:ind w:firstLine="422"/>
        <w:jc w:val="left"/>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（五）验收要求</w:t>
      </w:r>
      <w:r/>
    </w:p>
    <w:p>
      <w:pPr>
        <w:ind w:firstLine="422"/>
        <w:jc w:val="left"/>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1.中标人须确保本项目安装完成后所有设备、调试必须通过供电部门验收合格，确保能满足正式通电要求，办理供电部门相关手续及其他一切协调事宜，若无法通过供电部门验收，采购人有权扣除本项目合同款项的20%作为违约金，并督促中标人配合完成供电部门验收，若中标人仍然无法完成供电部门验收，采购人有权单方面解除合同，并责令中标人进行相应赔偿。（提供承诺书加盖公章，格式自拟，未提供将作为无效投标）</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2.验收结果：验收不合格须立即整改，整改后验收仍不合格的，采购人依据法律追究合同责任方的责任或终止合同。</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3.竣工验收由施工、学校、监理、设计4方共同参与，电力设备正常无故障运行一个月后，为验收合格。</w:t>
      </w:r>
      <w:r/>
    </w:p>
    <w:p>
      <w:pPr>
        <w:ind w:firstLine="422"/>
        <w:jc w:val="left"/>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（六）付款要求</w:t>
      </w:r>
      <w:r/>
    </w:p>
    <w:p>
      <w:pPr>
        <w:ind w:firstLine="422"/>
        <w:jc w:val="left"/>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1.履约保证金</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本项目实行履约担保制度，中标人在合同签订前，必须向采购人提交成交金额10%作为履约保证金。履约保证金缴纳形式为转帐支票（或汇票、电汇，银行保函），工程结束经验收合格后10天内退还履约保证金（不计息）。</w:t>
      </w:r>
      <w:r/>
    </w:p>
    <w:p>
      <w:pPr>
        <w:ind w:firstLine="422"/>
        <w:jc w:val="left"/>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2.付款进度</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（1）合同签订后30天内，采购人支付合同总价的30%作为预付款。</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（2）工程竣工验收合格后，中标人提供竣工资料交采购人后，采购人付至合同价的80%，同时无息退还合同履约保证金。</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（3）工程竣工验收合格，并经审计后1个月内，采购人支付至审定价的97%。</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（4）质保期结束后，如本工程无任何质量问题，中标人提交申请，采购人15日内向承包人退还审定价的3%质保金。</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（5）每次付款时，中标人应开具符合税务机关规定的增值税发票给采购人，作为付款前提条件之一。</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六、附件</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1.招标工程量清单</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2.图纸</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3.清单编制说明</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下载地址：通过网盘分享的文件： https://pan.baidu.com/s/1mU_x9vL6LutvKQfyTmeS5Q?pwd=cpwv 提取码: cpwv  </w:t>
      </w:r>
      <w:r/>
    </w:p>
    <w:p>
      <w:pPr>
        <w:ind w:firstLine="482"/>
        <w:jc w:val="left"/>
        <w:spacing w:line="360" w:lineRule="auto"/>
        <w:rPr>
          <w:rFonts w:hint="eastAsia" w:ascii="宋体" w:hAnsi="宋体" w:eastAsia="宋体" w:cs="宋体"/>
          <w:color w:val="auto"/>
          <w:spacing w:val="0"/>
        </w:rPr>
      </w:pPr>
      <w:r>
        <w:rPr>
          <w:rFonts w:hint="eastAsia" w:ascii="宋体" w:hAnsi="宋体" w:eastAsia="宋体" w:cs="宋体"/>
          <w:b/>
          <w:bCs/>
          <w:sz w:val="24"/>
          <w:highlight w:val="none"/>
        </w:rPr>
        <w:t xml:space="preserve">本章节加“★”内容为实质性要求，需在《技术要求响应及偏离表》和《商务要求响应及偏离表》中明确响应，投标人未对实质性要求明确响应或有负偏离</w:t>
      </w:r>
      <w:r>
        <w:rPr>
          <w:rFonts w:hint="eastAsia" w:ascii="宋体" w:hAnsi="宋体" w:eastAsia="宋体" w:cs="宋体"/>
          <w:b/>
          <w:bCs/>
          <w:sz w:val="24"/>
          <w:highlight w:val="none"/>
          <w:lang w:val="en-US" w:eastAsia="zh-CN"/>
        </w:rPr>
        <w:t xml:space="preserve">或未提供相应材料的，</w:t>
      </w:r>
      <w:r>
        <w:rPr>
          <w:rFonts w:hint="eastAsia" w:ascii="宋体" w:hAnsi="宋体" w:eastAsia="宋体" w:cs="宋体"/>
          <w:b/>
          <w:bCs/>
          <w:sz w:val="24"/>
          <w:highlight w:val="none"/>
        </w:rPr>
        <w:t xml:space="preserve">按无效响应处理。</w:t>
      </w:r>
      <w:bookmarkEnd w:id="143"/>
      <w:r/>
      <w:bookmarkEnd w:id="144"/>
      <w:r/>
      <w:bookmarkStart w:id="149" w:name="_Toc176529671"/>
      <w:r>
        <w:rPr>
          <w:rFonts w:hint="eastAsia" w:ascii="宋体" w:hAnsi="宋体" w:eastAsia="宋体" w:cs="宋体"/>
          <w:color w:val="auto"/>
          <w:spacing w:val="0"/>
        </w:rPr>
        <w:br w:type="page" w:clear="all"/>
      </w:r>
      <w:r/>
    </w:p>
    <w:p>
      <w:pPr>
        <w:pStyle w:val="902"/>
        <w:numPr>
          <w:ilvl w:val="0"/>
          <w:numId w:val="0"/>
        </w:numPr>
        <w:ind w:left="567"/>
        <w:rPr>
          <w:rFonts w:hint="eastAsia" w:ascii="宋体" w:hAnsi="宋体" w:eastAsia="宋体" w:cs="宋体"/>
          <w:color w:val="auto"/>
          <w:spacing w:val="0"/>
        </w:rPr>
      </w:pPr>
      <w:r>
        <w:rPr>
          <w:rFonts w:hint="eastAsia" w:ascii="宋体" w:hAnsi="宋体" w:eastAsia="宋体" w:cs="宋体"/>
          <w:color w:val="auto"/>
          <w:spacing w:val="0"/>
        </w:rPr>
        <w:t xml:space="preserve">第五章 合同主要条款及格式</w:t>
      </w:r>
      <w:bookmarkEnd w:id="141"/>
      <w:r/>
      <w:bookmarkEnd w:id="142"/>
      <w:r/>
      <w:bookmarkEnd w:id="149"/>
      <w:r/>
      <w:r/>
    </w:p>
    <w:p>
      <w:pPr>
        <w:rPr>
          <w:rFonts w:hint="eastAsia" w:ascii="宋体" w:hAnsi="宋体" w:eastAsia="宋体" w:cs="宋体"/>
          <w:color w:val="auto"/>
          <w:spacing w:val="0"/>
        </w:rPr>
      </w:pPr>
      <w:r>
        <w:rPr>
          <w:rFonts w:hint="eastAsia" w:ascii="宋体" w:hAnsi="宋体" w:eastAsia="宋体" w:cs="宋体"/>
          <w:color w:val="auto"/>
          <w:spacing w:val="0"/>
        </w:rPr>
      </w:r>
      <w:r/>
    </w:p>
    <w:p>
      <w:pPr>
        <w:rPr>
          <w:rFonts w:hint="eastAsia" w:ascii="宋体" w:hAnsi="宋体" w:eastAsia="宋体" w:cs="宋体"/>
          <w:color w:val="auto"/>
          <w:spacing w:val="0"/>
        </w:rPr>
      </w:pPr>
      <w:r>
        <w:rPr>
          <w:rFonts w:hint="eastAsia" w:ascii="宋体" w:hAnsi="宋体" w:eastAsia="宋体" w:cs="宋体"/>
          <w:color w:val="auto"/>
          <w:spacing w:val="0"/>
        </w:rPr>
      </w:r>
      <w:r/>
    </w:p>
    <w:p>
      <w:pPr>
        <w:rPr>
          <w:rFonts w:hint="eastAsia" w:ascii="宋体" w:hAnsi="宋体" w:eastAsia="宋体" w:cs="宋体"/>
          <w:color w:val="auto"/>
          <w:spacing w:val="0"/>
        </w:rPr>
      </w:pPr>
      <w:r>
        <w:rPr>
          <w:rFonts w:hint="eastAsia" w:ascii="宋体" w:hAnsi="宋体" w:eastAsia="宋体" w:cs="宋体"/>
          <w:color w:val="auto"/>
          <w:spacing w:val="0"/>
        </w:rPr>
      </w:r>
      <w:r/>
    </w:p>
    <w:p>
      <w:pPr>
        <w:rPr>
          <w:rFonts w:hint="eastAsia" w:ascii="宋体" w:hAnsi="宋体" w:eastAsia="宋体" w:cs="宋体"/>
          <w:color w:val="auto"/>
          <w:spacing w:val="0"/>
        </w:rPr>
      </w:pPr>
      <w:r>
        <w:rPr>
          <w:rFonts w:hint="eastAsia" w:ascii="宋体" w:hAnsi="宋体" w:eastAsia="宋体" w:cs="宋体"/>
          <w:color w:val="auto"/>
          <w:spacing w:val="0"/>
        </w:rPr>
      </w:r>
      <w:r/>
    </w:p>
    <w:p>
      <w:pPr>
        <w:rPr>
          <w:rFonts w:hint="eastAsia" w:ascii="宋体" w:hAnsi="宋体" w:eastAsia="宋体" w:cs="宋体"/>
          <w:color w:val="auto"/>
          <w:spacing w:val="0"/>
        </w:rPr>
      </w:pPr>
      <w:r>
        <w:rPr>
          <w:rFonts w:hint="eastAsia" w:ascii="宋体" w:hAnsi="宋体" w:eastAsia="宋体" w:cs="宋体"/>
          <w:color w:val="auto"/>
          <w:spacing w:val="0"/>
        </w:rPr>
      </w:r>
      <w:r/>
    </w:p>
    <w:p>
      <w:pPr>
        <w:jc w:val="left"/>
        <w:rPr>
          <w:rFonts w:ascii="宋体" w:hAnsi="宋体" w:cs="宋体"/>
          <w:bCs/>
          <w:color w:val="auto"/>
          <w:sz w:val="32"/>
          <w:szCs w:val="32"/>
          <w:highlight w:val="none"/>
        </w:rPr>
      </w:pPr>
      <w:r/>
      <w:bookmarkStart w:id="150" w:name="_Hlk66377681"/>
      <w:r/>
      <w:bookmarkStart w:id="151" w:name="_Toc12929"/>
      <w:r>
        <w:rPr>
          <w:rFonts w:hint="eastAsia" w:ascii="宋体" w:hAnsi="宋体" w:cs="宋体"/>
          <w:bCs/>
          <w:color w:val="auto"/>
          <w:sz w:val="32"/>
          <w:szCs w:val="32"/>
          <w:highlight w:val="none"/>
        </w:rPr>
        <w:t xml:space="preserve">（GF—2017—0201）</w:t>
      </w:r>
      <w:r/>
    </w:p>
    <w:p>
      <w:pPr>
        <w:jc w:val="center"/>
        <w:rPr>
          <w:rFonts w:ascii="宋体" w:hAnsi="宋体" w:cs="宋体"/>
          <w:b/>
          <w:color w:val="auto"/>
          <w:sz w:val="52"/>
          <w:szCs w:val="52"/>
          <w:highlight w:val="none"/>
        </w:rPr>
      </w:pPr>
      <w:r>
        <w:rPr>
          <w:rFonts w:ascii="宋体" w:hAnsi="宋体" w:cs="宋体"/>
          <w:b/>
          <w:color w:val="auto"/>
          <w:sz w:val="52"/>
          <w:szCs w:val="52"/>
          <w:highlight w:val="none"/>
        </w:rPr>
      </w:r>
      <w:r/>
    </w:p>
    <w:p>
      <w:pPr>
        <w:jc w:val="center"/>
        <w:rPr>
          <w:rFonts w:ascii="宋体" w:hAnsi="宋体" w:cs="宋体"/>
          <w:b/>
          <w:color w:val="auto"/>
          <w:sz w:val="52"/>
          <w:szCs w:val="52"/>
          <w:highlight w:val="none"/>
        </w:rPr>
      </w:pPr>
      <w:r>
        <w:rPr>
          <w:rFonts w:ascii="宋体" w:hAnsi="宋体" w:cs="宋体"/>
          <w:b/>
          <w:color w:val="auto"/>
          <w:sz w:val="52"/>
          <w:szCs w:val="52"/>
          <w:highlight w:val="none"/>
        </w:rPr>
      </w:r>
      <w:r/>
    </w:p>
    <w:p>
      <w:pPr>
        <w:jc w:val="center"/>
        <w:rPr>
          <w:rFonts w:ascii="宋体" w:hAnsi="宋体" w:cs="宋体"/>
          <w:b/>
          <w:color w:val="auto"/>
          <w:sz w:val="52"/>
          <w:szCs w:val="52"/>
          <w:highlight w:val="none"/>
        </w:rPr>
      </w:pPr>
      <w:r>
        <w:rPr>
          <w:rFonts w:ascii="宋体" w:hAnsi="宋体" w:cs="宋体"/>
          <w:b/>
          <w:color w:val="auto"/>
          <w:sz w:val="52"/>
          <w:szCs w:val="52"/>
          <w:highlight w:val="none"/>
        </w:rPr>
      </w:r>
      <w:r/>
    </w:p>
    <w:p>
      <w:pPr>
        <w:jc w:val="center"/>
        <w:rPr>
          <w:rFonts w:hint="eastAsia" w:ascii="宋体" w:hAnsi="宋体" w:eastAsia="宋体" w:cs="宋体"/>
          <w:b/>
          <w:color w:val="auto"/>
          <w:sz w:val="72"/>
          <w:szCs w:val="52"/>
          <w:highlight w:val="none"/>
          <w:lang w:eastAsia="zh-CN"/>
        </w:rPr>
      </w:pPr>
      <w:r>
        <w:rPr>
          <w:rFonts w:hint="eastAsia" w:ascii="宋体" w:hAnsi="宋体" w:cs="宋体"/>
          <w:b/>
          <w:color w:val="auto"/>
          <w:sz w:val="72"/>
          <w:szCs w:val="52"/>
          <w:highlight w:val="none"/>
        </w:rPr>
        <w:t xml:space="preserve">建设工程施工合同</w:t>
      </w:r>
      <w:r/>
    </w:p>
    <w:p>
      <w:pPr>
        <w:pStyle w:val="945"/>
        <w:rPr>
          <w:rFonts w:hint="eastAsia"/>
          <w:color w:val="auto"/>
          <w:highlight w:val="none"/>
          <w:lang w:eastAsia="zh-CN"/>
        </w:rPr>
      </w:pPr>
      <w:r>
        <w:rPr>
          <w:rFonts w:hint="eastAsia"/>
          <w:color w:val="auto"/>
          <w:highlight w:val="none"/>
          <w:lang w:eastAsia="zh-CN"/>
        </w:rPr>
      </w:r>
      <w:r/>
    </w:p>
    <w:p>
      <w:pPr>
        <w:jc w:val="center"/>
        <w:rPr>
          <w:rFonts w:ascii="宋体" w:hAnsi="宋体" w:cs="宋体"/>
          <w:b/>
          <w:color w:val="auto"/>
          <w:sz w:val="52"/>
          <w:szCs w:val="52"/>
          <w:highlight w:val="none"/>
        </w:rPr>
      </w:pPr>
      <w:r>
        <w:rPr>
          <w:rFonts w:hint="eastAsia" w:ascii="宋体" w:hAnsi="宋体" w:cs="宋体"/>
          <w:b/>
          <w:color w:val="auto"/>
          <w:sz w:val="52"/>
          <w:szCs w:val="52"/>
          <w:highlight w:val="none"/>
        </w:rPr>
        <w:t xml:space="preserve">（示范文本）</w:t>
      </w:r>
      <w:r/>
    </w:p>
    <w:p>
      <w:pPr>
        <w:jc w:val="center"/>
        <w:rPr>
          <w:rFonts w:ascii="宋体" w:hAnsi="宋体" w:cs="宋体"/>
          <w:b/>
          <w:color w:val="auto"/>
          <w:sz w:val="52"/>
          <w:szCs w:val="52"/>
          <w:highlight w:val="none"/>
        </w:rPr>
      </w:pPr>
      <w:r>
        <w:rPr>
          <w:rFonts w:ascii="宋体" w:hAnsi="宋体" w:cs="宋体"/>
          <w:b/>
          <w:color w:val="auto"/>
          <w:sz w:val="52"/>
          <w:szCs w:val="52"/>
          <w:highlight w:val="none"/>
        </w:rPr>
      </w:r>
      <w:r/>
    </w:p>
    <w:p>
      <w:pPr>
        <w:jc w:val="center"/>
        <w:rPr>
          <w:rFonts w:ascii="宋体" w:hAnsi="宋体" w:cs="宋体"/>
          <w:b/>
          <w:color w:val="auto"/>
          <w:sz w:val="72"/>
          <w:szCs w:val="72"/>
          <w:highlight w:val="none"/>
        </w:rPr>
      </w:pPr>
      <w:r>
        <w:rPr>
          <w:rFonts w:ascii="宋体" w:hAnsi="宋体" w:cs="宋体"/>
          <w:b/>
          <w:color w:val="auto"/>
          <w:sz w:val="72"/>
          <w:szCs w:val="72"/>
          <w:highlight w:val="none"/>
        </w:rPr>
      </w:r>
      <w:r/>
    </w:p>
    <w:p>
      <w:pPr>
        <w:jc w:val="center"/>
        <w:rPr>
          <w:rFonts w:ascii="宋体" w:hAnsi="宋体" w:cs="宋体"/>
          <w:b/>
          <w:color w:val="auto"/>
          <w:sz w:val="72"/>
          <w:szCs w:val="72"/>
          <w:highlight w:val="none"/>
        </w:rPr>
      </w:pPr>
      <w:r>
        <w:rPr>
          <w:rFonts w:ascii="宋体" w:hAnsi="宋体" w:cs="宋体"/>
          <w:b/>
          <w:color w:val="auto"/>
          <w:sz w:val="72"/>
          <w:szCs w:val="72"/>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ind w:right="2719" w:firstLine="2738"/>
        <w:jc w:val="both"/>
        <w:rPr>
          <w:rFonts w:ascii="宋体" w:hAnsi="宋体" w:cs="宋体"/>
          <w:b/>
          <w:color w:val="auto"/>
          <w:sz w:val="32"/>
          <w:szCs w:val="28"/>
          <w:highlight w:val="none"/>
        </w:rPr>
      </w:pPr>
      <w:r>
        <w:rPr>
          <w:rFonts w:hint="eastAsia" w:ascii="宋体" w:hAnsi="宋体" w:cs="宋体"/>
          <w:color w:val="auto"/>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4560570</wp:posOffset>
                </wp:positionH>
                <wp:positionV relativeFrom="paragraph">
                  <wp:posOffset>120015</wp:posOffset>
                </wp:positionV>
                <wp:extent cx="723900" cy="457200"/>
                <wp:effectExtent l="4445" t="4445" r="14604" b="14604"/>
                <wp:wrapNone/>
                <wp:docPr id="5" name="Text Box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723900" cy="457200"/>
                        </a:xfrm>
                        <a:prstGeom prst="rect">
                          <a:avLst/>
                        </a:prstGeom>
                        <a:noFill/>
                        <a:ln w="9525">
                          <a:solidFill>
                            <a:srgbClr val="FFFFFF"/>
                          </a:solidFill>
                          <a:miter lim="800000"/>
                        </a:ln>
                        <a:effectLst/>
                      </wps:spPr>
                      <wps:txbx>
                        <w:txbxContent>
                          <w:p>
                            <w:pPr>
                              <w:rPr>
                                <w:rFonts w:ascii="Calibri" w:hAnsi="Calibri"/>
                                <w:b/>
                                <w:bCs/>
                                <w:sz w:val="32"/>
                                <w:szCs w:val="22"/>
                              </w:rPr>
                            </w:pPr>
                            <w:r>
                              <w:rPr>
                                <w:rFonts w:hint="eastAsia" w:ascii="Calibri" w:hAnsi="Calibri"/>
                                <w:b/>
                                <w:bCs/>
                                <w:sz w:val="32"/>
                                <w:szCs w:val="22"/>
                              </w:rPr>
                              <w:t xml:space="preserve">制定</w:t>
                            </w:r>
                            <w:r/>
                          </w:p>
                        </w:txbxContent>
                      </wps:txbx>
                      <wps:bodyPr rot="0" vert="horz" wrap="square" lIns="91440" tIns="45720" rIns="91440" bIns="45720" anchor="t" anchorCtr="0" upright="1">
                        <a:noAutofit/>
                      </wps:bodyPr>
                    </wps:wsp>
                  </a:graphicData>
                </a:graphic>
              </wp:anchor>
            </w:drawing>
          </mc:Choice>
          <mc:Fallback>
            <w:pict>
              <v:shape id="shape 4" o:spid="_x0000_s4" o:spt="202" type="#_x0000_t202" style="position:absolute;z-index:251663360;o:allowoverlap:true;o:allowincell:true;mso-position-horizontal-relative:text;margin-left:359.1pt;mso-position-horizontal:absolute;mso-position-vertical-relative:text;margin-top:9.4pt;mso-position-vertical:absolute;width:57.0pt;height:36.0pt;mso-wrap-distance-left:9.0pt;mso-wrap-distance-top:0.0pt;mso-wrap-distance-right:9.0pt;mso-wrap-distance-bottom:0.0pt;v-text-anchor:top;visibility:visible;" filled="f" strokecolor="#FFFFFF" strokeweight="0.75pt">
                <v:textbox inset="0,0,0,0">
                  <w:txbxContent>
                    <w:p>
                      <w:pPr>
                        <w:rPr>
                          <w:rFonts w:ascii="Calibri" w:hAnsi="Calibri"/>
                          <w:b/>
                          <w:bCs/>
                          <w:sz w:val="32"/>
                          <w:szCs w:val="22"/>
                        </w:rPr>
                      </w:pPr>
                      <w:r>
                        <w:rPr>
                          <w:rFonts w:hint="eastAsia" w:ascii="Calibri" w:hAnsi="Calibri"/>
                          <w:b/>
                          <w:bCs/>
                          <w:sz w:val="32"/>
                          <w:szCs w:val="22"/>
                        </w:rPr>
                        <w:t xml:space="preserve">制定</w:t>
                      </w:r>
                      <w:r/>
                    </w:p>
                  </w:txbxContent>
                </v:textbox>
              </v:shape>
            </w:pict>
          </mc:Fallback>
        </mc:AlternateContent>
      </w:r>
      <w:r>
        <w:rPr>
          <w:rFonts w:hint="eastAsia" w:ascii="宋体" w:hAnsi="宋体" w:cs="宋体"/>
          <w:b/>
          <w:color w:val="auto"/>
          <w:sz w:val="32"/>
          <w:szCs w:val="28"/>
          <w:highlight w:val="none"/>
        </w:rPr>
        <w:t xml:space="preserve">住房城乡建设部</w:t>
      </w:r>
      <w:r/>
    </w:p>
    <w:p>
      <w:pPr>
        <w:ind w:right="2719" w:firstLine="2750"/>
        <w:jc w:val="both"/>
        <w:rPr>
          <w:rFonts w:ascii="宋体" w:hAnsi="宋体" w:cs="宋体"/>
          <w:b/>
          <w:color w:val="auto"/>
          <w:sz w:val="32"/>
          <w:szCs w:val="28"/>
          <w:highlight w:val="none"/>
        </w:rPr>
      </w:pPr>
      <w:r>
        <w:rPr>
          <w:rFonts w:hint="eastAsia" w:ascii="宋体" w:hAnsi="宋体" w:cs="宋体"/>
          <w:b/>
          <w:color w:val="auto"/>
          <w:sz w:val="32"/>
          <w:szCs w:val="28"/>
          <w:highlight w:val="none"/>
        </w:rPr>
        <w:t xml:space="preserve">国家工商行政管理总局</w:t>
      </w:r>
      <w:r/>
    </w:p>
    <w:p>
      <w:pPr>
        <w:rPr>
          <w:rFonts w:ascii="宋体" w:hAnsi="宋体" w:cs="宋体"/>
          <w:color w:val="auto"/>
          <w:sz w:val="30"/>
          <w:szCs w:val="30"/>
          <w:highlight w:val="none"/>
        </w:rPr>
        <w:sectPr>
          <w:footerReference w:type="default" r:id="rId12"/>
          <w:footnotePr/>
          <w:endnotePr/>
          <w:type w:val="nextPage"/>
          <w:pgSz w:w="11906" w:h="16838" w:orient="portrait"/>
          <w:pgMar w:top="1134" w:right="1134" w:bottom="1134" w:left="1134" w:header="851" w:footer="992" w:gutter="0"/>
          <w:pgNumType w:start="0"/>
          <w:cols w:num="1" w:sep="0" w:space="720" w:equalWidth="1"/>
          <w:docGrid w:linePitch="360"/>
          <w:titlePg/>
        </w:sectPr>
      </w:pPr>
      <w:r>
        <w:rPr>
          <w:rFonts w:ascii="宋体" w:hAnsi="宋体" w:cs="宋体"/>
          <w:color w:val="auto"/>
          <w:sz w:val="30"/>
          <w:szCs w:val="30"/>
          <w:highlight w:val="none"/>
        </w:rPr>
      </w:r>
      <w:r/>
    </w:p>
    <w:p>
      <w:pPr>
        <w:ind w:right="0"/>
        <w:jc w:val="center"/>
        <w:pageBreakBefore w:val="0"/>
        <w:spacing w:line="360" w:lineRule="auto"/>
        <w:rPr>
          <w:rFonts w:hint="eastAsia" w:ascii="宋体" w:hAnsi="宋体" w:eastAsia="宋体" w:cs="宋体"/>
          <w:b/>
          <w:bCs/>
        </w:rPr>
      </w:pPr>
      <w:r>
        <w:rPr>
          <w:rFonts w:hint="eastAsia" w:ascii="宋体" w:hAnsi="宋体" w:eastAsia="宋体" w:cs="宋体"/>
          <w:b/>
          <w:bCs/>
        </w:rPr>
        <w:t xml:space="preserve">第一部分 合同协议书</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rPr>
        <w:t xml:space="preserve">发包人（全称）：</w:t>
      </w:r>
      <w:r>
        <w:rPr>
          <w:rFonts w:hint="eastAsia" w:ascii="宋体" w:hAnsi="宋体" w:eastAsia="宋体" w:cs="宋体"/>
          <w:u w:val="single"/>
        </w:rPr>
        <w:t xml:space="preserve">南京信息职业技术学院</w:t>
      </w:r>
      <w:r/>
    </w:p>
    <w:p>
      <w:pPr>
        <w:ind w:left="0" w:right="0" w:firstLine="420"/>
        <w:pageBreakBefore w:val="0"/>
        <w:spacing w:line="360" w:lineRule="auto"/>
        <w:rPr>
          <w:rFonts w:hint="eastAsia" w:ascii="宋体" w:hAnsi="宋体" w:eastAsia="宋体" w:cs="宋体"/>
          <w:b/>
          <w:u w:val="single"/>
        </w:rPr>
      </w:pPr>
      <w:r>
        <w:rPr>
          <w:rFonts w:hint="eastAsia" w:ascii="宋体" w:hAnsi="宋体" w:eastAsia="宋体" w:cs="宋体"/>
        </w:rPr>
        <w:t xml:space="preserve">承包人（全称）：</w:t>
      </w:r>
      <w:r>
        <w:rPr>
          <w:rFonts w:hint="eastAsia" w:ascii="宋体" w:hAnsi="宋体" w:eastAsia="宋体" w:cs="宋体"/>
          <w:u w:val="single"/>
        </w:rPr>
        <w:t xml:space="preserve">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根据《中华人民共和国民法典》、《中华人民共和国建筑法》及有关法律规定，遵循平等、自愿、公平和诚实信用的原则，双方就</w:t>
      </w:r>
      <w:r>
        <w:rPr>
          <w:rFonts w:hint="eastAsia" w:ascii="宋体" w:hAnsi="宋体" w:eastAsia="宋体" w:cs="宋体"/>
          <w:u w:val="single"/>
          <w:lang w:eastAsia="zh-CN"/>
        </w:rPr>
        <w:t xml:space="preserve">南京信息职业技术学院部分配电房增容改造项目</w:t>
      </w:r>
      <w:r>
        <w:rPr>
          <w:rFonts w:hint="eastAsia" w:ascii="宋体" w:hAnsi="宋体" w:eastAsia="宋体" w:cs="宋体"/>
        </w:rPr>
        <w:t xml:space="preserve">及有关事项协商一致，共同达成如下协议：</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一、工程概况</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1.工程名称：</w:t>
      </w:r>
      <w:r>
        <w:rPr>
          <w:rFonts w:hint="eastAsia" w:ascii="宋体" w:hAnsi="宋体" w:eastAsia="宋体" w:cs="宋体"/>
          <w:u w:val="single"/>
          <w:lang w:eastAsia="zh-CN"/>
        </w:rPr>
        <w:t xml:space="preserve">南京信息职业技术学院部分配电房增容改造项目</w:t>
      </w:r>
      <w:r>
        <w:rPr>
          <w:rFonts w:hint="eastAsia" w:ascii="宋体" w:hAnsi="宋体" w:eastAsia="宋体" w:cs="宋体"/>
          <w:u w:val="single"/>
        </w:rPr>
        <w:t xml:space="preserve"> </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rPr>
        <w:t xml:space="preserve">2.工程地点：</w:t>
      </w:r>
      <w:r>
        <w:rPr>
          <w:rFonts w:hint="eastAsia" w:ascii="宋体" w:hAnsi="宋体" w:eastAsia="宋体" w:cs="宋体"/>
          <w:u w:val="single"/>
        </w:rPr>
        <w:t xml:space="preserve">江苏省南京市栖霞区南京信息职业技术学院</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3.工程立项批准文号：</w:t>
      </w:r>
      <w:r>
        <w:rPr>
          <w:rFonts w:hint="eastAsia" w:ascii="宋体" w:hAnsi="宋体" w:eastAsia="宋体" w:cs="宋体"/>
          <w:u w:val="single"/>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4.资金来源：</w:t>
      </w:r>
      <w:r>
        <w:rPr>
          <w:rFonts w:hint="eastAsia" w:ascii="宋体" w:hAnsi="宋体" w:eastAsia="宋体" w:cs="宋体"/>
          <w:u w:val="single"/>
        </w:rPr>
        <w:t xml:space="preserve">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5.工程内容：</w:t>
      </w:r>
      <w:r>
        <w:rPr>
          <w:rFonts w:hint="eastAsia" w:ascii="宋体" w:hAnsi="宋体" w:eastAsia="宋体" w:cs="宋体"/>
          <w:u w:val="single"/>
          <w:lang w:eastAsia="zh-CN"/>
        </w:rPr>
        <w:t xml:space="preserve">南京信息职业技术学院部分配电房增容改造项目</w:t>
      </w:r>
      <w:r>
        <w:rPr>
          <w:rFonts w:hint="eastAsia" w:ascii="宋体" w:hAnsi="宋体" w:eastAsia="宋体" w:cs="宋体"/>
          <w:u w:val="single"/>
        </w:rPr>
        <w:t xml:space="preserve">（具体见工程量清单）</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rPr>
        <w:t xml:space="preserve">6.工程承包范围：</w:t>
      </w:r>
      <w:r>
        <w:rPr>
          <w:rFonts w:hint="eastAsia" w:ascii="宋体" w:hAnsi="宋体" w:eastAsia="宋体" w:cs="宋体"/>
          <w:u w:val="single"/>
        </w:rPr>
        <w:t xml:space="preserve">1．本次容量增容</w:t>
      </w:r>
      <w:r>
        <w:rPr>
          <w:rFonts w:hint="eastAsia" w:ascii="宋体" w:hAnsi="宋体" w:eastAsia="宋体" w:cs="宋体"/>
          <w:u w:val="single"/>
          <w:lang w:val="zh-CN"/>
        </w:rPr>
        <w:t xml:space="preserve">为：</w:t>
      </w:r>
      <w:r>
        <w:rPr>
          <w:rFonts w:hint="eastAsia" w:ascii="宋体" w:hAnsi="宋体" w:eastAsia="宋体" w:cs="宋体"/>
          <w:u w:val="single"/>
        </w:rPr>
        <w:t xml:space="preserve">中心子站装机容量均由现状1000kVA（2*500kVA）提升至2000kVA（2*1000kVA），女生宿舍子站由现状3200kVA（2*1600kVA）提升至4000kVA（2*2000kVA），文澜子站装机容量均由现状1000kVA（2*500kVA）提升至2000kVA（2*1000kVA）；增容后，中心开关站新增装机容量2800kVA。</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2．本次设备更新</w:t>
      </w:r>
      <w:r>
        <w:rPr>
          <w:rFonts w:hint="eastAsia" w:ascii="宋体" w:hAnsi="宋体" w:eastAsia="宋体" w:cs="宋体"/>
          <w:u w:val="single"/>
          <w:lang w:val="zh-CN"/>
        </w:rPr>
        <w:t xml:space="preserve">为：</w:t>
      </w:r>
      <w:r>
        <w:rPr>
          <w:rFonts w:hint="eastAsia" w:ascii="宋体" w:hAnsi="宋体" w:eastAsia="宋体" w:cs="宋体"/>
          <w:u w:val="single"/>
        </w:rPr>
        <w:t xml:space="preserve">中心子站现状两台500kVA干式变压器，更换为两台1000kVA的SCB14节能型干式变压器；女生宿舍子站两台1600kVA干式变压器，更换为两台2000kVA的SCB14节能型干式变压器；文澜子站现状两台500kVA干式变压器，更换为两台1000kVA的SCB14节能型干式变压器。</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3．本次配套改造</w:t>
      </w:r>
      <w:r>
        <w:rPr>
          <w:rFonts w:hint="eastAsia" w:ascii="宋体" w:hAnsi="宋体" w:eastAsia="宋体" w:cs="宋体"/>
          <w:u w:val="single"/>
          <w:lang w:val="zh-CN"/>
        </w:rPr>
        <w:t xml:space="preserve">为：</w:t>
      </w:r>
      <w:r>
        <w:rPr>
          <w:rFonts w:hint="eastAsia" w:ascii="宋体" w:hAnsi="宋体" w:eastAsia="宋体" w:cs="宋体"/>
          <w:u w:val="single"/>
        </w:rPr>
        <w:t xml:space="preserve">相应升级改造各配电房内的10kV高压柜、低压配电柜等配套设施，确保系统配套设施与新容量匹配，供配电系统安全、可靠、稳定运行。</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具体施工工艺及工程量详见：设计图纸、工程量清单和特征描述。</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二、合同工期：</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计划开工日期：</w:t>
      </w:r>
      <w:r>
        <w:rPr>
          <w:rFonts w:hint="eastAsia" w:ascii="宋体" w:hAnsi="宋体" w:eastAsia="宋体" w:cs="宋体"/>
          <w:u w:val="single"/>
        </w:rPr>
        <w:t xml:space="preserve"> 2026</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计划竣工日期：</w:t>
      </w:r>
      <w:r>
        <w:rPr>
          <w:rFonts w:hint="eastAsia" w:ascii="宋体" w:hAnsi="宋体" w:eastAsia="宋体" w:cs="宋体"/>
          <w:u w:val="single"/>
        </w:rPr>
        <w:t xml:space="preserve"> 2026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ind w:left="0" w:right="0" w:firstLine="420"/>
        <w:pageBreakBefore w:val="0"/>
        <w:spacing w:line="360" w:lineRule="auto"/>
        <w:rPr>
          <w:rFonts w:hint="eastAsia" w:ascii="宋体" w:hAnsi="宋体" w:eastAsia="宋体" w:cs="宋体"/>
          <w:b/>
          <w:bCs/>
        </w:rPr>
      </w:pPr>
      <w:r>
        <w:rPr>
          <w:rFonts w:hint="eastAsia" w:ascii="宋体" w:hAnsi="宋体" w:eastAsia="宋体" w:cs="宋体"/>
        </w:rPr>
        <w:t xml:space="preserve">工期总日历天数：</w:t>
      </w:r>
      <w:r>
        <w:rPr>
          <w:rFonts w:hint="eastAsia" w:ascii="宋体" w:hAnsi="宋体" w:eastAsia="宋体" w:cs="宋体"/>
          <w:u w:val="single"/>
        </w:rPr>
        <w:t xml:space="preserve">  </w:t>
      </w:r>
      <w:r>
        <w:rPr>
          <w:rFonts w:hint="eastAsia" w:ascii="宋体" w:hAnsi="宋体" w:eastAsia="宋体" w:cs="宋体"/>
        </w:rPr>
        <w:t xml:space="preserve">日历天。工期总日历天数与根据前述计划开竣工日期计算的工期天数不一致的，以工期总日历天数为准。</w:t>
      </w:r>
      <w:r>
        <w:rPr>
          <w:rFonts w:hint="eastAsia" w:ascii="宋体" w:hAnsi="宋体" w:eastAsia="宋体" w:cs="宋体"/>
          <w:b/>
          <w:bCs/>
        </w:rPr>
        <w:t xml:space="preserve">每逾期超过一天，直接从项目款中扣除人民币1000元/天的罚款（不可抗力因素除外）。</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三、质量标准</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工程质量符合：</w:t>
      </w:r>
      <w:r>
        <w:rPr>
          <w:rFonts w:hint="eastAsia" w:ascii="宋体" w:hAnsi="宋体" w:eastAsia="宋体" w:cs="宋体"/>
          <w:u w:val="single"/>
        </w:rPr>
        <w:t xml:space="preserve">满足发包人需求，按照国家颁发的现行相关专业质量验收规范验收，要求达到合格标准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四、签约合同价与合同价格形式</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1.签约合同价为：</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人民币（大写）</w:t>
      </w:r>
      <w:r>
        <w:rPr>
          <w:rFonts w:hint="eastAsia" w:ascii="宋体" w:hAnsi="宋体" w:eastAsia="宋体" w:cs="宋体"/>
          <w:u w:val="single"/>
        </w:rPr>
        <w:t xml:space="preserve">        整 </w:t>
      </w:r>
      <w:r>
        <w:rPr>
          <w:rFonts w:hint="eastAsia" w:ascii="宋体" w:hAnsi="宋体" w:eastAsia="宋体" w:cs="宋体"/>
        </w:rPr>
        <w:t xml:space="preserve">(¥ </w:t>
      </w:r>
      <w:r>
        <w:rPr>
          <w:rFonts w:hint="eastAsia" w:ascii="宋体" w:hAnsi="宋体" w:eastAsia="宋体" w:cs="宋体"/>
          <w:u w:val="single"/>
        </w:rPr>
        <w:t xml:space="preserve">       </w:t>
      </w:r>
      <w:r>
        <w:rPr>
          <w:rFonts w:hint="eastAsia" w:ascii="宋体" w:hAnsi="宋体" w:eastAsia="宋体" w:cs="宋体"/>
        </w:rPr>
        <w:t xml:space="preserve">元)；</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2.合同价格形式：</w:t>
      </w:r>
      <w:r>
        <w:rPr>
          <w:rFonts w:hint="eastAsia" w:ascii="宋体" w:hAnsi="宋体" w:eastAsia="宋体" w:cs="宋体"/>
          <w:u w:val="single"/>
        </w:rPr>
        <w:t xml:space="preserve">  固定单价合同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五、项目经理</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承包人项目经理：</w:t>
      </w:r>
      <w:r>
        <w:rPr>
          <w:rFonts w:hint="eastAsia" w:ascii="宋体" w:hAnsi="宋体" w:eastAsia="宋体" w:cs="宋体"/>
          <w:u w:val="single"/>
        </w:rPr>
        <w:t xml:space="preserve">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六、合同文件构成</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本协议书与下列文件一起构成合同文件：</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w:t>
      </w:r>
      <w:r>
        <w:rPr>
          <w:rFonts w:hint="eastAsia" w:ascii="宋体" w:hAnsi="宋体" w:cs="宋体"/>
          <w:lang w:val="en-US" w:eastAsia="zh-CN"/>
        </w:rPr>
        <w:t xml:space="preserve">中标</w:t>
      </w:r>
      <w:r>
        <w:rPr>
          <w:rFonts w:hint="eastAsia" w:ascii="宋体" w:hAnsi="宋体" w:eastAsia="宋体" w:cs="宋体"/>
        </w:rPr>
        <w:t xml:space="preserve">通知书（如果有）；</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w:t>
      </w:r>
      <w:r>
        <w:rPr>
          <w:rFonts w:hint="eastAsia" w:ascii="宋体" w:hAnsi="宋体" w:cs="宋体"/>
          <w:lang w:val="en-US" w:eastAsia="zh-CN"/>
        </w:rPr>
        <w:t xml:space="preserve">投标函</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（3）专用合同条款及其附件；</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（4）通用合同条款；</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（5）技术标准和要求；</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（6）图纸；</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（7）已标价工程量清单或预算书；</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（8）其他合同文件。</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在合同订立及履行过程中形成的与合同有关的文件均构成合同文件组成部分。</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七、承诺</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1.发包人承诺按照法律规定履行项目审批手续、筹集工程建设资金并按照合同约定的期限和方式支付合同价款。</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2.承包人承诺按照法律规定及合同约定组织完成工程施工，确保工程质量和安全，不进行转包及违法分包，并在缺陷责任期及保修期内承担相应的工程维修责任。</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3.发包人和承包人通过招投标形式签订合同的，双方理解并承诺不再就同一工程另行签订与合同实质性内容相背离的协议。</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八、词语含义</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本协议书中词语含义与第二部分通用合同条款中赋予的含义相同。</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九、签订时间</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本合同于</w:t>
      </w:r>
      <w:r>
        <w:rPr>
          <w:rFonts w:hint="eastAsia" w:ascii="宋体" w:hAnsi="宋体" w:eastAsia="宋体" w:cs="宋体"/>
          <w:u w:val="single"/>
        </w:rPr>
        <w:t xml:space="preserve"> 2026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日签订。</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十、签订地点</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本合同在</w:t>
      </w:r>
      <w:r>
        <w:rPr>
          <w:rFonts w:hint="eastAsia" w:ascii="宋体" w:hAnsi="宋体" w:eastAsia="宋体" w:cs="宋体"/>
          <w:u w:val="single"/>
        </w:rPr>
        <w:t xml:space="preserve"> 发包人所在地 </w:t>
      </w:r>
      <w:r>
        <w:rPr>
          <w:rFonts w:hint="eastAsia" w:ascii="宋体" w:hAnsi="宋体" w:eastAsia="宋体" w:cs="宋体"/>
        </w:rPr>
        <w:t xml:space="preserve">签订。</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十一、补充协议</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合同未尽事宜，合同当事人另行签订补充协议，补充协议是合同的组成部分。</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十二、合同生效</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本合同自</w:t>
      </w:r>
      <w:r>
        <w:rPr>
          <w:rFonts w:hint="eastAsia" w:ascii="宋体" w:hAnsi="宋体" w:eastAsia="宋体" w:cs="宋体"/>
          <w:u w:val="single"/>
        </w:rPr>
        <w:t xml:space="preserve">  合同签字盖章后 </w:t>
      </w:r>
      <w:r>
        <w:rPr>
          <w:rFonts w:hint="eastAsia" w:ascii="宋体" w:hAnsi="宋体" w:eastAsia="宋体" w:cs="宋体"/>
        </w:rPr>
        <w:t xml:space="preserve">生效。</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十三、合同份数</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本合同一式</w:t>
      </w:r>
      <w:r>
        <w:rPr>
          <w:rFonts w:hint="eastAsia" w:ascii="宋体" w:hAnsi="宋体" w:eastAsia="宋体" w:cs="宋体"/>
          <w:u w:val="single"/>
        </w:rPr>
        <w:t xml:space="preserve"> 陆 </w:t>
      </w:r>
      <w:r>
        <w:rPr>
          <w:rFonts w:hint="eastAsia" w:ascii="宋体" w:hAnsi="宋体" w:eastAsia="宋体" w:cs="宋体"/>
        </w:rPr>
        <w:t xml:space="preserve">份，均具有同等法律效力，发包人执</w:t>
      </w:r>
      <w:r>
        <w:rPr>
          <w:rFonts w:hint="eastAsia" w:ascii="宋体" w:hAnsi="宋体" w:eastAsia="宋体" w:cs="宋体"/>
          <w:u w:val="single"/>
        </w:rPr>
        <w:t xml:space="preserve"> 叁 </w:t>
      </w:r>
      <w:r>
        <w:rPr>
          <w:rFonts w:hint="eastAsia" w:ascii="宋体" w:hAnsi="宋体" w:eastAsia="宋体" w:cs="宋体"/>
        </w:rPr>
        <w:t xml:space="preserve">份，承包人执</w:t>
      </w:r>
      <w:r>
        <w:rPr>
          <w:rFonts w:hint="eastAsia" w:ascii="宋体" w:hAnsi="宋体" w:eastAsia="宋体" w:cs="宋体"/>
          <w:u w:val="single"/>
        </w:rPr>
        <w:t xml:space="preserve"> 叁 </w:t>
      </w:r>
      <w:r>
        <w:rPr>
          <w:rFonts w:hint="eastAsia" w:ascii="宋体" w:hAnsi="宋体" w:eastAsia="宋体" w:cs="宋体"/>
        </w:rPr>
        <w:t xml:space="preserve">份。</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r>
      <w:r/>
    </w:p>
    <w:tbl>
      <w:tblPr>
        <w:tblStyle w:val="912"/>
        <w:tblW w:w="7560" w:type="dxa"/>
        <w:tblInd w:w="828" w:type="dxa"/>
        <w:tblLayout w:type="fixed"/>
        <w:tblCellMar>
          <w:left w:w="108" w:type="dxa"/>
          <w:top w:w="0" w:type="dxa"/>
          <w:right w:w="108" w:type="dxa"/>
          <w:bottom w:w="0" w:type="dxa"/>
        </w:tblCellMar>
        <w:tblLook w:val="04A0" w:firstRow="1" w:lastRow="0" w:firstColumn="1" w:lastColumn="0" w:noHBand="0" w:noVBand="1"/>
      </w:tblPr>
      <w:tblGrid>
        <w:gridCol w:w="3433"/>
        <w:gridCol w:w="4127"/>
      </w:tblGrid>
      <w:tr>
        <w:trPr/>
        <w:tc>
          <w:tcPr>
            <w:tcW w:w="3433" w:type="dxa"/>
            <w:textDirection w:val="lrTb"/>
            <w:noWrap w:val="false"/>
          </w:tcPr>
          <w:p>
            <w:pPr>
              <w:ind w:left="0" w:right="0" w:firstLine="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发包人：（公章）</w:t>
            </w:r>
            <w:r/>
          </w:p>
        </w:tc>
        <w:tc>
          <w:tcPr>
            <w:tcW w:w="4127" w:type="dxa"/>
            <w:textDirection w:val="lrTb"/>
            <w:noWrap w:val="false"/>
          </w:tcPr>
          <w:p>
            <w:pPr>
              <w:ind w:left="0" w:right="0" w:firstLine="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承包人：（公章）</w:t>
            </w:r>
            <w:r/>
          </w:p>
        </w:tc>
      </w:tr>
      <w:tr>
        <w:trPr/>
        <w:tc>
          <w:tcPr>
            <w:tcW w:w="3433" w:type="dxa"/>
            <w:textDirection w:val="lrTb"/>
            <w:noWrap w:val="false"/>
          </w:tcPr>
          <w:p>
            <w:pPr>
              <w:ind w:left="0" w:right="0" w:firstLine="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法定代表人或其委托代理人：</w:t>
            </w:r>
            <w:r/>
          </w:p>
          <w:p>
            <w:pPr>
              <w:ind w:left="0" w:right="0" w:firstLine="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（签字）</w:t>
            </w:r>
            <w:r/>
          </w:p>
        </w:tc>
        <w:tc>
          <w:tcPr>
            <w:tcW w:w="4127" w:type="dxa"/>
            <w:textDirection w:val="lrTb"/>
            <w:noWrap w:val="false"/>
          </w:tcPr>
          <w:p>
            <w:pPr>
              <w:ind w:left="0" w:right="0" w:firstLine="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法定代表人或其委托代理人：</w:t>
            </w:r>
            <w:r/>
          </w:p>
          <w:p>
            <w:pPr>
              <w:ind w:left="0" w:right="0" w:firstLine="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（签字）</w:t>
            </w:r>
            <w:r/>
          </w:p>
        </w:tc>
      </w:tr>
      <w:tr>
        <w:trPr/>
        <w:tc>
          <w:tcPr>
            <w:tcW w:w="3433" w:type="dxa"/>
            <w:textDirection w:val="lrTb"/>
            <w:noWrap w:val="false"/>
          </w:tcPr>
          <w:p>
            <w:pPr>
              <w:ind w:left="0" w:right="0" w:firstLine="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组织机构代码：</w:t>
            </w:r>
            <w:r>
              <w:rPr>
                <w:rFonts w:hint="eastAsia" w:ascii="宋体" w:hAnsi="宋体" w:eastAsia="宋体" w:cs="宋体"/>
                <w:u w:val="single"/>
              </w:rPr>
              <w:t xml:space="preserve"> / </w:t>
            </w:r>
            <w:r/>
          </w:p>
        </w:tc>
        <w:tc>
          <w:tcPr>
            <w:tcW w:w="4127" w:type="dxa"/>
            <w:textDirection w:val="lrTb"/>
            <w:noWrap w:val="false"/>
          </w:tcPr>
          <w:p>
            <w:pPr>
              <w:ind w:left="0" w:right="0" w:firstLine="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组织机构代码：</w:t>
            </w:r>
            <w:r>
              <w:rPr>
                <w:rFonts w:hint="eastAsia" w:ascii="宋体" w:hAnsi="宋体" w:eastAsia="宋体" w:cs="宋体"/>
                <w:u w:val="single"/>
              </w:rPr>
              <w:t xml:space="preserve"> / </w:t>
            </w:r>
            <w:r/>
          </w:p>
        </w:tc>
      </w:tr>
      <w:tr>
        <w:trPr/>
        <w:tc>
          <w:tcPr>
            <w:tcW w:w="3433" w:type="dxa"/>
            <w:textDirection w:val="lrTb"/>
            <w:noWrap w:val="false"/>
          </w:tcPr>
          <w:p>
            <w:pPr>
              <w:ind w:left="0" w:right="0" w:firstLine="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地  址：</w:t>
            </w:r>
            <w:r>
              <w:rPr>
                <w:rFonts w:hint="eastAsia" w:ascii="宋体" w:hAnsi="宋体" w:eastAsia="宋体" w:cs="宋体"/>
                <w:u w:val="single"/>
              </w:rPr>
              <w:t xml:space="preserve">                 </w:t>
            </w:r>
            <w:r/>
          </w:p>
        </w:tc>
        <w:tc>
          <w:tcPr>
            <w:tcW w:w="4127" w:type="dxa"/>
            <w:textDirection w:val="lrTb"/>
            <w:noWrap w:val="false"/>
          </w:tcPr>
          <w:p>
            <w:pPr>
              <w:ind w:left="0" w:right="0" w:firstLine="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地  址：</w:t>
            </w:r>
            <w:r>
              <w:rPr>
                <w:rFonts w:hint="eastAsia" w:ascii="宋体" w:hAnsi="宋体" w:eastAsia="宋体" w:cs="宋体"/>
                <w:u w:val="single"/>
              </w:rPr>
              <w:t xml:space="preserve">                </w:t>
            </w:r>
            <w:r/>
          </w:p>
        </w:tc>
      </w:tr>
      <w:tr>
        <w:trPr/>
        <w:tc>
          <w:tcPr>
            <w:tcW w:w="3433" w:type="dxa"/>
            <w:textDirection w:val="lrTb"/>
            <w:noWrap w:val="false"/>
          </w:tcPr>
          <w:p>
            <w:pPr>
              <w:ind w:left="0" w:right="0" w:firstLine="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邮政编码：</w:t>
            </w:r>
            <w:r>
              <w:rPr>
                <w:rFonts w:hint="eastAsia" w:ascii="宋体" w:hAnsi="宋体" w:eastAsia="宋体" w:cs="宋体"/>
                <w:u w:val="single"/>
              </w:rPr>
              <w:t xml:space="preserve">                 </w:t>
            </w:r>
            <w:r/>
          </w:p>
        </w:tc>
        <w:tc>
          <w:tcPr>
            <w:tcW w:w="4127" w:type="dxa"/>
            <w:textDirection w:val="lrTb"/>
            <w:noWrap w:val="false"/>
          </w:tcPr>
          <w:p>
            <w:pPr>
              <w:ind w:left="0" w:right="0" w:firstLine="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邮政编码：</w:t>
            </w:r>
            <w:r>
              <w:rPr>
                <w:rFonts w:hint="eastAsia" w:ascii="宋体" w:hAnsi="宋体" w:eastAsia="宋体" w:cs="宋体"/>
                <w:u w:val="single"/>
              </w:rPr>
              <w:t xml:space="preserve">              </w:t>
            </w:r>
            <w:r/>
          </w:p>
        </w:tc>
      </w:tr>
    </w:tbl>
    <w:p>
      <w:pPr>
        <w:ind w:left="0" w:right="0" w:firstLine="0"/>
        <w:jc w:val="center"/>
        <w:keepLines/>
        <w:keepNext/>
        <w:pageBreakBefore w:val="0"/>
        <w:spacing w:line="360" w:lineRule="auto"/>
        <w:widowControl w:val="off"/>
        <w:rPr>
          <w:rFonts w:hint="eastAsia" w:ascii="宋体" w:hAnsi="宋体" w:eastAsia="宋体" w:cs="宋体"/>
          <w:b/>
        </w:rPr>
      </w:pPr>
      <w:r>
        <w:rPr>
          <w:rFonts w:hint="eastAsia" w:ascii="宋体" w:hAnsi="宋体" w:eastAsia="宋体" w:cs="宋体"/>
          <w:b/>
        </w:rPr>
        <w:br w:type="page" w:clear="all"/>
      </w:r>
      <w:r>
        <w:rPr>
          <w:rFonts w:hint="eastAsia" w:ascii="宋体" w:hAnsi="宋体" w:eastAsia="宋体" w:cs="宋体"/>
          <w:b/>
          <w:bCs/>
        </w:rPr>
        <w:t xml:space="preserve">第二</w:t>
      </w:r>
      <w:bookmarkStart w:id="152" w:name="_Toc376856004"/>
      <w:r/>
      <w:bookmarkStart w:id="153" w:name="_Toc418612390"/>
      <w:r>
        <w:rPr>
          <w:rFonts w:hint="eastAsia" w:ascii="宋体" w:hAnsi="宋体" w:eastAsia="宋体" w:cs="宋体"/>
          <w:b/>
          <w:bCs/>
        </w:rPr>
        <w:t xml:space="preserve">部分 通用合同条款</w:t>
      </w:r>
      <w:r/>
    </w:p>
    <w:p>
      <w:pPr>
        <w:ind w:left="0" w:right="0" w:firstLine="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按建设工程施工合同（示范文本）(GF—2017—0201）文件要求执行</w:t>
      </w:r>
      <w:r/>
    </w:p>
    <w:p>
      <w:pPr>
        <w:ind w:left="0" w:right="0" w:firstLine="0"/>
        <w:jc w:val="center"/>
        <w:keepLines w:val="0"/>
        <w:keepNext w:val="0"/>
        <w:pageBreakBefore w:val="0"/>
        <w:spacing w:line="360" w:lineRule="auto"/>
        <w:widowControl w:val="off"/>
        <w:rPr>
          <w:rFonts w:hint="eastAsia" w:ascii="宋体" w:hAnsi="宋体" w:eastAsia="宋体" w:cs="宋体"/>
          <w:b/>
        </w:rPr>
      </w:pPr>
      <w:r>
        <w:rPr>
          <w:rFonts w:hint="eastAsia" w:ascii="宋体" w:hAnsi="宋体" w:eastAsia="宋体" w:cs="宋体"/>
          <w:b/>
          <w:bCs/>
        </w:rPr>
        <w:br w:type="page" w:clear="all"/>
      </w:r>
      <w:r>
        <w:rPr>
          <w:rFonts w:hint="eastAsia" w:ascii="宋体" w:hAnsi="宋体" w:eastAsia="宋体" w:cs="宋体"/>
          <w:b/>
          <w:bCs/>
        </w:rPr>
        <w:t xml:space="preserve">第三部</w:t>
      </w:r>
      <w:bookmarkEnd w:id="152"/>
      <w:r/>
      <w:bookmarkEnd w:id="153"/>
      <w:r>
        <w:rPr>
          <w:rFonts w:hint="eastAsia" w:ascii="宋体" w:hAnsi="宋体" w:eastAsia="宋体" w:cs="宋体"/>
          <w:b/>
          <w:bCs/>
        </w:rPr>
        <w:t xml:space="preserve">分 专用合同条款</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1.一般约定</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1.1词语定义</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1.1.1合同</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rPr>
        <w:t xml:space="preserve">1.1.1.10其他合同文件包括：</w:t>
      </w:r>
      <w:r>
        <w:rPr>
          <w:rFonts w:hint="eastAsia" w:ascii="宋体" w:hAnsi="宋体" w:eastAsia="宋体" w:cs="宋体"/>
          <w:u w:val="single"/>
        </w:rPr>
        <w:t xml:space="preserve">(1) 明确双方权利、义务的纪要、协议；(2)合同协议书；(3)</w:t>
      </w:r>
      <w:r>
        <w:rPr>
          <w:rFonts w:hint="eastAsia" w:ascii="宋体" w:hAnsi="宋体" w:cs="宋体"/>
          <w:u w:val="single"/>
          <w:lang w:val="en-US" w:eastAsia="zh-CN"/>
        </w:rPr>
        <w:t xml:space="preserve">中标</w:t>
      </w:r>
      <w:r>
        <w:rPr>
          <w:rFonts w:hint="eastAsia" w:ascii="宋体" w:hAnsi="宋体" w:eastAsia="宋体" w:cs="宋体"/>
          <w:u w:val="single"/>
        </w:rPr>
        <w:t xml:space="preserve">通知书；(4)专用条款；（6) 发包文件及答疑；(7) 通用条款；(8) 标准规范及有关技术文件；(9) 工程量清单及发包价文件；(10) 施工图纸。</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1.1.2合同当事人及其他相关方</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1.1.2.5设计人：</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名    称：</w:t>
      </w:r>
      <w:r>
        <w:rPr>
          <w:rFonts w:hint="eastAsia" w:ascii="宋体" w:hAnsi="宋体" w:eastAsia="宋体" w:cs="宋体"/>
          <w:u w:val="single"/>
        </w:rPr>
        <w:t xml:space="preserve">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资质类别和等级：</w:t>
      </w:r>
      <w:r>
        <w:rPr>
          <w:rFonts w:hint="eastAsia" w:ascii="宋体" w:hAnsi="宋体" w:eastAsia="宋体" w:cs="宋体"/>
          <w:u w:val="single"/>
        </w:rPr>
        <w:t xml:space="preserve">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电子信箱：</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通信地址：</w:t>
      </w:r>
      <w:r>
        <w:rPr>
          <w:rFonts w:hint="eastAsia" w:ascii="宋体" w:hAnsi="宋体" w:eastAsia="宋体" w:cs="宋体"/>
          <w:u w:val="single"/>
        </w:rPr>
        <w:t xml:space="preserve">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1.3法律</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适用于合同的其他规范性文件：</w:t>
      </w:r>
      <w:r>
        <w:rPr>
          <w:rFonts w:hint="eastAsia" w:ascii="宋体" w:hAnsi="宋体" w:eastAsia="宋体" w:cs="宋体"/>
          <w:u w:val="single"/>
        </w:rPr>
        <w:t xml:space="preserve">需要明示的法律、行政法规：《中华人民共和国民法典》、《中华人民共和国建筑法》、《中华人民共和国招标投标法》、《建设工程质量管理条例》、《建设工程安全生产管理条例》及现行的国家或地方省、市政府的法律法规。</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1.4标准和规范</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1.4.1适用于工程的标准规范包括：</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 《建筑工程施工质量验收统一标准》（GB50300-2013），《建筑装饰装修工程质量验收标准》GB50210-2018、现行各类强制性标准，各类设计、施工及验收规范，以及工程所在地相关职能部门的规定要求、与工程相配套的工程质量验收规范等现行国家、行业标准验收规范。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1.4.2发包人提供国外标准、规范的名称：</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 </w:t>
      </w:r>
      <w:r>
        <w:rPr>
          <w:rFonts w:hint="eastAsia" w:ascii="宋体" w:hAnsi="宋体" w:eastAsia="宋体" w:cs="宋体"/>
          <w:u w:val="single"/>
        </w:rPr>
        <w:t xml:space="preserve">不提供</w:t>
      </w:r>
      <w:r>
        <w:rPr>
          <w:rFonts w:hint="eastAsia" w:ascii="宋体" w:hAnsi="宋体" w:eastAsia="宋体" w:cs="宋体"/>
          <w:u w:val="single"/>
        </w:rPr>
        <w:t xml:space="preserve">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发包人提供国外标准、规范的份数：</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发包人提供国外标准、规范的名称：</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1.4.3发包人对工程的技术标准和功能要求的特殊要求：</w:t>
      </w:r>
      <w:r>
        <w:rPr>
          <w:rFonts w:hint="eastAsia" w:ascii="宋体" w:hAnsi="宋体" w:eastAsia="宋体" w:cs="宋体"/>
          <w:u w:val="single"/>
        </w:rPr>
        <w:t xml:space="preserve"> /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1.5合同文件的优先顺序</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rPr>
        <w:t xml:space="preserve">合同文件组成及优先顺序为：</w:t>
      </w:r>
      <w:r>
        <w:rPr>
          <w:rFonts w:hint="eastAsia" w:ascii="宋体" w:hAnsi="宋体" w:eastAsia="宋体" w:cs="宋体"/>
          <w:u w:val="single"/>
        </w:rPr>
        <w:t xml:space="preserve">(1) 合同协议书（2）</w:t>
      </w:r>
      <w:r>
        <w:rPr>
          <w:rFonts w:hint="eastAsia" w:ascii="宋体" w:hAnsi="宋体" w:cs="宋体"/>
          <w:u w:val="single"/>
          <w:lang w:val="en-US" w:eastAsia="zh-CN"/>
        </w:rPr>
        <w:t xml:space="preserve">中标</w:t>
      </w:r>
      <w:r>
        <w:rPr>
          <w:rFonts w:hint="eastAsia" w:ascii="宋体" w:hAnsi="宋体" w:eastAsia="宋体" w:cs="宋体"/>
          <w:u w:val="single"/>
        </w:rPr>
        <w:t xml:space="preserve">通知书（3）</w:t>
      </w:r>
      <w:r>
        <w:rPr>
          <w:rFonts w:hint="eastAsia" w:ascii="宋体" w:hAnsi="宋体" w:cs="宋体"/>
          <w:u w:val="single"/>
          <w:lang w:val="en-US" w:eastAsia="zh-CN"/>
        </w:rPr>
        <w:t xml:space="preserve">投标</w:t>
      </w:r>
      <w:r>
        <w:rPr>
          <w:rFonts w:hint="eastAsia" w:ascii="宋体" w:hAnsi="宋体" w:eastAsia="宋体" w:cs="宋体"/>
          <w:u w:val="single"/>
        </w:rPr>
        <w:t xml:space="preserve">文件（4）专用条款（5）通用条款（6）技术要求及规范（7）图纸（8）已标价的工作量清单 （9）其他文件及材料合同履行中，发包人承包人有关工程的洽商、变更、技术核定书面确认单等书面协议或文件视为本合同的组成部分。</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1.6图纸和承包人文件</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1.6.1图纸的提供</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发包人向承包人提供图纸的期限：</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发包人向承包人提供图纸的数量：</w:t>
      </w:r>
      <w:r>
        <w:rPr>
          <w:rFonts w:hint="eastAsia" w:ascii="宋体" w:hAnsi="宋体" w:eastAsia="宋体" w:cs="宋体"/>
          <w:u w:val="single"/>
        </w:rPr>
        <w:t xml:space="preserve">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1.6.4承包人文件</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需要由承包人提供的文件，包括：</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收到发包人成交通知书后的两天内提供施工总进度计划、主要材料供应采购总计划表，并经发包人审核后承包人须在2日内修改完成再报发包人审批；每周五提交本期已完工程量报表，以及下月、下周进度计划、材料供应计划等；以上计划及报表必须经发包人代表审核。如发包人代表要求对计划或其他所有上报资料进行合理优化及调整，承包人必须无条件执行并在不超过1天的规定时间内完成合格资料的上报。如未按时按要求报送，发包人有权不予支付当期进度款或支付时间顺延。</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承包人提供上述的文件的期限为：</w:t>
      </w:r>
      <w:r>
        <w:rPr>
          <w:rFonts w:hint="eastAsia" w:ascii="宋体" w:hAnsi="宋体" w:eastAsia="宋体" w:cs="宋体"/>
          <w:u w:val="single"/>
        </w:rPr>
        <w:t xml:space="preserve"> 开工前七天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承包人提供的文件的数量为：</w:t>
      </w:r>
      <w:r>
        <w:rPr>
          <w:rFonts w:hint="eastAsia" w:ascii="宋体" w:hAnsi="宋体" w:eastAsia="宋体" w:cs="宋体"/>
          <w:u w:val="single"/>
        </w:rPr>
        <w:t xml:space="preserve"> 叁套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承包人提供的文件的形式为：</w:t>
      </w:r>
      <w:r>
        <w:rPr>
          <w:rFonts w:hint="eastAsia" w:ascii="宋体" w:hAnsi="宋体" w:eastAsia="宋体" w:cs="宋体"/>
          <w:u w:val="single"/>
        </w:rPr>
        <w:t xml:space="preserve"> 纸质加盖承包人公章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发包人审批承包人文件的期限：</w:t>
      </w:r>
      <w:r>
        <w:rPr>
          <w:rFonts w:hint="eastAsia" w:ascii="宋体" w:hAnsi="宋体" w:eastAsia="宋体" w:cs="宋体"/>
          <w:u w:val="single"/>
        </w:rPr>
        <w:t xml:space="preserve"> 收到资料后七天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1.6.5现场图纸准备</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关于现场图纸准备的约定：</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1.7联络</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1.7.1发包人和承包人应当在</w:t>
      </w:r>
      <w:r>
        <w:rPr>
          <w:rFonts w:hint="eastAsia" w:ascii="宋体" w:hAnsi="宋体" w:eastAsia="宋体" w:cs="宋体"/>
          <w:u w:val="single"/>
        </w:rPr>
        <w:t xml:space="preserve">  伍 </w:t>
      </w:r>
      <w:r>
        <w:rPr>
          <w:rFonts w:hint="eastAsia" w:ascii="宋体" w:hAnsi="宋体" w:eastAsia="宋体" w:cs="宋体"/>
        </w:rPr>
        <w:t xml:space="preserve">天内将与合同有关的通知、批准、证明、证书、指示、指令、要求、请求、同意、意见、确定和决定等书面函件送达对方当事人。</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1.7.2发包人接收文件的地点：</w:t>
      </w:r>
      <w:r>
        <w:rPr>
          <w:rFonts w:hint="eastAsia" w:ascii="宋体" w:hAnsi="宋体" w:eastAsia="宋体" w:cs="宋体"/>
          <w:u w:val="single"/>
        </w:rPr>
        <w:t xml:space="preserve"> 项目现场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发包人指定的接收人为：</w:t>
      </w:r>
      <w:r>
        <w:rPr>
          <w:rFonts w:hint="eastAsia" w:ascii="宋体" w:hAnsi="宋体" w:eastAsia="宋体" w:cs="宋体"/>
          <w:u w:val="single"/>
        </w:rPr>
        <w:t xml:space="preserve">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承包人接收文件的地点：</w:t>
      </w:r>
      <w:r>
        <w:rPr>
          <w:rFonts w:hint="eastAsia" w:ascii="宋体" w:hAnsi="宋体" w:eastAsia="宋体" w:cs="宋体"/>
          <w:u w:val="single"/>
        </w:rPr>
        <w:t xml:space="preserve"> 项目现场</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承包人指定的接收人为：</w:t>
      </w:r>
      <w:r>
        <w:rPr>
          <w:rFonts w:hint="eastAsia" w:ascii="宋体" w:hAnsi="宋体" w:eastAsia="宋体" w:cs="宋体"/>
          <w:u w:val="single"/>
        </w:rPr>
        <w:t xml:space="preserve">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监理人接收文件的地点：</w:t>
      </w:r>
      <w:r>
        <w:rPr>
          <w:rFonts w:hint="eastAsia" w:ascii="宋体" w:hAnsi="宋体" w:eastAsia="宋体" w:cs="宋体"/>
          <w:u w:val="single"/>
        </w:rPr>
        <w:t xml:space="preserve"> 项目现场</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监理人指定的接收人为：</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1.10交通运输</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1.10.1出入现场的权利</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关于出入现场的权利的约定：</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 只有项目施工人员办理许可证才能进入施工现场，其他无关人员一律不能施工现场，如果擅自进入现场，由此而产生的后果由承包人自行负责。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1.10.3场内交通</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关于场外交通和场内交通的边界的约定：</w:t>
      </w:r>
      <w:r>
        <w:rPr>
          <w:rFonts w:hint="eastAsia" w:ascii="宋体" w:hAnsi="宋体" w:eastAsia="宋体" w:cs="宋体"/>
          <w:u w:val="single"/>
        </w:rPr>
        <w:t xml:space="preserve"> 本项目施工现场大门为界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关于发包人向承包人免费提供满足工程施工需要的场内道路和交通设施的约定：</w:t>
      </w:r>
      <w:r>
        <w:rPr>
          <w:rFonts w:hint="eastAsia" w:ascii="宋体" w:hAnsi="宋体" w:eastAsia="宋体" w:cs="宋体"/>
          <w:u w:val="single"/>
        </w:rPr>
        <w:t xml:space="preserve"> 双方另行约定</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1.10.4超大件和超重件的运输</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运输超大件或超重件所需的道路和桥梁临时加固改造费用和其他有关费用由</w:t>
      </w:r>
      <w:r>
        <w:rPr>
          <w:rFonts w:hint="eastAsia" w:ascii="宋体" w:hAnsi="宋体" w:eastAsia="宋体" w:cs="宋体"/>
          <w:u w:val="single"/>
        </w:rPr>
        <w:t xml:space="preserve"> 承包人 </w:t>
      </w:r>
      <w:r>
        <w:rPr>
          <w:rFonts w:hint="eastAsia" w:ascii="宋体" w:hAnsi="宋体" w:eastAsia="宋体" w:cs="宋体"/>
        </w:rPr>
        <w:t xml:space="preserve">承担。</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1.11知识产权</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u w:val="single"/>
        </w:rPr>
        <w:t xml:space="preserve"> 归发包人所有。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关于发包人提供的上述文件的使用限制的要求：</w:t>
      </w:r>
      <w:r>
        <w:rPr>
          <w:rFonts w:hint="eastAsia" w:ascii="宋体" w:hAnsi="宋体" w:eastAsia="宋体" w:cs="宋体"/>
          <w:u w:val="single"/>
        </w:rPr>
        <w:t xml:space="preserve">承包人履行图纸的保密义务，不得将图纸内容泄露给无关的第三方或将图纸用于非发包方同意的本工程以外的其他工程。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1.11.2关于承包人为实施工程所编制文件的著作权的归属：</w:t>
      </w:r>
      <w:r>
        <w:rPr>
          <w:rFonts w:hint="eastAsia" w:ascii="宋体" w:hAnsi="宋体" w:eastAsia="宋体" w:cs="宋体"/>
          <w:u w:val="single"/>
        </w:rPr>
        <w:t xml:space="preserve"> 归承包人所有。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关于承包人提供的上述文件的使用限制的要求：</w:t>
      </w:r>
      <w:r>
        <w:rPr>
          <w:rFonts w:hint="eastAsia" w:ascii="宋体" w:hAnsi="宋体" w:eastAsia="宋体" w:cs="宋体"/>
          <w:u w:val="single"/>
        </w:rPr>
        <w:t xml:space="preserve"> 不得用于与本工程无关的一切事宜。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1.11.4承包人在施工过程中所采用的专利、专有技术、技术秘密的使用费的承担方式：</w:t>
      </w:r>
      <w:r>
        <w:rPr>
          <w:rFonts w:hint="eastAsia" w:ascii="宋体" w:hAnsi="宋体" w:eastAsia="宋体" w:cs="宋体"/>
          <w:u w:val="single"/>
        </w:rPr>
        <w:t xml:space="preserve"> 如有，将由承包人承担。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1.13工程量清单错误的修正</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出现工程量清单错误时，是否调整合同价格：</w:t>
      </w:r>
      <w:r>
        <w:rPr>
          <w:rFonts w:hint="eastAsia" w:ascii="宋体" w:hAnsi="宋体" w:eastAsia="宋体" w:cs="宋体"/>
          <w:u w:val="single"/>
        </w:rPr>
        <w:t xml:space="preserve">设计变更、工程签证及工程量清单误差导致的工程量增减调整规定如下： 1、由于设计变更、工程签证及工程量清单误差而导致的清单子目工程量增减，结算时按实际发生的工程量调整。</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允许调整合同价格的工程量偏差范围：</w:t>
      </w:r>
      <w:r>
        <w:rPr>
          <w:rFonts w:hint="eastAsia" w:ascii="宋体" w:hAnsi="宋体" w:eastAsia="宋体" w:cs="宋体"/>
          <w:u w:val="single"/>
        </w:rPr>
        <w:t xml:space="preserve">（1）发包人和承包人双方认可的设计变更；（2）增减工程量；（3）发包人可能安排的本项目周边的室外工程、附属工程及其它零星工程。</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2.发包人</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2.2发包人代表</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发包人代表：</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姓    名：</w:t>
      </w:r>
      <w:r>
        <w:rPr>
          <w:rFonts w:hint="eastAsia" w:ascii="宋体" w:hAnsi="宋体" w:eastAsia="宋体" w:cs="宋体"/>
          <w:u w:val="single"/>
        </w:rPr>
        <w:t xml:space="preserve">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身份证号：</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职    务：</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电子信箱：</w:t>
      </w:r>
      <w:r>
        <w:rPr>
          <w:rFonts w:hint="eastAsia" w:ascii="宋体" w:hAnsi="宋体" w:eastAsia="宋体" w:cs="宋体"/>
          <w:u w:val="single"/>
        </w:rPr>
        <w:t xml:space="preserve">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通信地址：</w:t>
      </w:r>
      <w:r>
        <w:rPr>
          <w:rFonts w:hint="eastAsia" w:ascii="宋体" w:hAnsi="宋体" w:eastAsia="宋体" w:cs="宋体"/>
          <w:u w:val="single"/>
        </w:rPr>
        <w:t xml:space="preserve"> 南京市栖霞区仙林街道文澜路99号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发包人对</w:t>
      </w:r>
      <w:bookmarkStart w:id="154" w:name="_Hlk167283848"/>
      <w:r>
        <w:rPr>
          <w:rFonts w:hint="eastAsia" w:ascii="宋体" w:hAnsi="宋体" w:eastAsia="宋体" w:cs="宋体"/>
        </w:rPr>
        <w:t xml:space="preserve">发包人代表</w:t>
      </w:r>
      <w:bookmarkEnd w:id="154"/>
      <w:r>
        <w:rPr>
          <w:rFonts w:hint="eastAsia" w:ascii="宋体" w:hAnsi="宋体" w:eastAsia="宋体" w:cs="宋体"/>
        </w:rPr>
        <w:t xml:space="preserve">的授权范围如下：</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 发包人代表的指令、通知由其本人签字后，以书面形式发出。确有必要时，发包人代表可以发出口头指令，并在72小时内给予书面确认，承包人对发包人代表的指令应予执行。发包人代表不能及时给予书面确认的，承包人应于发包人代表发出口头指令后7日内提出书面确认要求。发包人代表在承包人提出确认要求后48小时内不予答复的，视为口头指令已被确认。除发包人代表（如发包人代表委派其他代表时）外，发包人派驻工地的其他人员无权向承包人发出任何指令。</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2.4施工现场、施工条件和基础资料的提供</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2.4.1提供施工现场</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关于发包人移交施工现场的期限要求：</w:t>
      </w:r>
      <w:r>
        <w:rPr>
          <w:rFonts w:hint="eastAsia" w:ascii="宋体" w:hAnsi="宋体" w:eastAsia="宋体" w:cs="宋体"/>
          <w:u w:val="single"/>
        </w:rPr>
        <w:t xml:space="preserve"> 按通用条款执行</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2.4.2提供施工条件</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关于发包人应负责提供施工所需要的条件，包括：</w:t>
      </w:r>
      <w:r>
        <w:rPr>
          <w:rFonts w:hint="eastAsia" w:ascii="宋体" w:hAnsi="宋体" w:eastAsia="宋体" w:cs="宋体"/>
          <w:u w:val="single"/>
        </w:rPr>
        <w:t xml:space="preserve">（1)施工场地具备施工条件的要求及完成的时间：计划工期前将施工现场各种障碍物清</w:t>
      </w:r>
      <w:r>
        <w:rPr>
          <w:rFonts w:hint="eastAsia" w:ascii="宋体" w:hAnsi="宋体" w:eastAsia="宋体" w:cs="宋体"/>
          <w:u w:val="single"/>
        </w:rPr>
        <w:t xml:space="preserve">除。如发包人认为需承包人积极配合或需要清除的障碍物，承包人应服从安排，配合工作，费用按责任划分，参照通用条款。（2)施工所需的水、电、电讯线路接至施工场地的时间、地点和供应要求：由总包管理单位提供供电、供水分表接口，承包人自行装表计量，发包人负责协调。承包人负责计量分表使用期间的保养、维护，并向总包管理单位缴纳相应费用。从计量分表（包括分表）至用电设备的线路安装及水表至施工各用水点的管路安装、布置，用承包人负责实施，安装费、线路购置费、电费及用电耗费由承包人支付。总表与分表之间差额按各自数量同比例系数分摊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2.5资金来源证明及支付担保</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发包人提供资金来源证明的期限要求：</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发包人是否提供支付担保：</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发包人提供支付担保的形式：</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3.承包人</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3.1承包人的一般义务</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(5)承包人提交的竣工资料的内容：</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 工程建设项目竣工验收前，承包人应根据合同工作内容要求，分别整理竣工验收资料（含竣工图），汇总为完整的建设项目竣工资料一式伍套报发包人。否则每迟一天，承包人每日向发包人支付500元违约金。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承包人需要提交的竣工资料套数：</w:t>
      </w:r>
      <w:r>
        <w:rPr>
          <w:rFonts w:hint="eastAsia" w:ascii="宋体" w:hAnsi="宋体" w:eastAsia="宋体" w:cs="宋体"/>
          <w:u w:val="single"/>
        </w:rPr>
        <w:t xml:space="preserve"> 一式五套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承包人提交的竣工资料的费用承担：</w:t>
      </w:r>
      <w:r>
        <w:rPr>
          <w:rFonts w:hint="eastAsia" w:ascii="宋体" w:hAnsi="宋体" w:eastAsia="宋体" w:cs="宋体"/>
          <w:u w:val="single"/>
        </w:rPr>
        <w:t xml:space="preserve"> 由承包人承担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承包人提交的竣工资料移交时间：</w:t>
      </w:r>
      <w:r>
        <w:rPr>
          <w:rFonts w:hint="eastAsia" w:ascii="宋体" w:hAnsi="宋体" w:eastAsia="宋体" w:cs="宋体"/>
          <w:u w:val="single"/>
        </w:rPr>
        <w:t xml:space="preserve"> 竣工验收前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承包人提交的竣工资料形式要求：</w:t>
      </w:r>
      <w:r>
        <w:rPr>
          <w:rFonts w:hint="eastAsia" w:ascii="宋体" w:hAnsi="宋体" w:eastAsia="宋体" w:cs="宋体"/>
          <w:u w:val="single"/>
        </w:rPr>
        <w:t xml:space="preserve"> 纸质</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(6)承包人应履行的其他义务：</w:t>
      </w:r>
      <w:r>
        <w:rPr>
          <w:rFonts w:hint="eastAsia" w:ascii="宋体" w:hAnsi="宋体" w:eastAsia="宋体" w:cs="宋体"/>
          <w:u w:val="single"/>
        </w:rPr>
        <w:t xml:space="preserve"> 按通用条款执行</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3.2项目经理</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3.2.1项目经理：</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姓    名：</w:t>
      </w:r>
      <w:r>
        <w:rPr>
          <w:rFonts w:hint="eastAsia" w:ascii="宋体" w:hAnsi="宋体" w:eastAsia="宋体" w:cs="宋体"/>
          <w:u w:val="single"/>
        </w:rPr>
        <w:t xml:space="preserve">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身份证号：</w:t>
      </w:r>
      <w:r>
        <w:rPr>
          <w:rFonts w:hint="eastAsia" w:ascii="宋体" w:hAnsi="宋体" w:eastAsia="宋体" w:cs="宋体"/>
          <w:u w:val="single"/>
        </w:rPr>
        <w:t xml:space="preserve">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建造师执业资格等级：</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建造师注册证书号：</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建造师执业印章号：</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安全生产考核合格证书号：</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rPr>
        <w:t xml:space="preserve">电子信箱</w:t>
      </w:r>
      <w:r>
        <w:rPr>
          <w:rFonts w:hint="eastAsia" w:ascii="宋体" w:hAnsi="宋体" w:eastAsia="宋体" w:cs="宋体"/>
          <w:u w:val="single"/>
        </w:rPr>
        <w:t xml:space="preserve">：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通信地址：</w:t>
      </w:r>
      <w:r>
        <w:rPr>
          <w:rFonts w:hint="eastAsia" w:ascii="宋体" w:hAnsi="宋体" w:eastAsia="宋体" w:cs="宋体"/>
          <w:u w:val="single"/>
        </w:rPr>
        <w:t xml:space="preserve">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rPr>
        <w:t xml:space="preserve">承包人对项目经理的授权范围如下：</w:t>
      </w:r>
      <w:r>
        <w:rPr>
          <w:rFonts w:hint="eastAsia" w:ascii="宋体" w:hAnsi="宋体" w:eastAsia="宋体" w:cs="宋体"/>
          <w:u w:val="single"/>
        </w:rPr>
        <w:t xml:space="preserve">作为承包人在项目的授权代表，为工程参与各方做好协调和服务，在资金、质量、安全、环境保护、文明</w:t>
      </w:r>
      <w:r>
        <w:rPr>
          <w:rFonts w:hint="eastAsia" w:ascii="宋体" w:hAnsi="宋体" w:eastAsia="宋体" w:cs="宋体"/>
        </w:rPr>
        <w:fldChar w:fldCharType="begin"/>
      </w:r>
      <w:r>
        <w:rPr>
          <w:rFonts w:hint="eastAsia" w:ascii="宋体" w:hAnsi="宋体" w:eastAsia="宋体" w:cs="宋体"/>
        </w:rPr>
        <w:instrText xml:space="preserve"> HYPERLINK "http://www.fdcew.com/Soft/jzsg/Index.html" \t "_blank" </w:instrText>
      </w:r>
      <w:r>
        <w:rPr>
          <w:rFonts w:hint="eastAsia" w:ascii="宋体" w:hAnsi="宋体" w:eastAsia="宋体" w:cs="宋体"/>
        </w:rPr>
        <w:fldChar w:fldCharType="separate"/>
      </w:r>
      <w:r>
        <w:rPr>
          <w:rFonts w:hint="eastAsia" w:ascii="宋体" w:hAnsi="宋体" w:eastAsia="宋体" w:cs="宋体"/>
          <w:u w:val="single"/>
        </w:rPr>
        <w:t xml:space="preserve">施工</w:t>
      </w:r>
      <w:r>
        <w:rPr>
          <w:rFonts w:hint="eastAsia" w:ascii="宋体" w:hAnsi="宋体" w:eastAsia="宋体" w:cs="宋体"/>
          <w:u w:val="single"/>
        </w:rPr>
        <w:fldChar w:fldCharType="end"/>
      </w:r>
      <w:r>
        <w:rPr>
          <w:rFonts w:hint="eastAsia" w:ascii="宋体" w:hAnsi="宋体" w:eastAsia="宋体" w:cs="宋体"/>
          <w:u w:val="single"/>
        </w:rPr>
        <w:t xml:space="preserve">等合约目标范围向发包人直接负责。直管综合办公室、部、财部等职能部门。</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rPr>
        <w:t xml:space="preserve">关于项目经理在施工现场的时间要求：</w:t>
      </w:r>
      <w:r>
        <w:rPr>
          <w:rFonts w:hint="eastAsia" w:ascii="宋体" w:hAnsi="宋体" w:eastAsia="宋体" w:cs="宋体"/>
          <w:u w:val="single"/>
        </w:rPr>
        <w:t xml:space="preserve">投标文件中明确的项目经理，不得擅自变更，开工时或施工过程中若有擅自变更，发包人有权解除合同，并追究由此带来的发包人一切损失。承包人必须在开工前将项目主要管理人员表报送发包人，施工过程中如有调整应及时以书面申请形式通知发包人，并经发包人同意后方可进行调整。项目经理要求：每周到发包人现场5天，每天不少于8个小时，如果少来一天违约金2000元。</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项目经理未经批准，擅自离开施工现场的违约责任：</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3.2.3承包人擅自更换项目经理的违约责任：</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 ⑴所报项目经理，未经发包人许可不得擅自变更。否则，发包人有权解除合同，追回已经支付的款项，承包人向发包人支付违约金5万元（2）如果因客观原因更换项目经理，必须得到发包人的批准。更换的项目经理必须是本企业正式员工（出具半年以上本企业的劳保统筹交费证明原件），并且与投标项目经理有同等条件，如资质、业绩等。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3.2.4承包人无正当理由拒绝更换项目经理的违约责任：</w:t>
      </w:r>
      <w:r>
        <w:rPr>
          <w:rFonts w:hint="eastAsia" w:ascii="宋体" w:hAnsi="宋体" w:eastAsia="宋体" w:cs="宋体"/>
          <w:u w:val="single"/>
        </w:rPr>
        <w:t xml:space="preserve"> 如发包人认为项目经理不能胜任，有权利要求承包人更换项目经理，承包人无正当理由不得拒绝，否则将要赔偿发包人的损失，最高不超过合同价款的20%。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3.3承包人人员</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3.3.1承包人提交项目管理机构及施工现场管理人员安排报告的期限：</w:t>
      </w:r>
      <w:r>
        <w:rPr>
          <w:rFonts w:hint="eastAsia" w:ascii="宋体" w:hAnsi="宋体" w:eastAsia="宋体" w:cs="宋体"/>
          <w:u w:val="single"/>
        </w:rPr>
        <w:t xml:space="preserve"> 开工前7天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3.3.3承包人无正当理由拒绝撤换主要施工管理人员的违约责任：</w:t>
      </w:r>
      <w:r>
        <w:rPr>
          <w:rFonts w:hint="eastAsia" w:ascii="宋体" w:hAnsi="宋体" w:eastAsia="宋体" w:cs="宋体"/>
          <w:u w:val="single"/>
        </w:rPr>
        <w:t xml:space="preserve">  发包人有权要求该人员撤离施工现场，如有延误，发包人将处以500元/天的违约金，违约金直接从工程款中扣除</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3.3.4承包人主要施工管理人员离开施工现场的批准要求：</w:t>
      </w:r>
      <w:r>
        <w:rPr>
          <w:rFonts w:hint="eastAsia" w:ascii="宋体" w:hAnsi="宋体" w:eastAsia="宋体" w:cs="宋体"/>
          <w:u w:val="single"/>
        </w:rPr>
        <w:t xml:space="preserve">  由发包人书面批准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3.3.5承包人擅自更换主要施工管理人员的违约责任：</w:t>
      </w:r>
      <w:r>
        <w:rPr>
          <w:rFonts w:hint="eastAsia" w:ascii="宋体" w:hAnsi="宋体" w:eastAsia="宋体" w:cs="宋体"/>
          <w:u w:val="single"/>
        </w:rPr>
        <w:t xml:space="preserve"> 如无发包人书面同意，承包人不得擅自更换项目经理，如有以上情况，发包人保留单方面解除合同并要求赔偿损失的权利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承包人主要施工管理人员擅自离开施工现场的违约责任：</w:t>
      </w:r>
      <w:r>
        <w:rPr>
          <w:rFonts w:hint="eastAsia" w:ascii="宋体" w:hAnsi="宋体" w:eastAsia="宋体" w:cs="宋体"/>
          <w:u w:val="single"/>
        </w:rPr>
        <w:t xml:space="preserve">⑴如果因客观原因更换上述主要管理人员，必须得到发包人的</w:t>
      </w:r>
      <w:r>
        <w:rPr>
          <w:rFonts w:hint="eastAsia" w:ascii="宋体" w:hAnsi="宋体" w:eastAsia="宋体" w:cs="宋体"/>
          <w:u w:val="single"/>
        </w:rPr>
        <w:t xml:space="preserve">批准。更换的管理人员必须是本企业正式员工（出具半年以上本企业的劳保统筹交费证明原件），并且与原岗位的管理人员具有同等条件，如资质、业绩等。（2）发包人有权反对及要求承包人及任何分包人调离不称职或发包人认为其雇用是不恰当的人员，未有发包人书面准许，不可再用此人。如有违反，按照每人次1000元扣除违约金。（3）项目管理机构组成表中所列人员（不包括项目经理）包括但不限于技术负责人、安全员、施工员、质检员、材料员必须每日进行指纹考勤，指纹机由承包人自行配备，发包人据此考核，如有违反，按照每人次500元扣除违约金。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3.5分包</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3.5.1分包的一般约定</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禁止分包的工程包括：</w:t>
      </w:r>
      <w:r>
        <w:rPr>
          <w:rFonts w:hint="eastAsia" w:ascii="宋体" w:hAnsi="宋体" w:eastAsia="宋体" w:cs="宋体"/>
          <w:u w:val="single"/>
        </w:rPr>
        <w:t xml:space="preserve"> 本工程严禁分包、转包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主体结构、关键性工作的范围：</w:t>
      </w:r>
      <w:r>
        <w:rPr>
          <w:rFonts w:hint="eastAsia" w:ascii="宋体" w:hAnsi="宋体" w:eastAsia="宋体" w:cs="宋体"/>
          <w:u w:val="single"/>
        </w:rPr>
        <w:t xml:space="preserve"> /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3.5.2分包的确定</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允许分包的专业工程包括：</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其他关于分包的约定：</w:t>
      </w:r>
      <w:r>
        <w:rPr>
          <w:rFonts w:hint="eastAsia" w:ascii="宋体" w:hAnsi="宋体" w:eastAsia="宋体" w:cs="宋体"/>
          <w:u w:val="single"/>
        </w:rPr>
        <w:t xml:space="preserve"> /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3.5.4分包合同价款</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关于分包合同价款支付的约定：</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3.6工程照管与成品、半成品保护</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承包人负责照管工程及工程相关的材料、工程设备的起始时间：</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3.7履约担保</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承包人是否提供履约担保：</w:t>
      </w:r>
      <w:r>
        <w:rPr>
          <w:rFonts w:hint="eastAsia" w:ascii="宋体" w:hAnsi="宋体" w:eastAsia="宋体" w:cs="宋体"/>
          <w:u w:val="single"/>
        </w:rPr>
        <w:t xml:space="preserve"> </w:t>
      </w:r>
      <w:r>
        <w:rPr>
          <w:rFonts w:hint="eastAsia" w:ascii="宋体" w:hAnsi="宋体" w:cs="宋体"/>
          <w:u w:val="single"/>
          <w:lang w:val="en-US" w:eastAsia="zh-CN"/>
        </w:rPr>
        <w:t xml:space="preserve">是</w:t>
      </w:r>
      <w:r>
        <w:rPr>
          <w:rFonts w:hint="eastAsia" w:ascii="宋体" w:hAnsi="宋体" w:eastAsia="宋体" w:cs="宋体"/>
          <w:u w:val="single"/>
        </w:rPr>
        <w:t xml:space="preserve">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u w:val="single"/>
          <w:lang w:val="zh-CN"/>
        </w:rPr>
      </w:pPr>
      <w:r>
        <w:rPr>
          <w:rFonts w:hint="eastAsia" w:ascii="宋体" w:hAnsi="宋体" w:eastAsia="宋体" w:cs="宋体"/>
        </w:rPr>
        <w:t xml:space="preserve">承包人提供履约担保的形式、金额及期限的：</w:t>
      </w:r>
      <w:r>
        <w:rPr>
          <w:rFonts w:hint="eastAsia" w:ascii="宋体" w:hAnsi="宋体" w:eastAsia="宋体" w:cs="宋体"/>
          <w:u w:val="single"/>
          <w:lang w:val="zh-CN"/>
        </w:rPr>
        <w:t xml:space="preserve">本项目实行履约担保制度，</w:t>
      </w:r>
      <w:r>
        <w:rPr>
          <w:rFonts w:hint="eastAsia" w:ascii="宋体" w:hAnsi="宋体" w:cs="宋体"/>
          <w:u w:val="single"/>
          <w:lang w:val="zh-CN"/>
        </w:rPr>
        <w:t xml:space="preserve">承包人</w:t>
      </w:r>
      <w:r>
        <w:rPr>
          <w:rFonts w:hint="eastAsia" w:ascii="宋体" w:hAnsi="宋体" w:eastAsia="宋体" w:cs="宋体"/>
          <w:u w:val="single"/>
          <w:lang w:val="zh-CN"/>
        </w:rPr>
        <w:t xml:space="preserve">在合同签订前，必须向</w:t>
      </w:r>
      <w:r>
        <w:rPr>
          <w:rFonts w:hint="eastAsia" w:ascii="宋体" w:hAnsi="宋体" w:cs="宋体"/>
          <w:u w:val="single"/>
          <w:lang w:val="zh-CN"/>
        </w:rPr>
        <w:t xml:space="preserve">发包人</w:t>
      </w:r>
      <w:r>
        <w:rPr>
          <w:rFonts w:hint="eastAsia" w:ascii="宋体" w:hAnsi="宋体" w:eastAsia="宋体" w:cs="宋体"/>
          <w:u w:val="single"/>
          <w:lang w:val="zh-CN"/>
        </w:rPr>
        <w:t xml:space="preserve">提交成交金额10%作为履约保证金。履约保证金缴纳形式为转帐支票（或汇票、电汇，银行保函），工程结束经验收合格后10天内退还履约保证金（不计息）。</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5.工程质量</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5.1质量要求</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5.1.1特殊质量标准和要求：</w:t>
      </w:r>
      <w:r/>
    </w:p>
    <w:p>
      <w:pPr>
        <w:ind w:left="0" w:right="0" w:firstLine="420"/>
        <w:pageBreakBefore w:val="0"/>
        <w:spacing w:line="360" w:lineRule="auto"/>
        <w:rPr>
          <w:rFonts w:hint="eastAsia" w:ascii="宋体" w:hAnsi="宋体" w:eastAsia="宋体" w:cs="宋体"/>
          <w:b/>
          <w:bCs/>
          <w:u w:val="single"/>
        </w:rPr>
      </w:pPr>
      <w:r>
        <w:rPr>
          <w:rFonts w:hint="eastAsia" w:ascii="宋体" w:hAnsi="宋体" w:eastAsia="宋体" w:cs="宋体"/>
          <w:u w:val="single"/>
        </w:rPr>
        <w:t xml:space="preserve"> 1、符合现行国家有关验收标准（GB 50300—2013），并达到</w:t>
      </w:r>
      <w:r>
        <w:rPr>
          <w:rFonts w:hint="eastAsia" w:ascii="宋体" w:hAnsi="宋体" w:cs="宋体"/>
          <w:u w:val="single"/>
          <w:lang w:val="en-US" w:eastAsia="zh-CN"/>
        </w:rPr>
        <w:t xml:space="preserve">招标</w:t>
      </w:r>
      <w:r>
        <w:rPr>
          <w:rFonts w:hint="eastAsia" w:ascii="宋体" w:hAnsi="宋体" w:eastAsia="宋体" w:cs="宋体"/>
          <w:u w:val="single"/>
        </w:rPr>
        <w:t xml:space="preserve">要求的质量等级标准。</w:t>
      </w:r>
      <w:r>
        <w:rPr>
          <w:rFonts w:hint="eastAsia" w:ascii="宋体" w:hAnsi="宋体" w:cs="宋体"/>
          <w:b/>
          <w:bCs/>
          <w:u w:val="single"/>
          <w:lang w:eastAsia="zh-CN"/>
        </w:rPr>
        <w:t xml:space="preserve">承包人</w:t>
      </w:r>
      <w:r>
        <w:rPr>
          <w:rFonts w:hint="eastAsia" w:ascii="宋体" w:hAnsi="宋体" w:eastAsia="宋体" w:cs="宋体"/>
          <w:b/>
          <w:bCs/>
          <w:u w:val="single"/>
        </w:rPr>
        <w:t xml:space="preserve">须确保本项目安装完成后所有设备、调试必须通过供电部门验收合格，确保能满足正式通电要求，办理供电部门相关手续及其他一切协调事宜，若无法通过供电部门验收，</w:t>
      </w:r>
      <w:r>
        <w:rPr>
          <w:rFonts w:hint="eastAsia" w:ascii="宋体" w:hAnsi="宋体" w:cs="宋体"/>
          <w:b/>
          <w:bCs/>
          <w:u w:val="single"/>
          <w:lang w:eastAsia="zh-CN"/>
        </w:rPr>
        <w:t xml:space="preserve">发包人</w:t>
      </w:r>
      <w:r>
        <w:rPr>
          <w:rFonts w:hint="eastAsia" w:ascii="宋体" w:hAnsi="宋体" w:eastAsia="宋体" w:cs="宋体"/>
          <w:b/>
          <w:bCs/>
          <w:u w:val="single"/>
        </w:rPr>
        <w:t xml:space="preserve">有权扣除本项目合同款项的20%作为违约金，并督促</w:t>
      </w:r>
      <w:r>
        <w:rPr>
          <w:rFonts w:hint="eastAsia" w:ascii="宋体" w:hAnsi="宋体" w:cs="宋体"/>
          <w:b/>
          <w:bCs/>
          <w:u w:val="single"/>
          <w:lang w:eastAsia="zh-CN"/>
        </w:rPr>
        <w:t xml:space="preserve">承包人</w:t>
      </w:r>
      <w:r>
        <w:rPr>
          <w:rFonts w:hint="eastAsia" w:ascii="宋体" w:hAnsi="宋体" w:eastAsia="宋体" w:cs="宋体"/>
          <w:b/>
          <w:bCs/>
          <w:u w:val="single"/>
        </w:rPr>
        <w:t xml:space="preserve">配合完成供电部门验收，若</w:t>
      </w:r>
      <w:r>
        <w:rPr>
          <w:rFonts w:hint="eastAsia" w:ascii="宋体" w:hAnsi="宋体" w:cs="宋体"/>
          <w:b/>
          <w:bCs/>
          <w:u w:val="single"/>
          <w:lang w:eastAsia="zh-CN"/>
        </w:rPr>
        <w:t xml:space="preserve">承包人</w:t>
      </w:r>
      <w:r>
        <w:rPr>
          <w:rFonts w:hint="eastAsia" w:ascii="宋体" w:hAnsi="宋体" w:eastAsia="宋体" w:cs="宋体"/>
          <w:b/>
          <w:bCs/>
          <w:u w:val="single"/>
        </w:rPr>
        <w:t xml:space="preserve">仍然无法完成供电部门验收，</w:t>
      </w:r>
      <w:r>
        <w:rPr>
          <w:rFonts w:hint="eastAsia" w:ascii="宋体" w:hAnsi="宋体" w:cs="宋体"/>
          <w:b/>
          <w:bCs/>
          <w:u w:val="single"/>
          <w:lang w:eastAsia="zh-CN"/>
        </w:rPr>
        <w:t xml:space="preserve">发包人</w:t>
      </w:r>
      <w:r>
        <w:rPr>
          <w:rFonts w:hint="eastAsia" w:ascii="宋体" w:hAnsi="宋体" w:eastAsia="宋体" w:cs="宋体"/>
          <w:b/>
          <w:bCs/>
          <w:u w:val="single"/>
        </w:rPr>
        <w:t xml:space="preserve">有权单方面解除合同，并责令</w:t>
      </w:r>
      <w:r>
        <w:rPr>
          <w:rFonts w:hint="eastAsia" w:ascii="宋体" w:hAnsi="宋体" w:cs="宋体"/>
          <w:b/>
          <w:bCs/>
          <w:u w:val="single"/>
          <w:lang w:eastAsia="zh-CN"/>
        </w:rPr>
        <w:t xml:space="preserve">承包人</w:t>
      </w:r>
      <w:r>
        <w:rPr>
          <w:rFonts w:hint="eastAsia" w:ascii="宋体" w:hAnsi="宋体" w:eastAsia="宋体" w:cs="宋体"/>
          <w:b/>
          <w:bCs/>
          <w:u w:val="single"/>
        </w:rPr>
        <w:t xml:space="preserve">进行相应赔偿。</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关于工程奖项的约定：</w:t>
      </w:r>
      <w:r>
        <w:rPr>
          <w:rFonts w:hint="eastAsia" w:ascii="宋体" w:hAnsi="宋体" w:eastAsia="宋体" w:cs="宋体"/>
          <w:u w:val="single"/>
        </w:rPr>
        <w:t xml:space="preserve"> 无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5.3隐蔽工程检查</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5.3.2承包人提前通知监理人隐蔽工程检查的期限的约定：</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 1、施工验收按国家现行施工验收规范执行，施工过程的各工序结束验收确认后才能进入下道工序，隐蔽工程须经发包人代表检验签字后才能隐蔽，否则发包人有权复查，复查结果不合格则所产生的费用由承包人支付。若因此损坏或污染已完工程或者造成工程延期，承包人承担全部责任。竣工工程应满足发包人的合理使用要求和国家规范标准，竣工的图纸资料应与工程实物同步移交发包人。</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监理人不能按时进行检查时，应提前</w:t>
      </w:r>
      <w:r>
        <w:rPr>
          <w:rFonts w:hint="eastAsia" w:ascii="宋体" w:hAnsi="宋体" w:eastAsia="宋体" w:cs="宋体"/>
          <w:u w:val="single"/>
        </w:rPr>
        <w:t xml:space="preserve"> 24 </w:t>
      </w:r>
      <w:r>
        <w:rPr>
          <w:rFonts w:hint="eastAsia" w:ascii="宋体" w:hAnsi="宋体" w:eastAsia="宋体" w:cs="宋体"/>
        </w:rPr>
        <w:t xml:space="preserve">小时提交书面延期要求。</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关于延期最长不得超过：</w:t>
      </w:r>
      <w:r>
        <w:rPr>
          <w:rFonts w:hint="eastAsia" w:ascii="宋体" w:hAnsi="宋体" w:eastAsia="宋体" w:cs="宋体"/>
          <w:u w:val="single"/>
        </w:rPr>
        <w:t xml:space="preserve"> 24 </w:t>
      </w:r>
      <w:r>
        <w:rPr>
          <w:rFonts w:hint="eastAsia" w:ascii="宋体" w:hAnsi="宋体" w:eastAsia="宋体" w:cs="宋体"/>
        </w:rPr>
        <w:t xml:space="preserve">小时。</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6.安全文明施工与环境保护</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6.1安全文明施工</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6.1.1项目安全生产的达标目标及相应事项的约定：</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  1、进入施工现场的各类安全防护由承包人统一协调管理，安全责任由承包人承担，费用含在投标报价中；2、承包人负责进入施工现场施工人员及财物安全，发生任何伤亡事故与发包人无关，承包人自行解决；3、承包人应合理安排、安全使用水、电设施，否则引起的一切责任由承包</w:t>
      </w:r>
      <w:r>
        <w:rPr>
          <w:rFonts w:hint="eastAsia" w:ascii="宋体" w:hAnsi="宋体" w:eastAsia="宋体" w:cs="宋体"/>
          <w:u w:val="single"/>
        </w:rPr>
        <w:t xml:space="preserve">人承担。承包人应负责保管水、电设施，若发生丢失或损坏，由承包人赔偿。4、严格执行《中华人民共和国安全生产法》、《建设工程安全生产管理条例》（国务院第393号令）等相关法律法规、双方签定的《安全施工协议》。承包人在施工现场的安全管理、安全教育和安全事故责任及所发生的费用均由承包方承担。由承包人按规范施工并对安全生产负全责，除执行通用条款的相关规定外，承包人应严格按照施工组织设计组织施工，在安全管理方面除正常进行安全学习，安全教育外，同时应高度重视全部施工期间的安全工作，安全措施要落实到位，应急措施要跟上，并配</w:t>
      </w:r>
      <w:r>
        <w:rPr>
          <w:rFonts w:hint="eastAsia" w:ascii="宋体" w:hAnsi="宋体" w:eastAsia="宋体" w:cs="宋体"/>
          <w:u w:val="single"/>
        </w:rPr>
        <w:t xml:space="preserve">备专职安全人员，全面负责施工现场的安全及周边设施的安全和第三方人身安全，并承担所有责任及相应地赔偿费用。5、 承包人应当遵守工程建设安全生产有关管理规定，严格按安全标准组织施工，并随时接受发包人及行业安全检查人员依法实施的监督检查，采取必要的安全防护措施，消除事故隐患，安全防护费用已含在合同价款内。承包人在施工现场的安全管理、教育和安全事故责任由承包方承担。在承包人施工范围内发生或因承包人施工活动有关的安全事故由承包人负责处理并承担责任。6、承包人应合理安全使用水、电设施，否则引起的一切责任由承包人承担。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6.1.4关于治安保卫的特别约定：</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 承包人应自觉遵守发包人门卫的出入制度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关于编制施工场地治安管理计划的约定：</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6.1.5文明施工</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合同当事人对文明施工的要求：</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 一、施工安全： ⑴承包人报请监理工程师和业</w:t>
      </w:r>
      <w:r>
        <w:rPr>
          <w:rFonts w:hint="eastAsia" w:ascii="宋体" w:hAnsi="宋体" w:eastAsia="宋体" w:cs="宋体"/>
          <w:u w:val="single"/>
        </w:rPr>
        <w:t xml:space="preserve">主代表审批的施工组织设计中应有安全施工方案，要有安全施工管理体系，配备安全管理人员负责工程、车辆机械和施工人员的安全工作，将施工安全落到实处。二、施工噪音 ：工程施工期间，噪声对环境的影响必须满足国家和南京市有关法规要求。施工噪声遵守《建筑施工场界噪声限值》（GB12523－90）。在选择施工设备及施工方法时，承包人必须考虑由此产生的噪声标准及对施工人员和周围单位和居民的影响。 在工程施工过程中，若发生施工噪声超标扰民事件，由承包人负责解决，业主予以配合。 三、污水排放： 所有的废水、污水应按批准的方法处理</w:t>
      </w:r>
      <w:r>
        <w:rPr>
          <w:rFonts w:hint="eastAsia" w:ascii="宋体" w:hAnsi="宋体" w:eastAsia="宋体" w:cs="宋体"/>
          <w:u w:val="single"/>
        </w:rPr>
        <w:t xml:space="preserve">后排入排污系统，不得污染环境，由此而引进的后果由承包人自行负责。 所有的施工垃圾应按照批准的方法运往批准的地点进行处理，生活垃圾应按照城市规定每天集中，纳入城市垃圾处理系统。 四、夜间施工：承包人应按南京市有关规定要求办理夜间施工许可证。施工单位应充分考虑中考、高考、节假日及城市有关部门重大活动等期间限制夜间施工而对工期造成的影响，由于施工可能对周围居民、企事业等单位造成影响，可能由此而引发各种争议，这些争议应由承包人负责协调，业主尽可能予以协助。五、文明施工： 参照建设工程文明工地创建活动的有关文件执行。</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6.1.6关于安全文明施工费支付比例和支付期限的约定：</w:t>
      </w:r>
      <w:r>
        <w:rPr>
          <w:rFonts w:hint="eastAsia" w:ascii="宋体" w:hAnsi="宋体" w:eastAsia="宋体" w:cs="宋体"/>
          <w:u w:val="single"/>
        </w:rPr>
        <w:t xml:space="preserve"> 按通用条款执行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7.工期和进度</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7.1施工组织设计</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7.1.1合同当事人约定的施工组织设计应包括的其他内容：</w:t>
      </w:r>
      <w:r>
        <w:rPr>
          <w:rFonts w:hint="eastAsia" w:ascii="宋体" w:hAnsi="宋体" w:eastAsia="宋体" w:cs="宋体"/>
          <w:u w:val="single"/>
        </w:rPr>
        <w:t xml:space="preserve"> 按通用条款执行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7.1.2施工组织设计的提交和修改</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承包人提交详细施工组织设计的期限的约定：</w:t>
      </w:r>
      <w:r>
        <w:rPr>
          <w:rFonts w:hint="eastAsia" w:ascii="宋体" w:hAnsi="宋体" w:eastAsia="宋体" w:cs="宋体"/>
          <w:u w:val="single"/>
        </w:rPr>
        <w:t xml:space="preserve"> 开工前2天提供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发包人和监理人在收到详细的施工组织设计后确认或提出修改意见的期限：</w:t>
      </w:r>
      <w:r>
        <w:rPr>
          <w:rFonts w:hint="eastAsia" w:ascii="宋体" w:hAnsi="宋体" w:eastAsia="宋体" w:cs="宋体"/>
          <w:u w:val="single"/>
        </w:rPr>
        <w:t xml:space="preserve"> 收到资料后7天内</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7.2施工进度计划</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7.2.1施工进度计划的修订</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发包人和监理人在收到修订的施工进度计划后确认或提出修改意见的期限：</w:t>
      </w:r>
      <w:r>
        <w:rPr>
          <w:rFonts w:hint="eastAsia" w:ascii="宋体" w:hAnsi="宋体" w:eastAsia="宋体" w:cs="宋体"/>
          <w:u w:val="single"/>
        </w:rPr>
        <w:t xml:space="preserve"> 开工前3天。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7.2.2 项目进度落后于施工进度表时，承包人需制定补充措施，如：增加工种人员数量等，并报发包人现场管理人员审核，加快施工速度，直至工程按期保质完成。</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7.3开工</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7.3.1开工准备</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关于承包人提交工程开工报审表的期限：</w:t>
      </w:r>
      <w:r>
        <w:rPr>
          <w:rFonts w:hint="eastAsia" w:ascii="宋体" w:hAnsi="宋体" w:eastAsia="宋体" w:cs="宋体"/>
          <w:u w:val="single"/>
        </w:rPr>
        <w:t xml:space="preserve"> 开工前5天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关于发包人应完成的其他开工准备工作及期限：</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 按通用条款执行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关于承包人应完成的其他开工准备工作及期限：</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 按通用条款执行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承包人应在施工进场前对现场进行详细勘查，并结合工程量清单进行核对，对漏项及重大偏差的部分提出书面说明，如因非发包人原因造成的变更及签证部分，不得超过合同总价的10%。</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7.3.2开工通知</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因发包人原因造成监理人未能在计划开工日期之日起</w:t>
      </w:r>
      <w:r>
        <w:rPr>
          <w:rFonts w:hint="eastAsia" w:ascii="宋体" w:hAnsi="宋体" w:eastAsia="宋体" w:cs="宋体"/>
          <w:u w:val="single"/>
        </w:rPr>
        <w:t xml:space="preserve"> 7 </w:t>
      </w:r>
      <w:r>
        <w:rPr>
          <w:rFonts w:hint="eastAsia" w:ascii="宋体" w:hAnsi="宋体" w:eastAsia="宋体" w:cs="宋体"/>
        </w:rPr>
        <w:t xml:space="preserve">天内发出开工通知的，承包人有权提出价格调整要求，或者解除合同。</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7.4测量放线</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7.4.1发包人通过监理人向承包人提供测量基准点、基准线和水准点及其书面资料的期限：</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7.5工期延误</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7.5.1因发包人原因导致工期延误</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(7)因发包人原因导致工期延误的其他情形：</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 无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7.5.2因承包人原因导致工期延误</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因承包人原因造成工期延误，逾期竣工违约金的计算方法为：</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 工期结束是指竣工验收完成。如因承包人原因导致延误工期，每逾期超过一天，直接从项目款中扣除人民币1000元/天的罚款（不可抗力因素除外）。</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因承包人原因造成工期延误，逾期竣工违约金的上限：</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 如延误工期10天，发包人有权单方面中止合同，承包人必须立即清场并赔偿发包人的损失。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7.6不利物质条件</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不利物质条件的其他情形和有关约定：</w:t>
      </w:r>
      <w:r>
        <w:rPr>
          <w:rFonts w:hint="eastAsia" w:ascii="宋体" w:hAnsi="宋体" w:eastAsia="宋体" w:cs="宋体"/>
          <w:u w:val="single"/>
        </w:rPr>
        <w:t xml:space="preserve"> 按通用条款执行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7.7异常恶劣的气候条件</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发包人和承包人同意以下情形视为异常恶劣的气候条件：</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u w:val="single"/>
        </w:rPr>
        <w:t xml:space="preserve"> 暴雨、暴雪、洪水、极端高低温、地震等自然灾害天气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7.9提前竣工的奖励</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7.9.2提前竣工的奖励：</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8.材料与设备</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8.4材料与工程设备的保管与使用</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8.4.1发包人供应的材料设备的保管费用的承担：</w:t>
      </w:r>
      <w:r>
        <w:rPr>
          <w:rFonts w:hint="eastAsia" w:ascii="宋体" w:hAnsi="宋体" w:eastAsia="宋体" w:cs="宋体"/>
          <w:u w:val="single"/>
        </w:rPr>
        <w:t xml:space="preserve"> 无 </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8.4.2承包人采购材料与工程设备的保管与使用</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a、约定的承包人自购材在质量上必须符合设计及国家有关规范、标准及有关职能部门规定的要求，且必须向发包人送样，品牌、价格、供应商、质保书、材料检测报告等报给发包人核实，经发包人认可后才能用于本工程，否则造成的损失由承包人负责；发包人对乙供材料的认可并不免除承包人对所采购材料的质量责任。</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b、承包人自行采购的材料、物资，在订货前15日，应向发包人提供产品型号、规格、重要技术参数、价格及生产厂家，经监理工程师及发包人认可后方可进场，并对产品进行三方封样,作为进场验收和施工复核的依据。</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c、承包人应按照设计样品及规范要求采购所需乙供材料，在验货前应通知发包人代表验收。</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d、发包人有权对不合格的产品要求承包人予以更换，并由承包人承担由此引起的诸如质量、安全、工期、索赔等一切后果。</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e、承包人必须采取有效的现场保护措施，如承包人未按发包人要求保护材料、设备及半成品、成品时，发包人有权另行组织人员，对材料、设备及半成品、成品等实施保护，所发生的费用由承包人承担并直接从工程款中扣回，并可处以双倍惩罚性违约金。</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f、材料按规范要求需做的检测的费用均由承包人承担。甲供材料以及设备在结算时，工程量按图计算，损耗及使用量套用相应定额计算。属承包人超额订购或使用的物件由承包人负责，相应费用在工程结算中予以扣除。</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g、因承包人不能保质保量采购，发包人有权将乙供材料改为甲供材，则甲供材的采购、安装、搬运、保管、二次运输等费用由承包人承担，发包人不再为此增加任何费用。若承包人不愿承担，经发包人两次（每次时间为7日）通知后仍未履行，则发包人将从合同价款中直接扣除所发生的一切费用。</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h、对发包人供应材料，承包人应考虑合理的供货周期，并根据工程进度提供准确的材料加工尺寸、数量和要求等，不影响现场施工。承包人应对材料的加工尺寸、规格、数量和供应时间等负责，对进场材料进行验收，合格后办理有关签收手续。结算时，签收量多于结算用量的，由承包人负责承担差额部分。 </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i、承包人所提供的材料、设备均要求甲控乙供。</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j、详见</w:t>
      </w:r>
      <w:r>
        <w:rPr>
          <w:rFonts w:hint="eastAsia" w:ascii="宋体" w:hAnsi="宋体" w:cs="宋体"/>
          <w:u w:val="single"/>
          <w:lang w:val="en-US" w:eastAsia="zh-CN"/>
        </w:rPr>
        <w:t xml:space="preserve">招标</w:t>
      </w:r>
      <w:r>
        <w:rPr>
          <w:rFonts w:hint="eastAsia" w:ascii="宋体" w:hAnsi="宋体" w:eastAsia="宋体" w:cs="宋体"/>
          <w:u w:val="single"/>
        </w:rPr>
        <w:t xml:space="preserve">文件中所列发包人供应材料设备一览表，甲供材按暂定价计入，其采购保管费、下力费、场内运输费应由承包人承担，包含在投标报价中。</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8.6样品</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8.6.1样品的报送与封存</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需要承包人报送样品的材料或工程设备，样品的种类、名称、规格、数量要求：</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 无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8.8施工设备和临时设施</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8.8.1承包人提供的施工设备和临时设施</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关于修建临时设施费用承担的约定：</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 由承包人自行承担。</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8.8.2发包人提供的施工设备或临时设施： </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 (1)场地一经移交给承包人，承包人应在本合同工程实施全过程中全面负责施工范围内的现场施工管理，对场地的安全保卫、精神文明、环境卫生、污水排放以及周围房屋、市政设施等负全责，对施工场地内的用水、用电、场地内的施工协调负有全部的管理责任。并不得干扰周围单位和居民的正常工作和生活。因场地管理不善引发的一切纠纷由承包人自行解决，业主不承担任何责任。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 (2)对于临时房屋及设施，业主如果认为有必要保留的，承包人清退场时应无条件保留并移交业主使用，费用双方协商。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9.试验与检验</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9.1试验设备与试验人员</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9.1.2试验设备</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施工现场需要配置的试验场所：</w:t>
      </w:r>
      <w:r>
        <w:rPr>
          <w:rFonts w:hint="eastAsia" w:ascii="宋体" w:hAnsi="宋体" w:eastAsia="宋体" w:cs="宋体"/>
          <w:u w:val="single"/>
        </w:rPr>
        <w:t xml:space="preserve"> 按通用条款执行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施工现场需要配备的试验设备：</w:t>
      </w:r>
      <w:r>
        <w:rPr>
          <w:rFonts w:hint="eastAsia" w:ascii="宋体" w:hAnsi="宋体" w:eastAsia="宋体" w:cs="宋体"/>
          <w:u w:val="single"/>
        </w:rPr>
        <w:t xml:space="preserve">按通用条款执行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施工现场需要具备的其他试验条件：</w:t>
      </w:r>
      <w:r>
        <w:rPr>
          <w:rFonts w:hint="eastAsia" w:ascii="宋体" w:hAnsi="宋体" w:eastAsia="宋体" w:cs="宋体"/>
          <w:u w:val="single"/>
        </w:rPr>
        <w:t xml:space="preserve"> 按通用条款执行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9.4现场工艺试验</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现场工艺试验的有关约定：</w:t>
      </w:r>
      <w:r>
        <w:rPr>
          <w:rFonts w:hint="eastAsia" w:ascii="宋体" w:hAnsi="宋体" w:eastAsia="宋体" w:cs="宋体"/>
          <w:u w:val="single"/>
        </w:rPr>
        <w:t xml:space="preserve"> 按通用条款执行</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10.变更</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10.1变更的范围</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关于变更的范围的约定：</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1、设计变更需有设计部门的设计变更通知单，并经发包人工程管理部门和现场负责人签字。</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2、现场签证必须由发包人现场负责人签字确认方可有效。</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3、承包人不得对原有工程设计进行变更，因承包人自身原因导致的工程变更，承包人无权要求追加合同价款的签证，并承担由此给发包人带来的一切损失。</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4、因工程设计变更和工程量的增加，承包人提出顺延工期的申请，将不予批准。</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5、与本工程有关的工程签证须按发包人要求办理，签证逾期提出，发包人对此签证发生的费用将视作承包人无费用增加，不计入结算造价中。不符合规定的签证，发包人有权不予认可。</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6、承包人签证的报批须按照《南京信息职业技术学院工程项目管理办法》的相关要求执行</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10.4变更估价</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10.4.1变更估价原则</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关于变更估价的约定：</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1、合同中已有适用于变更工程的价格，按合同已有的价格变更合同价款；</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2、合同中只有类似于变更工程的价格，发承包双方协商参照类似价格变更合同价款。</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3、合同中没有适用或类似于变更工程的价格，按《建设工程工程量清单计价规范》、《江苏省建筑与装饰工程计价表》、《江苏省建设工程工程量清单计价项目指引》、《南京市建设工程造价管理》及相配套定额和文件规定的人工、材料、机械台班耗用量，投标时的人工、材料、机械台班、管理费、利润等费用标准进行计算，执行相应的优惠条件，由承包人提出适当的变更价格，经发包人确认后执行。</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4、预算工资单价的调整按投标期内最新文件执行。</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5、变更工程单价的优惠比例按发包价优惠比例执行。</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6、因承包人自身原因导致的工程变更，承包人无权要求追加合同价款。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其他事项：双方另行协商。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10.5承包人的合理化建议</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监理人审查承包人合理化建议的期限：</w:t>
      </w:r>
      <w:r>
        <w:rPr>
          <w:rFonts w:hint="eastAsia" w:ascii="宋体" w:hAnsi="宋体" w:eastAsia="宋体" w:cs="宋体"/>
          <w:u w:val="single"/>
        </w:rPr>
        <w:t xml:space="preserve">  收到合理化建议后三天内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发包人审批承包人合理化建议的期限：</w:t>
      </w:r>
      <w:r>
        <w:rPr>
          <w:rFonts w:hint="eastAsia" w:ascii="宋体" w:hAnsi="宋体" w:eastAsia="宋体" w:cs="宋体"/>
          <w:u w:val="single"/>
        </w:rPr>
        <w:t xml:space="preserve">  收到合理化建议后五天内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承包人提出的合理化建议降低了合同价格或者提高了工程经济效益的奖励的方法和金额为：</w:t>
      </w:r>
      <w:r>
        <w:rPr>
          <w:rFonts w:hint="eastAsia" w:ascii="宋体" w:hAnsi="宋体" w:eastAsia="宋体" w:cs="宋体"/>
          <w:u w:val="single"/>
        </w:rPr>
        <w:t xml:space="preserve"> 无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10.7暂估价</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暂估价材料和工程设备的明细详见附件11：《暂估价一览表》。</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10.7.1依法必须招标的暂估价项目</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对于依法必须招标的暂估价项目的确认和批准采取下列方式确定：</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　　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承包人应当根据施工进度计划，提前14天将采购文件通过监理人报送发包人审批，发包人应当在收到承包人报送的相关文件后7天内完成审批或提出修改意见；发包人有权确定招标控制价并按照法律规定参加评标。</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承包人与供应商、分包人在签订暂估价合同前，应当提前7天将确定的成交候选供应商或成交候选分包人的资料报送发包人，发包人应在收到资料后3天内与承包人共同确定成交人；承包人应当在签订合同后7天内，将暂估价合同副本报送发包人留存。</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10.7.2不属于依法必须招标的暂估价项目</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对于不属于依法必须招标的暂估价项目的确认和批准采取下列方式确定：</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 　2、发包人认为承包人确定的供应商、分包人无法满足工程质量或合同要求的，发包人可以要求承包人重新确定暂估价项目的供应商、分包人。</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 　3、承包人应当在签订暂估价合同后7天内，将暂估价合同副本报送发包人留存。</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承包人直接实施的暂估价项目的约定：</w:t>
      </w:r>
      <w:r>
        <w:rPr>
          <w:rFonts w:hint="eastAsia" w:ascii="宋体" w:hAnsi="宋体" w:eastAsia="宋体" w:cs="宋体"/>
          <w:u w:val="single"/>
        </w:rPr>
        <w:t xml:space="preserve"> 经发包人同意后，由承包人自行实施</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10.8暂列金额</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合同当事人关于暂列金额使用的约定：</w:t>
      </w:r>
      <w:r>
        <w:rPr>
          <w:rFonts w:hint="eastAsia" w:ascii="宋体" w:hAnsi="宋体" w:eastAsia="宋体" w:cs="宋体"/>
          <w:u w:val="single"/>
        </w:rPr>
        <w:t xml:space="preserve"> 如有，在施工过程中由发包人与承包人协商一致后处理。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11.价格调整</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11.1市场价格波动引起的调整</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市场价格波动是否调整合同价格的约定：</w:t>
      </w:r>
      <w:r>
        <w:rPr>
          <w:rFonts w:hint="eastAsia" w:ascii="宋体" w:hAnsi="宋体" w:eastAsia="宋体" w:cs="宋体"/>
          <w:u w:val="single"/>
        </w:rPr>
        <w:t xml:space="preserve"> 按苏建价（2008）67号文执行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因市场价格波动调整合同价格，采用以下第</w:t>
      </w:r>
      <w:r>
        <w:rPr>
          <w:rFonts w:hint="eastAsia" w:ascii="宋体" w:hAnsi="宋体" w:eastAsia="宋体" w:cs="宋体"/>
          <w:u w:val="single"/>
        </w:rPr>
        <w:t xml:space="preserve"> （2） </w:t>
      </w:r>
      <w:r>
        <w:rPr>
          <w:rFonts w:hint="eastAsia" w:ascii="宋体" w:hAnsi="宋体" w:eastAsia="宋体" w:cs="宋体"/>
        </w:rPr>
        <w:t xml:space="preserve">种方式对合同价格进行调整：</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第1种方式：采用价格指数进行价格调整。</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关于各可调因子、定值和变值权重，以及基本价格指数及其来源的约定：</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第2种方式：采用造价信息进行价格调整。</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(2)关于基准价格的约定：</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u w:val="single"/>
        </w:rPr>
        <w:t xml:space="preserve">  5 </w:t>
      </w:r>
      <w:r>
        <w:rPr>
          <w:rFonts w:hint="eastAsia" w:ascii="宋体" w:hAnsi="宋体" w:eastAsia="宋体" w:cs="宋体"/>
        </w:rPr>
        <w:t xml:space="preserve">%时，或材料单价跌幅以已标价工程量清单或预算书中载明材料单价为基础超过</w:t>
      </w:r>
      <w:r>
        <w:rPr>
          <w:rFonts w:hint="eastAsia" w:ascii="宋体" w:hAnsi="宋体" w:eastAsia="宋体" w:cs="宋体"/>
          <w:u w:val="single"/>
        </w:rPr>
        <w:t xml:space="preserve">  5 </w:t>
      </w:r>
      <w:r>
        <w:rPr>
          <w:rFonts w:hint="eastAsia" w:ascii="宋体" w:hAnsi="宋体" w:eastAsia="宋体" w:cs="宋体"/>
        </w:rPr>
        <w:t xml:space="preserve">%时，其超过部分据实调整。</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u w:val="single"/>
        </w:rPr>
        <w:t xml:space="preserve"> 5  </w:t>
      </w:r>
      <w:r>
        <w:rPr>
          <w:rFonts w:hint="eastAsia" w:ascii="宋体" w:hAnsi="宋体" w:eastAsia="宋体" w:cs="宋体"/>
        </w:rPr>
        <w:t xml:space="preserve">%时，材料单价涨幅以已标价工程量清单或预算书中载明材料单价为基础超过</w:t>
      </w:r>
      <w:r>
        <w:rPr>
          <w:rFonts w:hint="eastAsia" w:ascii="宋体" w:hAnsi="宋体" w:eastAsia="宋体" w:cs="宋体"/>
          <w:u w:val="single"/>
        </w:rPr>
        <w:t xml:space="preserve"> 5 </w:t>
      </w:r>
      <w:r>
        <w:rPr>
          <w:rFonts w:hint="eastAsia" w:ascii="宋体" w:hAnsi="宋体" w:eastAsia="宋体" w:cs="宋体"/>
        </w:rPr>
        <w:t xml:space="preserve">%时，其超过部分据实调整。</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u w:val="single"/>
        </w:rPr>
        <w:t xml:space="preserve">  5 </w:t>
      </w:r>
      <w:r>
        <w:rPr>
          <w:rFonts w:hint="eastAsia" w:ascii="宋体" w:hAnsi="宋体" w:eastAsia="宋体" w:cs="宋体"/>
        </w:rPr>
        <w:t xml:space="preserve">%时，其超过部分据实调整。</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第3种方式：其他价格调整方式：</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 /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12.合同价格、计量与支付</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12.1合同价格形式</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1、单价合同。</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综合单价包含的风险范围：</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市场油价调整风险，建材价格调整风险、意外安全风险，施工期间自购建材的市场风险和政策性调整等。</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风险费用的计算方法：</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承包人在投标时应充分考虑风险范围并计算风险费用计入投标报价，成交后不作调整。</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风险范围以外合同价格的调整方法：</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设计变更、工程签证及招标工程量清单误差导致的工程量增减调整规定如下：设计变更、工程签证及招标工程量清单误差导致的工程量增减调整规定如下：1、由于设计变更、工程签证及招标工程量清单误差而导致的清单子目工程量增减，结算时按实际发生的工程量调整，增减部分工程量按采购文件约定采用的清单子目及本省计价表中相应的定额子目工程量计算规则进行计算调整；2、若调整的工程量清单子目在发包价文件中已有相同的子目，则按发包价文件的综合单价、费用种类、</w:t>
      </w:r>
      <w:r>
        <w:rPr>
          <w:rFonts w:hint="eastAsia" w:ascii="宋体" w:hAnsi="宋体" w:eastAsia="宋体" w:cs="宋体"/>
          <w:u w:val="single"/>
        </w:rPr>
        <w:t xml:space="preserve">费率标准计价（若投标书中工程量×综合单价≠合价，合价低时则按合价除以工程量得出新的综合单价结算；合价高时则按投标综合单价结算）；3、若调整的工程量清单子目属于新增清单子目，但发包价文件中有适用的类似的清单子目可参照时，则按发包价文件中的类似清单子目的人材机消耗量、单价、费用种类、费率标准计价；4、若调整的工程量清单子目属于新增清单子目，且发包价文件中没有可适用的类似清单子目时，采用国家和地方现行的有关标准、规范。发包价文件所参照的定额或其他计价依据资料计算其人材机消耗量，按发包价文件中该清单子目所属分部分项</w:t>
      </w:r>
      <w:r>
        <w:rPr>
          <w:rFonts w:hint="eastAsia" w:ascii="宋体" w:hAnsi="宋体" w:eastAsia="宋体" w:cs="宋体"/>
          <w:u w:val="single"/>
        </w:rPr>
        <w:t xml:space="preserve">工程的单价、费用种类、加权平均费率标准计价；5、对于投标文件中没有的新增材料单价，其中次要（辅助）材料（含地材）可参照施工期间南京市造价管理部门发布的材料指导价格计算，主要材料或无指导价格的材料由发包人核价后方可采购（发包人保留选择甲供的权利）；6、施工过程中清单子目工程量发生变化时，措施费项目不增加、其费率不调整。如有新增项目由成交人施工，成交人不得以任何理由拒绝，合同总工期不得增加，并按本条款中“调整的工程量清单子目”计价方式计价；7、如工程有总价优惠，则调整部分的工程造价也须参照该总价优惠比率进行优惠</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2、总价合同。</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总价包含的风险范围：</w:t>
      </w:r>
      <w:r>
        <w:rPr>
          <w:rFonts w:hint="eastAsia" w:ascii="宋体" w:hAnsi="宋体" w:eastAsia="宋体" w:cs="宋体"/>
          <w:u w:val="single"/>
        </w:rPr>
        <w:t xml:space="preserve">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风险范围以外合同价格的调整方法：</w:t>
      </w:r>
      <w:r>
        <w:rPr>
          <w:rFonts w:hint="eastAsia" w:ascii="宋体" w:hAnsi="宋体" w:eastAsia="宋体" w:cs="宋体"/>
          <w:u w:val="single"/>
        </w:rPr>
        <w:t xml:space="preserve"> /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3、其他价格方式：</w:t>
      </w:r>
      <w:r>
        <w:rPr>
          <w:rFonts w:hint="eastAsia" w:ascii="宋体" w:hAnsi="宋体" w:eastAsia="宋体" w:cs="宋体"/>
          <w:u w:val="single"/>
        </w:rPr>
        <w:t xml:space="preserve">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12.2预付款</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12.2.1预付款的支付</w:t>
      </w:r>
      <w:r/>
    </w:p>
    <w:p>
      <w:pPr>
        <w:ind w:left="0" w:right="0" w:firstLine="420"/>
        <w:pageBreakBefore w:val="0"/>
        <w:spacing w:line="360" w:lineRule="auto"/>
        <w:tabs>
          <w:tab w:val="left" w:pos="2268" w:leader="none"/>
        </w:tabs>
        <w:rPr>
          <w:rFonts w:hint="eastAsia" w:ascii="宋体" w:hAnsi="宋体" w:eastAsia="宋体" w:cs="宋体"/>
        </w:rPr>
      </w:pPr>
      <w:r>
        <w:rPr>
          <w:rFonts w:hint="eastAsia" w:ascii="宋体" w:hAnsi="宋体" w:eastAsia="宋体" w:cs="宋体"/>
        </w:rPr>
        <w:t xml:space="preserve">预付款支付比例或金额：</w:t>
      </w:r>
      <w:r>
        <w:rPr>
          <w:rFonts w:hint="eastAsia" w:ascii="宋体" w:hAnsi="宋体" w:eastAsia="宋体" w:cs="宋体"/>
          <w:u w:val="single"/>
        </w:rPr>
        <w:t xml:space="preserve">合同价的30%。</w:t>
      </w:r>
      <w:r/>
    </w:p>
    <w:p>
      <w:pPr>
        <w:ind w:left="0" w:right="0" w:firstLine="420"/>
        <w:pageBreakBefore w:val="0"/>
        <w:spacing w:line="360" w:lineRule="auto"/>
        <w:tabs>
          <w:tab w:val="left" w:pos="2268" w:leader="none"/>
        </w:tabs>
        <w:rPr>
          <w:rFonts w:hint="eastAsia" w:ascii="宋体" w:hAnsi="宋体" w:eastAsia="宋体" w:cs="宋体"/>
        </w:rPr>
      </w:pPr>
      <w:r>
        <w:rPr>
          <w:rFonts w:hint="eastAsia" w:ascii="宋体" w:hAnsi="宋体" w:eastAsia="宋体" w:cs="宋体"/>
        </w:rPr>
        <w:t xml:space="preserve">预付款支付期限：</w:t>
      </w:r>
      <w:r>
        <w:rPr>
          <w:rFonts w:hint="eastAsia" w:ascii="宋体" w:hAnsi="宋体" w:eastAsia="宋体" w:cs="宋体"/>
          <w:u w:val="single"/>
        </w:rPr>
        <w:t xml:space="preserve">合同签订后30天内，</w:t>
      </w:r>
      <w:r>
        <w:rPr>
          <w:rFonts w:hint="eastAsia" w:ascii="宋体" w:hAnsi="宋体" w:cs="宋体"/>
          <w:u w:val="single"/>
          <w:lang w:eastAsia="zh-CN"/>
        </w:rPr>
        <w:t xml:space="preserve">发包人</w:t>
      </w:r>
      <w:r>
        <w:rPr>
          <w:rFonts w:hint="eastAsia" w:ascii="宋体" w:hAnsi="宋体" w:eastAsia="宋体" w:cs="宋体"/>
          <w:u w:val="single"/>
        </w:rPr>
        <w:t xml:space="preserve">支付合同总价的30%作为预付款。</w:t>
      </w:r>
      <w:r/>
    </w:p>
    <w:p>
      <w:pPr>
        <w:ind w:left="0" w:right="0" w:firstLine="420"/>
        <w:pageBreakBefore w:val="0"/>
        <w:spacing w:line="360" w:lineRule="auto"/>
        <w:tabs>
          <w:tab w:val="left" w:pos="2268" w:leader="none"/>
        </w:tabs>
        <w:rPr>
          <w:rFonts w:hint="eastAsia" w:ascii="宋体" w:hAnsi="宋体" w:eastAsia="宋体" w:cs="宋体"/>
        </w:rPr>
      </w:pPr>
      <w:r>
        <w:rPr>
          <w:rFonts w:hint="eastAsia" w:ascii="宋体" w:hAnsi="宋体" w:eastAsia="宋体" w:cs="宋体"/>
        </w:rPr>
        <w:t xml:space="preserve">预付款扣回的方式：</w:t>
      </w:r>
      <w:r>
        <w:rPr>
          <w:rFonts w:hint="eastAsia" w:ascii="宋体" w:hAnsi="宋体" w:eastAsia="宋体" w:cs="宋体"/>
          <w:u w:val="single"/>
        </w:rPr>
        <w:t xml:space="preserve">/</w:t>
      </w:r>
      <w:r/>
    </w:p>
    <w:p>
      <w:pPr>
        <w:ind w:left="0" w:right="0" w:firstLine="420"/>
        <w:pageBreakBefore w:val="0"/>
        <w:spacing w:line="360" w:lineRule="auto"/>
        <w:tabs>
          <w:tab w:val="left" w:pos="2268" w:leader="none"/>
        </w:tabs>
        <w:rPr>
          <w:rFonts w:hint="eastAsia" w:ascii="宋体" w:hAnsi="宋体" w:eastAsia="宋体" w:cs="宋体"/>
        </w:rPr>
      </w:pPr>
      <w:r>
        <w:rPr>
          <w:rFonts w:hint="eastAsia" w:ascii="宋体" w:hAnsi="宋体" w:eastAsia="宋体" w:cs="宋体"/>
        </w:rPr>
        <w:t xml:space="preserve">12.2.2预付款担保</w:t>
      </w:r>
      <w:r/>
    </w:p>
    <w:p>
      <w:pPr>
        <w:ind w:left="0" w:right="0" w:firstLine="420"/>
        <w:pageBreakBefore w:val="0"/>
        <w:spacing w:line="360" w:lineRule="auto"/>
        <w:tabs>
          <w:tab w:val="left" w:pos="2268" w:leader="none"/>
        </w:tabs>
        <w:rPr>
          <w:rFonts w:hint="eastAsia" w:ascii="宋体" w:hAnsi="宋体" w:eastAsia="宋体" w:cs="宋体"/>
        </w:rPr>
      </w:pPr>
      <w:r>
        <w:rPr>
          <w:rFonts w:hint="eastAsia" w:ascii="宋体" w:hAnsi="宋体" w:eastAsia="宋体" w:cs="宋体"/>
        </w:rPr>
        <w:t xml:space="preserve">承包人提交预付款担保的期限：</w:t>
      </w:r>
      <w:r>
        <w:rPr>
          <w:rFonts w:hint="eastAsia" w:ascii="宋体" w:hAnsi="宋体" w:eastAsia="宋体" w:cs="宋体"/>
          <w:u w:val="single"/>
        </w:rPr>
        <w:t xml:space="preserve"> 无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预付款担保的形式为：</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12.3计量</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12.3.1计量原则</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工程量计算规则：</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12.3.2计量周期</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关于计量周期的约定：</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12.3.3单价合同的计量</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关于单价合同计量的约定：</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12.3.4总价合同的计量</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关于总价合同计量的约定：</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12.3.5总价合同采用支付分解表计量支付的，是否适用第12.3.4项〔总价合同的计量〕约定进行计量：</w:t>
      </w:r>
      <w:r>
        <w:rPr>
          <w:rFonts w:hint="eastAsia" w:ascii="宋体" w:hAnsi="宋体" w:eastAsia="宋体" w:cs="宋体"/>
          <w:u w:val="single"/>
        </w:rPr>
        <w:t xml:space="preserve">无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12.3.6其他价格形式合同的计量</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其他价格形式的计量方式和程序：</w:t>
      </w:r>
      <w:r>
        <w:rPr>
          <w:rFonts w:hint="eastAsia" w:ascii="宋体" w:hAnsi="宋体" w:eastAsia="宋体" w:cs="宋体"/>
          <w:u w:val="single"/>
        </w:rPr>
        <w:t xml:space="preserve"> 无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12.4工程进度款支付</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12.4.1付款周期</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关于付款周期的约定：</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（1）合同签订后30天内，</w:t>
      </w:r>
      <w:r>
        <w:rPr>
          <w:rFonts w:hint="eastAsia" w:ascii="宋体" w:hAnsi="宋体" w:cs="宋体"/>
          <w:u w:val="single"/>
          <w:lang w:eastAsia="zh-CN"/>
        </w:rPr>
        <w:t xml:space="preserve">发包人</w:t>
      </w:r>
      <w:r>
        <w:rPr>
          <w:rFonts w:hint="eastAsia" w:ascii="宋体" w:hAnsi="宋体" w:eastAsia="宋体" w:cs="宋体"/>
          <w:u w:val="single"/>
        </w:rPr>
        <w:t xml:space="preserve">支付合同总价的30%作为预付款。</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（2）工程竣工验收合格后，</w:t>
      </w:r>
      <w:r>
        <w:rPr>
          <w:rFonts w:hint="eastAsia" w:ascii="宋体" w:hAnsi="宋体" w:cs="宋体"/>
          <w:u w:val="single"/>
          <w:lang w:eastAsia="zh-CN"/>
        </w:rPr>
        <w:t xml:space="preserve">承包人</w:t>
      </w:r>
      <w:r>
        <w:rPr>
          <w:rFonts w:hint="eastAsia" w:ascii="宋体" w:hAnsi="宋体" w:eastAsia="宋体" w:cs="宋体"/>
          <w:u w:val="single"/>
        </w:rPr>
        <w:t xml:space="preserve">提供竣工资料交</w:t>
      </w:r>
      <w:r>
        <w:rPr>
          <w:rFonts w:hint="eastAsia" w:ascii="宋体" w:hAnsi="宋体" w:cs="宋体"/>
          <w:u w:val="single"/>
          <w:lang w:eastAsia="zh-CN"/>
        </w:rPr>
        <w:t xml:space="preserve">发包人</w:t>
      </w:r>
      <w:r>
        <w:rPr>
          <w:rFonts w:hint="eastAsia" w:ascii="宋体" w:hAnsi="宋体" w:eastAsia="宋体" w:cs="宋体"/>
          <w:u w:val="single"/>
        </w:rPr>
        <w:t xml:space="preserve">后，</w:t>
      </w:r>
      <w:r>
        <w:rPr>
          <w:rFonts w:hint="eastAsia" w:ascii="宋体" w:hAnsi="宋体" w:cs="宋体"/>
          <w:u w:val="single"/>
          <w:lang w:eastAsia="zh-CN"/>
        </w:rPr>
        <w:t xml:space="preserve">发包人</w:t>
      </w:r>
      <w:r>
        <w:rPr>
          <w:rFonts w:hint="eastAsia" w:ascii="宋体" w:hAnsi="宋体" w:eastAsia="宋体" w:cs="宋体"/>
          <w:u w:val="single"/>
        </w:rPr>
        <w:t xml:space="preserve">付至合同价的80%，同时无息退还合同履约保证金。</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（3）工程竣工验收合格，并经审计后1个月内，</w:t>
      </w:r>
      <w:r>
        <w:rPr>
          <w:rFonts w:hint="eastAsia" w:ascii="宋体" w:hAnsi="宋体" w:cs="宋体"/>
          <w:u w:val="single"/>
          <w:lang w:eastAsia="zh-CN"/>
        </w:rPr>
        <w:t xml:space="preserve">发包人</w:t>
      </w:r>
      <w:r>
        <w:rPr>
          <w:rFonts w:hint="eastAsia" w:ascii="宋体" w:hAnsi="宋体" w:eastAsia="宋体" w:cs="宋体"/>
          <w:u w:val="single"/>
        </w:rPr>
        <w:t xml:space="preserve">支付至审定价的97%。</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（4）质保期结束后，如本工程无任何质量问题，</w:t>
      </w:r>
      <w:r>
        <w:rPr>
          <w:rFonts w:hint="eastAsia" w:ascii="宋体" w:hAnsi="宋体" w:cs="宋体"/>
          <w:u w:val="single"/>
          <w:lang w:eastAsia="zh-CN"/>
        </w:rPr>
        <w:t xml:space="preserve">承包人</w:t>
      </w:r>
      <w:r>
        <w:rPr>
          <w:rFonts w:hint="eastAsia" w:ascii="宋体" w:hAnsi="宋体" w:eastAsia="宋体" w:cs="宋体"/>
          <w:u w:val="single"/>
        </w:rPr>
        <w:t xml:space="preserve">提交申请，</w:t>
      </w:r>
      <w:r>
        <w:rPr>
          <w:rFonts w:hint="eastAsia" w:ascii="宋体" w:hAnsi="宋体" w:cs="宋体"/>
          <w:u w:val="single"/>
          <w:lang w:eastAsia="zh-CN"/>
        </w:rPr>
        <w:t xml:space="preserve">发包人</w:t>
      </w:r>
      <w:r>
        <w:rPr>
          <w:rFonts w:hint="eastAsia" w:ascii="宋体" w:hAnsi="宋体" w:eastAsia="宋体" w:cs="宋体"/>
          <w:u w:val="single"/>
        </w:rPr>
        <w:t xml:space="preserve">15日内向承包人退还审定价的3%质保金。</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（5）每次付款时，</w:t>
      </w:r>
      <w:r>
        <w:rPr>
          <w:rFonts w:hint="eastAsia" w:ascii="宋体" w:hAnsi="宋体" w:cs="宋体"/>
          <w:u w:val="single"/>
          <w:lang w:eastAsia="zh-CN"/>
        </w:rPr>
        <w:t xml:space="preserve">承包人</w:t>
      </w:r>
      <w:r>
        <w:rPr>
          <w:rFonts w:hint="eastAsia" w:ascii="宋体" w:hAnsi="宋体" w:eastAsia="宋体" w:cs="宋体"/>
          <w:u w:val="single"/>
        </w:rPr>
        <w:t xml:space="preserve">应开具符合税务机关规定的增值税发票给</w:t>
      </w:r>
      <w:r>
        <w:rPr>
          <w:rFonts w:hint="eastAsia" w:ascii="宋体" w:hAnsi="宋体" w:cs="宋体"/>
          <w:u w:val="single"/>
          <w:lang w:eastAsia="zh-CN"/>
        </w:rPr>
        <w:t xml:space="preserve">发包人</w:t>
      </w:r>
      <w:r>
        <w:rPr>
          <w:rFonts w:hint="eastAsia" w:ascii="宋体" w:hAnsi="宋体" w:eastAsia="宋体" w:cs="宋体"/>
          <w:u w:val="single"/>
        </w:rPr>
        <w:t xml:space="preserve">，作为付款前提条件之一。</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12.4.2进度付款申请单的编制</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关于进度付款申请单编制的约定：</w:t>
      </w:r>
      <w:r>
        <w:rPr>
          <w:rFonts w:hint="eastAsia" w:ascii="宋体" w:hAnsi="宋体" w:eastAsia="宋体" w:cs="宋体"/>
          <w:u w:val="single"/>
        </w:rPr>
        <w:t xml:space="preserve">每周一将上周完成的合格的工程量和工程造价送发包人。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12.4.3进度付款申请单的提交</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(1)单价合同进度付款申请单提交的约定：</w:t>
      </w:r>
      <w:r>
        <w:rPr>
          <w:rFonts w:hint="eastAsia" w:ascii="宋体" w:hAnsi="宋体" w:eastAsia="宋体" w:cs="宋体"/>
          <w:u w:val="single"/>
        </w:rPr>
        <w:t xml:space="preserve"> 无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(2)总价合同进度付款申请单提交的约定：</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(3)其他价格形式合同进度付款申请单提交的约定：</w:t>
      </w:r>
      <w:r>
        <w:rPr>
          <w:rFonts w:hint="eastAsia" w:ascii="宋体" w:hAnsi="宋体" w:eastAsia="宋体" w:cs="宋体"/>
          <w:u w:val="single"/>
        </w:rPr>
        <w:t xml:space="preserve"> 无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12.4.4进度款审核和支付</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(1)监理人审查并报送发包人的期限：</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发包人完成审批并签发进度款支付证书的期限：</w:t>
      </w:r>
      <w:r>
        <w:rPr>
          <w:rFonts w:hint="eastAsia" w:ascii="宋体" w:hAnsi="宋体" w:eastAsia="宋体" w:cs="宋体"/>
          <w:u w:val="single"/>
        </w:rPr>
        <w:t xml:space="preserve"> 按通用条款执行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(2)发包人支付进度款的期限：</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发包人逾期支付进度款的违约金的计算方式：</w:t>
      </w:r>
      <w:r>
        <w:rPr>
          <w:rFonts w:hint="eastAsia" w:ascii="宋体" w:hAnsi="宋体" w:eastAsia="宋体" w:cs="宋体"/>
          <w:u w:val="single"/>
        </w:rPr>
        <w:t xml:space="preserve"> 无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12.4.6支付分解表的编制</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2、总价合同支付分解表的编制与审批：</w:t>
      </w:r>
      <w:r>
        <w:rPr>
          <w:rFonts w:hint="eastAsia" w:ascii="宋体" w:hAnsi="宋体" w:eastAsia="宋体" w:cs="宋体"/>
          <w:u w:val="single"/>
        </w:rPr>
        <w:t xml:space="preserve"> 按通用条款执行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3、单价合同的总价项目支付分解表的编制与审批：</w:t>
      </w:r>
      <w:r>
        <w:rPr>
          <w:rFonts w:hint="eastAsia" w:ascii="宋体" w:hAnsi="宋体" w:eastAsia="宋体" w:cs="宋体"/>
          <w:u w:val="single"/>
        </w:rPr>
        <w:t xml:space="preserve"> 无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13.验收和工程试车</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13.1分部分项工程验收</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13.1.2监理人不能按时进行验收时，应提前</w:t>
      </w:r>
      <w:r>
        <w:rPr>
          <w:rFonts w:hint="eastAsia" w:ascii="宋体" w:hAnsi="宋体" w:eastAsia="宋体" w:cs="宋体"/>
          <w:u w:val="single"/>
        </w:rPr>
        <w:t xml:space="preserve"> 48 </w:t>
      </w:r>
      <w:r>
        <w:rPr>
          <w:rFonts w:hint="eastAsia" w:ascii="宋体" w:hAnsi="宋体" w:eastAsia="宋体" w:cs="宋体"/>
        </w:rPr>
        <w:t xml:space="preserve">小时提交书面延期要求。</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关于延期最长不得超过：</w:t>
      </w:r>
      <w:r>
        <w:rPr>
          <w:rFonts w:hint="eastAsia" w:ascii="宋体" w:hAnsi="宋体" w:eastAsia="宋体" w:cs="宋体"/>
          <w:u w:val="single"/>
        </w:rPr>
        <w:t xml:space="preserve"> 24 </w:t>
      </w:r>
      <w:r>
        <w:rPr>
          <w:rFonts w:hint="eastAsia" w:ascii="宋体" w:hAnsi="宋体" w:eastAsia="宋体" w:cs="宋体"/>
        </w:rPr>
        <w:t xml:space="preserve">小时。</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13.2竣工验收</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13.2.2竣工验收程序</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关于竣工验收程序的约定：</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 按通用条款执行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发包人不按照本项约定组织竣工验收、颁发工程接收证书的违约金的计算方法：</w:t>
      </w:r>
      <w:r>
        <w:rPr>
          <w:rFonts w:hint="eastAsia" w:ascii="宋体" w:hAnsi="宋体" w:eastAsia="宋体" w:cs="宋体"/>
          <w:u w:val="single"/>
        </w:rPr>
        <w:t xml:space="preserve">每延迟一天处以合同价千分之一的经济补偿  。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13.2.5移交、接收全部与部分工程</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承包人向发包人移交工程的期限：</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发包人未按本合同约定接收全部或部分工程的，违约金的计算方法为：</w:t>
      </w:r>
      <w:r>
        <w:rPr>
          <w:rFonts w:hint="eastAsia" w:ascii="宋体" w:hAnsi="宋体" w:eastAsia="宋体" w:cs="宋体"/>
          <w:u w:val="single"/>
        </w:rPr>
        <w:t xml:space="preserve"> 每延迟一天处以合同价千分之一的经济补偿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承包人未按时移交工程的，违约金的计算方法为：</w:t>
      </w:r>
      <w:r>
        <w:rPr>
          <w:rFonts w:hint="eastAsia" w:ascii="宋体" w:hAnsi="宋体" w:eastAsia="宋体" w:cs="宋体"/>
          <w:u w:val="single"/>
        </w:rPr>
        <w:t xml:space="preserve"> 每延迟一天处以合同价千分之一的经济补偿 。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13.3工程试车</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13.3.1试车程序</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工程试车内容：</w:t>
      </w:r>
      <w:r>
        <w:rPr>
          <w:rFonts w:hint="eastAsia" w:ascii="宋体" w:hAnsi="宋体" w:eastAsia="宋体" w:cs="宋体"/>
          <w:u w:val="single"/>
        </w:rPr>
        <w:t xml:space="preserve"> 无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(1)单机无负荷试车费用由</w:t>
      </w:r>
      <w:r>
        <w:rPr>
          <w:rFonts w:hint="eastAsia" w:ascii="宋体" w:hAnsi="宋体" w:eastAsia="宋体" w:cs="宋体"/>
          <w:u w:val="single"/>
        </w:rPr>
        <w:t xml:space="preserve"> 无 </w:t>
      </w:r>
      <w:r>
        <w:rPr>
          <w:rFonts w:hint="eastAsia" w:ascii="宋体" w:hAnsi="宋体" w:eastAsia="宋体" w:cs="宋体"/>
        </w:rPr>
        <w:t xml:space="preserve">承担；</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(2)无负荷联动试车费用由</w:t>
      </w:r>
      <w:r>
        <w:rPr>
          <w:rFonts w:hint="eastAsia" w:ascii="宋体" w:hAnsi="宋体" w:eastAsia="宋体" w:cs="宋体"/>
          <w:u w:val="single"/>
        </w:rPr>
        <w:t xml:space="preserve"> 无 </w:t>
      </w:r>
      <w:r>
        <w:rPr>
          <w:rFonts w:hint="eastAsia" w:ascii="宋体" w:hAnsi="宋体" w:eastAsia="宋体" w:cs="宋体"/>
        </w:rPr>
        <w:t xml:space="preserve">承担。</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13.3.3投料试车</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关于投料试车相关事项的约定：</w:t>
      </w:r>
      <w:r>
        <w:rPr>
          <w:rFonts w:hint="eastAsia" w:ascii="宋体" w:hAnsi="宋体" w:eastAsia="宋体" w:cs="宋体"/>
          <w:u w:val="single"/>
        </w:rPr>
        <w:t xml:space="preserve"> 无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13.6竣工退场</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13.6.1竣工退场</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承包人完成竣工退场的期限：</w:t>
      </w:r>
      <w:r>
        <w:rPr>
          <w:rFonts w:hint="eastAsia" w:ascii="宋体" w:hAnsi="宋体" w:eastAsia="宋体" w:cs="宋体"/>
          <w:u w:val="single"/>
        </w:rPr>
        <w:t xml:space="preserve"> 颁发工程接收证书后3天内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14.竣工结算</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14.1竣工付款申请</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承包人提交竣工付款申请单的期限：</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竣工付款申请单应包括的内容：</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 竣工结算合同总价、发包人已支付承包人的工程价款、应扣留的质量保证金、应支付的竣工付款金额。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14.2竣工结算审核</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rPr>
        <w:t xml:space="preserve">发包人审批竣工付款申请单的期限：</w:t>
      </w:r>
      <w:r>
        <w:rPr>
          <w:rFonts w:hint="eastAsia" w:ascii="宋体" w:hAnsi="宋体" w:eastAsia="宋体" w:cs="宋体"/>
          <w:u w:val="single"/>
        </w:rPr>
        <w:t xml:space="preserve"> 1、工程完工后一个月内承包人提供肆套完整的竣工图和竣工结算及其他资料。竣工图纸和资料必须规定要求。如有延误，发包人将对承包人处以1000元/日的违约金。</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2、承包人不按期交付合格竣工图及竣工资料，发包人有权拒绝与承包人进行结算，承包人亦无权要求发包人支付工程款，由此造成的损失由承包人自行承担。设施设备竣工必须与发包人人员做现场点验，相关产品说明书、合格证、质保书做书面交接。</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3、在承包人完成以上1、2条款后的一个月内，承包人向发包人递交竣工结算报告及完整的结算资料，经初审后，报发包人审核。双方按照协议约定书的合同价款、专用条款及相关协议约定的合同价款调整内容，进行工程竣工结算。</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4、发包人收到承包人竣工结算报告时将审计部门进行核实，完成工程最终审计后按专用条款12.4.1支付工程款。</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在审计过程中发包人不接受承包人提交的任何补充资料（除非这些补充资料的内容被证实是发生在工程完工以后的），所有遗漏的结算资料发包人将视为承包人做出的优惠。</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5、承包人在计算工程量时必须按竣工图分专业计算，竣工图以外的变更签证部分，分专业另行计算。变更签证凡在竣工图上标明的，不得重复计算。</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6、针对工程量发生变化的隐蔽工程及发包人提出的对已完成的分项工程进行变更，承包人应在施工前将施工方案报发包人及监理工程师确认；对于有可能重复利用的材料、设备，承包人应小心保护，属承包人拆除时未采取保护措施或拆除后保护不当的，由承包人负责赔偿损失。</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7、办理签证时，变更、签证结算费用编制应按“一单一价”的原则，即每一份变更、签证附一份造价核定单。一份签证单上只能申报一项内容。</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8、工程变更及现场签证统一使用规定格式的现场签证单，并按照相应规定执行。所有工程变更及现场签证均应有监理单位、发包人项目代表人员签字方为有效。</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9、为避免签证出现混乱、重复结算，承包人在办理签证时必须明确每份签证的具体原因、施工部位、施工时间、签证的编号等，否则不予办理。</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10、承包人发生的所有违约金、违约金等相应扣款项，均由监理工程师在当月的工程量审核单中注明事由及发生金额，由发包人在当月工程款支付单中予以注明扣除。所有变更及签证产生的费用均在竣工结算中办理。</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11、按国家规定由承包人交纳的各种税收、劳动保险费及其他费用已包含在本工程造价内，由承包人负责向税收等部门交纳。</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12、结算审核费用的约定：按《南京信息职业技术学院工程项目管理办法》和《南京信息职业技术学院工程项目管理审计实施办法》的相关规定执行。竣工结算书中应有完整的结算资料和工程量计算底稿并提供未来软件电子版本的工程结算，如工程量计算是软件计算，需提供计算底稿电子版。</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13、承包人如不按要求内容配合的，或配合不及时，发包人按2000元/次扣除违约金，并且由此影响其他工程项目施工的责任和费用由承包人负责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发包人完成竣工付款的期限：</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关于竣工付款证书异议部分复核的方式和程序：</w:t>
      </w:r>
      <w:r>
        <w:rPr>
          <w:rFonts w:hint="eastAsia" w:ascii="宋体" w:hAnsi="宋体" w:eastAsia="宋体" w:cs="宋体"/>
          <w:u w:val="single"/>
        </w:rPr>
        <w:t xml:space="preserve"> 按通用条款执行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14.4最终结清</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14.4.1最终结清申请单</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承包人提交最终结清申请单的份数：</w:t>
      </w:r>
      <w:r>
        <w:rPr>
          <w:rFonts w:hint="eastAsia" w:ascii="宋体" w:hAnsi="宋体" w:eastAsia="宋体" w:cs="宋体"/>
          <w:u w:val="single"/>
        </w:rPr>
        <w:t xml:space="preserve">一式五份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承包人提交最终结算申请单的期限：</w:t>
      </w:r>
      <w:r>
        <w:rPr>
          <w:rFonts w:hint="eastAsia" w:ascii="宋体" w:hAnsi="宋体" w:eastAsia="宋体" w:cs="宋体"/>
          <w:u w:val="single"/>
        </w:rPr>
        <w:t xml:space="preserve"> 项目竣工验收后90日历天内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14.4.2最终结清证书和支付</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(1)发包人完成最终结清申请单的审批并颁发最终结清证书的期限：</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(2)发包人完成支付的期限：</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15.缺陷责任期与保修</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15.2缺陷责任期</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缺陷责任期的具体期限：</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 24个月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15.3质量保证金</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关于是否扣留质量保证金的约定：</w:t>
      </w:r>
      <w:r>
        <w:rPr>
          <w:rFonts w:hint="eastAsia" w:ascii="宋体" w:hAnsi="宋体" w:eastAsia="宋体" w:cs="宋体"/>
          <w:u w:val="single"/>
        </w:rPr>
        <w:t xml:space="preserve"> 发包人将审计价的3%作为质保金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15.3.1承包人提供质量保证金的方式</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质量保证金采用以下第</w:t>
      </w:r>
      <w:r>
        <w:rPr>
          <w:rFonts w:hint="eastAsia" w:ascii="宋体" w:hAnsi="宋体" w:eastAsia="宋体" w:cs="宋体"/>
          <w:u w:val="single"/>
        </w:rPr>
        <w:t xml:space="preserve"> 1或2 </w:t>
      </w:r>
      <w:r>
        <w:rPr>
          <w:rFonts w:hint="eastAsia" w:ascii="宋体" w:hAnsi="宋体" w:eastAsia="宋体" w:cs="宋体"/>
        </w:rPr>
        <w:t xml:space="preserve">种方式：</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(1)质量保证金保函，保证金额为：</w:t>
      </w:r>
      <w:r>
        <w:rPr>
          <w:rFonts w:hint="eastAsia" w:ascii="宋体" w:hAnsi="宋体" w:eastAsia="宋体" w:cs="宋体"/>
          <w:u w:val="single"/>
        </w:rPr>
        <w:t xml:space="preserve">3%的审计价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u w:val="single"/>
        </w:rPr>
        <w:t xml:space="preserve"> 3 </w:t>
      </w:r>
      <w:r>
        <w:rPr>
          <w:rFonts w:hint="eastAsia" w:ascii="宋体" w:hAnsi="宋体" w:eastAsia="宋体" w:cs="宋体"/>
        </w:rPr>
        <w:t xml:space="preserve">%的审计价；</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(3)其他方式：</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15.3.2质量保证金的扣留</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质量保证金的扣留采取以下第</w:t>
      </w:r>
      <w:r>
        <w:rPr>
          <w:rFonts w:hint="eastAsia" w:ascii="宋体" w:hAnsi="宋体" w:eastAsia="宋体" w:cs="宋体"/>
          <w:u w:val="single"/>
        </w:rPr>
        <w:t xml:space="preserve"> </w:t>
      </w:r>
      <w:r>
        <w:rPr>
          <w:rFonts w:hint="eastAsia" w:ascii="宋体" w:hAnsi="宋体" w:cs="宋体"/>
          <w:u w:val="single"/>
          <w:lang w:val="en-US" w:eastAsia="zh-CN"/>
        </w:rPr>
        <w:t xml:space="preserve">2</w:t>
      </w:r>
      <w:r>
        <w:rPr>
          <w:rFonts w:hint="eastAsia" w:ascii="宋体" w:hAnsi="宋体" w:eastAsia="宋体" w:cs="宋体"/>
          <w:u w:val="single"/>
        </w:rPr>
        <w:t xml:space="preserve"> </w:t>
      </w:r>
      <w:r>
        <w:rPr>
          <w:rFonts w:hint="eastAsia" w:ascii="宋体" w:hAnsi="宋体" w:eastAsia="宋体" w:cs="宋体"/>
        </w:rPr>
        <w:t xml:space="preserve">种方式：</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(1)在支付工程进度款时逐次扣留，在此情形下，质量保证金的计算基数不包括预付款的支付、扣回以及价格调整的金额；</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(2)工程竣工结算时一次性扣留质量保证金；</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(3)其他扣留方式：</w:t>
      </w:r>
      <w:r>
        <w:rPr>
          <w:rFonts w:hint="eastAsia" w:ascii="宋体" w:hAnsi="宋体" w:eastAsia="宋体" w:cs="宋体"/>
          <w:u w:val="single"/>
        </w:rPr>
        <w:t xml:space="preserve"> 缴纳审计价的 3%或提供同等金额的质保金保函给发包人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关于质量保证金的补充约定：</w:t>
      </w:r>
      <w:r>
        <w:rPr>
          <w:rFonts w:hint="eastAsia" w:ascii="宋体" w:hAnsi="宋体" w:eastAsia="宋体" w:cs="宋体"/>
          <w:u w:val="single"/>
        </w:rPr>
        <w:t xml:space="preserve"> 按通用条款执行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15.4保修</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15.4.1保修责任</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rPr>
        <w:t xml:space="preserve">工程保修期为：</w:t>
      </w:r>
      <w:r>
        <w:rPr>
          <w:rFonts w:hint="eastAsia" w:ascii="宋体" w:hAnsi="宋体" w:eastAsia="宋体" w:cs="宋体"/>
          <w:u w:val="single"/>
        </w:rPr>
        <w:t xml:space="preserve"> 从工程竣工验收合格之日起算</w:t>
      </w:r>
      <w:r>
        <w:rPr>
          <w:rFonts w:hint="eastAsia" w:ascii="宋体" w:hAnsi="宋体" w:cs="宋体"/>
          <w:u w:val="single"/>
          <w:lang w:val="en-US" w:eastAsia="zh-CN"/>
        </w:rPr>
        <w:t xml:space="preserve">XX</w:t>
      </w:r>
      <w:r>
        <w:rPr>
          <w:rFonts w:hint="eastAsia" w:ascii="宋体" w:hAnsi="宋体" w:eastAsia="宋体" w:cs="宋体"/>
          <w:u w:val="single"/>
        </w:rPr>
        <w:t xml:space="preserve">年。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15.4.3修复通知</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承包人收到保修通知并到达工程现场的合理时间：</w:t>
      </w:r>
      <w:r>
        <w:rPr>
          <w:rFonts w:hint="eastAsia" w:ascii="宋体" w:hAnsi="宋体" w:eastAsia="宋体" w:cs="宋体"/>
          <w:u w:val="single"/>
        </w:rPr>
        <w:t xml:space="preserve"> 24小时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16.违约</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16.1发包人违约</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16.1.1发包人违约的情形</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发包人违约的其他情形：</w:t>
      </w:r>
      <w:r>
        <w:rPr>
          <w:rFonts w:hint="eastAsia" w:ascii="宋体" w:hAnsi="宋体" w:eastAsia="宋体" w:cs="宋体"/>
          <w:u w:val="single"/>
        </w:rPr>
        <w:t xml:space="preserve"> 按通用条款执行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16.1.2发包人违约的责任</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发包人违约责任的承担方式和计算方法：</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(1)因发包人原因未能在计划开工日期前7天内下达开工通知的违约责任：</w:t>
      </w:r>
      <w:r>
        <w:rPr>
          <w:rFonts w:hint="eastAsia" w:ascii="宋体" w:hAnsi="宋体" w:eastAsia="宋体" w:cs="宋体"/>
          <w:u w:val="single"/>
        </w:rPr>
        <w:t xml:space="preserve">  每延迟一天处以合同价千分之一的经济补偿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(2)因发包人原因未能按合同约定支付合同价款的违约责任：</w:t>
      </w:r>
      <w:r>
        <w:rPr>
          <w:rFonts w:hint="eastAsia" w:ascii="宋体" w:hAnsi="宋体" w:eastAsia="宋体" w:cs="宋体"/>
          <w:u w:val="single"/>
        </w:rPr>
        <w:t xml:space="preserve">  每延迟一天处以合同价千分之一的经济补偿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(3)发包人违反第10.1款〔变更的范围〕第(2)项约定，自行实施被取消的工作或转由他人实施的违约责任：</w:t>
      </w:r>
      <w:r>
        <w:rPr>
          <w:rFonts w:hint="eastAsia" w:ascii="宋体" w:hAnsi="宋体" w:eastAsia="宋体" w:cs="宋体"/>
          <w:u w:val="single"/>
        </w:rPr>
        <w:t xml:space="preserve"> 按通用条款执行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(5)因发包人违反合同约定造成暂停施工的违约责任：</w:t>
      </w:r>
      <w:r>
        <w:rPr>
          <w:rFonts w:hint="eastAsia" w:ascii="宋体" w:hAnsi="宋体" w:eastAsia="宋体" w:cs="宋体"/>
          <w:u w:val="single"/>
        </w:rPr>
        <w:t xml:space="preserve"> 按通用条款执行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(6)发包人无正当理由没有在约定期限内发出复工指示，导致承包人无法复工的违约责任：</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(7)其他：</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16.1.3因发包人违约解除合同</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承包人按16.1.1项〔发包人违约的情形〕约定暂停施工满</w:t>
      </w:r>
      <w:r>
        <w:rPr>
          <w:rFonts w:hint="eastAsia" w:ascii="宋体" w:hAnsi="宋体" w:eastAsia="宋体" w:cs="宋体"/>
          <w:u w:val="single"/>
        </w:rPr>
        <w:t xml:space="preserve"> 30 </w:t>
      </w:r>
      <w:r>
        <w:rPr>
          <w:rFonts w:hint="eastAsia" w:ascii="宋体" w:hAnsi="宋体" w:eastAsia="宋体" w:cs="宋体"/>
        </w:rPr>
        <w:t xml:space="preserve">天后发包人仍不纠正其违约行为并致使合同目的不能实现的，承包人有权解除合同。</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16.2承包人违约</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16.2.1承包人违约的情形</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承包人违约的其他情形：</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 1、承包人承包的工程质量必须符合国家质量验收标准及图纸要求，如不符合国家质量验收标准及图纸要求，所发生的一切返工费用及由此给发包人造成的经济损失均由承包人承担，并按工程结算价款的5%扣除违约金，此项赔偿并不能解除成交单位完成工程的责任及合同规定的其他责任。如因施工质量导致安全事故，由承包人承担事故处理的一切费用、工程的恢复费用及因此而造成后续工程延误费用。 </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2、 承包人应对工程质量及因工程质量发生的纠纷承担责任。因承包人原因工程质量达不到合格等级，发包人有权单方终止合同，承包人无权要求发包人给付工程款，并应按本合同总价款5%的标准向发包人支付违约金；如承包人支付了违约金后仍不能弥补因其工程质量达不到合同约定等级而给发包人造成的经济损失，承包人还应赔偿发包人的实际经济损失。</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3、对于承包人在施工阶段一切违背本合同文件条款和国家有关规定的行为，发包人有权就有关事项书面发出通知。如承包人在接获发包人要求纠正的书面通知后十天内仍未遵照执行时，则发包人有权直接招请其他承包人执行该书面通知所需的任何工作，由此招请而产生的费用和发包人的相关损失，发包人可作为债务向承包人索还或在根据本合同文件内应付或届期应付承包人的款项内扣除，支付执行者。</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4、发包人可以书面形式通知承包人要求其暂停履行合同规定的全部或部分义务，通知应说明暂停履行的义务、有效日期和理由，承包人应就此暂停履行其义务（除照管工程所需的部分外）直到发包人签发恢复履行的书面通知。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16.2.2承包人违约的责任</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承包人违约责任的承担方式和计算方法：</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 1、在施工期间承包人如发生重大质量和安全事故，必须承担事故处理的一切费用、工程的恢复费用及因此造成后续工程延期费用（500元/天），发包人有权勒令其退场，或减少其承包内容，所造成的损失由承包人承担。</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2、承包人不按期交付合格竣工图及竣工资料，发包人将推迟审核承包人决算时间，由此造成的损失由承包人承担。 </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3、如承包人未经发包人同意擅自将其在施工过程中获悉的发包人商业秘密向第三人泄露（如发包人提供的图纸内容），发包人有权单方终止合同，同时发包人有权要求承包人按本合同总价款的5%标准支付违约金。如承包人支付了违约金后仍不能弥补因其泄露发包人商业秘密给发包人造成的经济损失的，承包人还应赔偿发包人的实际经济损失。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4、如承包人未能按本合同约定在工程竣工后及时清理垃圾、平整场地，则发包人有权自行清理垃圾、平整场地，承包人除应负担发包人因此而发生的费用外，还应按本合同总价款1%的标准向发包人支付违约金。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16.2.3因承包人违约解除合同</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关于承包人违约解除合同的特别约定：</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  本工程必须由承包人自行完成，不准转包或擅自分包，否则，发包人有权要求承包人退场，一切损失均由承包方承担，同时由承包人向发包人支付1万/次的违约金，并视情节向建设行政主管部门报告。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发包人继续使用承包人在施工现场的材料、设备、临时工程、承包人文件和由承包人或以其名义编制的其他文件的费用承担方式：</w:t>
      </w:r>
      <w:r>
        <w:rPr>
          <w:rFonts w:hint="eastAsia" w:ascii="宋体" w:hAnsi="宋体" w:eastAsia="宋体" w:cs="宋体"/>
          <w:u w:val="single"/>
        </w:rPr>
        <w:t xml:space="preserve"> 如有，另行协商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17.不可抗力</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17.1不可抗力的确认</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除通用合同条款约定的不可抗力事件之外，视为不可抗力的其他情形：</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17.4因不可抗力解除合同</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合同解除后，发包人应在商定或确定发包人应支付款项后</w:t>
      </w:r>
      <w:r>
        <w:rPr>
          <w:rFonts w:hint="eastAsia" w:ascii="宋体" w:hAnsi="宋体" w:eastAsia="宋体" w:cs="宋体"/>
          <w:u w:val="single"/>
        </w:rPr>
        <w:t xml:space="preserve"> 15 </w:t>
      </w:r>
      <w:r>
        <w:rPr>
          <w:rFonts w:hint="eastAsia" w:ascii="宋体" w:hAnsi="宋体" w:eastAsia="宋体" w:cs="宋体"/>
        </w:rPr>
        <w:t xml:space="preserve">天内完成款项的支付。</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18.保险</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18.1工程保险</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rPr>
        <w:t xml:space="preserve">关于工程保险的特别约定：</w:t>
      </w:r>
      <w:r>
        <w:rPr>
          <w:rFonts w:hint="eastAsia" w:ascii="宋体" w:hAnsi="宋体" w:eastAsia="宋体" w:cs="宋体"/>
          <w:u w:val="single"/>
        </w:rPr>
        <w:t xml:space="preserve">  承包人必须按国家或地方有关规定，对本工程施工作业人员办理意外伤害保险；第三方人身险并承担保险费用。 </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    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   承包人须对与本工程有关或本工程进行期间发生或本工程引致的人身伤亡及财产损坏负费用、损失、索偿或诉讼等法律责任，并须保障发包人免负该等责任</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18.3其他保险</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关于其他保险的约定：</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承包人是否应为其施工设备等办理财产保险：</w:t>
      </w:r>
      <w:r>
        <w:rPr>
          <w:rFonts w:hint="eastAsia" w:ascii="宋体" w:hAnsi="宋体" w:eastAsia="宋体" w:cs="宋体"/>
          <w:u w:val="single"/>
        </w:rPr>
        <w:t xml:space="preserve"> 承包人必须为其施工设备办理保险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18.7通知义务</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关于变更保险合同时的通知义务的约定：</w:t>
      </w:r>
      <w:r>
        <w:rPr>
          <w:rFonts w:hint="eastAsia" w:ascii="宋体" w:hAnsi="宋体" w:eastAsia="宋体" w:cs="宋体"/>
          <w:u w:val="single"/>
        </w:rPr>
        <w:t xml:space="preserve"> 按通用条款执行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20.争议解决</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20.3争议评审</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合同当事人是否同意将工程争议提交争议评审小组决定：</w:t>
      </w:r>
      <w:r>
        <w:rPr>
          <w:rFonts w:hint="eastAsia" w:ascii="宋体" w:hAnsi="宋体" w:eastAsia="宋体" w:cs="宋体"/>
          <w:u w:val="single"/>
        </w:rPr>
        <w:t xml:space="preserve"> 否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20.3.1争议评审小组的确定</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争议评审小组成员的确定：</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选定争议评审员的期限：</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争议评审小组成员的报酬承担方式：</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其他事项的约定：</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20.3.2争议评审小组的决定</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合同当事人关于本项的约定：</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20.4仲裁或诉讼</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因合同及合同有关事项发生的争议，按下列第</w:t>
      </w:r>
      <w:r>
        <w:rPr>
          <w:rFonts w:hint="eastAsia" w:ascii="宋体" w:hAnsi="宋体" w:eastAsia="宋体" w:cs="宋体"/>
          <w:u w:val="single"/>
        </w:rPr>
        <w:t xml:space="preserve"> 2 </w:t>
      </w:r>
      <w:r>
        <w:rPr>
          <w:rFonts w:hint="eastAsia" w:ascii="宋体" w:hAnsi="宋体" w:eastAsia="宋体" w:cs="宋体"/>
        </w:rPr>
        <w:t xml:space="preserve">种方式解决：</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(1)向</w:t>
      </w:r>
      <w:r>
        <w:rPr>
          <w:rFonts w:hint="eastAsia" w:ascii="宋体" w:hAnsi="宋体" w:eastAsia="宋体" w:cs="宋体"/>
          <w:u w:val="single"/>
        </w:rPr>
        <w:t xml:space="preserve">南京市</w:t>
      </w:r>
      <w:r>
        <w:rPr>
          <w:rFonts w:hint="eastAsia" w:ascii="宋体" w:hAnsi="宋体" w:eastAsia="宋体" w:cs="宋体"/>
        </w:rPr>
        <w:t xml:space="preserve">仲裁委员会申请仲裁；</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(2)向</w:t>
      </w:r>
      <w:r>
        <w:rPr>
          <w:rFonts w:hint="eastAsia" w:ascii="宋体" w:hAnsi="宋体" w:eastAsia="宋体" w:cs="宋体"/>
          <w:u w:val="single"/>
        </w:rPr>
        <w:t xml:space="preserve"> 工程所在地 </w:t>
      </w:r>
      <w:r>
        <w:rPr>
          <w:rFonts w:hint="eastAsia" w:ascii="宋体" w:hAnsi="宋体" w:eastAsia="宋体" w:cs="宋体"/>
        </w:rPr>
        <w:t xml:space="preserve">人民法院起诉。</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r>
      <w:r/>
    </w:p>
    <w:p>
      <w:pPr>
        <w:ind w:left="0" w:right="0" w:firstLine="420"/>
        <w:pageBreakBefore w:val="0"/>
        <w:spacing w:line="360" w:lineRule="auto"/>
        <w:rPr>
          <w:rFonts w:hint="eastAsia" w:ascii="宋体" w:hAnsi="宋体" w:cs="宋体"/>
          <w:lang w:val="en-US" w:eastAsia="zh-CN"/>
        </w:rPr>
      </w:pPr>
      <w:r>
        <w:rPr>
          <w:rFonts w:hint="eastAsia" w:ascii="宋体" w:hAnsi="宋体" w:cs="宋体"/>
          <w:lang w:val="en-US" w:eastAsia="zh-CN"/>
        </w:rPr>
        <w:t xml:space="preserve">20.5其他</w:t>
      </w:r>
      <w:r/>
    </w:p>
    <w:p>
      <w:pPr>
        <w:ind w:left="0" w:right="0" w:firstLine="420"/>
        <w:pageBreakBefore w:val="0"/>
        <w:spacing w:line="360" w:lineRule="auto"/>
        <w:rPr>
          <w:rFonts w:hint="eastAsia" w:ascii="宋体" w:hAnsi="宋体" w:cs="宋体"/>
          <w:lang w:val="en-US" w:eastAsia="zh-CN"/>
        </w:rPr>
      </w:pPr>
      <w:r>
        <w:rPr>
          <w:rFonts w:hint="eastAsia" w:ascii="宋体" w:hAnsi="宋体" w:cs="宋体"/>
          <w:lang w:val="en-US" w:eastAsia="zh-CN"/>
        </w:rPr>
        <w:t xml:space="preserve">（一）质保与售后要求</w:t>
      </w:r>
      <w:r/>
    </w:p>
    <w:p>
      <w:pPr>
        <w:ind w:left="0" w:right="0" w:firstLine="420"/>
        <w:pageBreakBefore w:val="0"/>
        <w:spacing w:line="360" w:lineRule="auto"/>
        <w:rPr>
          <w:rFonts w:hint="eastAsia" w:ascii="宋体" w:hAnsi="宋体" w:cs="宋体"/>
          <w:lang w:val="en-US" w:eastAsia="zh-CN"/>
        </w:rPr>
      </w:pPr>
      <w:r>
        <w:rPr>
          <w:rFonts w:hint="eastAsia" w:ascii="宋体" w:hAnsi="宋体" w:cs="宋体"/>
          <w:lang w:val="en-US" w:eastAsia="zh-CN"/>
        </w:rPr>
        <w:t xml:space="preserve">1.质保期要求：产品实行“三包”，产品质保期为产品安装、调试、终验收合格后不少于XX年，质保（含维保、含所有耗材）服务，费用包含在投标总价中（自验收报告签字确认日起，开始进入质保期）。 </w:t>
      </w:r>
      <w:r/>
    </w:p>
    <w:p>
      <w:pPr>
        <w:ind w:left="0" w:right="0" w:firstLine="420"/>
        <w:pageBreakBefore w:val="0"/>
        <w:spacing w:line="360" w:lineRule="auto"/>
        <w:rPr>
          <w:rFonts w:hint="eastAsia" w:ascii="宋体" w:hAnsi="宋体" w:cs="宋体"/>
          <w:lang w:val="en-US" w:eastAsia="zh-CN"/>
        </w:rPr>
      </w:pPr>
      <w:r>
        <w:rPr>
          <w:rFonts w:hint="eastAsia" w:ascii="宋体" w:hAnsi="宋体" w:cs="宋体"/>
          <w:lang w:val="en-US" w:eastAsia="zh-CN"/>
        </w:rPr>
        <w:t xml:space="preserve">2.售后服务要求：</w:t>
      </w:r>
      <w:r/>
    </w:p>
    <w:p>
      <w:pPr>
        <w:ind w:left="0" w:right="0" w:firstLine="420"/>
        <w:pageBreakBefore w:val="0"/>
        <w:spacing w:line="360" w:lineRule="auto"/>
        <w:rPr>
          <w:rFonts w:hint="eastAsia" w:ascii="宋体" w:hAnsi="宋体" w:cs="宋体"/>
          <w:lang w:val="en-US" w:eastAsia="zh-CN"/>
        </w:rPr>
      </w:pPr>
      <w:r>
        <w:rPr>
          <w:rFonts w:hint="eastAsia" w:ascii="宋体" w:hAnsi="宋体" w:cs="宋体"/>
          <w:lang w:val="en-US" w:eastAsia="zh-CN"/>
        </w:rPr>
        <w:t xml:space="preserve">（1）承包人提供详细的售后服务承诺书，包括质保期、质量问题处理方法。提供标准配置的附件和专用维修工具，备件和易损件。</w:t>
      </w:r>
      <w:r/>
    </w:p>
    <w:p>
      <w:pPr>
        <w:ind w:left="0" w:right="0" w:firstLine="420"/>
        <w:pageBreakBefore w:val="0"/>
        <w:spacing w:line="360" w:lineRule="auto"/>
        <w:rPr>
          <w:rFonts w:hint="eastAsia" w:ascii="宋体" w:hAnsi="宋体" w:cs="宋体"/>
          <w:lang w:val="en-US" w:eastAsia="zh-CN"/>
        </w:rPr>
      </w:pPr>
      <w:r>
        <w:rPr>
          <w:rFonts w:hint="eastAsia" w:ascii="宋体" w:hAnsi="宋体" w:cs="宋体"/>
          <w:lang w:val="en-US" w:eastAsia="zh-CN"/>
        </w:rPr>
        <w:t xml:space="preserve">（2）质保期内，承包人接到保修请求，应在半小时内响应，2小时内维修人员到达现场，必要时应向发包人提供应急备用设备，修复或更换零部件须满足国家及行业环保和质量标准。</w:t>
      </w:r>
      <w:r/>
    </w:p>
    <w:p>
      <w:pPr>
        <w:ind w:left="0" w:right="0" w:firstLine="420"/>
        <w:pageBreakBefore w:val="0"/>
        <w:spacing w:line="360" w:lineRule="auto"/>
        <w:rPr>
          <w:rFonts w:hint="eastAsia" w:ascii="宋体" w:hAnsi="宋体" w:cs="宋体"/>
          <w:lang w:val="en-US" w:eastAsia="zh-CN"/>
        </w:rPr>
      </w:pPr>
      <w:r>
        <w:rPr>
          <w:rFonts w:hint="eastAsia" w:ascii="宋体" w:hAnsi="宋体" w:cs="宋体"/>
          <w:lang w:val="en-US" w:eastAsia="zh-CN"/>
        </w:rPr>
        <w:t xml:space="preserve">3.备件停止生产的情况下，承包人应事先将要停止生产的计划通知发包人，使发包人有足够时间采购所需的备件，如果发包人要求，承包人须免费向发包人提供备件图纸和资料。技术资料：产品说明书，安装、操作、维修手册等。</w:t>
      </w:r>
      <w:r/>
    </w:p>
    <w:p>
      <w:pPr>
        <w:ind w:left="0" w:right="0" w:firstLine="420"/>
        <w:pageBreakBefore w:val="0"/>
        <w:spacing w:line="360" w:lineRule="auto"/>
        <w:rPr>
          <w:rFonts w:hint="eastAsia" w:ascii="宋体" w:hAnsi="宋体" w:cs="宋体"/>
          <w:lang w:val="en-US" w:eastAsia="zh-CN"/>
        </w:rPr>
      </w:pPr>
      <w:r>
        <w:rPr>
          <w:rFonts w:hint="eastAsia" w:ascii="宋体" w:hAnsi="宋体" w:cs="宋体"/>
          <w:lang w:val="en-US" w:eastAsia="zh-CN"/>
        </w:rPr>
        <w:t xml:space="preserve">4.质保期内维保服务要求：</w:t>
      </w:r>
      <w:r/>
    </w:p>
    <w:p>
      <w:pPr>
        <w:ind w:left="0" w:right="0" w:firstLine="420"/>
        <w:pageBreakBefore w:val="0"/>
        <w:spacing w:line="360" w:lineRule="auto"/>
        <w:rPr>
          <w:rFonts w:hint="eastAsia" w:ascii="宋体" w:hAnsi="宋体" w:cs="宋体"/>
          <w:lang w:val="en-US" w:eastAsia="zh-CN"/>
        </w:rPr>
      </w:pPr>
      <w:r>
        <w:rPr>
          <w:rFonts w:hint="eastAsia" w:ascii="宋体" w:hAnsi="宋体" w:cs="宋体"/>
          <w:lang w:val="en-US" w:eastAsia="zh-CN"/>
        </w:rPr>
        <w:t xml:space="preserve">（1）巡检周期：承包人承诺质保期内每月安排专业售后人员来校实地巡视二次，巡视过程中应根据学校要求检查所提供产品运行情况，发现隐患及时上报并做好相关记录存档。</w:t>
      </w:r>
      <w:r/>
    </w:p>
    <w:p>
      <w:pPr>
        <w:ind w:left="0" w:right="0" w:firstLine="420"/>
        <w:pageBreakBefore w:val="0"/>
        <w:spacing w:line="360" w:lineRule="auto"/>
        <w:rPr>
          <w:rFonts w:hint="eastAsia" w:ascii="宋体" w:hAnsi="宋体" w:cs="宋体"/>
          <w:lang w:val="en-US" w:eastAsia="zh-CN"/>
        </w:rPr>
      </w:pPr>
      <w:r>
        <w:rPr>
          <w:rFonts w:hint="eastAsia" w:ascii="宋体" w:hAnsi="宋体" w:cs="宋体"/>
          <w:lang w:val="en-US" w:eastAsia="zh-CN"/>
        </w:rPr>
        <w:t xml:space="preserve">（2）硬件故障维修时间超过24小时则需提供备用件更换。</w:t>
      </w:r>
      <w:r/>
    </w:p>
    <w:p>
      <w:pPr>
        <w:rPr>
          <w:rFonts w:hint="eastAsia" w:ascii="宋体" w:hAnsi="宋体" w:cs="宋体"/>
          <w:sz w:val="24"/>
          <w:u w:val="single"/>
          <w:lang w:val="en-US" w:eastAsia="zh-CN"/>
        </w:rPr>
      </w:pPr>
      <w:r>
        <w:rPr>
          <w:rFonts w:hint="eastAsia" w:ascii="宋体" w:hAnsi="宋体" w:cs="宋体"/>
          <w:sz w:val="24"/>
          <w:u w:val="single"/>
          <w:lang w:val="en-US" w:eastAsia="zh-CN"/>
        </w:rPr>
        <w:br w:type="page" w:clear="all"/>
      </w:r>
      <w:r/>
    </w:p>
    <w:p>
      <w:pPr>
        <w:ind w:left="0" w:right="0" w:firstLine="480"/>
        <w:pageBreakBefore w:val="0"/>
        <w:spacing w:line="360" w:lineRule="auto"/>
        <w:rPr>
          <w:rFonts w:hint="eastAsia" w:ascii="宋体" w:hAnsi="宋体" w:cs="宋体"/>
          <w:sz w:val="24"/>
          <w:u w:val="single"/>
          <w:lang w:val="en-US" w:eastAsia="zh-CN"/>
        </w:rPr>
      </w:pPr>
      <w:r>
        <w:rPr>
          <w:rFonts w:hint="eastAsia" w:ascii="宋体" w:hAnsi="宋体" w:cs="宋体"/>
          <w:sz w:val="24"/>
          <w:u w:val="single"/>
          <w:lang w:val="en-US" w:eastAsia="zh-CN"/>
        </w:rPr>
        <w:t xml:space="preserve">附件：供货一览表</w:t>
      </w:r>
      <w:r/>
    </w:p>
    <w:p>
      <w:pPr>
        <w:ind w:right="0"/>
        <w:jc w:val="center"/>
        <w:pageBreakBefore w:val="0"/>
        <w:spacing w:line="360" w:lineRule="auto"/>
        <w:rPr>
          <w:rFonts w:hint="eastAsia" w:ascii="宋体" w:hAnsi="宋体" w:cs="宋体"/>
          <w:sz w:val="32"/>
          <w:szCs w:val="32"/>
          <w:u w:val="none"/>
          <w:lang w:val="en-US" w:eastAsia="zh-CN"/>
        </w:rPr>
      </w:pPr>
      <w:r>
        <w:rPr>
          <w:rFonts w:hint="eastAsia" w:ascii="宋体" w:hAnsi="宋体" w:cs="宋体"/>
          <w:sz w:val="32"/>
          <w:szCs w:val="32"/>
          <w:u w:val="none"/>
          <w:lang w:val="en-US" w:eastAsia="zh-CN"/>
        </w:rPr>
        <w:t xml:space="preserve">供货一览表</w:t>
      </w:r>
      <w:r/>
    </w:p>
    <w:tbl>
      <w:tblPr>
        <w:tblStyle w:val="912"/>
        <w:tblW w:w="102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4"/>
        <w:gridCol w:w="705"/>
        <w:gridCol w:w="1683"/>
        <w:gridCol w:w="2342"/>
        <w:gridCol w:w="910"/>
        <w:gridCol w:w="848"/>
        <w:gridCol w:w="713"/>
        <w:gridCol w:w="681"/>
        <w:gridCol w:w="845"/>
        <w:gridCol w:w="885"/>
      </w:tblGrid>
      <w:tr>
        <w:trPr>
          <w:cantSplit/>
          <w:jc w:val="center"/>
          <w:trHeight w:val="357"/>
        </w:trPr>
        <w:tc>
          <w:tcPr>
            <w:tcW w:w="604" w:type="dxa"/>
            <w:vAlign w:val="center"/>
            <w:vMerge w:val="restart"/>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序号</w:t>
            </w:r>
            <w:r/>
          </w:p>
        </w:tc>
        <w:tc>
          <w:tcPr>
            <w:tcW w:w="705"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1</w:t>
            </w:r>
            <w:r/>
          </w:p>
        </w:tc>
        <w:tc>
          <w:tcPr>
            <w:tcW w:w="1683"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2</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3</w:t>
            </w:r>
            <w:r/>
          </w:p>
        </w:tc>
        <w:tc>
          <w:tcPr>
            <w:tcW w:w="910"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4</w:t>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5</w:t>
            </w:r>
            <w:r/>
          </w:p>
        </w:tc>
        <w:tc>
          <w:tcPr>
            <w:tcW w:w="713"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6</w:t>
            </w:r>
            <w:r/>
          </w:p>
        </w:tc>
        <w:tc>
          <w:tcPr>
            <w:tcW w:w="681"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7</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8</w:t>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lang w:val="en-US" w:eastAsia="zh-CN"/>
              </w:rPr>
            </w:pPr>
            <w:r>
              <w:rPr>
                <w:rFonts w:hint="eastAsia" w:ascii="宋体" w:hAnsi="宋体" w:eastAsia="宋体" w:cs="宋体"/>
                <w:color w:val="auto"/>
                <w:spacing w:val="0"/>
                <w:szCs w:val="21"/>
                <w:lang w:val="en-US" w:eastAsia="zh-CN"/>
              </w:rPr>
              <w:t xml:space="preserve">9</w:t>
            </w:r>
            <w:r/>
          </w:p>
        </w:tc>
      </w:tr>
      <w:tr>
        <w:trPr>
          <w:cantSplit/>
          <w:jc w:val="center"/>
          <w:trHeight w:val="543"/>
        </w:trPr>
        <w:tc>
          <w:tcPr>
            <w:tcW w:w="604"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0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地点</w:t>
            </w:r>
            <w:r/>
          </w:p>
        </w:tc>
        <w:tc>
          <w:tcPr>
            <w:tcW w:w="1683"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产品名称</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品牌、规格或型号</w:t>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是否为本国产品</w:t>
            </w:r>
            <w:r/>
          </w:p>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（是或否）</w:t>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交付期</w:t>
            </w:r>
            <w:r/>
          </w:p>
        </w:tc>
        <w:tc>
          <w:tcPr>
            <w:tcW w:w="713"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数量</w:t>
            </w:r>
            <w:r/>
          </w:p>
        </w:tc>
        <w:tc>
          <w:tcPr>
            <w:tcW w:w="681"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单位</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单价</w:t>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总价</w:t>
            </w:r>
            <w:r/>
          </w:p>
        </w:tc>
      </w:tr>
      <w:tr>
        <w:trPr>
          <w:cantSplit/>
          <w:jc w:val="center"/>
          <w:trHeight w:val="427"/>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705" w:type="dxa"/>
            <w:vAlign w:val="center"/>
            <w:vMerge w:val="restart"/>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中心子站变电所改造</w:t>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变压器柜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27"/>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干式变压器SCB14</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lang w:val="en-US" w:eastAsia="zh-CN"/>
              </w:rPr>
              <w:t xml:space="preserve">核心产品</w:t>
            </w:r>
            <w:r>
              <w:rPr>
                <w:rFonts w:hint="eastAsia" w:ascii="宋体" w:hAnsi="宋体" w:eastAsia="宋体" w:cs="宋体"/>
                <w:b/>
                <w:bCs/>
                <w:szCs w:val="21"/>
                <w:highlight w:val="none"/>
                <w:lang w:eastAsia="zh-CN"/>
              </w:rPr>
              <w:t xml:space="preserve">）</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27"/>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低压进线总柜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电容补偿柜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套</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母联柜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1</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套</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低压馈线柜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母线槽</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7</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米</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低压伸缩接头</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套</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铜母排</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120</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米</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铜母排</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30</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米</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10KV电流互感器</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6</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只</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W w:w="705" w:type="dxa"/>
            <w:vAlign w:val="center"/>
            <w:vMerge w:val="restart"/>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东片区宿舍10kV变电所</w:t>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10kV进线柜改造</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变压器柜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干式变压器SCB14</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低压进线总柜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电容补偿柜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套</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母联柜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1</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低压馈线柜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母线槽</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7</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米</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低压伸缩接头</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套</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铜母排</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24</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米</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铜母排</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3</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米</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壁挂式直流屏</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1</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直流屏电缆</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50.5</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米</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tcW w:w="705" w:type="dxa"/>
            <w:vAlign w:val="center"/>
            <w:vMerge w:val="restart"/>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文澜子站</w:t>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干式变压器SCB14</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电容补偿柜</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套</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低压进线总柜</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母联柜</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1</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母线槽</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7</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米</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低压伸缩接头</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套</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高压出线柜熔断器</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9</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只</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铜母排</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120</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米</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铜母排</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30</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米</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塑壳断路器</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电流互感器</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6</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只</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分合闸指示灯</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各2</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只</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10KV电流互感器</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8</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只</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bl>
    <w:p>
      <w:pPr>
        <w:ind w:firstLine="42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widowControl/>
        <w:rPr>
          <w:rFonts w:hint="eastAsia" w:ascii="宋体" w:hAnsi="宋体" w:eastAsia="宋体" w:cs="宋体"/>
          <w:b/>
          <w:bCs/>
          <w:color w:val="auto"/>
          <w:spacing w:val="0"/>
          <w:szCs w:val="21"/>
          <w:lang w:val="zh-CN"/>
        </w:rPr>
      </w:pPr>
      <w:r>
        <w:rPr>
          <w:rFonts w:hint="eastAsia" w:ascii="宋体" w:hAnsi="宋体" w:eastAsia="宋体" w:cs="宋体"/>
          <w:b/>
          <w:bCs/>
          <w:color w:val="auto"/>
          <w:spacing w:val="0"/>
          <w:szCs w:val="21"/>
          <w:lang w:val="zh-CN"/>
        </w:rPr>
      </w:r>
      <w:r/>
    </w:p>
    <w:p>
      <w:pPr>
        <w:jc w:val="left"/>
        <w:spacing w:line="360" w:lineRule="auto"/>
        <w:widowControl/>
        <w:rPr>
          <w:rFonts w:hint="eastAsia" w:ascii="宋体" w:hAnsi="宋体" w:eastAsia="宋体" w:cs="宋体"/>
          <w:b/>
          <w:bCs/>
          <w:color w:val="auto"/>
          <w:spacing w:val="0"/>
          <w:szCs w:val="21"/>
          <w:lang w:val="zh-CN"/>
        </w:rPr>
      </w:pPr>
      <w:r>
        <w:rPr>
          <w:rFonts w:hint="eastAsia" w:ascii="宋体" w:hAnsi="宋体" w:eastAsia="宋体" w:cs="宋体"/>
          <w:b/>
          <w:bCs/>
          <w:color w:val="auto"/>
          <w:spacing w:val="0"/>
          <w:szCs w:val="21"/>
          <w:lang w:val="zh-CN"/>
        </w:rPr>
      </w:r>
      <w:r/>
    </w:p>
    <w:p>
      <w:pPr>
        <w:jc w:val="left"/>
        <w:widowControl/>
        <w:rPr>
          <w:rFonts w:hint="eastAsia" w:ascii="宋体" w:hAnsi="宋体" w:eastAsia="宋体" w:cs="宋体"/>
          <w:b/>
          <w:bCs/>
          <w:color w:val="auto"/>
          <w:spacing w:val="0"/>
          <w:szCs w:val="21"/>
          <w:lang w:val="zh-CN"/>
        </w:rPr>
      </w:pPr>
      <w:r>
        <w:rPr>
          <w:rFonts w:hint="eastAsia" w:ascii="宋体" w:hAnsi="宋体" w:eastAsia="宋体" w:cs="宋体"/>
          <w:b/>
          <w:bCs/>
          <w:color w:val="auto"/>
          <w:spacing w:val="0"/>
          <w:szCs w:val="21"/>
          <w:lang w:val="zh-CN"/>
        </w:rPr>
      </w:r>
      <w:bookmarkEnd w:id="150"/>
      <w:r/>
      <w:r/>
    </w:p>
    <w:p>
      <w:pPr>
        <w:rPr>
          <w:rFonts w:hint="eastAsia" w:ascii="宋体" w:hAnsi="宋体" w:eastAsia="宋体" w:cs="宋体"/>
          <w:color w:val="auto"/>
          <w:spacing w:val="0"/>
        </w:rPr>
      </w:pPr>
      <w:r/>
      <w:bookmarkStart w:id="155" w:name="_Toc176529672"/>
      <w:r>
        <w:rPr>
          <w:rFonts w:hint="eastAsia" w:ascii="宋体" w:hAnsi="宋体" w:eastAsia="宋体" w:cs="宋体"/>
          <w:color w:val="auto"/>
          <w:spacing w:val="0"/>
        </w:rPr>
        <w:br w:type="page" w:clear="all"/>
      </w:r>
      <w:r/>
    </w:p>
    <w:p>
      <w:pPr>
        <w:pStyle w:val="902"/>
        <w:numPr>
          <w:ilvl w:val="0"/>
          <w:numId w:val="0"/>
        </w:numPr>
        <w:rPr>
          <w:rFonts w:hint="eastAsia" w:ascii="宋体" w:hAnsi="宋体" w:eastAsia="宋体" w:cs="宋体"/>
          <w:color w:val="auto"/>
          <w:spacing w:val="0"/>
        </w:rPr>
      </w:pPr>
      <w:r>
        <w:rPr>
          <w:rFonts w:hint="eastAsia" w:ascii="宋体" w:hAnsi="宋体" w:eastAsia="宋体" w:cs="宋体"/>
          <w:color w:val="auto"/>
          <w:spacing w:val="0"/>
        </w:rPr>
        <w:t xml:space="preserve">第六章 投标文件格式</w:t>
      </w:r>
      <w:bookmarkEnd w:id="151"/>
      <w:r/>
      <w:bookmarkEnd w:id="155"/>
      <w:r/>
      <w:r/>
    </w:p>
    <w:p>
      <w:pPr>
        <w:jc w:val="left"/>
        <w:spacing w:line="240" w:lineRule="atLeast"/>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r>
      <w:r/>
    </w:p>
    <w:p>
      <w:pPr>
        <w:spacing w:line="440" w:lineRule="exact"/>
        <w:rPr>
          <w:rFonts w:hint="eastAsia" w:ascii="宋体" w:hAnsi="宋体" w:eastAsia="宋体" w:cs="宋体"/>
          <w:color w:val="auto"/>
          <w:spacing w:val="0"/>
          <w:sz w:val="20"/>
          <w:szCs w:val="20"/>
        </w:rPr>
      </w:pPr>
      <w:r>
        <w:rPr>
          <w:rFonts w:hint="eastAsia" w:ascii="宋体" w:hAnsi="宋体" w:eastAsia="宋体" w:cs="宋体"/>
          <w:color w:val="auto"/>
          <w:spacing w:val="0"/>
          <w:sz w:val="20"/>
          <w:szCs w:val="20"/>
        </w:rPr>
      </w:r>
      <w:r/>
    </w:p>
    <w:p>
      <w:pPr>
        <w:spacing w:line="440" w:lineRule="exact"/>
        <w:rPr>
          <w:rFonts w:hint="eastAsia" w:ascii="宋体" w:hAnsi="宋体" w:eastAsia="宋体" w:cs="宋体"/>
          <w:color w:val="auto"/>
          <w:spacing w:val="0"/>
          <w:sz w:val="20"/>
          <w:szCs w:val="20"/>
        </w:rPr>
      </w:pPr>
      <w:r>
        <w:rPr>
          <w:rFonts w:hint="eastAsia" w:ascii="宋体" w:hAnsi="宋体" w:eastAsia="宋体" w:cs="宋体"/>
          <w:color w:val="auto"/>
          <w:spacing w:val="0"/>
          <w:sz w:val="20"/>
          <w:szCs w:val="20"/>
        </w:rPr>
      </w:r>
      <w:r/>
    </w:p>
    <w:p>
      <w:pPr>
        <w:spacing w:line="440" w:lineRule="exact"/>
        <w:rPr>
          <w:rFonts w:hint="eastAsia" w:ascii="宋体" w:hAnsi="宋体" w:eastAsia="宋体" w:cs="宋体"/>
          <w:color w:val="auto"/>
          <w:spacing w:val="0"/>
          <w:sz w:val="20"/>
          <w:szCs w:val="20"/>
        </w:rPr>
      </w:pPr>
      <w:r>
        <w:rPr>
          <w:rFonts w:hint="eastAsia" w:ascii="宋体" w:hAnsi="宋体" w:eastAsia="宋体" w:cs="宋体"/>
          <w:color w:val="auto"/>
          <w:spacing w:val="0"/>
          <w:sz w:val="20"/>
          <w:szCs w:val="20"/>
        </w:rPr>
      </w:r>
      <w:r/>
    </w:p>
    <w:p>
      <w:pPr>
        <w:spacing w:line="440" w:lineRule="exact"/>
        <w:rPr>
          <w:rFonts w:hint="eastAsia" w:ascii="宋体" w:hAnsi="宋体" w:eastAsia="宋体" w:cs="宋体"/>
          <w:color w:val="auto"/>
          <w:spacing w:val="0"/>
          <w:sz w:val="20"/>
          <w:szCs w:val="20"/>
        </w:rPr>
      </w:pPr>
      <w:r>
        <w:rPr>
          <w:rFonts w:hint="eastAsia" w:ascii="宋体" w:hAnsi="宋体" w:eastAsia="宋体" w:cs="宋体"/>
          <w:color w:val="auto"/>
          <w:spacing w:val="0"/>
          <w:sz w:val="20"/>
          <w:szCs w:val="20"/>
        </w:rPr>
      </w:r>
      <w:r/>
    </w:p>
    <w:p>
      <w:pPr>
        <w:spacing w:line="440" w:lineRule="exact"/>
        <w:rPr>
          <w:rFonts w:hint="eastAsia" w:ascii="宋体" w:hAnsi="宋体" w:eastAsia="宋体" w:cs="宋体"/>
          <w:color w:val="auto"/>
          <w:spacing w:val="0"/>
          <w:sz w:val="32"/>
          <w:szCs w:val="32"/>
        </w:rPr>
      </w:pPr>
      <w:r>
        <w:rPr>
          <w:rFonts w:hint="eastAsia" w:ascii="宋体" w:hAnsi="宋体" w:eastAsia="宋体" w:cs="宋体"/>
          <w:color w:val="auto"/>
          <w:spacing w:val="0"/>
          <w:sz w:val="32"/>
          <w:szCs w:val="32"/>
        </w:rPr>
      </w:r>
      <w:r/>
    </w:p>
    <w:p>
      <w:pPr>
        <w:jc w:val="center"/>
        <w:rPr>
          <w:rFonts w:hint="eastAsia" w:ascii="宋体" w:hAnsi="宋体" w:eastAsia="宋体" w:cs="宋体"/>
          <w:color w:val="auto"/>
          <w:spacing w:val="0"/>
          <w:sz w:val="32"/>
          <w:szCs w:val="32"/>
        </w:rPr>
      </w:pPr>
      <w:r>
        <w:rPr>
          <w:rFonts w:hint="eastAsia" w:ascii="宋体" w:hAnsi="宋体" w:eastAsia="宋体" w:cs="宋体"/>
          <w:color w:val="auto"/>
          <w:spacing w:val="0"/>
          <w:sz w:val="32"/>
          <w:szCs w:val="32"/>
        </w:rPr>
      </w:r>
      <w:r/>
    </w:p>
    <w:p>
      <w:pPr>
        <w:rPr>
          <w:rFonts w:hint="eastAsia" w:ascii="宋体" w:hAnsi="宋体" w:eastAsia="宋体" w:cs="宋体"/>
          <w:color w:val="auto"/>
          <w:spacing w:val="0"/>
          <w:sz w:val="32"/>
          <w:szCs w:val="32"/>
        </w:rPr>
      </w:pPr>
      <w:r>
        <w:rPr>
          <w:rFonts w:hint="eastAsia" w:ascii="宋体" w:hAnsi="宋体" w:eastAsia="宋体" w:cs="宋体"/>
          <w:color w:val="auto"/>
          <w:spacing w:val="0"/>
          <w:sz w:val="32"/>
          <w:szCs w:val="32"/>
        </w:rPr>
      </w:r>
      <w:r/>
    </w:p>
    <w:p>
      <w:pPr>
        <w:jc w:val="center"/>
        <w:rPr>
          <w:rFonts w:hint="eastAsia" w:ascii="宋体" w:hAnsi="宋体" w:eastAsia="宋体" w:cs="宋体"/>
          <w:color w:val="auto"/>
          <w:spacing w:val="0"/>
          <w:sz w:val="52"/>
          <w:szCs w:val="52"/>
        </w:rPr>
      </w:pPr>
      <w:r>
        <w:rPr>
          <w:rFonts w:hint="eastAsia" w:ascii="宋体" w:hAnsi="宋体" w:eastAsia="宋体" w:cs="宋体"/>
          <w:color w:val="auto"/>
          <w:spacing w:val="0"/>
          <w:sz w:val="52"/>
          <w:szCs w:val="52"/>
        </w:rPr>
        <w:t xml:space="preserve">投标文件</w:t>
      </w:r>
      <w:r/>
    </w:p>
    <w:p>
      <w:pPr>
        <w:rPr>
          <w:rFonts w:hint="eastAsia" w:ascii="宋体" w:hAnsi="宋体" w:eastAsia="宋体" w:cs="宋体"/>
          <w:color w:val="auto"/>
          <w:spacing w:val="0"/>
          <w:sz w:val="32"/>
          <w:szCs w:val="32"/>
        </w:rPr>
      </w:pPr>
      <w:r>
        <w:rPr>
          <w:rFonts w:hint="eastAsia" w:ascii="宋体" w:hAnsi="宋体" w:eastAsia="宋体" w:cs="宋体"/>
          <w:color w:val="auto"/>
          <w:spacing w:val="0"/>
          <w:sz w:val="32"/>
          <w:szCs w:val="32"/>
        </w:rPr>
      </w:r>
      <w:r/>
    </w:p>
    <w:p>
      <w:pPr>
        <w:rPr>
          <w:rFonts w:hint="eastAsia" w:ascii="宋体" w:hAnsi="宋体" w:eastAsia="宋体" w:cs="宋体"/>
          <w:color w:val="auto"/>
          <w:spacing w:val="0"/>
          <w:sz w:val="32"/>
          <w:szCs w:val="32"/>
        </w:rPr>
      </w:pPr>
      <w:r>
        <w:rPr>
          <w:rFonts w:hint="eastAsia" w:ascii="宋体" w:hAnsi="宋体" w:eastAsia="宋体" w:cs="宋体"/>
          <w:color w:val="auto"/>
          <w:spacing w:val="0"/>
          <w:sz w:val="32"/>
          <w:szCs w:val="32"/>
        </w:rPr>
      </w:r>
      <w:r/>
    </w:p>
    <w:p>
      <w:pPr>
        <w:rPr>
          <w:rFonts w:hint="eastAsia" w:ascii="宋体" w:hAnsi="宋体" w:eastAsia="宋体" w:cs="宋体"/>
          <w:color w:val="auto"/>
          <w:spacing w:val="0"/>
          <w:sz w:val="32"/>
          <w:szCs w:val="32"/>
        </w:rPr>
      </w:pPr>
      <w:r>
        <w:rPr>
          <w:rFonts w:hint="eastAsia" w:ascii="宋体" w:hAnsi="宋体" w:eastAsia="宋体" w:cs="宋体"/>
          <w:color w:val="auto"/>
          <w:spacing w:val="0"/>
          <w:sz w:val="32"/>
          <w:szCs w:val="32"/>
        </w:rPr>
      </w:r>
      <w:r/>
    </w:p>
    <w:p>
      <w:pPr>
        <w:rPr>
          <w:rFonts w:hint="eastAsia" w:ascii="宋体" w:hAnsi="宋体" w:eastAsia="宋体" w:cs="宋体"/>
          <w:color w:val="auto"/>
          <w:spacing w:val="0"/>
          <w:sz w:val="32"/>
          <w:szCs w:val="32"/>
        </w:rPr>
      </w:pPr>
      <w:r>
        <w:rPr>
          <w:rFonts w:hint="eastAsia" w:ascii="宋体" w:hAnsi="宋体" w:eastAsia="宋体" w:cs="宋体"/>
          <w:color w:val="auto"/>
          <w:spacing w:val="0"/>
          <w:sz w:val="32"/>
          <w:szCs w:val="32"/>
        </w:rPr>
      </w:r>
      <w:r/>
    </w:p>
    <w:p>
      <w:pPr>
        <w:rPr>
          <w:rFonts w:hint="eastAsia" w:ascii="宋体" w:hAnsi="宋体" w:eastAsia="宋体" w:cs="宋体"/>
          <w:color w:val="auto"/>
          <w:spacing w:val="0"/>
          <w:sz w:val="32"/>
          <w:szCs w:val="32"/>
        </w:rPr>
      </w:pPr>
      <w:r>
        <w:rPr>
          <w:rFonts w:hint="eastAsia" w:ascii="宋体" w:hAnsi="宋体" w:eastAsia="宋体" w:cs="宋体"/>
          <w:color w:val="auto"/>
          <w:spacing w:val="0"/>
          <w:sz w:val="32"/>
          <w:szCs w:val="32"/>
        </w:rPr>
      </w:r>
      <w:r/>
    </w:p>
    <w:p>
      <w:pPr>
        <w:ind w:firstLine="1084"/>
        <w:rPr>
          <w:rFonts w:hint="eastAsia" w:ascii="宋体" w:hAnsi="宋体" w:eastAsia="宋体" w:cs="宋体"/>
          <w:b/>
          <w:color w:val="auto"/>
          <w:spacing w:val="0"/>
          <w:sz w:val="36"/>
          <w:szCs w:val="21"/>
        </w:rPr>
      </w:pPr>
      <w:r>
        <w:rPr>
          <w:rFonts w:hint="eastAsia" w:ascii="宋体" w:hAnsi="宋体" w:eastAsia="宋体" w:cs="宋体"/>
          <w:b/>
          <w:color w:val="auto"/>
          <w:spacing w:val="0"/>
          <w:sz w:val="36"/>
          <w:szCs w:val="21"/>
        </w:rPr>
        <w:t xml:space="preserve">项 目 名 称：</w:t>
      </w:r>
      <w:r>
        <w:rPr>
          <w:rFonts w:hint="eastAsia" w:ascii="宋体" w:hAnsi="宋体" w:eastAsia="宋体" w:cs="宋体"/>
          <w:b/>
          <w:color w:val="auto"/>
          <w:spacing w:val="0"/>
          <w:sz w:val="36"/>
          <w:szCs w:val="21"/>
          <w:u w:val="single"/>
        </w:rPr>
        <w:t xml:space="preserve">                   </w:t>
      </w:r>
      <w:r/>
    </w:p>
    <w:p>
      <w:pPr>
        <w:ind w:firstLine="1084"/>
        <w:rPr>
          <w:rFonts w:hint="eastAsia" w:ascii="宋体" w:hAnsi="宋体" w:eastAsia="宋体" w:cs="宋体"/>
          <w:b/>
          <w:color w:val="auto"/>
          <w:spacing w:val="0"/>
          <w:sz w:val="36"/>
          <w:szCs w:val="21"/>
          <w:u w:val="single"/>
        </w:rPr>
      </w:pPr>
      <w:r>
        <w:rPr>
          <w:rFonts w:hint="eastAsia" w:ascii="宋体" w:hAnsi="宋体" w:eastAsia="宋体" w:cs="宋体"/>
          <w:b/>
          <w:color w:val="auto"/>
          <w:spacing w:val="0"/>
          <w:sz w:val="36"/>
          <w:szCs w:val="21"/>
        </w:rPr>
        <w:t xml:space="preserve">项 目 编 号：</w:t>
      </w:r>
      <w:r>
        <w:rPr>
          <w:rFonts w:hint="eastAsia" w:ascii="宋体" w:hAnsi="宋体" w:eastAsia="宋体" w:cs="宋体"/>
          <w:b/>
          <w:color w:val="auto"/>
          <w:spacing w:val="0"/>
          <w:sz w:val="36"/>
          <w:szCs w:val="21"/>
          <w:u w:val="single"/>
        </w:rPr>
        <w:t xml:space="preserve">                   </w:t>
      </w:r>
      <w:r/>
    </w:p>
    <w:p>
      <w:pPr>
        <w:rPr>
          <w:rFonts w:hint="eastAsia" w:ascii="宋体" w:hAnsi="宋体" w:eastAsia="宋体" w:cs="宋体"/>
          <w:b/>
          <w:color w:val="auto"/>
          <w:spacing w:val="0"/>
          <w:sz w:val="36"/>
          <w:szCs w:val="21"/>
          <w:u w:val="single"/>
        </w:rPr>
      </w:pPr>
      <w:r>
        <w:rPr>
          <w:rFonts w:hint="eastAsia" w:ascii="宋体" w:hAnsi="宋体" w:eastAsia="宋体" w:cs="宋体"/>
          <w:b/>
          <w:color w:val="auto"/>
          <w:spacing w:val="0"/>
          <w:sz w:val="36"/>
          <w:szCs w:val="21"/>
        </w:rPr>
        <w:t xml:space="preserve">      投标人名称 ：</w:t>
      </w:r>
      <w:r>
        <w:rPr>
          <w:rFonts w:hint="eastAsia" w:ascii="宋体" w:hAnsi="宋体" w:eastAsia="宋体" w:cs="宋体"/>
          <w:b/>
          <w:color w:val="auto"/>
          <w:spacing w:val="0"/>
          <w:sz w:val="36"/>
          <w:szCs w:val="21"/>
          <w:u w:val="single"/>
        </w:rPr>
        <w:t xml:space="preserve">（加盖电子公章）   </w:t>
      </w:r>
      <w:r/>
    </w:p>
    <w:p>
      <w:pPr>
        <w:rPr>
          <w:rFonts w:hint="eastAsia" w:ascii="宋体" w:hAnsi="宋体" w:eastAsia="宋体" w:cs="宋体"/>
          <w:b/>
          <w:color w:val="auto"/>
          <w:spacing w:val="0"/>
          <w:sz w:val="36"/>
          <w:szCs w:val="21"/>
          <w:u w:val="single"/>
        </w:rPr>
      </w:pPr>
      <w:r>
        <w:rPr>
          <w:rFonts w:hint="eastAsia" w:ascii="宋体" w:hAnsi="宋体" w:eastAsia="宋体" w:cs="宋体"/>
          <w:b/>
          <w:color w:val="auto"/>
          <w:spacing w:val="0"/>
          <w:sz w:val="36"/>
          <w:szCs w:val="21"/>
        </w:rPr>
        <w:t xml:space="preserve">      日      期 ：</w:t>
      </w:r>
      <w:r>
        <w:rPr>
          <w:rFonts w:hint="eastAsia" w:ascii="宋体" w:hAnsi="宋体" w:eastAsia="宋体" w:cs="宋体"/>
          <w:b/>
          <w:color w:val="auto"/>
          <w:spacing w:val="0"/>
          <w:sz w:val="36"/>
          <w:szCs w:val="21"/>
          <w:u w:val="single"/>
        </w:rPr>
        <w:t xml:space="preserve">                   </w:t>
      </w:r>
      <w:r/>
    </w:p>
    <w:p>
      <w:pPr>
        <w:jc w:val="center"/>
        <w:rPr>
          <w:rFonts w:hint="eastAsia" w:ascii="宋体" w:hAnsi="宋体" w:eastAsia="宋体" w:cs="宋体"/>
          <w:b/>
          <w:bCs/>
          <w:color w:val="auto"/>
          <w:spacing w:val="0"/>
          <w:sz w:val="32"/>
          <w:szCs w:val="32"/>
        </w:rPr>
      </w:pPr>
      <w:r>
        <w:rPr>
          <w:rFonts w:hint="eastAsia" w:ascii="宋体" w:hAnsi="宋体" w:eastAsia="宋体" w:cs="宋体"/>
          <w:b/>
          <w:bCs/>
          <w:color w:val="auto"/>
          <w:spacing w:val="0"/>
          <w:sz w:val="32"/>
          <w:szCs w:val="32"/>
        </w:rPr>
        <w:br/>
      </w:r>
      <w:r/>
    </w:p>
    <w:p>
      <w:pPr>
        <w:rPr>
          <w:rFonts w:hint="eastAsia" w:ascii="宋体" w:hAnsi="宋体" w:eastAsia="宋体" w:cs="宋体"/>
          <w:color w:val="auto"/>
          <w:spacing w:val="0"/>
        </w:rPr>
      </w:pPr>
      <w:r/>
      <w:bookmarkStart w:id="156" w:name="_Toc43917771"/>
      <w:r/>
      <w:bookmarkStart w:id="157" w:name="_Toc66375424"/>
      <w:r>
        <w:rPr>
          <w:rFonts w:hint="eastAsia" w:ascii="宋体" w:hAnsi="宋体" w:eastAsia="宋体" w:cs="宋体"/>
          <w:color w:val="auto"/>
          <w:spacing w:val="0"/>
        </w:rPr>
        <w:br w:type="page" w:clear="all"/>
      </w:r>
      <w:r/>
    </w:p>
    <w:p>
      <w:pPr>
        <w:pStyle w:val="903"/>
        <w:numPr>
          <w:ilvl w:val="1"/>
          <w:numId w:val="0"/>
        </w:numPr>
        <w:rPr>
          <w:rFonts w:hint="eastAsia" w:ascii="宋体" w:hAnsi="宋体" w:eastAsia="宋体" w:cs="宋体"/>
          <w:color w:val="auto"/>
          <w:spacing w:val="0"/>
        </w:rPr>
      </w:pPr>
      <w:r>
        <w:rPr>
          <w:rFonts w:hint="eastAsia" w:ascii="宋体" w:hAnsi="宋体" w:eastAsia="宋体" w:cs="宋体"/>
          <w:color w:val="auto"/>
          <w:spacing w:val="0"/>
        </w:rPr>
        <w:t xml:space="preserve">附件一、投标函</w:t>
      </w:r>
      <w:bookmarkEnd w:id="156"/>
      <w:r/>
      <w:bookmarkEnd w:id="157"/>
      <w:r/>
      <w:r/>
    </w:p>
    <w:p>
      <w:pPr>
        <w:jc w:val="center"/>
        <w:rPr>
          <w:rFonts w:hint="eastAsia" w:ascii="宋体" w:hAnsi="宋体" w:eastAsia="宋体" w:cs="宋体"/>
          <w:color w:val="auto"/>
          <w:spacing w:val="0"/>
          <w:szCs w:val="21"/>
        </w:rPr>
      </w:pPr>
      <w:r>
        <w:rPr>
          <w:rFonts w:hint="eastAsia" w:ascii="宋体" w:hAnsi="宋体" w:eastAsia="宋体" w:cs="宋体"/>
          <w:b/>
          <w:color w:val="auto"/>
          <w:spacing w:val="0"/>
          <w:sz w:val="32"/>
          <w:szCs w:val="32"/>
        </w:rPr>
        <w:t xml:space="preserve">投标函</w:t>
      </w:r>
      <w:r/>
    </w:p>
    <w:p>
      <w:pPr>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致：南京信息职业技术学院</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江苏国采工程咨询有限公司</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根据贵方</w:t>
      </w:r>
      <w:r>
        <w:rPr>
          <w:rFonts w:hint="eastAsia" w:ascii="宋体" w:hAnsi="宋体" w:eastAsia="宋体" w:cs="宋体"/>
          <w:color w:val="auto"/>
          <w:spacing w:val="0"/>
          <w:szCs w:val="21"/>
          <w:u w:val="single"/>
        </w:rPr>
        <w:t xml:space="preserve">           </w:t>
      </w:r>
      <w:r>
        <w:rPr>
          <w:rFonts w:hint="eastAsia" w:ascii="宋体" w:hAnsi="宋体" w:eastAsia="宋体" w:cs="宋体"/>
          <w:bCs/>
          <w:color w:val="auto"/>
          <w:spacing w:val="0"/>
          <w:szCs w:val="21"/>
          <w:u w:val="single"/>
        </w:rPr>
        <w:t xml:space="preserve">（</w:t>
      </w:r>
      <w:r>
        <w:rPr>
          <w:rFonts w:hint="eastAsia" w:ascii="宋体" w:hAnsi="宋体" w:eastAsia="宋体" w:cs="宋体"/>
          <w:color w:val="auto"/>
          <w:spacing w:val="0"/>
          <w:szCs w:val="21"/>
        </w:rPr>
        <w:t xml:space="preserve">项目名称） </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（项目编号）投标邀请，正式授权</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(姓名和职务)代表投标人</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（投标人名称），提交投标文件并宣布同意如下内容： </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1.按招标文件规定的各项要求，向采购人提供所需货物或服务。</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2.我们已详细审核全部招标文件及其有效补充文件。</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3.我们同意从规定的开标日期起遵循本投标文件，并在规定的投标有效期期满之前均具有约束力。</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4.我们同意向贵方提供贵方可能另外要求的与投标有关的任何证据或资料，并保证我方已提供和将要提供的文件是真实的、准确的。</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5.一旦我方中标，我方将根据招标文件的规定，严格履行合同的责任和义务，并保证在招标文件规定的时间完成项目，交付采购人验收、使用。</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6.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7.与本投标有关的正式联系方式为：</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地   址：</w:t>
      </w:r>
      <w:r>
        <w:rPr>
          <w:rFonts w:hint="eastAsia" w:ascii="宋体" w:hAnsi="宋体" w:eastAsia="宋体" w:cs="宋体"/>
          <w:color w:val="auto"/>
          <w:spacing w:val="0"/>
          <w:szCs w:val="21"/>
          <w:u w:val="single"/>
        </w:rPr>
        <w:t xml:space="preserve">                       </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电   话：</w:t>
      </w:r>
      <w:r>
        <w:rPr>
          <w:rFonts w:hint="eastAsia" w:ascii="宋体" w:hAnsi="宋体" w:eastAsia="宋体" w:cs="宋体"/>
          <w:color w:val="auto"/>
          <w:spacing w:val="0"/>
          <w:szCs w:val="21"/>
          <w:u w:val="single"/>
        </w:rPr>
        <w:t xml:space="preserve">                       </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传   真：</w:t>
      </w:r>
      <w:r>
        <w:rPr>
          <w:rFonts w:hint="eastAsia" w:ascii="宋体" w:hAnsi="宋体" w:eastAsia="宋体" w:cs="宋体"/>
          <w:color w:val="auto"/>
          <w:spacing w:val="0"/>
          <w:szCs w:val="21"/>
          <w:u w:val="single"/>
        </w:rPr>
        <w:t xml:space="preserve">                       </w:t>
      </w:r>
      <w:r/>
    </w:p>
    <w:p>
      <w:pPr>
        <w:ind w:firstLine="420"/>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rPr>
        <w:t xml:space="preserve">开户银行：</w:t>
      </w:r>
      <w:r>
        <w:rPr>
          <w:rFonts w:hint="eastAsia" w:ascii="宋体" w:hAnsi="宋体" w:eastAsia="宋体" w:cs="宋体"/>
          <w:color w:val="auto"/>
          <w:spacing w:val="0"/>
          <w:szCs w:val="21"/>
          <w:u w:val="single"/>
        </w:rPr>
        <w:t xml:space="preserve">                                               </w:t>
      </w:r>
      <w:r/>
    </w:p>
    <w:p>
      <w:pPr>
        <w:ind w:firstLine="420"/>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rPr>
        <w:t xml:space="preserve">银行账号：</w:t>
      </w:r>
      <w:r>
        <w:rPr>
          <w:rFonts w:hint="eastAsia" w:ascii="宋体" w:hAnsi="宋体" w:eastAsia="宋体" w:cs="宋体"/>
          <w:color w:val="auto"/>
          <w:spacing w:val="0"/>
          <w:szCs w:val="21"/>
          <w:u w:val="single"/>
        </w:rPr>
        <w:t xml:space="preserve">                                               </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投标人名称：</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w:t>
      </w:r>
      <w:bookmarkStart w:id="158" w:name="_Hlk176254267"/>
      <w:r>
        <w:rPr>
          <w:rFonts w:hint="eastAsia" w:ascii="宋体" w:hAnsi="宋体" w:eastAsia="宋体" w:cs="宋体"/>
          <w:color w:val="auto"/>
          <w:spacing w:val="0"/>
          <w:szCs w:val="21"/>
        </w:rPr>
        <w:t xml:space="preserve">加盖电子公章</w:t>
      </w:r>
      <w:bookmarkEnd w:id="158"/>
      <w:r>
        <w:rPr>
          <w:rFonts w:hint="eastAsia" w:ascii="宋体" w:hAnsi="宋体" w:eastAsia="宋体" w:cs="宋体"/>
          <w:color w:val="auto"/>
          <w:spacing w:val="0"/>
          <w:szCs w:val="21"/>
        </w:rPr>
        <w:t xml:space="preserve">）</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日    期：</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年</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月</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日</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br w:type="page" w:clear="all"/>
      </w:r>
      <w:r/>
    </w:p>
    <w:p>
      <w:pPr>
        <w:pStyle w:val="903"/>
        <w:rPr>
          <w:rFonts w:hint="eastAsia" w:ascii="宋体" w:hAnsi="宋体" w:eastAsia="宋体" w:cs="宋体"/>
          <w:color w:val="auto"/>
          <w:spacing w:val="0"/>
        </w:rPr>
      </w:pPr>
      <w:r/>
      <w:bookmarkStart w:id="159" w:name="_Toc43917772"/>
      <w:r/>
      <w:bookmarkStart w:id="160" w:name="_Toc66375425"/>
      <w:r>
        <w:rPr>
          <w:rFonts w:hint="eastAsia" w:ascii="宋体" w:hAnsi="宋体" w:eastAsia="宋体" w:cs="宋体"/>
          <w:color w:val="auto"/>
          <w:spacing w:val="0"/>
        </w:rPr>
        <w:t xml:space="preserve">附件二、法定代表人授权委托书</w:t>
      </w:r>
      <w:bookmarkEnd w:id="159"/>
      <w:r/>
      <w:bookmarkEnd w:id="160"/>
      <w:r/>
      <w:r/>
    </w:p>
    <w:p>
      <w:pPr>
        <w:ind w:firstLine="720"/>
        <w:jc w:val="center"/>
        <w:spacing w:line="360" w:lineRule="auto"/>
        <w:shd w:val="clear" w:color="auto" w:fill="ffffff"/>
        <w:widowControl/>
        <w:rPr>
          <w:rFonts w:hint="eastAsia" w:ascii="宋体" w:hAnsi="宋体" w:eastAsia="宋体" w:cs="宋体"/>
          <w:color w:val="auto"/>
          <w:spacing w:val="0"/>
          <w:sz w:val="36"/>
          <w:szCs w:val="36"/>
        </w:rPr>
      </w:pPr>
      <w:r>
        <w:rPr>
          <w:rFonts w:hint="eastAsia" w:ascii="宋体" w:hAnsi="宋体" w:eastAsia="宋体" w:cs="宋体"/>
          <w:color w:val="auto"/>
          <w:spacing w:val="0"/>
          <w:sz w:val="36"/>
          <w:szCs w:val="36"/>
        </w:rPr>
      </w:r>
      <w:r/>
    </w:p>
    <w:p>
      <w:pPr>
        <w:ind w:firstLine="720"/>
        <w:jc w:val="center"/>
        <w:spacing w:line="360" w:lineRule="auto"/>
        <w:shd w:val="clear" w:color="auto" w:fill="ffffff"/>
        <w:widowControl/>
        <w:rPr>
          <w:rFonts w:hint="eastAsia" w:ascii="宋体" w:hAnsi="宋体" w:eastAsia="宋体" w:cs="宋体"/>
          <w:b/>
          <w:color w:val="auto"/>
          <w:spacing w:val="0"/>
          <w:sz w:val="32"/>
          <w:szCs w:val="32"/>
        </w:rPr>
      </w:pPr>
      <w:r>
        <w:rPr>
          <w:rFonts w:hint="eastAsia" w:ascii="宋体" w:hAnsi="宋体" w:eastAsia="宋体" w:cs="宋体"/>
          <w:b/>
          <w:color w:val="auto"/>
          <w:spacing w:val="0"/>
          <w:sz w:val="32"/>
          <w:szCs w:val="32"/>
        </w:rPr>
        <w:t xml:space="preserve">法定代表人授权委托书</w:t>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致：南京信息职业技术学院</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江苏国采工程咨询有限公司</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本授权书声明：注册于</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（投标人住址）的</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（投标人名称）法定代表人</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（法定代表人姓名、职务）代表本公司授权</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（投标人代表姓名、职务）为本公司的合法代理人，就贵方组织的</w:t>
      </w:r>
      <w:r>
        <w:rPr>
          <w:rFonts w:hint="eastAsia" w:ascii="宋体" w:hAnsi="宋体" w:eastAsia="宋体" w:cs="宋体"/>
          <w:b/>
          <w:bCs/>
          <w:color w:val="auto"/>
          <w:spacing w:val="0"/>
          <w:szCs w:val="21"/>
          <w:u w:val="single"/>
        </w:rPr>
        <w:t xml:space="preserve">          </w:t>
      </w:r>
      <w:r>
        <w:rPr>
          <w:rFonts w:hint="eastAsia" w:ascii="宋体" w:hAnsi="宋体" w:eastAsia="宋体" w:cs="宋体"/>
          <w:color w:val="auto"/>
          <w:spacing w:val="0"/>
          <w:szCs w:val="21"/>
        </w:rPr>
        <w:t xml:space="preserve">（项目名称），</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（项目编号）投标，以本公司名义处理一切与之有关的事务。</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本授权书于    年  月  </w:t>
      </w:r>
      <w:bookmarkStart w:id="161" w:name="_Hlk176528397"/>
      <w:r>
        <w:rPr>
          <w:rFonts w:hint="eastAsia" w:ascii="宋体" w:hAnsi="宋体" w:eastAsia="宋体" w:cs="宋体"/>
          <w:color w:val="auto"/>
          <w:spacing w:val="0"/>
          <w:szCs w:val="21"/>
        </w:rPr>
        <w:t xml:space="preserve">日加盖电子公章</w:t>
      </w:r>
      <w:bookmarkEnd w:id="161"/>
      <w:r>
        <w:rPr>
          <w:rFonts w:hint="eastAsia" w:ascii="宋体" w:hAnsi="宋体" w:eastAsia="宋体" w:cs="宋体"/>
          <w:color w:val="auto"/>
          <w:spacing w:val="0"/>
          <w:szCs w:val="21"/>
        </w:rPr>
        <w:t xml:space="preserve">生效，特此声明。</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162" w:name="_Hlk176254280"/>
      <w:r>
        <w:rPr>
          <w:rFonts w:hint="eastAsia" w:ascii="宋体" w:hAnsi="宋体" w:eastAsia="宋体" w:cs="宋体"/>
          <w:color w:val="auto"/>
          <w:spacing w:val="0"/>
          <w:szCs w:val="21"/>
        </w:rPr>
        <w:t xml:space="preserve">投标人（</w:t>
      </w:r>
      <w:bookmarkStart w:id="163" w:name="OLE_LINK3"/>
      <w:r>
        <w:rPr>
          <w:rFonts w:hint="eastAsia" w:ascii="宋体" w:hAnsi="宋体" w:eastAsia="宋体" w:cs="宋体"/>
          <w:color w:val="auto"/>
          <w:spacing w:val="0"/>
          <w:szCs w:val="21"/>
        </w:rPr>
        <w:t xml:space="preserve">加盖电子公章</w:t>
      </w:r>
      <w:bookmarkEnd w:id="163"/>
      <w:r>
        <w:rPr>
          <w:rFonts w:hint="eastAsia" w:ascii="宋体" w:hAnsi="宋体" w:eastAsia="宋体" w:cs="宋体"/>
          <w:color w:val="auto"/>
          <w:spacing w:val="0"/>
          <w:szCs w:val="21"/>
        </w:rPr>
        <w:t xml:space="preserve">）： </w:t>
      </w:r>
      <w:bookmarkEnd w:id="162"/>
      <w:r>
        <w:rPr>
          <w:rFonts w:hint="eastAsia" w:ascii="宋体" w:hAnsi="宋体" w:eastAsia="宋体" w:cs="宋体"/>
          <w:color w:val="auto"/>
          <w:spacing w:val="0"/>
          <w:szCs w:val="21"/>
        </w:rPr>
        <w:t xml:space="preserve">                 </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日     期：        年    月    日</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164" w:name="_Hlk45291991"/>
      <w:r>
        <w:rPr>
          <w:rFonts w:hint="eastAsia" w:ascii="宋体" w:hAnsi="宋体" w:eastAsia="宋体" w:cs="宋体"/>
          <w:color w:val="auto"/>
          <w:spacing w:val="0"/>
          <w:szCs w:val="21"/>
        </w:rPr>
        <w:t xml:space="preserve">法定代表人身份证的复印件:</w:t>
      </w:r>
      <w:bookmarkEnd w:id="164"/>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委托代理人身份证的复印件:</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84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84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84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pStyle w:val="903"/>
        <w:rPr>
          <w:rFonts w:hint="eastAsia" w:ascii="宋体" w:hAnsi="宋体" w:eastAsia="宋体" w:cs="宋体"/>
          <w:color w:val="auto"/>
          <w:spacing w:val="0"/>
        </w:rPr>
      </w:pPr>
      <w:r/>
      <w:bookmarkStart w:id="165" w:name="_Toc43917782"/>
      <w:r/>
      <w:bookmarkStart w:id="166" w:name="_Toc66375435"/>
      <w:r>
        <w:rPr>
          <w:rFonts w:hint="eastAsia" w:ascii="宋体" w:hAnsi="宋体" w:eastAsia="宋体" w:cs="宋体"/>
          <w:color w:val="auto"/>
          <w:spacing w:val="0"/>
        </w:rPr>
        <w:t xml:space="preserve">附件三、 资格证明文件</w:t>
      </w:r>
      <w:bookmarkEnd w:id="165"/>
      <w:r/>
      <w:bookmarkEnd w:id="166"/>
      <w:r/>
      <w:r/>
    </w:p>
    <w:p>
      <w:pPr>
        <w:ind w:firstLine="420"/>
        <w:spacing w:line="360" w:lineRule="auto"/>
        <w:rPr>
          <w:rFonts w:hint="eastAsia" w:ascii="宋体" w:hAnsi="宋体" w:eastAsia="宋体" w:cs="宋体"/>
          <w:bCs/>
          <w:color w:val="auto"/>
          <w:spacing w:val="0"/>
          <w:szCs w:val="21"/>
        </w:rPr>
      </w:pPr>
      <w:r/>
      <w:bookmarkStart w:id="167" w:name="_Hlk168674857"/>
      <w:r/>
      <w:bookmarkStart w:id="168" w:name="_Hlk168584506"/>
      <w:r>
        <w:rPr>
          <w:rFonts w:hint="eastAsia" w:ascii="宋体" w:hAnsi="宋体" w:eastAsia="宋体" w:cs="宋体"/>
          <w:bCs/>
          <w:color w:val="auto"/>
          <w:spacing w:val="0"/>
          <w:szCs w:val="21"/>
        </w:rPr>
        <w:t xml:space="preserve">1. 第一章招标公告中二、</w:t>
      </w:r>
      <w:bookmarkStart w:id="169" w:name="OLE_LINK42"/>
      <w:r>
        <w:rPr>
          <w:rFonts w:hint="eastAsia" w:ascii="宋体" w:hAnsi="宋体" w:eastAsia="宋体" w:cs="宋体"/>
          <w:bCs/>
          <w:color w:val="auto"/>
          <w:spacing w:val="0"/>
          <w:szCs w:val="21"/>
        </w:rPr>
        <w:t xml:space="preserve">申请人的资格要求</w:t>
      </w:r>
      <w:bookmarkEnd w:id="169"/>
      <w:r>
        <w:rPr>
          <w:rFonts w:hint="eastAsia" w:ascii="宋体" w:hAnsi="宋体" w:eastAsia="宋体" w:cs="宋体"/>
          <w:bCs/>
          <w:color w:val="auto"/>
          <w:spacing w:val="0"/>
          <w:szCs w:val="21"/>
        </w:rPr>
        <w:t xml:space="preserve">（一）《中华人民共和国政府采购法》规定的资格证明文件； </w:t>
      </w:r>
      <w:r/>
    </w:p>
    <w:p>
      <w:pPr>
        <w:ind w:firstLine="420"/>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2. 第一章招标公告中二、申请人的资格要求（二）落实政府采购政策需满足的资格要求相关材料（如有）；</w:t>
      </w:r>
      <w:r/>
    </w:p>
    <w:p>
      <w:pPr>
        <w:ind w:firstLine="420"/>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3. 第一章招标公告中二、申请人的资格要求（三）本项目特定资格要求证明文件（如有）；</w:t>
      </w:r>
      <w:r/>
    </w:p>
    <w:p>
      <w:pPr>
        <w:ind w:firstLine="420"/>
        <w:spacing w:line="360" w:lineRule="auto"/>
        <w:rPr>
          <w:rFonts w:hint="eastAsia" w:ascii="宋体" w:hAnsi="宋体" w:eastAsia="宋体" w:cs="宋体"/>
          <w:bCs/>
          <w:color w:val="auto"/>
          <w:spacing w:val="0"/>
        </w:rPr>
      </w:pPr>
      <w:r>
        <w:rPr>
          <w:rFonts w:hint="eastAsia" w:ascii="宋体" w:hAnsi="宋体" w:eastAsia="宋体" w:cs="宋体"/>
          <w:bCs/>
          <w:color w:val="auto"/>
          <w:spacing w:val="0"/>
        </w:rPr>
        <w:t xml:space="preserve">4. </w:t>
      </w:r>
      <w:r>
        <w:rPr>
          <w:rFonts w:hint="eastAsia" w:ascii="宋体" w:hAnsi="宋体" w:eastAsia="宋体" w:cs="宋体"/>
          <w:bCs/>
          <w:color w:val="auto"/>
          <w:spacing w:val="0"/>
          <w:szCs w:val="21"/>
        </w:rPr>
        <w:t xml:space="preserve">投标人未被“信用中国”网站（www.creditchina.gov.cn）、“中国政府采购网”(www.ccgp.gov.cn)列入失信被执行人、重大税收违法案件当事人名单、政府采购严重违法失信行为记录名单证明文件。</w:t>
      </w:r>
      <w:bookmarkEnd w:id="167"/>
      <w:r/>
      <w:r/>
    </w:p>
    <w:p>
      <w:pPr>
        <w:ind w:firstLine="42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 </w:t>
      </w:r>
      <w:bookmarkEnd w:id="168"/>
      <w:r/>
      <w:r/>
    </w:p>
    <w:p>
      <w:pPr>
        <w:ind w:firstLine="42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 </w:t>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br w:type="page" w:clear="all"/>
      </w:r>
      <w:r/>
    </w:p>
    <w:p>
      <w:pPr>
        <w:pStyle w:val="903"/>
        <w:rPr>
          <w:rFonts w:hint="eastAsia" w:ascii="宋体" w:hAnsi="宋体" w:eastAsia="宋体" w:cs="宋体"/>
          <w:color w:val="auto"/>
          <w:spacing w:val="0"/>
          <w:lang w:val="zh-CN"/>
        </w:rPr>
      </w:pPr>
      <w:r/>
      <w:bookmarkStart w:id="170" w:name="_Toc66375426"/>
      <w:r/>
      <w:bookmarkStart w:id="171" w:name="_Toc26810"/>
      <w:r/>
      <w:bookmarkStart w:id="172" w:name="_Toc43917773"/>
      <w:r/>
      <w:bookmarkStart w:id="173" w:name="OLE_LINK38"/>
      <w:r>
        <w:rPr>
          <w:rFonts w:hint="eastAsia" w:ascii="宋体" w:hAnsi="宋体" w:eastAsia="宋体" w:cs="宋体"/>
          <w:color w:val="auto"/>
          <w:spacing w:val="0"/>
          <w:lang w:val="zh-CN"/>
        </w:rPr>
        <w:t xml:space="preserve">附件四、</w:t>
      </w:r>
      <w:bookmarkEnd w:id="170"/>
      <w:r/>
      <w:bookmarkEnd w:id="171"/>
      <w:r/>
      <w:bookmarkEnd w:id="172"/>
      <w:r>
        <w:rPr>
          <w:rFonts w:hint="eastAsia" w:ascii="宋体" w:hAnsi="宋体" w:eastAsia="宋体" w:cs="宋体"/>
          <w:color w:val="auto"/>
          <w:spacing w:val="0"/>
          <w:lang w:val="zh-CN"/>
        </w:rPr>
        <w:t xml:space="preserve">开标一览表</w:t>
      </w:r>
      <w:bookmarkEnd w:id="173"/>
      <w:r/>
      <w:r/>
    </w:p>
    <w:p>
      <w:pPr>
        <w:jc w:val="center"/>
        <w:rPr>
          <w:rFonts w:hint="eastAsia" w:ascii="宋体" w:hAnsi="宋体" w:eastAsia="宋体" w:cs="宋体"/>
          <w:b/>
          <w:color w:val="auto"/>
          <w:spacing w:val="0"/>
          <w:sz w:val="32"/>
          <w:szCs w:val="32"/>
        </w:rPr>
      </w:pPr>
      <w:r>
        <w:rPr>
          <w:rFonts w:hint="eastAsia" w:ascii="宋体" w:hAnsi="宋体" w:eastAsia="宋体" w:cs="宋体"/>
          <w:b/>
          <w:color w:val="auto"/>
          <w:spacing w:val="0"/>
          <w:sz w:val="32"/>
          <w:szCs w:val="32"/>
        </w:rPr>
        <w:t xml:space="preserve">开标一览表</w:t>
      </w:r>
      <w:r/>
    </w:p>
    <w:p>
      <w:pPr>
        <w:pStyle w:val="913"/>
        <w:ind w:firstLine="210"/>
        <w:spacing w:line="360" w:lineRule="auto"/>
        <w:rPr>
          <w:rFonts w:hint="eastAsia" w:ascii="宋体" w:hAnsi="宋体" w:eastAsia="宋体" w:cs="宋体"/>
          <w:b w:val="0"/>
          <w:bCs/>
          <w:color w:val="auto"/>
          <w:spacing w:val="0"/>
          <w:sz w:val="21"/>
          <w:szCs w:val="21"/>
        </w:rPr>
      </w:pPr>
      <w:r>
        <w:rPr>
          <w:rFonts w:hint="eastAsia" w:ascii="宋体" w:hAnsi="宋体" w:eastAsia="宋体" w:cs="宋体"/>
          <w:b w:val="0"/>
          <w:bCs/>
          <w:color w:val="auto"/>
          <w:spacing w:val="0"/>
          <w:sz w:val="21"/>
          <w:szCs w:val="21"/>
        </w:rPr>
        <w:t xml:space="preserve">项目编号：                                        货币单位：</w:t>
      </w:r>
      <w:r/>
    </w:p>
    <w:tbl>
      <w:tblPr>
        <w:tblStyle w:val="912"/>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项目名称</w:t>
            </w:r>
            <w:r/>
          </w:p>
        </w:tc>
        <w:tc>
          <w:tcPr>
            <w:tcW w:w="2735" w:type="dxa"/>
            <w:vAlign w:val="center"/>
            <w:textDirection w:val="lrTb"/>
            <w:noWrap w:val="false"/>
          </w:tcPr>
          <w:p>
            <w:pPr>
              <w:jc w:val="center"/>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项目内容</w:t>
            </w:r>
            <w:r/>
          </w:p>
        </w:tc>
        <w:tc>
          <w:tcPr>
            <w:tcW w:w="4282" w:type="dxa"/>
            <w:vAlign w:val="center"/>
            <w:textDirection w:val="lrTb"/>
            <w:noWrap w:val="false"/>
          </w:tcPr>
          <w:p>
            <w:pPr>
              <w:jc w:val="center"/>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总价（小写）</w:t>
            </w:r>
            <w:r/>
          </w:p>
        </w:tc>
      </w:tr>
      <w:tr>
        <w:trPr>
          <w:cantSplit/>
          <w:trHeight w:val="725"/>
        </w:trPr>
        <w:tc>
          <w:tcPr>
            <w:tcW w:w="2735" w:type="dxa"/>
            <w:vAlign w:val="center"/>
            <w:textDirection w:val="lrTb"/>
            <w:noWrap w:val="false"/>
          </w:tcPr>
          <w:p>
            <w:pPr>
              <w:rPr>
                <w:rFonts w:hint="eastAsia" w:ascii="宋体" w:hAnsi="宋体" w:eastAsia="宋体" w:cs="宋体"/>
                <w:bCs/>
                <w:color w:val="auto"/>
                <w:spacing w:val="0"/>
                <w:szCs w:val="21"/>
              </w:rPr>
            </w:pPr>
            <w:r>
              <w:rPr>
                <w:rFonts w:hint="eastAsia" w:ascii="宋体" w:hAnsi="宋体" w:eastAsia="宋体" w:cs="宋体"/>
                <w:bCs/>
                <w:color w:val="auto"/>
                <w:spacing w:val="0"/>
                <w:szCs w:val="21"/>
              </w:rPr>
            </w:r>
            <w:r/>
          </w:p>
        </w:tc>
        <w:tc>
          <w:tcPr>
            <w:tcW w:w="2735" w:type="dxa"/>
            <w:vAlign w:val="center"/>
            <w:textDirection w:val="lrTb"/>
            <w:noWrap w:val="false"/>
          </w:tcPr>
          <w:p>
            <w:pPr>
              <w:jc w:val="center"/>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详见投标文件</w:t>
            </w:r>
            <w:r/>
          </w:p>
        </w:tc>
        <w:tc>
          <w:tcPr>
            <w:tcW w:w="4282" w:type="dxa"/>
            <w:vAlign w:val="center"/>
            <w:textDirection w:val="lrTb"/>
            <w:noWrap w:val="false"/>
          </w:tcPr>
          <w:p>
            <w:pPr>
              <w:rPr>
                <w:rFonts w:hint="eastAsia" w:ascii="宋体" w:hAnsi="宋体" w:eastAsia="宋体" w:cs="宋体"/>
                <w:bCs/>
                <w:color w:val="auto"/>
                <w:spacing w:val="0"/>
                <w:szCs w:val="21"/>
              </w:rPr>
            </w:pPr>
            <w:r>
              <w:rPr>
                <w:rFonts w:hint="eastAsia" w:ascii="宋体" w:hAnsi="宋体" w:eastAsia="宋体" w:cs="宋体"/>
                <w:bCs/>
                <w:color w:val="auto"/>
                <w:spacing w:val="0"/>
                <w:szCs w:val="21"/>
              </w:rPr>
            </w:r>
            <w:r/>
          </w:p>
        </w:tc>
      </w:tr>
      <w:tr>
        <w:trPr>
          <w:cantSplit/>
          <w:trHeight w:val="725"/>
        </w:trPr>
        <w:tc>
          <w:tcPr>
            <w:tcW w:w="2735" w:type="dxa"/>
            <w:vAlign w:val="center"/>
            <w:textDirection w:val="lrTb"/>
            <w:noWrap w:val="false"/>
          </w:tcPr>
          <w:p>
            <w:pPr>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总价（大写）：</w:t>
            </w:r>
            <w:r/>
          </w:p>
        </w:tc>
        <w:tc>
          <w:tcPr>
            <w:gridSpan w:val="2"/>
            <w:tcW w:w="7017" w:type="dxa"/>
            <w:vAlign w:val="center"/>
            <w:textDirection w:val="lrTb"/>
            <w:noWrap w:val="false"/>
          </w:tcPr>
          <w:p>
            <w:pPr>
              <w:rPr>
                <w:rFonts w:hint="eastAsia" w:ascii="宋体" w:hAnsi="宋体" w:eastAsia="宋体" w:cs="宋体"/>
                <w:bCs/>
                <w:color w:val="auto"/>
                <w:spacing w:val="0"/>
                <w:szCs w:val="21"/>
              </w:rPr>
            </w:pPr>
            <w:r>
              <w:rPr>
                <w:rFonts w:hint="eastAsia" w:ascii="宋体" w:hAnsi="宋体" w:eastAsia="宋体" w:cs="宋体"/>
                <w:bCs/>
                <w:color w:val="auto"/>
                <w:spacing w:val="0"/>
                <w:szCs w:val="21"/>
              </w:rPr>
            </w:r>
            <w:r/>
          </w:p>
        </w:tc>
      </w:tr>
    </w:tbl>
    <w:p>
      <w:pPr>
        <w:jc w:val="center"/>
        <w:rPr>
          <w:rFonts w:hint="eastAsia" w:ascii="宋体" w:hAnsi="宋体" w:eastAsia="宋体" w:cs="宋体"/>
          <w:b/>
          <w:color w:val="auto"/>
          <w:spacing w:val="0"/>
          <w:sz w:val="32"/>
          <w:szCs w:val="32"/>
        </w:rPr>
      </w:pPr>
      <w:r>
        <w:rPr>
          <w:rFonts w:hint="eastAsia" w:ascii="宋体" w:hAnsi="宋体" w:eastAsia="宋体" w:cs="宋体"/>
          <w:b/>
          <w:color w:val="auto"/>
          <w:spacing w:val="0"/>
          <w:sz w:val="32"/>
          <w:szCs w:val="32"/>
        </w:rPr>
      </w:r>
      <w:r/>
    </w:p>
    <w:p>
      <w:pPr>
        <w:jc w:val="center"/>
        <w:rPr>
          <w:rFonts w:hint="eastAsia" w:ascii="宋体" w:hAnsi="宋体" w:eastAsia="宋体" w:cs="宋体"/>
          <w:b/>
          <w:color w:val="auto"/>
          <w:spacing w:val="0"/>
          <w:szCs w:val="21"/>
        </w:rPr>
      </w:pPr>
      <w:r>
        <w:rPr>
          <w:rFonts w:hint="eastAsia" w:ascii="宋体" w:hAnsi="宋体" w:eastAsia="宋体" w:cs="宋体"/>
          <w:b/>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rPr>
      </w:pPr>
      <w:r/>
      <w:bookmarkStart w:id="174" w:name="_Hlk44577819"/>
      <w:r>
        <w:rPr>
          <w:rFonts w:hint="eastAsia" w:ascii="宋体" w:hAnsi="宋体" w:eastAsia="宋体" w:cs="宋体"/>
          <w:color w:val="auto"/>
          <w:spacing w:val="0"/>
          <w:szCs w:val="21"/>
        </w:rPr>
        <w:t xml:space="preserve">说明:</w:t>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1、报价包括完成项目的所有费用，采购人不再支付报价以外的任何费用。</w:t>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2、报价以总价为准，大小写不一致以大写为准。</w:t>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bookmarkEnd w:id="174"/>
      <w:r/>
      <w:r/>
    </w:p>
    <w:p>
      <w:pPr>
        <w:jc w:val="left"/>
        <w:spacing w:line="360" w:lineRule="auto"/>
        <w:shd w:val="clear" w:color="auto" w:fill="ffffff"/>
        <w:widowControl/>
        <w:rPr>
          <w:rFonts w:hint="eastAsia" w:ascii="宋体" w:hAnsi="宋体" w:eastAsia="宋体" w:cs="宋体"/>
          <w:color w:val="auto"/>
          <w:spacing w:val="0"/>
          <w:szCs w:val="21"/>
          <w:u w:val="single"/>
        </w:rPr>
      </w:pPr>
      <w:r/>
      <w:bookmarkStart w:id="175" w:name="OLE_LINK9"/>
      <w:r/>
      <w:bookmarkStart w:id="176" w:name="_Hlk175836563"/>
      <w:r>
        <w:rPr>
          <w:rFonts w:hint="eastAsia" w:ascii="宋体" w:hAnsi="宋体" w:eastAsia="宋体" w:cs="宋体"/>
          <w:color w:val="auto"/>
          <w:spacing w:val="0"/>
          <w:szCs w:val="21"/>
        </w:rPr>
        <w:t xml:space="preserve">投标人</w:t>
      </w:r>
      <w:bookmarkEnd w:id="175"/>
      <w:r>
        <w:rPr>
          <w:rFonts w:hint="eastAsia" w:ascii="宋体" w:hAnsi="宋体" w:eastAsia="宋体" w:cs="宋体"/>
          <w:color w:val="auto"/>
          <w:spacing w:val="0"/>
          <w:szCs w:val="21"/>
        </w:rPr>
        <w:t xml:space="preserve">（</w:t>
      </w:r>
      <w:bookmarkStart w:id="177" w:name="_Hlk176254322"/>
      <w:r>
        <w:rPr>
          <w:rFonts w:hint="eastAsia" w:ascii="宋体" w:hAnsi="宋体" w:eastAsia="宋体" w:cs="宋体"/>
          <w:color w:val="auto"/>
          <w:spacing w:val="0"/>
          <w:szCs w:val="21"/>
        </w:rPr>
        <w:t xml:space="preserve">加盖电子公章</w:t>
      </w:r>
      <w:bookmarkEnd w:id="177"/>
      <w:r>
        <w:rPr>
          <w:rFonts w:hint="eastAsia" w:ascii="宋体" w:hAnsi="宋体" w:eastAsia="宋体" w:cs="宋体"/>
          <w:color w:val="auto"/>
          <w:spacing w:val="0"/>
          <w:szCs w:val="21"/>
        </w:rPr>
        <w:t xml:space="preserve">）：</w:t>
      </w:r>
      <w:r>
        <w:rPr>
          <w:rFonts w:hint="eastAsia" w:ascii="宋体" w:hAnsi="宋体" w:eastAsia="宋体" w:cs="宋体"/>
          <w:color w:val="auto"/>
          <w:spacing w:val="0"/>
          <w:szCs w:val="21"/>
          <w:u w:val="single"/>
        </w:rPr>
        <w:t xml:space="preserve">                                      </w:t>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日    期：   年    月    日</w:t>
      </w:r>
      <w:r/>
    </w:p>
    <w:p>
      <w:pPr>
        <w:jc w:val="left"/>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u w:val="single"/>
        </w:rPr>
      </w:r>
      <w:r/>
    </w:p>
    <w:p>
      <w:pPr>
        <w:jc w:val="left"/>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u w:val="single"/>
        </w:rPr>
      </w:r>
      <w:r/>
    </w:p>
    <w:p>
      <w:pPr>
        <w:jc w:val="left"/>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u w:val="single"/>
        </w:rPr>
      </w:r>
      <w:r/>
    </w:p>
    <w:p>
      <w:pPr>
        <w:jc w:val="left"/>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u w:val="single"/>
        </w:rPr>
      </w:r>
      <w:r/>
    </w:p>
    <w:p>
      <w:pPr>
        <w:jc w:val="left"/>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u w:val="single"/>
        </w:rPr>
      </w:r>
      <w:r/>
    </w:p>
    <w:p>
      <w:pPr>
        <w:jc w:val="left"/>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u w:val="single"/>
        </w:rPr>
      </w:r>
      <w:r/>
    </w:p>
    <w:p>
      <w:pPr>
        <w:jc w:val="left"/>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u w:val="single"/>
        </w:rPr>
      </w:r>
      <w:r/>
    </w:p>
    <w:p>
      <w:pPr>
        <w:jc w:val="left"/>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u w:val="single"/>
        </w:rPr>
      </w:r>
      <w:r/>
    </w:p>
    <w:p>
      <w:pPr>
        <w:jc w:val="left"/>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u w:val="single"/>
        </w:rPr>
      </w:r>
      <w:r/>
    </w:p>
    <w:p>
      <w:pPr>
        <w:jc w:val="left"/>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u w:val="single"/>
        </w:rPr>
      </w:r>
      <w:r/>
    </w:p>
    <w:p>
      <w:pPr>
        <w:jc w:val="left"/>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u w:val="single"/>
        </w:rPr>
      </w:r>
      <w:r/>
    </w:p>
    <w:p>
      <w:pPr>
        <w:jc w:val="left"/>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u w:val="single"/>
        </w:rPr>
      </w:r>
      <w:bookmarkEnd w:id="176"/>
      <w:r/>
      <w:r/>
    </w:p>
    <w:p>
      <w:pPr>
        <w:pStyle w:val="903"/>
        <w:rPr>
          <w:rFonts w:hint="eastAsia" w:ascii="宋体" w:hAnsi="宋体" w:eastAsia="宋体" w:cs="宋体"/>
          <w:color w:val="auto"/>
          <w:spacing w:val="0"/>
          <w:lang w:val="zh-CN"/>
        </w:rPr>
      </w:pPr>
      <w:r/>
      <w:bookmarkStart w:id="178" w:name="_Toc43917774"/>
      <w:r/>
      <w:bookmarkStart w:id="179" w:name="_Toc66375427"/>
      <w:r/>
      <w:bookmarkStart w:id="180" w:name="_Toc12264"/>
      <w:r>
        <w:rPr>
          <w:rFonts w:hint="eastAsia" w:ascii="宋体" w:hAnsi="宋体" w:eastAsia="宋体" w:cs="宋体"/>
          <w:color w:val="auto"/>
          <w:spacing w:val="0"/>
          <w:lang w:val="zh-CN"/>
        </w:rPr>
        <w:t xml:space="preserve">附件五、</w:t>
      </w:r>
      <w:r>
        <w:rPr>
          <w:rFonts w:hint="eastAsia" w:ascii="宋体" w:hAnsi="宋体" w:cs="宋体"/>
          <w:color w:val="auto"/>
          <w:spacing w:val="0"/>
          <w:lang w:val="en-US" w:eastAsia="zh-CN"/>
        </w:rPr>
        <w:t xml:space="preserve">供货一览表</w:t>
      </w:r>
      <w:bookmarkEnd w:id="178"/>
      <w:r/>
      <w:bookmarkEnd w:id="179"/>
      <w:r/>
      <w:bookmarkEnd w:id="180"/>
      <w:r/>
      <w:r/>
    </w:p>
    <w:p>
      <w:pPr>
        <w:jc w:val="center"/>
        <w:spacing w:line="360" w:lineRule="auto"/>
        <w:shd w:val="clear" w:color="auto" w:fill="ffffff"/>
        <w:widowControl/>
        <w:rPr>
          <w:rFonts w:hint="eastAsia" w:ascii="宋体" w:hAnsi="宋体" w:eastAsia="宋体" w:cs="宋体"/>
          <w:b/>
          <w:color w:val="auto"/>
          <w:spacing w:val="0"/>
          <w:sz w:val="32"/>
          <w:szCs w:val="32"/>
        </w:rPr>
      </w:pPr>
      <w:r/>
      <w:bookmarkStart w:id="181" w:name="OLE_LINK39"/>
      <w:r>
        <w:rPr>
          <w:rFonts w:hint="eastAsia" w:ascii="宋体" w:hAnsi="宋体" w:eastAsia="宋体" w:cs="宋体"/>
          <w:b/>
          <w:color w:val="auto"/>
          <w:spacing w:val="0"/>
          <w:sz w:val="32"/>
          <w:szCs w:val="32"/>
          <w:lang w:val="en-US" w:eastAsia="zh-CN"/>
        </w:rPr>
        <w:t xml:space="preserve">供货一览表</w:t>
      </w:r>
      <w:bookmarkEnd w:id="181"/>
      <w:r/>
      <w:r/>
    </w:p>
    <w:p>
      <w:pPr>
        <w:ind w:firstLine="294"/>
        <w:jc w:val="left"/>
        <w:spacing w:line="360" w:lineRule="auto"/>
        <w:widowControl/>
        <w:tabs>
          <w:tab w:val="left" w:pos="5397" w:leader="none"/>
        </w:tabs>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项目名称：</w:t>
      </w:r>
      <w:r>
        <w:rPr>
          <w:rFonts w:hint="eastAsia" w:ascii="宋体" w:hAnsi="宋体" w:eastAsia="宋体" w:cs="宋体"/>
          <w:color w:val="auto"/>
          <w:spacing w:val="0"/>
          <w:szCs w:val="21"/>
        </w:rPr>
        <w:tab/>
      </w:r>
      <w:r>
        <w:rPr>
          <w:rFonts w:hint="eastAsia" w:ascii="宋体" w:hAnsi="宋体" w:eastAsia="宋体" w:cs="宋体"/>
          <w:color w:val="auto"/>
          <w:spacing w:val="0"/>
          <w:szCs w:val="21"/>
        </w:rPr>
        <w:t xml:space="preserve">项目编号：</w:t>
      </w:r>
      <w:r/>
    </w:p>
    <w:tbl>
      <w:tblPr>
        <w:tblStyle w:val="912"/>
        <w:tblW w:w="102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4"/>
        <w:gridCol w:w="705"/>
        <w:gridCol w:w="1683"/>
        <w:gridCol w:w="2342"/>
        <w:gridCol w:w="910"/>
        <w:gridCol w:w="848"/>
        <w:gridCol w:w="713"/>
        <w:gridCol w:w="681"/>
        <w:gridCol w:w="845"/>
        <w:gridCol w:w="885"/>
      </w:tblGrid>
      <w:tr>
        <w:trPr>
          <w:cantSplit/>
          <w:jc w:val="center"/>
          <w:trHeight w:val="357"/>
        </w:trPr>
        <w:tc>
          <w:tcPr>
            <w:tcW w:w="604" w:type="dxa"/>
            <w:vAlign w:val="center"/>
            <w:vMerge w:val="restart"/>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序号</w:t>
            </w:r>
            <w:r/>
          </w:p>
        </w:tc>
        <w:tc>
          <w:tcPr>
            <w:tcW w:w="705"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1</w:t>
            </w:r>
            <w:r/>
          </w:p>
        </w:tc>
        <w:tc>
          <w:tcPr>
            <w:tcW w:w="1683"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2</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3</w:t>
            </w:r>
            <w:r/>
          </w:p>
        </w:tc>
        <w:tc>
          <w:tcPr>
            <w:tcW w:w="910"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4</w:t>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5</w:t>
            </w:r>
            <w:r/>
          </w:p>
        </w:tc>
        <w:tc>
          <w:tcPr>
            <w:tcW w:w="713"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6</w:t>
            </w:r>
            <w:r/>
          </w:p>
        </w:tc>
        <w:tc>
          <w:tcPr>
            <w:tcW w:w="681"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7</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8</w:t>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lang w:val="en-US" w:eastAsia="zh-CN"/>
              </w:rPr>
            </w:pPr>
            <w:r>
              <w:rPr>
                <w:rFonts w:hint="eastAsia" w:ascii="宋体" w:hAnsi="宋体" w:cs="宋体"/>
                <w:color w:val="auto"/>
                <w:spacing w:val="0"/>
                <w:szCs w:val="21"/>
                <w:lang w:val="en-US" w:eastAsia="zh-CN"/>
              </w:rPr>
              <w:t xml:space="preserve">9</w:t>
            </w:r>
            <w:r/>
          </w:p>
        </w:tc>
      </w:tr>
      <w:tr>
        <w:trPr>
          <w:cantSplit/>
          <w:jc w:val="center"/>
          <w:trHeight w:val="543"/>
        </w:trPr>
        <w:tc>
          <w:tcPr>
            <w:tcW w:w="604"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0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地点</w:t>
            </w:r>
            <w:r/>
          </w:p>
        </w:tc>
        <w:tc>
          <w:tcPr>
            <w:tcW w:w="1683"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产品名称</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品牌、规格或型号</w:t>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是否为本国产品</w:t>
            </w:r>
            <w:r/>
          </w:p>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（是或否）</w:t>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交付期</w:t>
            </w:r>
            <w:r/>
          </w:p>
        </w:tc>
        <w:tc>
          <w:tcPr>
            <w:tcW w:w="713"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数量</w:t>
            </w:r>
            <w:r/>
          </w:p>
        </w:tc>
        <w:tc>
          <w:tcPr>
            <w:tcW w:w="681"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单位</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单价</w:t>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总价</w:t>
            </w:r>
            <w:r/>
          </w:p>
        </w:tc>
      </w:tr>
      <w:tr>
        <w:trPr>
          <w:cantSplit/>
          <w:jc w:val="center"/>
          <w:trHeight w:val="427"/>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705" w:type="dxa"/>
            <w:vAlign w:val="center"/>
            <w:vMerge w:val="restart"/>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中心子站变电所改造</w:t>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变压器柜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27"/>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干式变压器SCB14</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lang w:val="en-US" w:eastAsia="zh-CN"/>
              </w:rPr>
              <w:t xml:space="preserve">核心产品</w:t>
            </w:r>
            <w:r>
              <w:rPr>
                <w:rFonts w:hint="eastAsia" w:ascii="宋体" w:hAnsi="宋体" w:eastAsia="宋体" w:cs="宋体"/>
                <w:b/>
                <w:bCs/>
                <w:szCs w:val="21"/>
                <w:highlight w:val="none"/>
                <w:lang w:eastAsia="zh-CN"/>
              </w:rPr>
              <w:t xml:space="preserve">）</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27"/>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低压进线总柜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电容补偿柜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套</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母联柜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1</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套</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低压馈线柜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母线槽</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7</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米</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低压伸缩接头</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套</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铜母排</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120</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米</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铜母排</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30</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米</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10KV电流互感器</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6</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只</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W w:w="705" w:type="dxa"/>
            <w:vAlign w:val="center"/>
            <w:vMerge w:val="restart"/>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东片区宿舍10kV变电所</w:t>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10kV进线柜改造</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变压器柜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干式变压器SCB14</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低压进线总柜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电容补偿柜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套</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母联柜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1</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低压馈线柜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母线槽</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7</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米</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低压伸缩接头</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套</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铜母排</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24</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米</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铜母排</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3</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米</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壁挂式直流屏</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1</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直流屏电缆</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50.5</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米</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tcW w:w="705" w:type="dxa"/>
            <w:vAlign w:val="center"/>
            <w:vMerge w:val="restart"/>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文澜子站</w:t>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干式变压器SCB14</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2</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台</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电容补偿柜</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2</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套</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低压进线总柜</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2</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台</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母联柜</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1</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台</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母线槽</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7</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米</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低压伸缩接头</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2</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套</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高压出线柜熔断器</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9</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只</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铜母排</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120</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米</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铜母排</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30</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米</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塑壳断路器</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2</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台</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电流互感器</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6</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只</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分合闸指示灯</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各2</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只</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10KV电流互感器</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8</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只</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bl>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210"/>
        <w:jc w:val="left"/>
        <w:spacing w:line="360" w:lineRule="auto"/>
        <w:shd w:val="clear" w:color="auto" w:fill="ffffff"/>
        <w:widowControl/>
        <w:rPr>
          <w:rFonts w:hint="eastAsia" w:ascii="宋体" w:hAnsi="宋体" w:eastAsia="宋体" w:cs="宋体"/>
          <w:color w:val="auto"/>
          <w:spacing w:val="0"/>
          <w:szCs w:val="21"/>
        </w:rPr>
      </w:pPr>
      <w:r/>
      <w:bookmarkStart w:id="182" w:name="OLE_LINK31"/>
      <w:r>
        <w:rPr>
          <w:rFonts w:hint="eastAsia" w:ascii="宋体" w:hAnsi="宋体" w:eastAsia="宋体" w:cs="宋体"/>
          <w:color w:val="auto"/>
          <w:spacing w:val="0"/>
          <w:szCs w:val="21"/>
        </w:rPr>
        <w:t xml:space="preserve">说明：</w:t>
      </w:r>
      <w:r/>
    </w:p>
    <w:p>
      <w:pPr>
        <w:ind w:firstLine="210"/>
        <w:jc w:val="left"/>
        <w:spacing w:line="360" w:lineRule="auto"/>
        <w:shd w:val="clear" w:color="auto" w:fill="ffffff"/>
        <w:widowControl/>
        <w:rPr>
          <w:rFonts w:hint="eastAsia" w:ascii="宋体" w:hAnsi="宋体" w:eastAsia="宋体" w:cs="宋体"/>
          <w:color w:val="auto"/>
          <w:spacing w:val="0"/>
          <w:szCs w:val="21"/>
        </w:rPr>
      </w:pPr>
      <w:r/>
      <w:bookmarkStart w:id="183" w:name="OLE_LINK29"/>
      <w:r>
        <w:rPr>
          <w:rFonts w:hint="eastAsia" w:ascii="宋体" w:hAnsi="宋体" w:eastAsia="宋体" w:cs="宋体"/>
          <w:color w:val="auto"/>
          <w:spacing w:val="0"/>
        </w:rPr>
        <w:t xml:space="preserve">1.</w:t>
      </w:r>
      <w:bookmarkEnd w:id="183"/>
      <w:r>
        <w:rPr>
          <w:rFonts w:hint="eastAsia" w:ascii="宋体" w:hAnsi="宋体" w:eastAsia="宋体" w:cs="宋体"/>
          <w:color w:val="auto"/>
          <w:spacing w:val="0"/>
          <w:szCs w:val="21"/>
        </w:rPr>
        <w:t xml:space="preserve">如果行数不够，请自行增加。</w:t>
      </w:r>
      <w:bookmarkEnd w:id="182"/>
      <w:r/>
      <w:r/>
    </w:p>
    <w:p>
      <w:pPr>
        <w:ind w:firstLine="21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21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21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投标人（</w:t>
      </w:r>
      <w:bookmarkStart w:id="184" w:name="OLE_LINK62"/>
      <w:r>
        <w:rPr>
          <w:rFonts w:hint="eastAsia" w:ascii="宋体" w:hAnsi="宋体" w:eastAsia="宋体" w:cs="宋体"/>
          <w:color w:val="auto"/>
          <w:spacing w:val="0"/>
          <w:szCs w:val="21"/>
        </w:rPr>
        <w:t xml:space="preserve">加盖电子公章</w:t>
      </w:r>
      <w:bookmarkEnd w:id="184"/>
      <w:r>
        <w:rPr>
          <w:rFonts w:hint="eastAsia" w:ascii="宋体" w:hAnsi="宋体" w:eastAsia="宋体" w:cs="宋体"/>
          <w:color w:val="auto"/>
          <w:spacing w:val="0"/>
          <w:szCs w:val="21"/>
        </w:rPr>
        <w:t xml:space="preserve">）：</w:t>
      </w:r>
      <w:r>
        <w:rPr>
          <w:rFonts w:hint="eastAsia" w:ascii="宋体" w:hAnsi="宋体" w:eastAsia="宋体" w:cs="宋体"/>
          <w:color w:val="auto"/>
          <w:spacing w:val="0"/>
          <w:szCs w:val="21"/>
          <w:u w:val="single"/>
        </w:rPr>
        <w:t xml:space="preserve">                               </w:t>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 </w:t>
      </w:r>
      <w:r/>
    </w:p>
    <w:p>
      <w:pPr>
        <w:pStyle w:val="903"/>
        <w:ind w:left="0" w:firstLine="0"/>
        <w:rPr>
          <w:rFonts w:ascii="宋体" w:hAnsi="宋体" w:cs="宋体"/>
          <w:color w:val="auto"/>
          <w:highlight w:val="none"/>
          <w:lang w:val="zh-CN"/>
        </w:rPr>
      </w:pPr>
      <w:r>
        <w:rPr>
          <w:rFonts w:hint="eastAsia" w:ascii="宋体" w:hAnsi="宋体" w:eastAsia="宋体" w:cs="宋体"/>
          <w:color w:val="auto"/>
          <w:spacing w:val="0"/>
          <w:szCs w:val="21"/>
        </w:rPr>
        <w:br w:type="page" w:clear="all"/>
      </w:r>
      <w:bookmarkStart w:id="185" w:name="_Toc43917775"/>
      <w:r/>
      <w:bookmarkStart w:id="186" w:name="_Toc66375428"/>
      <w:r>
        <w:rPr>
          <w:rFonts w:hint="eastAsia" w:ascii="宋体" w:hAnsi="宋体" w:eastAsia="宋体" w:cs="宋体"/>
          <w:color w:val="auto"/>
          <w:spacing w:val="0"/>
          <w:lang w:val="zh-CN"/>
        </w:rPr>
        <w:t xml:space="preserve">附件六、</w:t>
      </w:r>
      <w:bookmarkStart w:id="187" w:name="_Hlk176528721"/>
      <w:r>
        <w:rPr>
          <w:rFonts w:hint="eastAsia" w:ascii="宋体" w:hAnsi="宋体" w:cs="宋体"/>
          <w:color w:val="auto"/>
          <w:highlight w:val="none"/>
          <w:lang w:val="zh-CN"/>
        </w:rPr>
        <w:t xml:space="preserve">已标价的工程量清单</w:t>
      </w:r>
      <w:r/>
    </w:p>
    <w:p>
      <w:pPr>
        <w:pStyle w:val="903"/>
        <w:jc w:val="center"/>
        <w:rPr>
          <w:rFonts w:hint="eastAsia" w:ascii="宋体" w:hAnsi="宋体" w:eastAsia="宋体" w:cs="宋体"/>
          <w:color w:val="auto"/>
          <w:spacing w:val="0"/>
          <w:sz w:val="21"/>
          <w:szCs w:val="21"/>
          <w:lang w:val="zh-CN"/>
        </w:rPr>
      </w:pPr>
      <w:r/>
      <w:bookmarkStart w:id="188" w:name="_Toc8953"/>
      <w:r>
        <w:rPr>
          <w:rFonts w:hint="eastAsia" w:ascii="宋体" w:hAnsi="宋体" w:cs="宋体"/>
          <w:b/>
          <w:bCs/>
          <w:color w:val="auto"/>
          <w:sz w:val="21"/>
          <w:szCs w:val="21"/>
          <w:highlight w:val="none"/>
        </w:rPr>
        <w:t xml:space="preserve">投标人根据《</w:t>
      </w:r>
      <w:r>
        <w:rPr>
          <w:rFonts w:ascii="Times New Roman" w:hAnsi="Times New Roman" w:cs="Times New Roman"/>
          <w:color w:val="auto"/>
          <w:sz w:val="21"/>
          <w:szCs w:val="21"/>
          <w:highlight w:val="none"/>
        </w:rPr>
        <w:fldChar w:fldCharType="begin"/>
      </w:r>
      <w:r>
        <w:rPr>
          <w:rFonts w:ascii="Times New Roman" w:hAnsi="Times New Roman" w:cs="Times New Roman"/>
          <w:color w:val="auto"/>
          <w:sz w:val="21"/>
          <w:szCs w:val="21"/>
          <w:highlight w:val="none"/>
        </w:rPr>
        <w:instrText xml:space="preserve"> HYPERLINK "https://www.so.com/link?m=bTuh78H2poH3Kucj5qyE1MiAPRuuOZvbfJ7jUnc5vzbSWhANqC</w:instrText>
      </w:r>
      <w:r>
        <w:rPr>
          <w:rFonts w:ascii="Times New Roman" w:hAnsi="Times New Roman" w:cs="Times New Roman"/>
          <w:color w:val="auto"/>
          <w:sz w:val="21"/>
          <w:szCs w:val="21"/>
          <w:highlight w:val="none"/>
        </w:rPr>
        <w:instrText xml:space="preserve">Ltj81kpgGfMx8UxNV1KhQxyQyICR53VUmqEWYn3t/NhDTigeb+auyi8azZv9A4tJH/G4giGaBX6bbvgUjTL7eWzhETJ8RupwOpGXCim7/kIIyogw/nwscg7rqcLE4JUrCs9bj5Ed246yBakoVH7jpIhU3L6CeC7jWSYy4XS5I+RyjgCiOv1K9EEzjEBtBBrb8g6b2+1TOnxhvwOH05StLf9vH36+9VP" \t "https://www.so.com/_blank" </w:instrText>
      </w:r>
      <w:r>
        <w:rPr>
          <w:rFonts w:ascii="Times New Roman" w:hAnsi="Times New Roman" w:cs="Times New Roman"/>
          <w:color w:val="auto"/>
          <w:sz w:val="21"/>
          <w:szCs w:val="21"/>
          <w:highlight w:val="none"/>
        </w:rPr>
        <w:fldChar w:fldCharType="separate"/>
      </w:r>
      <w:r>
        <w:rPr>
          <w:rFonts w:hint="eastAsia" w:ascii="宋体" w:hAnsi="宋体" w:cs="宋体"/>
          <w:b/>
          <w:bCs/>
          <w:color w:val="auto"/>
          <w:sz w:val="21"/>
          <w:szCs w:val="21"/>
          <w:highlight w:val="none"/>
        </w:rPr>
        <w:t xml:space="preserve">建设工程工程量清单计价规范</w:t>
      </w:r>
      <w:r>
        <w:rPr>
          <w:rFonts w:hint="eastAsia" w:ascii="宋体" w:hAnsi="宋体" w:cs="宋体"/>
          <w:b/>
          <w:bCs/>
          <w:color w:val="auto"/>
          <w:sz w:val="21"/>
          <w:szCs w:val="21"/>
          <w:highlight w:val="none"/>
        </w:rPr>
        <w:fldChar w:fldCharType="end"/>
      </w:r>
      <w:r>
        <w:rPr>
          <w:rFonts w:hint="eastAsia" w:ascii="宋体" w:hAnsi="宋体" w:cs="宋体"/>
          <w:b/>
          <w:bCs/>
          <w:color w:val="auto"/>
          <w:sz w:val="21"/>
          <w:szCs w:val="21"/>
          <w:highlight w:val="none"/>
        </w:rPr>
        <w:t xml:space="preserve">》，按照招标文件附件招标工程量清单进行报价</w:t>
      </w:r>
      <w:bookmarkEnd w:id="188"/>
      <w:r>
        <w:rPr>
          <w:rFonts w:hint="eastAsia" w:ascii="宋体" w:hAnsi="宋体" w:cs="宋体"/>
          <w:b/>
          <w:bCs/>
          <w:color w:val="auto"/>
          <w:sz w:val="21"/>
          <w:szCs w:val="21"/>
          <w:highlight w:val="none"/>
        </w:rPr>
        <w:t xml:space="preserve">。</w:t>
      </w:r>
      <w:r/>
    </w:p>
    <w:p>
      <w:pPr>
        <w:rPr>
          <w:rFonts w:hint="eastAsia" w:ascii="宋体" w:hAnsi="宋体" w:eastAsia="宋体" w:cs="宋体"/>
          <w:color w:val="auto"/>
          <w:spacing w:val="0"/>
          <w:lang w:val="zh-CN"/>
        </w:rPr>
      </w:pPr>
      <w:r>
        <w:rPr>
          <w:rFonts w:hint="eastAsia" w:ascii="宋体" w:hAnsi="宋体" w:eastAsia="宋体" w:cs="宋体"/>
          <w:color w:val="auto"/>
          <w:spacing w:val="0"/>
          <w:lang w:val="zh-CN"/>
        </w:rPr>
        <w:br w:type="page" w:clear="all"/>
      </w:r>
      <w:r/>
    </w:p>
    <w:p>
      <w:pPr>
        <w:pStyle w:val="903"/>
        <w:rPr>
          <w:rFonts w:hint="eastAsia" w:ascii="宋体" w:hAnsi="宋体" w:eastAsia="宋体" w:cs="宋体"/>
          <w:color w:val="auto"/>
          <w:spacing w:val="0"/>
          <w:lang w:val="zh-CN"/>
        </w:rPr>
      </w:pPr>
      <w:r>
        <w:rPr>
          <w:rFonts w:hint="eastAsia" w:ascii="宋体" w:hAnsi="宋体" w:eastAsia="宋体" w:cs="宋体"/>
          <w:color w:val="auto"/>
          <w:spacing w:val="0"/>
          <w:lang w:val="zh-CN"/>
        </w:rPr>
        <w:t xml:space="preserve">附件</w:t>
      </w:r>
      <w:r>
        <w:rPr>
          <w:rFonts w:hint="eastAsia" w:ascii="宋体" w:hAnsi="宋体" w:cs="宋体"/>
          <w:color w:val="auto"/>
          <w:spacing w:val="0"/>
          <w:lang w:val="en-US" w:eastAsia="zh-CN"/>
        </w:rPr>
        <w:t xml:space="preserve">七、</w:t>
      </w:r>
      <w:r>
        <w:rPr>
          <w:rFonts w:hint="eastAsia" w:ascii="宋体" w:hAnsi="宋体" w:eastAsia="宋体" w:cs="宋体"/>
          <w:color w:val="auto"/>
          <w:spacing w:val="0"/>
          <w:lang w:val="zh-CN"/>
        </w:rPr>
        <w:t xml:space="preserve">技术要求响应及偏离表</w:t>
      </w:r>
      <w:bookmarkEnd w:id="185"/>
      <w:r/>
      <w:bookmarkEnd w:id="186"/>
      <w:r/>
      <w:bookmarkEnd w:id="187"/>
      <w:r/>
      <w:r/>
    </w:p>
    <w:p>
      <w:pPr>
        <w:ind w:left="435"/>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 w:val="24"/>
        </w:rPr>
        <w:t xml:space="preserve"> </w:t>
      </w:r>
      <w:r/>
    </w:p>
    <w:p>
      <w:pPr>
        <w:jc w:val="center"/>
        <w:spacing w:line="360" w:lineRule="auto"/>
        <w:shd w:val="clear" w:color="auto" w:fill="ffffff"/>
        <w:widowControl/>
        <w:rPr>
          <w:rFonts w:hint="eastAsia" w:ascii="宋体" w:hAnsi="宋体" w:eastAsia="宋体" w:cs="宋体"/>
          <w:color w:val="auto"/>
          <w:spacing w:val="0"/>
          <w:szCs w:val="21"/>
        </w:rPr>
      </w:pPr>
      <w:r/>
      <w:bookmarkStart w:id="189" w:name="_Hlk176528733"/>
      <w:r>
        <w:rPr>
          <w:rFonts w:hint="eastAsia" w:ascii="宋体" w:hAnsi="宋体" w:eastAsia="宋体" w:cs="宋体"/>
          <w:b/>
          <w:color w:val="auto"/>
          <w:spacing w:val="0"/>
          <w:sz w:val="32"/>
          <w:szCs w:val="32"/>
        </w:rPr>
        <w:t xml:space="preserve">技术要求响应及偏离表</w:t>
      </w:r>
      <w:r/>
    </w:p>
    <w:p>
      <w:pPr>
        <w:ind w:firstLine="294"/>
        <w:jc w:val="left"/>
        <w:spacing w:line="360" w:lineRule="auto"/>
        <w:widowControl/>
        <w:tabs>
          <w:tab w:val="left" w:pos="5397" w:leader="none"/>
        </w:tabs>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项目名称：</w:t>
      </w:r>
      <w:r>
        <w:rPr>
          <w:rFonts w:hint="eastAsia" w:ascii="宋体" w:hAnsi="宋体" w:eastAsia="宋体" w:cs="宋体"/>
          <w:color w:val="auto"/>
          <w:spacing w:val="0"/>
          <w:szCs w:val="21"/>
        </w:rPr>
        <w:tab/>
      </w:r>
      <w:r>
        <w:rPr>
          <w:rFonts w:hint="eastAsia" w:ascii="宋体" w:hAnsi="宋体" w:eastAsia="宋体" w:cs="宋体"/>
          <w:color w:val="auto"/>
          <w:spacing w:val="0"/>
          <w:szCs w:val="21"/>
        </w:rPr>
        <w:t xml:space="preserve">项目编号：</w:t>
      </w:r>
      <w:r/>
    </w:p>
    <w:tbl>
      <w:tblPr>
        <w:tblStyle w:val="912"/>
        <w:tblW w:w="110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02"/>
        <w:gridCol w:w="937"/>
        <w:gridCol w:w="937"/>
        <w:gridCol w:w="4667"/>
        <w:gridCol w:w="2932"/>
        <w:gridCol w:w="1038"/>
      </w:tblGrid>
      <w:tr>
        <w:trPr>
          <w:jc w:val="center"/>
          <w:trHeight w:val="284"/>
        </w:trPr>
        <w:tc>
          <w:tcPr>
            <w:tcMar>
              <w:left w:w="10" w:type="dxa"/>
              <w:top w:w="0" w:type="dxa"/>
              <w:right w:w="10" w:type="dxa"/>
              <w:bottom w:w="0" w:type="dxa"/>
            </w:tcMar>
            <w:tcW w:w="502" w:type="dxa"/>
            <w:vAlign w:val="center"/>
            <w:textDirection w:val="lrTb"/>
            <w:noWrap w:val="false"/>
          </w:tcPr>
          <w:p>
            <w:pPr>
              <w:jc w:val="center"/>
              <w:spacing w:line="360" w:lineRule="auto"/>
              <w:widowControl/>
              <w:rPr>
                <w:rFonts w:hint="eastAsia" w:ascii="宋体" w:hAnsi="宋体" w:eastAsia="宋体" w:cs="宋体"/>
                <w:b/>
                <w:color w:val="auto"/>
                <w:spacing w:val="0"/>
                <w:sz w:val="21"/>
                <w:szCs w:val="21"/>
              </w:rPr>
            </w:pPr>
            <w:r/>
            <w:bookmarkStart w:id="190" w:name="_Hlk66784099"/>
            <w:r>
              <w:rPr>
                <w:rFonts w:hint="eastAsia" w:ascii="宋体" w:hAnsi="宋体" w:eastAsia="宋体" w:cs="宋体"/>
                <w:b/>
                <w:color w:val="auto"/>
                <w:spacing w:val="0"/>
                <w:sz w:val="21"/>
                <w:szCs w:val="21"/>
              </w:rPr>
              <w:t xml:space="preserve">序号</w:t>
            </w:r>
            <w:r/>
          </w:p>
        </w:tc>
        <w:tc>
          <w:tcPr>
            <w:gridSpan w:val="2"/>
            <w:tcMar>
              <w:left w:w="10" w:type="dxa"/>
              <w:top w:w="0" w:type="dxa"/>
              <w:right w:w="10" w:type="dxa"/>
              <w:bottom w:w="0" w:type="dxa"/>
            </w:tcMar>
            <w:tcW w:w="1874" w:type="dxa"/>
            <w:vAlign w:val="center"/>
            <w:textDirection w:val="lrTb"/>
            <w:noWrap w:val="false"/>
          </w:tcPr>
          <w:p>
            <w:pPr>
              <w:jc w:val="center"/>
              <w:spacing w:line="360" w:lineRule="auto"/>
              <w:widowControl/>
              <w:rPr>
                <w:rFonts w:hint="eastAsia" w:ascii="宋体" w:hAnsi="宋体" w:eastAsia="宋体" w:cs="宋体"/>
                <w:b/>
                <w:color w:val="auto"/>
                <w:spacing w:val="0"/>
                <w:sz w:val="21"/>
                <w:szCs w:val="21"/>
                <w:lang w:val="en-US" w:eastAsia="zh-CN"/>
              </w:rPr>
            </w:pPr>
            <w:r>
              <w:rPr>
                <w:rFonts w:hint="eastAsia" w:ascii="宋体" w:hAnsi="宋体" w:eastAsia="宋体" w:cs="宋体"/>
                <w:b/>
                <w:color w:val="auto"/>
                <w:spacing w:val="0"/>
                <w:sz w:val="21"/>
                <w:szCs w:val="21"/>
                <w:lang w:val="en-US" w:eastAsia="zh-CN"/>
              </w:rPr>
              <w:t xml:space="preserve">设备名称</w:t>
            </w:r>
            <w:r/>
          </w:p>
        </w:tc>
        <w:tc>
          <w:tcPr>
            <w:tcMar>
              <w:left w:w="10" w:type="dxa"/>
              <w:top w:w="0" w:type="dxa"/>
              <w:right w:w="10" w:type="dxa"/>
              <w:bottom w:w="0" w:type="dxa"/>
            </w:tcMar>
            <w:tcW w:w="4667" w:type="dxa"/>
            <w:vAlign w:val="center"/>
            <w:textDirection w:val="lrTb"/>
            <w:noWrap w:val="false"/>
          </w:tcPr>
          <w:p>
            <w:pPr>
              <w:jc w:val="center"/>
              <w:spacing w:line="360" w:lineRule="auto"/>
              <w:widowControl/>
              <w:rPr>
                <w:rFonts w:hint="eastAsia" w:ascii="宋体" w:hAnsi="宋体" w:eastAsia="宋体" w:cs="宋体"/>
                <w:b/>
                <w:color w:val="auto"/>
                <w:spacing w:val="0"/>
                <w:sz w:val="21"/>
                <w:szCs w:val="21"/>
              </w:rPr>
            </w:pPr>
            <w:r>
              <w:rPr>
                <w:rFonts w:hint="eastAsia" w:ascii="宋体" w:hAnsi="宋体" w:eastAsia="宋体" w:cs="宋体"/>
                <w:b/>
                <w:color w:val="auto"/>
                <w:spacing w:val="0"/>
                <w:sz w:val="21"/>
                <w:szCs w:val="21"/>
              </w:rPr>
              <w:t xml:space="preserve">招标文件的技术要求</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b/>
                <w:color w:val="auto"/>
                <w:spacing w:val="0"/>
                <w:sz w:val="21"/>
                <w:szCs w:val="21"/>
                <w:lang w:val="en-US" w:eastAsia="zh-CN"/>
              </w:rPr>
            </w:pPr>
            <w:r>
              <w:rPr>
                <w:rFonts w:hint="eastAsia" w:ascii="宋体" w:hAnsi="宋体" w:eastAsia="宋体" w:cs="宋体"/>
                <w:b/>
                <w:color w:val="auto"/>
                <w:spacing w:val="0"/>
                <w:sz w:val="21"/>
                <w:szCs w:val="21"/>
                <w:lang w:val="en-US" w:eastAsia="zh-CN"/>
              </w:rPr>
              <w:t xml:space="preserve">参数响应</w:t>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b/>
                <w:color w:val="auto"/>
                <w:spacing w:val="0"/>
                <w:sz w:val="21"/>
                <w:szCs w:val="21"/>
              </w:rPr>
            </w:pPr>
            <w:r>
              <w:rPr>
                <w:rFonts w:hint="eastAsia" w:ascii="宋体" w:hAnsi="宋体" w:eastAsia="宋体" w:cs="宋体"/>
                <w:b/>
                <w:color w:val="auto"/>
                <w:spacing w:val="0"/>
                <w:sz w:val="21"/>
                <w:szCs w:val="21"/>
              </w:rPr>
              <w:t xml:space="preserve">偏离情况</w:t>
            </w:r>
            <w:r/>
          </w:p>
          <w:p>
            <w:pPr>
              <w:jc w:val="center"/>
              <w:spacing w:line="360" w:lineRule="auto"/>
              <w:widowControl/>
              <w:rPr>
                <w:rFonts w:hint="eastAsia" w:ascii="宋体" w:hAnsi="宋体" w:eastAsia="宋体" w:cs="宋体"/>
                <w:b/>
                <w:color w:val="auto"/>
                <w:spacing w:val="0"/>
                <w:sz w:val="21"/>
                <w:szCs w:val="21"/>
              </w:rPr>
            </w:pPr>
            <w:r>
              <w:rPr>
                <w:rFonts w:hint="eastAsia" w:ascii="宋体" w:hAnsi="宋体" w:eastAsia="宋体" w:cs="宋体"/>
                <w:b/>
                <w:color w:val="auto"/>
                <w:spacing w:val="0"/>
                <w:sz w:val="21"/>
                <w:szCs w:val="21"/>
              </w:rPr>
              <w:t xml:space="preserve">（正偏离、无偏离或负偏离）</w:t>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Mar>
              <w:left w:w="10" w:type="dxa"/>
              <w:top w:w="0" w:type="dxa"/>
              <w:right w:w="10" w:type="dxa"/>
              <w:bottom w:w="0" w:type="dxa"/>
            </w:tcMar>
            <w:tcW w:w="937" w:type="dxa"/>
            <w:vAlign w:val="center"/>
            <w:vMerge w:val="restart"/>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中心子站变电所改造</w:t>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变压器柜</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ZBN2-10；户内安装，落地式，与变压器配套；防护等级≥IP40；柜体尺寸须与SCB14-1000/10变压器外形尺寸匹配，并满足现场基础安装条件；材质与工艺：柜体采用优质冷轧钢板，厚度≥2.0mm，表面静电喷涂防腐处理；所有金属构件须作防腐处理；柜体须与接地系统可靠连接；柜门与接地开关/隔离开关设机械联锁；满足“五防”要求；变压器柜自带通风风机，起动控制信号引至变压器温度传感器。</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干式变压器SCB14</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1000kVA；额定电压：高压10kV；低压0.4kV；分接范围：高压侧 ±2×2.5%；冷却方式：AN/AF（自然风冷/强制风冷），变压器自带温控风机；防护等级：IP40（带外壳）；三相；频率：50Hz；配温控仪、风机、不锈钢或铝合金外壳、铜母线连接件等。</w:t>
            </w:r>
            <w:r>
              <w:rPr>
                <w:rFonts w:hint="eastAsia" w:ascii="宋体" w:hAnsi="宋体" w:eastAsia="宋体" w:cs="宋体"/>
                <w:sz w:val="21"/>
                <w:szCs w:val="21"/>
                <w:highlight w:val="none"/>
              </w:rPr>
              <w:br/>
            </w:r>
            <w:r>
              <w:rPr>
                <w:rFonts w:hint="eastAsia" w:ascii="宋体" w:hAnsi="宋体" w:eastAsia="宋体" w:cs="宋体"/>
                <w:b/>
                <w:bCs/>
                <w:sz w:val="21"/>
                <w:szCs w:val="21"/>
                <w:highlight w:val="none"/>
              </w:rPr>
              <w:t xml:space="preserve">★变压器必须是SCB14及以上系列二级能效产品，空载损耗及负载损耗不得有正偏差。（提供产品说明书等技术支持资料（如白皮书或产品手册或官网截图或具有CMA标识的检测报告等证明材料</w:t>
            </w:r>
            <w:r>
              <w:rPr>
                <w:rFonts w:hint="eastAsia" w:ascii="宋体" w:hAnsi="宋体" w:eastAsia="宋体" w:cs="宋体"/>
                <w:b/>
                <w:bCs/>
                <w:sz w:val="21"/>
                <w:szCs w:val="21"/>
                <w:highlight w:val="none"/>
                <w:lang w:val="en-US" w:eastAsia="zh-CN"/>
              </w:rPr>
              <w:t xml:space="preserve">复印件加盖公章</w:t>
            </w:r>
            <w:r>
              <w:rPr>
                <w:rFonts w:hint="eastAsia" w:ascii="宋体" w:hAnsi="宋体" w:eastAsia="宋体" w:cs="宋体"/>
                <w:b/>
                <w:bCs/>
                <w:sz w:val="21"/>
                <w:szCs w:val="21"/>
                <w:highlight w:val="none"/>
              </w:rPr>
              <w:t xml:space="preserve">）。</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低压进线总柜</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eastAsia="zh-CN"/>
              </w:rPr>
              <w:outlineLvl w:val="1"/>
            </w:pPr>
            <w:r>
              <w:rPr>
                <w:rFonts w:hint="eastAsia" w:ascii="宋体" w:hAnsi="宋体" w:eastAsia="宋体" w:cs="宋体"/>
                <w:sz w:val="21"/>
                <w:szCs w:val="21"/>
                <w:highlight w:val="none"/>
              </w:rPr>
              <w:t xml:space="preserve">▲MNS 800x1000x2200</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提供设备型式试验报告及中国国家强制性产品认证证书复印件加盖公章</w:t>
            </w:r>
            <w:r>
              <w:rPr>
                <w:rFonts w:hint="eastAsia" w:ascii="宋体" w:hAnsi="宋体" w:eastAsia="宋体" w:cs="宋体"/>
                <w:sz w:val="21"/>
                <w:szCs w:val="21"/>
                <w:highlight w:val="none"/>
                <w:lang w:eastAsia="zh-CN"/>
              </w:rPr>
              <w:t xml:space="preserve">）。</w:t>
            </w:r>
            <w:r/>
          </w:p>
          <w:p>
            <w:pP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t xml:space="preserve">抽出式（抽屉式），模数化组装；柜体采用优质冷轧钢板，厚度≥2.0mm，表面静电喷涂防腐处理；户内安装，落地式，点焊固定于基础型钢上；防护等级≥IP31；进线总柜进线总开上端预留10A/2P开关作为负控装置220V电源端；进线断路器须具备电气分闸功能，至少有两副空辅助接点，其中一副供负控专用；设六档专用端子排组；电动分闸接点通过转接插头引至仪表室。</w:t>
            </w:r>
            <w:r/>
          </w:p>
          <w:p>
            <w:pPr>
              <w:rPr>
                <w:rFonts w:hint="eastAsia" w:ascii="宋体" w:hAnsi="宋体" w:eastAsia="宋体" w:cs="宋体"/>
                <w:b/>
                <w:bCs/>
                <w:sz w:val="21"/>
                <w:szCs w:val="21"/>
                <w:highlight w:val="none"/>
              </w:rPr>
              <w:outlineLvl w:val="1"/>
            </w:pPr>
            <w:r>
              <w:rPr>
                <w:rFonts w:hint="eastAsia" w:ascii="宋体" w:hAnsi="宋体" w:eastAsia="宋体" w:cs="宋体"/>
                <w:b/>
                <w:bCs/>
                <w:sz w:val="21"/>
                <w:szCs w:val="21"/>
                <w:highlight w:val="none"/>
              </w:rPr>
              <w:t xml:space="preserve">★断路器技术要求：进线柜和母联柜框架断路器为4极。（提供产品说明书等技术支持资料（如白皮书或产品手册或官网截图或具有CMA标识的检测报告等证明材料</w:t>
            </w:r>
            <w:r>
              <w:rPr>
                <w:rFonts w:hint="eastAsia" w:ascii="宋体" w:hAnsi="宋体" w:eastAsia="宋体" w:cs="宋体"/>
                <w:b/>
                <w:bCs/>
                <w:sz w:val="21"/>
                <w:szCs w:val="21"/>
                <w:highlight w:val="none"/>
                <w:lang w:val="en-US" w:eastAsia="zh-CN"/>
              </w:rPr>
              <w:t xml:space="preserve">复印件加盖公章</w:t>
            </w:r>
            <w:r>
              <w:rPr>
                <w:rFonts w:hint="eastAsia" w:ascii="宋体" w:hAnsi="宋体" w:eastAsia="宋体" w:cs="宋体"/>
                <w:b/>
                <w:bCs/>
                <w:sz w:val="21"/>
                <w:szCs w:val="21"/>
                <w:highlight w:val="none"/>
              </w:rPr>
              <w:t xml:space="preserve">）。</w:t>
            </w:r>
            <w:r/>
          </w:p>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低压开关柜的柜体颜色按如下要求：改造现场截取原低压柜部分门板作为色板，柜体结构兼容并柜要求，颜色与现场协调统一。</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电容补偿柜</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eastAsia="zh-CN"/>
              </w:rPr>
              <w:outlineLvl w:val="1"/>
            </w:pPr>
            <w:r>
              <w:rPr>
                <w:rFonts w:hint="eastAsia" w:ascii="宋体" w:hAnsi="宋体" w:eastAsia="宋体" w:cs="宋体"/>
                <w:sz w:val="21"/>
                <w:szCs w:val="21"/>
                <w:highlight w:val="none"/>
              </w:rPr>
              <w:t xml:space="preserve">▲800x1000x2200MNS</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提供设备型式试验报告及中国国家强制性产品认证证书复印件加盖公章</w:t>
            </w:r>
            <w:r>
              <w:rPr>
                <w:rFonts w:hint="eastAsia" w:ascii="宋体" w:hAnsi="宋体" w:eastAsia="宋体" w:cs="宋体"/>
                <w:sz w:val="21"/>
                <w:szCs w:val="21"/>
                <w:highlight w:val="none"/>
                <w:lang w:eastAsia="zh-CN"/>
              </w:rPr>
              <w:t xml:space="preserve">）。</w:t>
            </w:r>
            <w:r/>
          </w:p>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型抽出式开关柜；补偿容量：300kvar/套；电抗器配置：串联电抗器，电抗率7%；防护等级≥IP31；补偿后功率因数：≥0.9；标准MNS柜要求。</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母联柜</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MNS 800x1000x2200；户内安装，落地式，点焊固定于基础型钢上；防护等级≥IP31；抽出式（抽屉式），模数化组装；柜体采用优质冷轧钢板，厚度≥2.0mm，表面静电喷涂防腐处理；机械联锁和电气联锁，三合二。</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低压馈线柜</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MNS 600x1000x2200；抽出式（抽屉式），模数化组装；柜体采用优质冷轧钢板，厚度≥2.0mm，表面静电喷涂防腐处理；防护等级≥IP31。</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母线槽</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2000A；额定电压</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0.4kV（380V/220V）；极数：4P（三相+中性线）或5P（三相+中性线+PE）；导体材质；铜排，高纯度电解铜，导电率≥97%IACS。</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低压伸缩接头</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2000A；极数</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4P或5P（与母线槽极数一致）；安装位置：变压器出线端 ↔ 低压进线总柜进线端。</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铜母排</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TMY-(125x10) ；导电率</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≥97%IACS，电阻率≤0.01777Ω·mm²/m</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铜母排</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PE-1(80x8)</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10KV电流互感器</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75/5A</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Mar>
              <w:left w:w="10" w:type="dxa"/>
              <w:top w:w="0" w:type="dxa"/>
              <w:right w:w="10" w:type="dxa"/>
              <w:bottom w:w="0" w:type="dxa"/>
            </w:tcMar>
            <w:tcW w:w="937" w:type="dxa"/>
            <w:vAlign w:val="center"/>
            <w:vMerge w:val="restart"/>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东片区宿舍10kV变电所</w:t>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10kV进线柜改造</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eastAsia="zh-CN"/>
              </w:rPr>
              <w:outlineLvl w:val="1"/>
            </w:pPr>
            <w:r>
              <w:rPr>
                <w:rFonts w:hint="eastAsia" w:ascii="宋体" w:hAnsi="宋体" w:eastAsia="宋体" w:cs="宋体"/>
                <w:sz w:val="21"/>
                <w:szCs w:val="21"/>
                <w:highlight w:val="none"/>
              </w:rPr>
              <w:t xml:space="preserve">▲户内交流金属铠装中置移开式开关设备，型号KYN28-12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提供设备型式试验报告及中国国家强制性产品认证证书复印件加盖公章</w:t>
            </w:r>
            <w:r>
              <w:rPr>
                <w:rFonts w:hint="eastAsia" w:ascii="宋体" w:hAnsi="宋体" w:eastAsia="宋体" w:cs="宋体"/>
                <w:sz w:val="21"/>
                <w:szCs w:val="21"/>
                <w:highlight w:val="none"/>
                <w:lang w:eastAsia="zh-CN"/>
              </w:rPr>
              <w:t xml:space="preserve">）。</w:t>
            </w:r>
            <w:r/>
          </w:p>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安装方式：户内布置，并排安装；额定电压：12KV;额定频率:50Hz；额定电流:主母线/断路器 630A； 防护等级:外壳IP4X，隔室间IP2X；进出线方式:下进下出（配封闭母线桥或电缆终端）。具体见第四章技术规范要求。</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变压器柜</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ZBN2-10；户内安装，落地式，与变压器配套；防护等级≥IP40；柜体尺寸须与SCB14-1000/10变压器外形尺寸匹配，并满足现场基础安装条件；材质与工艺：柜体采用优质冷轧钢板，厚度≥2.0mm，表面静电喷涂防腐处理；所有金属构件须作防腐处理；柜体须与接地系统可靠连接；柜门与接地开关/隔离开关设机械联锁；满足“五防”要求；变压器柜自带通风风机，起动控制信号引至变压器温度传感器。</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干式变压器SCB14</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2000kVA额定电压：高压10kV；低压0.4kV；分接范围：高压侧 ±2×2.5%；冷却方式：AN/AF（自然风冷/强制风冷），变压器自带温控风机；防护等级：IP40（带外壳）；三相；频率：50Hz；配温控仪、风机、不锈钢或铝合金外壳、铜母线连接件等。</w:t>
            </w:r>
            <w:r>
              <w:rPr>
                <w:rFonts w:hint="eastAsia" w:ascii="宋体" w:hAnsi="宋体" w:eastAsia="宋体" w:cs="宋体"/>
                <w:sz w:val="21"/>
                <w:szCs w:val="21"/>
                <w:highlight w:val="none"/>
              </w:rPr>
              <w:br/>
            </w:r>
            <w:r>
              <w:rPr>
                <w:rFonts w:hint="eastAsia" w:ascii="宋体" w:hAnsi="宋体" w:eastAsia="宋体" w:cs="宋体"/>
                <w:b/>
                <w:bCs/>
                <w:sz w:val="21"/>
                <w:szCs w:val="21"/>
                <w:highlight w:val="none"/>
              </w:rPr>
              <w:t xml:space="preserve">★变压器必须是SCB14及以上系列二级能效产品，空载损耗及负载损耗不得有正偏差。（提供产品说明书等技术支持资料（如白皮书或产品手册或官网截图或具有CMA标识的检测报告等证明材料</w:t>
            </w:r>
            <w:r>
              <w:rPr>
                <w:rFonts w:hint="eastAsia" w:ascii="宋体" w:hAnsi="宋体" w:eastAsia="宋体" w:cs="宋体"/>
                <w:b/>
                <w:bCs/>
                <w:sz w:val="21"/>
                <w:szCs w:val="21"/>
                <w:highlight w:val="none"/>
                <w:lang w:val="en-US" w:eastAsia="zh-CN"/>
              </w:rPr>
              <w:t xml:space="preserve">复印件加盖公章</w:t>
            </w:r>
            <w:r>
              <w:rPr>
                <w:rFonts w:hint="eastAsia" w:ascii="宋体" w:hAnsi="宋体" w:eastAsia="宋体" w:cs="宋体"/>
                <w:b/>
                <w:bCs/>
                <w:sz w:val="21"/>
                <w:szCs w:val="21"/>
                <w:highlight w:val="none"/>
              </w:rPr>
              <w:t xml:space="preserve">）。</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低压进线总柜</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t xml:space="preserve">MNS 800x1000x2500 抽出式（抽屉式），模数化组装；柜体采用优质冷轧钢板，厚度≥2.0mm，表面静电喷涂防腐处理；户内安装，落地式，点焊固定于基础型钢上；防护等级≥IP31；进线总柜进线总开上端预留10A/2P开关作为负控装置220V电源端；进线断路器须具备电气分闸功能，至少有两副空辅助接点，其中一副供负控专用；设六档专用端子排组；电动分闸接点通过转接插头引至仪表室。</w:t>
            </w:r>
            <w:r/>
          </w:p>
          <w:p>
            <w:pPr>
              <w:rPr>
                <w:rFonts w:hint="eastAsia" w:ascii="宋体" w:hAnsi="宋体" w:eastAsia="宋体" w:cs="宋体"/>
                <w:b/>
                <w:bCs/>
                <w:sz w:val="21"/>
                <w:szCs w:val="21"/>
                <w:highlight w:val="none"/>
              </w:rPr>
              <w:outlineLvl w:val="1"/>
            </w:pPr>
            <w:r>
              <w:rPr>
                <w:rFonts w:hint="eastAsia" w:ascii="宋体" w:hAnsi="宋体" w:eastAsia="宋体" w:cs="宋体"/>
                <w:b/>
                <w:bCs/>
                <w:sz w:val="21"/>
                <w:szCs w:val="21"/>
                <w:highlight w:val="none"/>
              </w:rPr>
              <w:t xml:space="preserve">★3.1.1 断路器技术要求：进线柜和母联柜框架断路器为4极。（提供产品说明书等技术支持资料（如白皮书或产品手册或官网截图或具有CMA标识的检测报告等证明材料</w:t>
            </w:r>
            <w:r>
              <w:rPr>
                <w:rFonts w:hint="eastAsia" w:ascii="宋体" w:hAnsi="宋体" w:eastAsia="宋体" w:cs="宋体"/>
                <w:b/>
                <w:bCs/>
                <w:sz w:val="21"/>
                <w:szCs w:val="21"/>
                <w:highlight w:val="none"/>
                <w:lang w:val="en-US" w:eastAsia="zh-CN"/>
              </w:rPr>
              <w:t xml:space="preserve">复印件加盖公章</w:t>
            </w:r>
            <w:r>
              <w:rPr>
                <w:rFonts w:hint="eastAsia" w:ascii="宋体" w:hAnsi="宋体" w:eastAsia="宋体" w:cs="宋体"/>
                <w:b/>
                <w:bCs/>
                <w:sz w:val="21"/>
                <w:szCs w:val="21"/>
                <w:highlight w:val="none"/>
              </w:rPr>
              <w:t xml:space="preserve">）。</w:t>
            </w:r>
            <w:r/>
          </w:p>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低压开关柜的柜体颜色按如下要求：改造现场截取原低压柜部分门板作为色板，柜体结构兼容并柜要求，颜色与现场协调统一。 </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电容补偿柜</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t xml:space="preserve">800x1000x2200+1000x1000x2200</w:t>
            </w:r>
            <w:r/>
          </w:p>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型抽出式开关柜；补偿容量：300kvar/套；电抗器配置：串联电抗器，电抗率7%；防护等级≥IP31；补偿后功率因数：≥0.9；标准MNS柜要求。</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母联柜</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MNS 1000x1000x2200；户内安装，落地式，点焊固定于基础型钢上；防护等级≥IP31；抽出式（抽屉式），模数化组装；柜体采用优质冷轧钢板，厚度≥2.0mm，表面静电喷涂防腐处理；机械联锁和电气联锁，三合二。</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低压馈线柜</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MNS 600x1000x2200；抽出式（抽屉式），模数化组装；柜体采用优质冷轧钢板，厚度≥2.0mm，表面静电喷涂防腐处理；防护等级≥IP31。</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母线槽</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4000A 额定电压</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0.4kV（380V/220V）；极数：4P（三相+中性线）或5P（三相+中性线+PE）；导体材质</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铜排，高纯度电解铜，导电率≥97%IACS。</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低压伸缩接头</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4000A 极数</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4P或5P（与母线槽极数一致）；安装位置：变压器出线端 ↔ 低压进线总柜进线端。</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铜母排</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TMY-(125x10) ；导电率</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≥97%IACS，电阻率≤0.01777Ω·mm²/m</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铜母排</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PE-125x10</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壁挂式直流屏</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20Ah</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直流屏电缆</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t xml:space="preserve">ZRYJV-1-5x10mm2，具体见图纸。</w:t>
            </w:r>
            <w:r/>
          </w:p>
          <w:p>
            <w:pPr>
              <w:rPr>
                <w:rFonts w:hint="eastAsia" w:ascii="宋体" w:hAnsi="宋体" w:eastAsia="宋体" w:cs="宋体"/>
                <w:b/>
                <w:bCs/>
                <w:sz w:val="21"/>
                <w:szCs w:val="21"/>
                <w:highlight w:val="none"/>
              </w:rPr>
              <w:outlineLvl w:val="1"/>
            </w:pPr>
            <w:r>
              <w:rPr>
                <w:rFonts w:hint="eastAsia" w:ascii="宋体" w:hAnsi="宋体" w:eastAsia="宋体" w:cs="宋体"/>
                <w:b/>
                <w:bCs/>
                <w:sz w:val="21"/>
                <w:szCs w:val="21"/>
                <w:highlight w:val="none"/>
              </w:rPr>
              <w:t xml:space="preserve">▲投标人用于本项目的电力电缆需留存样品送至国家或相关权威机构进行检验鉴定，相关检验鉴定报告作为竣工资料附件，装订在竣工资料中。（投标人提供承诺书，格式自拟）。</w:t>
            </w:r>
            <w:r/>
          </w:p>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b/>
                <w:bCs/>
                <w:sz w:val="21"/>
                <w:szCs w:val="21"/>
                <w:highlight w:val="none"/>
              </w:rPr>
              <w:t xml:space="preserve">▲无论原有电缆有无标牌，本次施工完成后，所有电缆均需挂设标牌。（提供承诺书加盖公章）</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tcMar>
              <w:left w:w="10" w:type="dxa"/>
              <w:top w:w="0" w:type="dxa"/>
              <w:right w:w="10" w:type="dxa"/>
              <w:bottom w:w="0" w:type="dxa"/>
            </w:tcMar>
            <w:tcW w:w="937" w:type="dxa"/>
            <w:vAlign w:val="center"/>
            <w:vMerge w:val="restart"/>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文澜子站</w:t>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干式变压器SCB14</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1000kVA；额定电压：高压10kV；低压0.4kV；分接范围：高压侧 ±2×2.5%；冷却方式：AN/AF（自然风冷/强制风冷），变压器自带温控风机；防护等级：IP40（带外壳）；三相；频率：50Hz；配温控仪、风机、不锈钢或铝合金外壳、铜母线连接件等。</w:t>
            </w:r>
            <w:r>
              <w:rPr>
                <w:rFonts w:hint="eastAsia" w:ascii="宋体" w:hAnsi="宋体" w:eastAsia="宋体" w:cs="宋体"/>
                <w:sz w:val="21"/>
                <w:szCs w:val="21"/>
                <w:highlight w:val="none"/>
              </w:rPr>
              <w:br/>
            </w:r>
            <w:r>
              <w:rPr>
                <w:rFonts w:hint="eastAsia" w:ascii="宋体" w:hAnsi="宋体" w:eastAsia="宋体" w:cs="宋体"/>
                <w:b/>
                <w:bCs/>
                <w:sz w:val="21"/>
                <w:szCs w:val="21"/>
                <w:highlight w:val="none"/>
              </w:rPr>
              <w:t xml:space="preserve">★变压器必须是SCB14及以上系列二级能效产品，空载损耗及负载损耗不得有正偏差。（提供产品说明书等技术支持资料（如白皮书或产品手册或官网截图或具有CMA标识的检测报告等证明材料</w:t>
            </w:r>
            <w:r>
              <w:rPr>
                <w:rFonts w:hint="eastAsia" w:ascii="宋体" w:hAnsi="宋体" w:eastAsia="宋体" w:cs="宋体"/>
                <w:b/>
                <w:bCs/>
                <w:sz w:val="21"/>
                <w:szCs w:val="21"/>
                <w:highlight w:val="none"/>
                <w:lang w:val="en-US" w:eastAsia="zh-CN"/>
              </w:rPr>
              <w:t xml:space="preserve">复印件加盖公章</w:t>
            </w:r>
            <w:r>
              <w:rPr>
                <w:rFonts w:hint="eastAsia" w:ascii="宋体" w:hAnsi="宋体" w:eastAsia="宋体" w:cs="宋体"/>
                <w:b/>
                <w:bCs/>
                <w:sz w:val="21"/>
                <w:szCs w:val="21"/>
                <w:highlight w:val="none"/>
              </w:rPr>
              <w:t xml:space="preserve">）。</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电容补偿柜</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eastAsia="zh-CN"/>
              </w:rPr>
              <w:outlineLvl w:val="1"/>
            </w:pPr>
            <w:r>
              <w:rPr>
                <w:rFonts w:hint="eastAsia" w:ascii="宋体" w:hAnsi="宋体" w:eastAsia="宋体" w:cs="宋体"/>
                <w:sz w:val="21"/>
                <w:szCs w:val="21"/>
                <w:highlight w:val="none"/>
              </w:rPr>
              <w:t xml:space="preserve">▲800x1000x2200MNS</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提供设备型式试验报告及中国国家强制性产品认证证书复印件加盖公章</w:t>
            </w:r>
            <w:r>
              <w:rPr>
                <w:rFonts w:hint="eastAsia" w:ascii="宋体" w:hAnsi="宋体" w:eastAsia="宋体" w:cs="宋体"/>
                <w:sz w:val="21"/>
                <w:szCs w:val="21"/>
                <w:highlight w:val="none"/>
                <w:lang w:eastAsia="zh-CN"/>
              </w:rPr>
              <w:t xml:space="preserve">）。</w:t>
            </w:r>
            <w:r/>
          </w:p>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型抽出式开关柜；补偿容量：300kvar/套；电抗器配置：串联电抗器，电抗率7%；防护等级≥IP31；补偿后功率因数：≥0.9；标准MNS柜要求。</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低压进线总柜</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eastAsia="zh-CN"/>
              </w:rPr>
              <w:outlineLvl w:val="1"/>
            </w:pPr>
            <w:r>
              <w:rPr>
                <w:rFonts w:hint="eastAsia" w:ascii="宋体" w:hAnsi="宋体" w:eastAsia="宋体" w:cs="宋体"/>
                <w:sz w:val="21"/>
                <w:szCs w:val="21"/>
                <w:highlight w:val="none"/>
              </w:rPr>
              <w:t xml:space="preserve">▲MNS 800x1000x2200</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提供设备型式试验报告及中国国家强制性产品认证证书复印件加盖公章</w:t>
            </w:r>
            <w:r>
              <w:rPr>
                <w:rFonts w:hint="eastAsia" w:ascii="宋体" w:hAnsi="宋体" w:eastAsia="宋体" w:cs="宋体"/>
                <w:sz w:val="21"/>
                <w:szCs w:val="21"/>
                <w:highlight w:val="none"/>
                <w:lang w:eastAsia="zh-CN"/>
              </w:rPr>
              <w:t xml:space="preserve">）。</w:t>
            </w:r>
            <w:r/>
          </w:p>
          <w:p>
            <w:pP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t xml:space="preserve">抽出式（抽屉式），模数化组装；柜体采用优质冷轧钢板，厚度≥2.0mm，表面静电喷涂防腐处理；户内安装，落地式，点焊固定于基础型钢上；防护等级≥IP31；进线总柜进线总开上端预留10A/2P开关作为负控装置220V电源端；进线断路器须具备电气分闸功能，至少有两副空辅助接点，其中一副供负控专用；设六档专用端子排组；电动分闸接点通过转接插头引至仪表室。</w:t>
            </w:r>
            <w:r/>
          </w:p>
          <w:p>
            <w:pPr>
              <w:rPr>
                <w:rFonts w:hint="eastAsia" w:ascii="宋体" w:hAnsi="宋体" w:eastAsia="宋体" w:cs="宋体"/>
                <w:b/>
                <w:bCs/>
                <w:sz w:val="21"/>
                <w:szCs w:val="21"/>
                <w:highlight w:val="none"/>
              </w:rPr>
              <w:outlineLvl w:val="1"/>
            </w:pPr>
            <w:r>
              <w:rPr>
                <w:rFonts w:hint="eastAsia" w:ascii="宋体" w:hAnsi="宋体" w:eastAsia="宋体" w:cs="宋体"/>
                <w:b/>
                <w:bCs/>
                <w:sz w:val="21"/>
                <w:szCs w:val="21"/>
                <w:highlight w:val="none"/>
              </w:rPr>
              <w:t xml:space="preserve">★断路器技术要求：进线柜和母联柜框架断路器为4极。（提供产品说明书等技术支持资料（如白皮书或产品手册或官网截图或具有CMA标识的检测报告等证明材料</w:t>
            </w:r>
            <w:r>
              <w:rPr>
                <w:rFonts w:hint="eastAsia" w:ascii="宋体" w:hAnsi="宋体" w:eastAsia="宋体" w:cs="宋体"/>
                <w:b/>
                <w:bCs/>
                <w:sz w:val="21"/>
                <w:szCs w:val="21"/>
                <w:highlight w:val="none"/>
                <w:lang w:val="en-US" w:eastAsia="zh-CN"/>
              </w:rPr>
              <w:t xml:space="preserve">复印件加盖公章</w:t>
            </w:r>
            <w:r>
              <w:rPr>
                <w:rFonts w:hint="eastAsia" w:ascii="宋体" w:hAnsi="宋体" w:eastAsia="宋体" w:cs="宋体"/>
                <w:b/>
                <w:bCs/>
                <w:sz w:val="21"/>
                <w:szCs w:val="21"/>
                <w:highlight w:val="none"/>
              </w:rPr>
              <w:t xml:space="preserve">）。</w:t>
            </w:r>
            <w:r/>
          </w:p>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低压开关柜的柜体颜色按如下要求：改造现场截取原低压柜部分门板作为色板，柜体结构兼容并柜要求，颜色与现场协调统一。</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母联柜</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MNS 800x1000x2200 户内安装，落地式，点焊固定于基础型钢上；防护等级≥IP31；抽出式（抽屉式），模数化组装；柜体采用优质冷轧钢板，厚度≥2.0mm，表面静电喷涂防腐处理；机械联锁和电气联锁，三合二。</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母线槽</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2000A；额定电压</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0.4kV（380V/220V）；极数：4P（三相+中性线）或5P（三相+中性线+PE）；导体材质</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铜排，高纯度电解铜，导电率≥97%IACS。</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低压伸缩接头</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2000A；极数</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4P或5P（与母线槽极数一致）；安装位置：变压器出线端 ↔ 低压进线总柜进线端。</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高压出线柜熔断器</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XRNT-12/100A</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铜母排</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TMY-(125x10) ；导电率</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≥97%IACS，电阻率≤0.01777Ω·mm²/m</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铜母排</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PE-1(80x8)</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bookmarkEnd w:id="190"/>
            <w:r/>
            <w:r/>
          </w:p>
        </w:tc>
      </w:tr>
      <w:tr>
        <w:trPr>
          <w:jc w:val="center"/>
          <w:trHeight w:val="284"/>
        </w:trPr>
        <w:tc>
          <w:tcP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塑壳断路器</w:t>
            </w:r>
            <w:r/>
          </w:p>
        </w:tc>
        <w:tc>
          <w:tcP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cs="宋体"/>
                <w:sz w:val="21"/>
                <w:szCs w:val="21"/>
                <w:highlight w:val="none"/>
                <w:lang w:val="en-US" w:eastAsia="zh-CN"/>
              </w:rPr>
              <w:t xml:space="preserve">/</w:t>
            </w:r>
            <w:r/>
          </w:p>
        </w:tc>
        <w:tc>
          <w:tcPr>
            <w:tcW w:w="2932" w:type="dxa"/>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W w:w="1038" w:type="dxa"/>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电流互感器</w:t>
            </w:r>
            <w:r/>
          </w:p>
        </w:tc>
        <w:tc>
          <w:tcP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▲BH-0.66 400/5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提供设备型式试验报告及中国国家强制性产品认证证书复印件加盖公章</w:t>
            </w:r>
            <w:r>
              <w:rPr>
                <w:rFonts w:hint="eastAsia" w:ascii="宋体" w:hAnsi="宋体" w:eastAsia="宋体" w:cs="宋体"/>
                <w:sz w:val="21"/>
                <w:szCs w:val="21"/>
                <w:highlight w:val="none"/>
                <w:lang w:eastAsia="zh-CN"/>
              </w:rPr>
              <w:t xml:space="preserve">）。</w:t>
            </w:r>
            <w:r/>
          </w:p>
        </w:tc>
        <w:tc>
          <w:tcPr>
            <w:tcW w:w="2932" w:type="dxa"/>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W w:w="1038" w:type="dxa"/>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分合闸指示灯</w:t>
            </w:r>
            <w:r/>
          </w:p>
        </w:tc>
        <w:tc>
          <w:tcP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AD11-25/41 ~220V 红、绿</w:t>
            </w:r>
            <w:r/>
          </w:p>
        </w:tc>
        <w:tc>
          <w:tcPr>
            <w:tcW w:w="2932" w:type="dxa"/>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W w:w="1038" w:type="dxa"/>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10KV电流互感器</w:t>
            </w:r>
            <w:r/>
          </w:p>
        </w:tc>
        <w:tc>
          <w:tcP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▲75/5A</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提供设备型式试验报告及中国国家强制性产品认证证书复印件加盖公章</w:t>
            </w:r>
            <w:r>
              <w:rPr>
                <w:rFonts w:hint="eastAsia" w:ascii="宋体" w:hAnsi="宋体" w:eastAsia="宋体" w:cs="宋体"/>
                <w:sz w:val="21"/>
                <w:szCs w:val="21"/>
                <w:highlight w:val="none"/>
                <w:lang w:eastAsia="zh-CN"/>
              </w:rPr>
              <w:t xml:space="preserve">）。</w:t>
            </w:r>
            <w:r/>
          </w:p>
        </w:tc>
        <w:tc>
          <w:tcPr>
            <w:tcW w:w="2932" w:type="dxa"/>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W w:w="1038" w:type="dxa"/>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W w:w="502" w:type="dxa"/>
            <w:vAlign w:val="center"/>
            <w:textDirection w:val="lrTb"/>
            <w:noWrap w:val="false"/>
          </w:tcPr>
          <w:p>
            <w:pPr>
              <w:jc w:val="center"/>
              <w:rPr>
                <w:rFonts w:hint="default" w:ascii="宋体" w:hAnsi="宋体" w:eastAsia="宋体" w:cs="宋体"/>
                <w:sz w:val="21"/>
                <w:szCs w:val="21"/>
                <w:highlight w:val="none"/>
                <w:lang w:val="en-US" w:eastAsia="zh-CN"/>
              </w:rPr>
              <w:outlineLvl w:val="1"/>
            </w:pPr>
            <w:r>
              <w:rPr>
                <w:rFonts w:hint="eastAsia" w:ascii="宋体" w:hAnsi="宋体" w:eastAsia="宋体" w:cs="宋体"/>
                <w:sz w:val="21"/>
                <w:szCs w:val="21"/>
                <w:highlight w:val="none"/>
                <w:lang w:val="en-US" w:eastAsia="zh-CN"/>
              </w:rPr>
              <w:t xml:space="preserve">38</w:t>
            </w:r>
            <w:r/>
          </w:p>
        </w:tc>
        <w:tc>
          <w:tcPr>
            <w:tcW w:w="937" w:type="dxa"/>
            <w:vAlign w:val="center"/>
            <w:textDirection w:val="lrTb"/>
            <w:noWrap w:val="false"/>
          </w:tcPr>
          <w:p>
            <w:pPr>
              <w:jc w:val="center"/>
              <w:rPr>
                <w:rFonts w:hint="eastAsia" w:ascii="宋体" w:hAnsi="宋体" w:eastAsia="宋体" w:cs="宋体"/>
                <w:sz w:val="21"/>
                <w:szCs w:val="21"/>
                <w:highlight w:val="none"/>
                <w:lang w:val="en-US" w:eastAsia="zh-CN"/>
              </w:rPr>
              <w:outlineLvl w:val="1"/>
            </w:pPr>
            <w:r>
              <w:rPr>
                <w:rFonts w:hint="eastAsia" w:ascii="宋体" w:hAnsi="宋体" w:eastAsia="宋体" w:cs="宋体"/>
                <w:sz w:val="21"/>
                <w:szCs w:val="21"/>
                <w:highlight w:val="none"/>
                <w:lang w:val="en-US" w:eastAsia="zh-CN"/>
              </w:rPr>
              <w:t xml:space="preserve">/</w:t>
            </w:r>
            <w:r/>
          </w:p>
        </w:tc>
        <w:tc>
          <w:tcPr>
            <w:tcW w:w="937" w:type="dxa"/>
            <w:vAlign w:val="center"/>
            <w:textDirection w:val="lrTb"/>
            <w:noWrap w:val="false"/>
          </w:tcPr>
          <w:p>
            <w:pPr>
              <w:jc w:val="center"/>
              <w:rPr>
                <w:rFonts w:hint="eastAsia" w:ascii="宋体" w:hAnsi="宋体" w:eastAsia="宋体" w:cs="宋体"/>
                <w:sz w:val="21"/>
                <w:szCs w:val="21"/>
                <w:highlight w:val="none"/>
                <w:lang w:val="en-US" w:eastAsia="zh-CN"/>
              </w:rPr>
              <w:outlineLvl w:val="1"/>
            </w:pPr>
            <w:r>
              <w:rPr>
                <w:rFonts w:hint="eastAsia" w:ascii="宋体" w:hAnsi="宋体" w:eastAsia="宋体" w:cs="宋体"/>
                <w:sz w:val="21"/>
                <w:szCs w:val="21"/>
                <w:highlight w:val="none"/>
                <w:lang w:val="en-US" w:eastAsia="zh-CN"/>
              </w:rPr>
              <w:t xml:space="preserve">/</w:t>
            </w:r>
            <w:r/>
          </w:p>
        </w:tc>
        <w:tc>
          <w:tcPr>
            <w:tcW w:w="4667" w:type="dxa"/>
            <w:vAlign w:val="center"/>
            <w:textDirection w:val="lrTb"/>
            <w:noWrap w:val="false"/>
          </w:tcPr>
          <w:p>
            <w:pPr>
              <w:rPr>
                <w:rFonts w:hint="eastAsia" w:ascii="宋体" w:hAnsi="宋体" w:eastAsia="宋体" w:cs="宋体"/>
                <w:sz w:val="21"/>
                <w:szCs w:val="21"/>
                <w:highlight w:val="none"/>
              </w:rPr>
              <w:outlineLvl w:val="1"/>
            </w:pPr>
            <w:r>
              <w:rPr>
                <w:rFonts w:hint="eastAsia" w:ascii="宋体" w:hAnsi="宋体" w:eastAsia="宋体" w:cs="宋体"/>
                <w:b/>
                <w:bCs/>
                <w:sz w:val="21"/>
                <w:szCs w:val="21"/>
                <w:highlight w:val="none"/>
              </w:rPr>
              <w:t xml:space="preserve">★3．投标人须在投标文件中提供高压总柜、变压器、低压总柜、无功补偿装置、多功能仪表的国家或相关权威机构认证报告或检测报告（证明材料复印件加盖投标人公章，未提供将作为无效投标）。</w:t>
            </w:r>
            <w:r/>
          </w:p>
        </w:tc>
        <w:tc>
          <w:tcPr>
            <w:tcW w:w="2932" w:type="dxa"/>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W w:w="1038" w:type="dxa"/>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W w:w="502" w:type="dxa"/>
            <w:vAlign w:val="center"/>
            <w:textDirection w:val="lrTb"/>
            <w:noWrap w:val="false"/>
          </w:tcPr>
          <w:p>
            <w:pPr>
              <w:jc w:val="center"/>
              <w:rPr>
                <w:rFonts w:hint="default" w:ascii="宋体" w:hAnsi="宋体" w:eastAsia="宋体" w:cs="宋体"/>
                <w:sz w:val="21"/>
                <w:szCs w:val="21"/>
                <w:highlight w:val="none"/>
                <w:lang w:val="en-US" w:eastAsia="zh-CN"/>
              </w:rPr>
              <w:outlineLvl w:val="1"/>
            </w:pPr>
            <w:r/>
            <w:bookmarkStart w:id="191" w:name="OLE_LINK26"/>
            <w:r>
              <w:rPr>
                <w:rFonts w:hint="eastAsia" w:ascii="宋体" w:hAnsi="宋体" w:eastAsia="宋体" w:cs="宋体"/>
                <w:sz w:val="21"/>
                <w:szCs w:val="21"/>
                <w:highlight w:val="none"/>
                <w:lang w:val="en-US" w:eastAsia="zh-CN"/>
              </w:rPr>
              <w:t xml:space="preserve">39</w:t>
            </w:r>
            <w:r/>
          </w:p>
        </w:tc>
        <w:tc>
          <w:tcP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lang w:val="en-US" w:eastAsia="zh-CN"/>
              </w:rPr>
              <w:t xml:space="preserve">/</w:t>
            </w:r>
            <w:r/>
          </w:p>
        </w:tc>
        <w:tc>
          <w:tcP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lang w:val="en-US" w:eastAsia="zh-CN"/>
              </w:rPr>
              <w:t xml:space="preserve">/</w:t>
            </w:r>
            <w:r/>
          </w:p>
        </w:tc>
        <w:tc>
          <w:tcPr>
            <w:tcW w:w="4667" w:type="dxa"/>
            <w:vAlign w:val="center"/>
            <w:textDirection w:val="lrTb"/>
            <w:noWrap w:val="false"/>
          </w:tcPr>
          <w:p>
            <w:pPr>
              <w:rPr>
                <w:rFonts w:hint="eastAsia" w:ascii="宋体" w:hAnsi="宋体" w:eastAsia="宋体" w:cs="宋体"/>
                <w:b/>
                <w:bCs/>
                <w:sz w:val="21"/>
                <w:szCs w:val="21"/>
                <w:highlight w:val="none"/>
                <w:lang w:val="en-US" w:eastAsia="zh-CN"/>
              </w:rPr>
              <w:outlineLvl w:val="1"/>
            </w:pPr>
            <w:r>
              <w:rPr>
                <w:rFonts w:hint="eastAsia" w:ascii="宋体" w:hAnsi="宋体" w:eastAsia="宋体" w:cs="宋体"/>
                <w:b/>
                <w:bCs/>
                <w:sz w:val="21"/>
                <w:szCs w:val="21"/>
                <w:highlight w:val="none"/>
                <w:lang w:val="en-US" w:eastAsia="zh-CN"/>
              </w:rPr>
              <w:t xml:space="preserve">招标文件中其他技术要求</w:t>
            </w:r>
            <w:r/>
          </w:p>
        </w:tc>
        <w:tc>
          <w:tcPr>
            <w:tcW w:w="2932" w:type="dxa"/>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W w:w="1038" w:type="dxa"/>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bl>
    <w:p>
      <w:pPr>
        <w:ind w:firstLine="210"/>
        <w:jc w:val="left"/>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color w:val="auto"/>
          <w:spacing w:val="0"/>
          <w:szCs w:val="21"/>
        </w:rPr>
        <w:t xml:space="preserve">说明：</w:t>
      </w:r>
      <w:bookmarkStart w:id="192" w:name="_Hlk223513283"/>
      <w:r/>
      <w:bookmarkStart w:id="193" w:name="OLE_LINK37"/>
      <w:r>
        <w:rPr>
          <w:rFonts w:hint="eastAsia" w:ascii="宋体" w:hAnsi="宋体" w:eastAsia="宋体" w:cs="宋体"/>
          <w:b/>
          <w:bCs/>
          <w:color w:val="auto"/>
          <w:spacing w:val="0"/>
          <w:szCs w:val="21"/>
        </w:rPr>
        <w:t xml:space="preserve">1.</w:t>
      </w:r>
      <w:bookmarkStart w:id="194" w:name="OLE_LINK41"/>
      <w:r>
        <w:rPr>
          <w:rFonts w:hint="eastAsia" w:ascii="宋体" w:hAnsi="宋体" w:eastAsia="宋体" w:cs="宋体"/>
          <w:b/>
          <w:bCs/>
          <w:color w:val="auto"/>
          <w:spacing w:val="0"/>
        </w:rPr>
        <w:t xml:space="preserve">投标人</w:t>
      </w:r>
      <w:bookmarkEnd w:id="194"/>
      <w:r>
        <w:rPr>
          <w:rFonts w:hint="eastAsia" w:ascii="宋体" w:hAnsi="宋体" w:eastAsia="宋体" w:cs="宋体"/>
          <w:b/>
          <w:bCs/>
          <w:color w:val="auto"/>
          <w:spacing w:val="0"/>
          <w:szCs w:val="21"/>
        </w:rPr>
        <w:t xml:space="preserve">须对招标文件技术要求中的实质性要求（斜体且有下划线部分，或者打“★”“*”等其他文字说明的商务和技术要求）做出明确响应，</w:t>
      </w:r>
      <w:r>
        <w:rPr>
          <w:rFonts w:hint="eastAsia" w:ascii="宋体" w:hAnsi="宋体" w:eastAsia="宋体" w:cs="宋体"/>
          <w:b/>
          <w:bCs/>
          <w:color w:val="auto"/>
          <w:spacing w:val="0"/>
        </w:rPr>
        <w:t xml:space="preserve">投标人</w:t>
      </w:r>
      <w:r>
        <w:rPr>
          <w:rFonts w:hint="eastAsia" w:ascii="宋体" w:hAnsi="宋体" w:eastAsia="宋体" w:cs="宋体"/>
          <w:b/>
          <w:bCs/>
          <w:color w:val="auto"/>
          <w:spacing w:val="0"/>
          <w:szCs w:val="21"/>
        </w:rPr>
        <w:t xml:space="preserve">未对实质性要求作出明确响应</w:t>
      </w:r>
      <w:bookmarkStart w:id="195" w:name="OLE_LINK55"/>
      <w:r>
        <w:rPr>
          <w:rFonts w:hint="eastAsia" w:ascii="宋体" w:hAnsi="宋体" w:eastAsia="宋体" w:cs="宋体"/>
          <w:b/>
          <w:bCs/>
          <w:color w:val="auto"/>
          <w:spacing w:val="0"/>
          <w:szCs w:val="21"/>
        </w:rPr>
        <w:t xml:space="preserve">或有负偏离</w:t>
      </w:r>
      <w:bookmarkEnd w:id="195"/>
      <w:r>
        <w:rPr>
          <w:rFonts w:hint="eastAsia" w:ascii="宋体" w:hAnsi="宋体" w:cs="宋体"/>
          <w:b/>
          <w:bCs/>
          <w:color w:val="auto"/>
          <w:spacing w:val="0"/>
          <w:szCs w:val="21"/>
          <w:lang w:val="en-US" w:eastAsia="zh-CN"/>
        </w:rPr>
        <w:t xml:space="preserve">或未提供相应材料</w:t>
      </w:r>
      <w:r>
        <w:rPr>
          <w:rFonts w:hint="eastAsia" w:ascii="宋体" w:hAnsi="宋体" w:eastAsia="宋体" w:cs="宋体"/>
          <w:b/>
          <w:bCs/>
          <w:color w:val="auto"/>
          <w:spacing w:val="0"/>
          <w:szCs w:val="21"/>
        </w:rPr>
        <w:t xml:space="preserve">的，视为无效投标。</w:t>
      </w:r>
      <w:bookmarkEnd w:id="192"/>
      <w:r/>
      <w:r/>
    </w:p>
    <w:p>
      <w:pPr>
        <w:ind w:firstLine="21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2.行数不够，可自行添加。</w:t>
      </w:r>
      <w:bookmarkEnd w:id="189"/>
      <w:r/>
      <w:bookmarkEnd w:id="191"/>
      <w:r/>
      <w:bookmarkEnd w:id="193"/>
      <w:r/>
      <w:r/>
    </w:p>
    <w:p>
      <w:pPr>
        <w:ind w:firstLine="21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投标人（加盖电子公章）：</w:t>
      </w:r>
      <w:r>
        <w:rPr>
          <w:rFonts w:hint="eastAsia" w:ascii="宋体" w:hAnsi="宋体" w:eastAsia="宋体" w:cs="宋体"/>
          <w:color w:val="auto"/>
          <w:spacing w:val="0"/>
          <w:szCs w:val="21"/>
          <w:u w:val="single"/>
        </w:rPr>
        <w:t xml:space="preserve">                               </w:t>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 </w:t>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rPr>
          <w:rFonts w:hint="eastAsia" w:ascii="宋体" w:hAnsi="宋体" w:eastAsia="宋体" w:cs="宋体"/>
          <w:color w:val="auto"/>
          <w:spacing w:val="0"/>
        </w:rPr>
      </w:pPr>
      <w:r/>
      <w:bookmarkStart w:id="196" w:name="_Toc43917776"/>
      <w:r/>
      <w:bookmarkStart w:id="197" w:name="_Toc66375429"/>
      <w:r>
        <w:rPr>
          <w:rFonts w:hint="eastAsia" w:ascii="宋体" w:hAnsi="宋体" w:eastAsia="宋体" w:cs="宋体"/>
          <w:color w:val="auto"/>
          <w:spacing w:val="0"/>
        </w:rPr>
        <w:br w:type="page" w:clear="all"/>
      </w:r>
      <w:r/>
    </w:p>
    <w:p>
      <w:pPr>
        <w:pStyle w:val="903"/>
        <w:numPr>
          <w:ilvl w:val="1"/>
          <w:numId w:val="0"/>
        </w:numPr>
        <w:rPr>
          <w:rFonts w:hint="eastAsia" w:ascii="宋体" w:hAnsi="宋体" w:eastAsia="宋体" w:cs="宋体"/>
          <w:color w:val="auto"/>
          <w:spacing w:val="0"/>
        </w:rPr>
      </w:pPr>
      <w:r>
        <w:rPr>
          <w:rFonts w:hint="eastAsia" w:ascii="宋体" w:hAnsi="宋体" w:eastAsia="宋体" w:cs="宋体"/>
          <w:color w:val="auto"/>
          <w:spacing w:val="0"/>
        </w:rPr>
        <w:t xml:space="preserve">附件</w:t>
      </w:r>
      <w:r>
        <w:rPr>
          <w:rFonts w:hint="eastAsia" w:ascii="宋体" w:hAnsi="宋体" w:cs="宋体"/>
          <w:color w:val="auto"/>
          <w:spacing w:val="0"/>
          <w:lang w:val="en-US" w:eastAsia="zh-CN"/>
        </w:rPr>
        <w:t xml:space="preserve">八</w:t>
      </w:r>
      <w:r>
        <w:rPr>
          <w:rFonts w:hint="eastAsia" w:ascii="宋体" w:hAnsi="宋体" w:eastAsia="宋体" w:cs="宋体"/>
          <w:color w:val="auto"/>
          <w:spacing w:val="0"/>
        </w:rPr>
        <w:t xml:space="preserve">、</w:t>
      </w:r>
      <w:bookmarkStart w:id="198" w:name="_Hlk176528748"/>
      <w:r>
        <w:rPr>
          <w:rFonts w:hint="eastAsia" w:ascii="宋体" w:hAnsi="宋体" w:eastAsia="宋体" w:cs="宋体"/>
          <w:color w:val="auto"/>
          <w:spacing w:val="0"/>
        </w:rPr>
        <w:t xml:space="preserve">商务要求响应及偏离表</w:t>
      </w:r>
      <w:bookmarkEnd w:id="196"/>
      <w:r/>
      <w:bookmarkEnd w:id="197"/>
      <w:r/>
      <w:bookmarkEnd w:id="198"/>
      <w:r/>
      <w:r/>
    </w:p>
    <w:p>
      <w:pPr>
        <w:ind w:firstLine="42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 </w:t>
      </w:r>
      <w:bookmarkStart w:id="199" w:name="_Hlk176528759"/>
      <w:r/>
      <w:r/>
    </w:p>
    <w:p>
      <w:pPr>
        <w:jc w:val="center"/>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color w:val="auto"/>
          <w:spacing w:val="0"/>
          <w:sz w:val="32"/>
          <w:szCs w:val="32"/>
        </w:rPr>
        <w:t xml:space="preserve">商务要求响应及偏离表</w:t>
      </w:r>
      <w:r/>
    </w:p>
    <w:p>
      <w:pPr>
        <w:ind w:firstLine="306"/>
        <w:jc w:val="left"/>
        <w:spacing w:line="360" w:lineRule="auto"/>
        <w:widowControl/>
        <w:tabs>
          <w:tab w:val="left" w:pos="5366" w:leader="none"/>
        </w:tabs>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项目名称：</w:t>
      </w:r>
      <w:r>
        <w:rPr>
          <w:rFonts w:hint="eastAsia" w:ascii="宋体" w:hAnsi="宋体" w:eastAsia="宋体" w:cs="宋体"/>
          <w:color w:val="auto"/>
          <w:spacing w:val="0"/>
          <w:szCs w:val="21"/>
        </w:rPr>
        <w:tab/>
      </w:r>
      <w:r>
        <w:rPr>
          <w:rFonts w:hint="eastAsia" w:ascii="宋体" w:hAnsi="宋体" w:eastAsia="宋体" w:cs="宋体"/>
          <w:color w:val="auto"/>
          <w:spacing w:val="0"/>
          <w:szCs w:val="21"/>
        </w:rPr>
        <w:t xml:space="preserve">项目编号：         </w:t>
      </w:r>
      <w:r/>
    </w:p>
    <w:tbl>
      <w:tblPr>
        <w:tblStyle w:val="912"/>
        <w:tblW w:w="97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54"/>
        <w:gridCol w:w="7296"/>
        <w:gridCol w:w="912"/>
        <w:gridCol w:w="944"/>
      </w:tblGrid>
      <w:tr>
        <w:trPr>
          <w:jc w:val="center"/>
          <w:trHeight w:val="284"/>
        </w:trPr>
        <w:tc>
          <w:tcPr>
            <w:tcMar>
              <w:left w:w="10" w:type="dxa"/>
              <w:top w:w="0" w:type="dxa"/>
              <w:right w:w="10" w:type="dxa"/>
              <w:bottom w:w="0" w:type="dxa"/>
            </w:tcMar>
            <w:tcW w:w="554" w:type="dxa"/>
            <w:vAlign w:val="center"/>
            <w:textDirection w:val="lrTb"/>
            <w:noWrap w:val="false"/>
          </w:tcPr>
          <w:p>
            <w:pPr>
              <w:jc w:val="center"/>
              <w:spacing w:line="360" w:lineRule="auto"/>
              <w:widowControl/>
              <w:rPr>
                <w:rFonts w:hint="eastAsia" w:ascii="宋体" w:hAnsi="宋体" w:eastAsia="宋体" w:cs="宋体"/>
                <w:b/>
                <w:color w:val="auto"/>
                <w:spacing w:val="0"/>
                <w:szCs w:val="21"/>
              </w:rPr>
            </w:pPr>
            <w:r/>
            <w:bookmarkStart w:id="200" w:name="_Hlk66784541"/>
            <w:r>
              <w:rPr>
                <w:rFonts w:hint="eastAsia" w:ascii="宋体" w:hAnsi="宋体" w:eastAsia="宋体" w:cs="宋体"/>
                <w:b/>
                <w:color w:val="auto"/>
                <w:spacing w:val="0"/>
                <w:szCs w:val="21"/>
              </w:rPr>
              <w:t xml:space="preserve">序号</w:t>
            </w:r>
            <w:r/>
          </w:p>
        </w:tc>
        <w:tc>
          <w:tcPr>
            <w:tcMar>
              <w:left w:w="10" w:type="dxa"/>
              <w:top w:w="0" w:type="dxa"/>
              <w:right w:w="10" w:type="dxa"/>
              <w:bottom w:w="0" w:type="dxa"/>
            </w:tcMar>
            <w:tcW w:w="7296" w:type="dxa"/>
            <w:vAlign w:val="center"/>
            <w:textDirection w:val="lrTb"/>
            <w:noWrap w:val="false"/>
          </w:tcPr>
          <w:p>
            <w:pPr>
              <w:jc w:val="center"/>
              <w:spacing w:line="360" w:lineRule="auto"/>
              <w:widowControl/>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招标文件的商务要求</w:t>
            </w:r>
            <w:r/>
          </w:p>
        </w:tc>
        <w:tc>
          <w:tcPr>
            <w:tcMar>
              <w:left w:w="10" w:type="dxa"/>
              <w:top w:w="0" w:type="dxa"/>
              <w:right w:w="10" w:type="dxa"/>
              <w:bottom w:w="0" w:type="dxa"/>
            </w:tcMar>
            <w:tcW w:w="912" w:type="dxa"/>
            <w:vAlign w:val="center"/>
            <w:textDirection w:val="lrTb"/>
            <w:noWrap w:val="false"/>
          </w:tcPr>
          <w:p>
            <w:pPr>
              <w:jc w:val="center"/>
              <w:spacing w:line="360" w:lineRule="auto"/>
              <w:widowControl/>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投标响应</w:t>
            </w:r>
            <w:r/>
          </w:p>
          <w:p>
            <w:pPr>
              <w:jc w:val="center"/>
              <w:spacing w:line="360" w:lineRule="auto"/>
              <w:widowControl/>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(响应或不响应)</w:t>
            </w:r>
            <w:r/>
          </w:p>
        </w:tc>
        <w:tc>
          <w:tcPr>
            <w:tcMar>
              <w:left w:w="10" w:type="dxa"/>
              <w:top w:w="0" w:type="dxa"/>
              <w:right w:w="10" w:type="dxa"/>
              <w:bottom w:w="0" w:type="dxa"/>
            </w:tcMar>
            <w:tcW w:w="944" w:type="dxa"/>
            <w:vAlign w:val="center"/>
            <w:textDirection w:val="lrTb"/>
            <w:noWrap w:val="false"/>
          </w:tcPr>
          <w:p>
            <w:pPr>
              <w:jc w:val="center"/>
              <w:spacing w:line="360" w:lineRule="auto"/>
              <w:widowControl/>
              <w:rPr>
                <w:rFonts w:hint="eastAsia" w:ascii="宋体" w:hAnsi="宋体" w:eastAsia="宋体" w:cs="宋体"/>
                <w:b/>
                <w:color w:val="auto"/>
                <w:spacing w:val="0"/>
                <w:szCs w:val="21"/>
              </w:rPr>
            </w:pPr>
            <w:r/>
            <w:bookmarkStart w:id="201" w:name="OLE_LINK53"/>
            <w:r>
              <w:rPr>
                <w:rFonts w:hint="eastAsia" w:ascii="宋体" w:hAnsi="宋体" w:eastAsia="宋体" w:cs="宋体"/>
                <w:b/>
                <w:color w:val="auto"/>
                <w:spacing w:val="0"/>
                <w:szCs w:val="21"/>
              </w:rPr>
              <w:t xml:space="preserve">偏离情况</w:t>
            </w:r>
            <w:r/>
          </w:p>
          <w:p>
            <w:pPr>
              <w:jc w:val="center"/>
              <w:spacing w:line="360" w:lineRule="auto"/>
              <w:widowControl/>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（正偏离、无偏离或负偏离）</w:t>
            </w:r>
            <w:bookmarkEnd w:id="201"/>
            <w:r/>
            <w:r/>
          </w:p>
        </w:tc>
      </w:tr>
      <w:tr>
        <w:trPr>
          <w:jc w:val="center"/>
          <w:trHeight w:val="284"/>
        </w:trPr>
        <w:tc>
          <w:tcPr>
            <w:tcMar>
              <w:left w:w="10" w:type="dxa"/>
              <w:top w:w="0" w:type="dxa"/>
              <w:right w:w="10" w:type="dxa"/>
              <w:bottom w:w="0" w:type="dxa"/>
            </w:tcMar>
            <w:tcW w:w="554" w:type="dxa"/>
            <w:vAlign w:val="center"/>
            <w:textDirection w:val="lrTb"/>
            <w:noWrap w:val="false"/>
          </w:tcPr>
          <w:p>
            <w:pPr>
              <w:jc w:val="center"/>
              <w:spacing w:line="360" w:lineRule="auto"/>
              <w:widowControl/>
              <w:rPr>
                <w:rFonts w:hint="eastAsia" w:ascii="宋体" w:hAnsi="宋体" w:eastAsia="宋体" w:cs="宋体"/>
                <w:color w:val="auto"/>
                <w:spacing w:val="0"/>
                <w:szCs w:val="21"/>
                <w:lang w:val="en-US" w:eastAsia="zh-CN"/>
              </w:rPr>
            </w:pPr>
            <w:r>
              <w:rPr>
                <w:rFonts w:hint="eastAsia" w:ascii="宋体" w:hAnsi="宋体" w:cs="宋体"/>
                <w:color w:val="auto"/>
                <w:spacing w:val="0"/>
                <w:szCs w:val="21"/>
                <w:lang w:val="en-US" w:eastAsia="zh-CN"/>
              </w:rPr>
              <w:t xml:space="preserve">1</w:t>
            </w:r>
            <w:r/>
          </w:p>
        </w:tc>
        <w:tc>
          <w:tcPr>
            <w:tcMar>
              <w:left w:w="10" w:type="dxa"/>
              <w:top w:w="0" w:type="dxa"/>
              <w:right w:w="10" w:type="dxa"/>
              <w:bottom w:w="0" w:type="dxa"/>
            </w:tcMar>
            <w:tcW w:w="7296" w:type="dxa"/>
            <w:vAlign w:val="center"/>
            <w:textDirection w:val="lrTb"/>
            <w:noWrap w:val="false"/>
          </w:tcPr>
          <w:p>
            <w:pPr>
              <w:ind w:firstLine="422"/>
              <w:jc w:val="left"/>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（一）质保与售后要求</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1.质保期要求：产品实行“三包”，产品质保期为产品安装、调试、终验收合格后</w:t>
            </w:r>
            <w:r>
              <w:rPr>
                <w:rFonts w:hint="eastAsia" w:ascii="宋体" w:hAnsi="宋体" w:eastAsia="宋体" w:cs="宋体"/>
                <w:b/>
                <w:bCs/>
                <w:szCs w:val="21"/>
                <w:highlight w:val="none"/>
              </w:rPr>
              <w:t xml:space="preserve">不少于2年</w:t>
            </w:r>
            <w:r>
              <w:rPr>
                <w:rFonts w:hint="eastAsia" w:ascii="宋体" w:hAnsi="宋体" w:eastAsia="宋体" w:cs="宋体"/>
                <w:szCs w:val="21"/>
                <w:highlight w:val="none"/>
              </w:rPr>
              <w:t xml:space="preserve">，质保（含维保、含所有耗材）服务，费用包含在投标总价中（自验收报告签字确认日起，开始进入质保期）。 </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2.售后服务要求：</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（1）中标人提供详细的售后服务承诺书，包括质保期、质量问题处理方法。提供标准配置的附件和专用维修工具，备件和易损件。</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（2）质保期内，中标人接到保修请求，应在半小时内响应，2小时内维修人员到达现场，必要时应向采购人提供应急备用设备，修复或更换零部件须满足国家及行业环保和质量标准。</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备件停止生产的情况下，中标人应事先将要停止生产的计划通知采购人，使采购人有足够时间采购所需的备件，如果采购人要求，中标人须免费向采购人提供备件图纸和资料。技术资料：产品说明书，安装、操作、维修手册等。</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4.质保期内维保服务要求：</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（1）巡检周期：中标人承诺质保期内每月安排专业售后人员来校实地巡视二次，巡视过程中应根据学校要求检查所提供产品运行情况，发现隐患及时上报并做好相关记录存档。</w:t>
            </w:r>
            <w:r/>
          </w:p>
          <w:p>
            <w:pPr>
              <w:ind w:firstLine="420"/>
              <w:jc w:val="left"/>
              <w:spacing w:line="360" w:lineRule="auto"/>
              <w:rPr>
                <w:rFonts w:hint="eastAsia" w:ascii="宋体" w:hAnsi="宋体" w:eastAsia="宋体" w:cs="宋体"/>
                <w:color w:val="auto"/>
                <w:spacing w:val="0"/>
                <w:szCs w:val="21"/>
              </w:rPr>
            </w:pPr>
            <w:r>
              <w:rPr>
                <w:rFonts w:hint="eastAsia" w:ascii="宋体" w:hAnsi="宋体" w:eastAsia="宋体" w:cs="宋体"/>
                <w:szCs w:val="21"/>
                <w:highlight w:val="none"/>
              </w:rPr>
              <w:t xml:space="preserve">（2）硬件故障维修时间超过24小时则需提供备用件更换。</w:t>
            </w:r>
            <w:r/>
          </w:p>
        </w:tc>
        <w:tc>
          <w:tcPr>
            <w:tcMar>
              <w:left w:w="10" w:type="dxa"/>
              <w:top w:w="0" w:type="dxa"/>
              <w:right w:w="10" w:type="dxa"/>
              <w:bottom w:w="0" w:type="dxa"/>
            </w:tcMar>
            <w:tcW w:w="912"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Mar>
              <w:left w:w="10" w:type="dxa"/>
              <w:top w:w="0" w:type="dxa"/>
              <w:right w:w="10" w:type="dxa"/>
              <w:bottom w:w="0" w:type="dxa"/>
            </w:tcMar>
            <w:tcW w:w="944"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jc w:val="center"/>
          <w:trHeight w:val="284"/>
        </w:trPr>
        <w:tc>
          <w:tcPr>
            <w:tcMar>
              <w:left w:w="10" w:type="dxa"/>
              <w:top w:w="0" w:type="dxa"/>
              <w:right w:w="10" w:type="dxa"/>
              <w:bottom w:w="0" w:type="dxa"/>
            </w:tcMar>
            <w:tcW w:w="554" w:type="dxa"/>
            <w:vAlign w:val="center"/>
            <w:textDirection w:val="lrTb"/>
            <w:noWrap w:val="false"/>
          </w:tcPr>
          <w:p>
            <w:pPr>
              <w:jc w:val="center"/>
              <w:spacing w:line="360" w:lineRule="auto"/>
              <w:widowControl/>
              <w:rPr>
                <w:rFonts w:hint="eastAsia" w:ascii="宋体" w:hAnsi="宋体" w:eastAsia="宋体" w:cs="宋体"/>
                <w:color w:val="auto"/>
                <w:spacing w:val="0"/>
                <w:szCs w:val="21"/>
                <w:lang w:val="en-US" w:eastAsia="zh-CN"/>
              </w:rPr>
            </w:pPr>
            <w:r>
              <w:rPr>
                <w:rFonts w:hint="eastAsia" w:ascii="宋体" w:hAnsi="宋体" w:cs="宋体"/>
                <w:color w:val="auto"/>
                <w:spacing w:val="0"/>
                <w:szCs w:val="21"/>
                <w:lang w:val="en-US" w:eastAsia="zh-CN"/>
              </w:rPr>
              <w:t xml:space="preserve">2</w:t>
            </w:r>
            <w:r/>
          </w:p>
        </w:tc>
        <w:tc>
          <w:tcPr>
            <w:tcMar>
              <w:left w:w="10" w:type="dxa"/>
              <w:top w:w="0" w:type="dxa"/>
              <w:right w:w="10" w:type="dxa"/>
              <w:bottom w:w="0" w:type="dxa"/>
            </w:tcMar>
            <w:tcW w:w="7296" w:type="dxa"/>
            <w:vAlign w:val="center"/>
            <w:textDirection w:val="lrTb"/>
            <w:noWrap w:val="false"/>
          </w:tcPr>
          <w:p>
            <w:pPr>
              <w:ind w:firstLine="422"/>
              <w:jc w:val="left"/>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（二）工程质量要求</w:t>
            </w:r>
            <w:r/>
          </w:p>
          <w:p>
            <w:pPr>
              <w:ind w:firstLine="420"/>
              <w:jc w:val="left"/>
              <w:spacing w:line="360" w:lineRule="auto"/>
              <w:rPr>
                <w:rFonts w:ascii="宋体" w:hAnsi="宋体" w:eastAsia="宋体" w:cs="宋体"/>
                <w:b/>
                <w:bCs/>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按现行国家施工规范的要求进行施工，工程质量必须符合国家《建筑工程施工质量验收统一标准》（GB50300-2013）和南京市地方有关标准。自项目竣工验收合格之日起算，</w:t>
            </w:r>
            <w:r>
              <w:rPr>
                <w:rFonts w:hint="eastAsia" w:ascii="宋体" w:hAnsi="宋体" w:eastAsia="宋体" w:cs="宋体"/>
                <w:b/>
                <w:bCs/>
                <w:szCs w:val="21"/>
                <w:highlight w:val="none"/>
              </w:rPr>
              <w:t xml:space="preserve">质量保修期不低于二年。</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参照图纸、施工图集、国家现行施工规范及有关工程验收规范进行验收。</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施工时，必须有序组织，整个施工期间必须做好安全警示工作，夜间悬挂红灯，制做安全警示牌。出现的一切安全事故均由施工单位自负。</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所有施工场地拆除的建筑垃圾运至室外后自行运至校外，运距自行考虑，报价中体现，不再另行结算并且负责清理渣土车在校内道路上跑冒滴漏的建筑垃圾。</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施工单位自行办理渣土营运证，因各种原因导致的任何渣土外运事宜与本校无关。</w:t>
            </w:r>
            <w:r/>
          </w:p>
          <w:p>
            <w:pPr>
              <w:ind w:firstLine="420"/>
              <w:jc w:val="left"/>
              <w:spacing w:line="360" w:lineRule="auto"/>
              <w:rPr>
                <w:rFonts w:hint="eastAsia" w:ascii="宋体" w:hAnsi="宋体" w:eastAsia="宋体" w:cs="宋体"/>
                <w:color w:val="auto"/>
                <w:spacing w:val="0"/>
                <w:szCs w:val="21"/>
              </w:rPr>
            </w:pPr>
            <w:r>
              <w:rPr>
                <w:rFonts w:hint="eastAsia" w:ascii="宋体" w:hAnsi="宋体" w:eastAsia="宋体" w:cs="宋体"/>
                <w:szCs w:val="21"/>
                <w:highlight w:val="none"/>
                <w:lang w:val="en-US" w:eastAsia="zh-CN"/>
              </w:rPr>
              <w:t xml:space="preserve">6.施工单位将旧设备拆除后送至采购人指定的校内地点。</w:t>
            </w:r>
            <w:r/>
          </w:p>
        </w:tc>
        <w:tc>
          <w:tcPr>
            <w:tcMar>
              <w:left w:w="10" w:type="dxa"/>
              <w:top w:w="0" w:type="dxa"/>
              <w:right w:w="10" w:type="dxa"/>
              <w:bottom w:w="0" w:type="dxa"/>
            </w:tcMar>
            <w:tcW w:w="912"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Mar>
              <w:left w:w="10" w:type="dxa"/>
              <w:top w:w="0" w:type="dxa"/>
              <w:right w:w="10" w:type="dxa"/>
              <w:bottom w:w="0" w:type="dxa"/>
            </w:tcMar>
            <w:tcW w:w="944"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jc w:val="center"/>
          <w:trHeight w:val="284"/>
        </w:trPr>
        <w:tc>
          <w:tcPr>
            <w:tcMar>
              <w:left w:w="10" w:type="dxa"/>
              <w:top w:w="0" w:type="dxa"/>
              <w:right w:w="10" w:type="dxa"/>
              <w:bottom w:w="0" w:type="dxa"/>
            </w:tcMar>
            <w:tcW w:w="554" w:type="dxa"/>
            <w:vAlign w:val="center"/>
            <w:textDirection w:val="lrTb"/>
            <w:noWrap w:val="false"/>
          </w:tcPr>
          <w:p>
            <w:pPr>
              <w:jc w:val="center"/>
              <w:spacing w:line="360" w:lineRule="auto"/>
              <w:widowControl/>
              <w:rPr>
                <w:rFonts w:hint="eastAsia" w:ascii="宋体" w:hAnsi="宋体" w:eastAsia="宋体" w:cs="宋体"/>
                <w:color w:val="auto"/>
                <w:spacing w:val="0"/>
                <w:szCs w:val="21"/>
                <w:lang w:val="en-US" w:eastAsia="zh-CN"/>
              </w:rPr>
            </w:pPr>
            <w:r>
              <w:rPr>
                <w:rFonts w:hint="eastAsia" w:ascii="宋体" w:hAnsi="宋体" w:cs="宋体"/>
                <w:color w:val="auto"/>
                <w:spacing w:val="0"/>
                <w:szCs w:val="21"/>
                <w:lang w:val="en-US" w:eastAsia="zh-CN"/>
              </w:rPr>
              <w:t xml:space="preserve">3</w:t>
            </w:r>
            <w:r/>
          </w:p>
        </w:tc>
        <w:tc>
          <w:tcPr>
            <w:tcMar>
              <w:left w:w="10" w:type="dxa"/>
              <w:top w:w="0" w:type="dxa"/>
              <w:right w:w="10" w:type="dxa"/>
              <w:bottom w:w="0" w:type="dxa"/>
            </w:tcMar>
            <w:tcW w:w="7296" w:type="dxa"/>
            <w:vAlign w:val="center"/>
            <w:textDirection w:val="lrTb"/>
            <w:noWrap w:val="false"/>
          </w:tcPr>
          <w:p>
            <w:pPr>
              <w:ind w:firstLine="422"/>
              <w:jc w:val="left"/>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（三）踏勘现场</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1、投标单位根据自身需要自行对施工现场进行踏勘，以获取编制投标文件所需的资料。</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2、招标单位向投标单位提供的数据仅作为投标报价的依据，结算时按实结算。</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3、投标单位对本招标文件所作出的理解、推论和解释由其自己负责。</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4、由于现场踏勘没有进行或者不详细，所导致的一切问题均由投标单位自行负责。</w:t>
            </w:r>
            <w:r/>
          </w:p>
          <w:p>
            <w:pPr>
              <w:ind w:firstLine="420"/>
              <w:jc w:val="left"/>
              <w:spacing w:line="360" w:lineRule="auto"/>
              <w:rPr>
                <w:rFonts w:hint="eastAsia" w:ascii="宋体" w:hAnsi="宋体" w:eastAsia="宋体" w:cs="宋体"/>
                <w:color w:val="auto"/>
                <w:spacing w:val="0"/>
                <w:szCs w:val="21"/>
              </w:rPr>
            </w:pPr>
            <w:r>
              <w:rPr>
                <w:rFonts w:hint="eastAsia" w:ascii="宋体" w:hAnsi="宋体" w:eastAsia="宋体" w:cs="宋体"/>
                <w:szCs w:val="21"/>
                <w:highlight w:val="none"/>
              </w:rPr>
              <w:t xml:space="preserve">5、集中考察或答疑：采购人不组织集中考察，投标人可自行联系采购人。</w:t>
            </w:r>
            <w:r/>
          </w:p>
        </w:tc>
        <w:tc>
          <w:tcPr>
            <w:tcMar>
              <w:left w:w="10" w:type="dxa"/>
              <w:top w:w="0" w:type="dxa"/>
              <w:right w:w="10" w:type="dxa"/>
              <w:bottom w:w="0" w:type="dxa"/>
            </w:tcMar>
            <w:tcW w:w="912"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Mar>
              <w:left w:w="10" w:type="dxa"/>
              <w:top w:w="0" w:type="dxa"/>
              <w:right w:w="10" w:type="dxa"/>
              <w:bottom w:w="0" w:type="dxa"/>
            </w:tcMar>
            <w:tcW w:w="944"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jc w:val="center"/>
          <w:trHeight w:val="284"/>
        </w:trPr>
        <w:tc>
          <w:tcPr>
            <w:tcMar>
              <w:left w:w="10" w:type="dxa"/>
              <w:top w:w="0" w:type="dxa"/>
              <w:right w:w="10" w:type="dxa"/>
              <w:bottom w:w="0" w:type="dxa"/>
            </w:tcMar>
            <w:tcW w:w="554" w:type="dxa"/>
            <w:vAlign w:val="center"/>
            <w:textDirection w:val="lrTb"/>
            <w:noWrap w:val="false"/>
          </w:tcPr>
          <w:p>
            <w:pPr>
              <w:jc w:val="center"/>
              <w:spacing w:line="360" w:lineRule="auto"/>
              <w:widowControl/>
              <w:rPr>
                <w:rFonts w:hint="eastAsia" w:ascii="宋体" w:hAnsi="宋体" w:eastAsia="宋体" w:cs="宋体"/>
                <w:color w:val="auto"/>
                <w:spacing w:val="0"/>
                <w:szCs w:val="21"/>
                <w:lang w:val="en-US" w:eastAsia="zh-CN"/>
              </w:rPr>
            </w:pPr>
            <w:r>
              <w:rPr>
                <w:rFonts w:hint="eastAsia" w:ascii="宋体" w:hAnsi="宋体" w:cs="宋体"/>
                <w:color w:val="auto"/>
                <w:spacing w:val="0"/>
                <w:szCs w:val="21"/>
                <w:lang w:val="en-US" w:eastAsia="zh-CN"/>
              </w:rPr>
              <w:t xml:space="preserve">4</w:t>
            </w:r>
            <w:r/>
          </w:p>
        </w:tc>
        <w:tc>
          <w:tcPr>
            <w:tcMar>
              <w:left w:w="10" w:type="dxa"/>
              <w:top w:w="0" w:type="dxa"/>
              <w:right w:w="10" w:type="dxa"/>
              <w:bottom w:w="0" w:type="dxa"/>
            </w:tcMar>
            <w:tcW w:w="7296" w:type="dxa"/>
            <w:vAlign w:val="center"/>
            <w:textDirection w:val="lrTb"/>
            <w:noWrap w:val="false"/>
          </w:tcPr>
          <w:p>
            <w:pPr>
              <w:ind w:firstLine="422"/>
              <w:jc w:val="left"/>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（四）工期要求</w:t>
            </w:r>
            <w:r/>
          </w:p>
          <w:p>
            <w:pPr>
              <w:ind w:firstLine="420"/>
              <w:jc w:val="left"/>
              <w:spacing w:line="360" w:lineRule="auto"/>
              <w:rPr>
                <w:rFonts w:hint="eastAsia" w:ascii="宋体" w:hAnsi="宋体" w:eastAsia="宋体" w:cs="宋体"/>
                <w:color w:val="auto"/>
                <w:spacing w:val="0"/>
                <w:szCs w:val="21"/>
              </w:rPr>
            </w:pPr>
            <w:r>
              <w:rPr>
                <w:rFonts w:hint="eastAsia" w:ascii="宋体" w:hAnsi="宋体" w:eastAsia="宋体" w:cs="宋体"/>
                <w:szCs w:val="21"/>
                <w:highlight w:val="none"/>
              </w:rPr>
              <w:t xml:space="preserve">自合同签订之日起40日内完成供货、安装及相关调试工作，通过验收，交付使用。完工后必须将施工现场打扫干净交付使用单位。每逾期超过一天，直接从项目款中扣除人民币1000元/天的罚款（不可抗力因素除外）。</w:t>
            </w:r>
            <w:r/>
          </w:p>
        </w:tc>
        <w:tc>
          <w:tcPr>
            <w:tcMar>
              <w:left w:w="10" w:type="dxa"/>
              <w:top w:w="0" w:type="dxa"/>
              <w:right w:w="10" w:type="dxa"/>
              <w:bottom w:w="0" w:type="dxa"/>
            </w:tcMar>
            <w:tcW w:w="912"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Mar>
              <w:left w:w="10" w:type="dxa"/>
              <w:top w:w="0" w:type="dxa"/>
              <w:right w:w="10" w:type="dxa"/>
              <w:bottom w:w="0" w:type="dxa"/>
            </w:tcMar>
            <w:tcW w:w="944"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jc w:val="center"/>
          <w:trHeight w:val="284"/>
        </w:trPr>
        <w:tc>
          <w:tcPr>
            <w:tcMar>
              <w:left w:w="10" w:type="dxa"/>
              <w:top w:w="0" w:type="dxa"/>
              <w:right w:w="10" w:type="dxa"/>
              <w:bottom w:w="0" w:type="dxa"/>
            </w:tcMar>
            <w:tcW w:w="554" w:type="dxa"/>
            <w:vAlign w:val="center"/>
            <w:textDirection w:val="lrTb"/>
            <w:noWrap w:val="false"/>
          </w:tcPr>
          <w:p>
            <w:pPr>
              <w:jc w:val="center"/>
              <w:spacing w:line="360" w:lineRule="auto"/>
              <w:widowControl/>
              <w:rPr>
                <w:rFonts w:hint="eastAsia" w:ascii="宋体" w:hAnsi="宋体" w:eastAsia="宋体" w:cs="宋体"/>
                <w:color w:val="auto"/>
                <w:spacing w:val="0"/>
                <w:szCs w:val="21"/>
                <w:lang w:val="en-US" w:eastAsia="zh-CN"/>
              </w:rPr>
            </w:pPr>
            <w:r>
              <w:rPr>
                <w:rFonts w:hint="eastAsia" w:ascii="宋体" w:hAnsi="宋体" w:cs="宋体"/>
                <w:color w:val="auto"/>
                <w:spacing w:val="0"/>
                <w:szCs w:val="21"/>
                <w:lang w:val="en-US" w:eastAsia="zh-CN"/>
              </w:rPr>
              <w:t xml:space="preserve">5</w:t>
            </w:r>
            <w:r/>
          </w:p>
        </w:tc>
        <w:tc>
          <w:tcPr>
            <w:tcMar>
              <w:left w:w="10" w:type="dxa"/>
              <w:top w:w="0" w:type="dxa"/>
              <w:right w:w="10" w:type="dxa"/>
              <w:bottom w:w="0" w:type="dxa"/>
            </w:tcMar>
            <w:tcW w:w="7296" w:type="dxa"/>
            <w:vAlign w:val="center"/>
            <w:textDirection w:val="lrTb"/>
            <w:noWrap w:val="false"/>
          </w:tcPr>
          <w:p>
            <w:pPr>
              <w:ind w:firstLine="422"/>
              <w:jc w:val="left"/>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（五）验收要求</w:t>
            </w:r>
            <w:r/>
          </w:p>
          <w:p>
            <w:pPr>
              <w:ind w:firstLine="422"/>
              <w:jc w:val="left"/>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1.中标人须确保本项目安装完成后所有设备、调试必须通过供电部门验收合格，确保能满足正式通电要求，办理供电部门相关手续及其他一切协调事宜，若无法通过供电部门验收，采购人有权扣除本项目合同款项的20%作为违约金，并督促中标人配合完成供电部门验收，若中标人仍然无法完成供电部门验收，采购人有权单方面解除合同，并责令中标人进行相应赔偿。（提供承诺书加盖公章，格式自拟，未提供将作为无效投标）</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2.验收结果：验收不合格须立即整改，整改后验收仍不合格的，采购人依据法律追究合同责任方的责任或终止合同。</w:t>
            </w:r>
            <w:r/>
          </w:p>
          <w:p>
            <w:pPr>
              <w:ind w:firstLine="420"/>
              <w:jc w:val="left"/>
              <w:spacing w:line="360" w:lineRule="auto"/>
              <w:rPr>
                <w:rFonts w:hint="eastAsia" w:ascii="宋体" w:hAnsi="宋体" w:eastAsia="宋体" w:cs="宋体"/>
                <w:color w:val="auto"/>
                <w:spacing w:val="0"/>
                <w:szCs w:val="21"/>
              </w:rPr>
            </w:pPr>
            <w:r>
              <w:rPr>
                <w:rFonts w:hint="eastAsia" w:ascii="宋体" w:hAnsi="宋体" w:eastAsia="宋体" w:cs="宋体"/>
                <w:szCs w:val="21"/>
                <w:highlight w:val="none"/>
              </w:rPr>
              <w:t xml:space="preserve">3.竣工验收由施工、学校、监理、设计4方共同参与，电力设备正常无故障运行一个月后，为验收合格。</w:t>
            </w:r>
            <w:r/>
          </w:p>
        </w:tc>
        <w:tc>
          <w:tcPr>
            <w:tcMar>
              <w:left w:w="10" w:type="dxa"/>
              <w:top w:w="0" w:type="dxa"/>
              <w:right w:w="10" w:type="dxa"/>
              <w:bottom w:w="0" w:type="dxa"/>
            </w:tcMar>
            <w:tcW w:w="912"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Mar>
              <w:left w:w="10" w:type="dxa"/>
              <w:top w:w="0" w:type="dxa"/>
              <w:right w:w="10" w:type="dxa"/>
              <w:bottom w:w="0" w:type="dxa"/>
            </w:tcMar>
            <w:tcW w:w="944"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jc w:val="center"/>
          <w:trHeight w:val="284"/>
        </w:trPr>
        <w:tc>
          <w:tcPr>
            <w:tcMar>
              <w:left w:w="10" w:type="dxa"/>
              <w:top w:w="0" w:type="dxa"/>
              <w:right w:w="10" w:type="dxa"/>
              <w:bottom w:w="0" w:type="dxa"/>
            </w:tcMar>
            <w:tcW w:w="554" w:type="dxa"/>
            <w:vAlign w:val="center"/>
            <w:textDirection w:val="lrTb"/>
            <w:noWrap w:val="false"/>
          </w:tcPr>
          <w:p>
            <w:pPr>
              <w:jc w:val="center"/>
              <w:spacing w:line="360" w:lineRule="auto"/>
              <w:widowControl/>
              <w:rPr>
                <w:rFonts w:hint="eastAsia" w:ascii="宋体" w:hAnsi="宋体" w:eastAsia="宋体" w:cs="宋体"/>
                <w:color w:val="auto"/>
                <w:spacing w:val="0"/>
                <w:szCs w:val="21"/>
                <w:lang w:val="en-US" w:eastAsia="zh-CN"/>
              </w:rPr>
            </w:pPr>
            <w:r>
              <w:rPr>
                <w:rFonts w:hint="eastAsia" w:ascii="宋体" w:hAnsi="宋体" w:cs="宋体"/>
                <w:color w:val="auto"/>
                <w:spacing w:val="0"/>
                <w:szCs w:val="21"/>
                <w:lang w:val="en-US" w:eastAsia="zh-CN"/>
              </w:rPr>
              <w:t xml:space="preserve">6</w:t>
            </w:r>
            <w:r/>
          </w:p>
        </w:tc>
        <w:tc>
          <w:tcPr>
            <w:tcMar>
              <w:left w:w="10" w:type="dxa"/>
              <w:top w:w="0" w:type="dxa"/>
              <w:right w:w="10" w:type="dxa"/>
              <w:bottom w:w="0" w:type="dxa"/>
            </w:tcMar>
            <w:tcW w:w="7296" w:type="dxa"/>
            <w:vAlign w:val="center"/>
            <w:textDirection w:val="lrTb"/>
            <w:noWrap w:val="false"/>
          </w:tcPr>
          <w:p>
            <w:pPr>
              <w:ind w:firstLine="422"/>
              <w:jc w:val="left"/>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（六）付款要求</w:t>
            </w:r>
            <w:r/>
          </w:p>
          <w:p>
            <w:pPr>
              <w:ind w:firstLine="422"/>
              <w:jc w:val="left"/>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1.履约保证金</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本项目实行履约担保制度，中标人在合同签订前，必须向采购人提交成交金额10%作为履约保证金。履约保证金缴纳形式为转帐支票（或汇票、电汇，银行保函），工程结束经验收合格后10天内退还履约保证金（不计息）。</w:t>
            </w:r>
            <w:r/>
          </w:p>
          <w:p>
            <w:pPr>
              <w:ind w:firstLine="422"/>
              <w:jc w:val="left"/>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2.付款进度</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（1）合同签订后30天内，采购人支付合同总价的30%作为预付款。</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（2）工程竣工验收合格后，中标人提供竣工资料交采购人后，采购人付至合同价的80%，同时无息退还合同履约保证金。</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（3）工程竣工验收合格，并经审计后1个月内，采购人支付至审定价的97%。</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（4）质保期结束后，如本工程无任何质量问题，中标人提交申请，采购人15日内向承包人退还审定价的3%质保金。</w:t>
            </w:r>
            <w:r/>
          </w:p>
          <w:p>
            <w:pPr>
              <w:ind w:firstLine="420"/>
              <w:jc w:val="left"/>
              <w:spacing w:line="360" w:lineRule="auto"/>
              <w:rPr>
                <w:rFonts w:hint="eastAsia" w:ascii="宋体" w:hAnsi="宋体" w:eastAsia="宋体" w:cs="宋体"/>
                <w:color w:val="auto"/>
                <w:spacing w:val="0"/>
                <w:szCs w:val="21"/>
              </w:rPr>
            </w:pPr>
            <w:r>
              <w:rPr>
                <w:rFonts w:hint="eastAsia" w:ascii="宋体" w:hAnsi="宋体" w:eastAsia="宋体" w:cs="宋体"/>
                <w:szCs w:val="21"/>
                <w:highlight w:val="none"/>
              </w:rPr>
              <w:t xml:space="preserve">（5）每次付款时，中标人应开具符合税务机关规定的增值税发票给采购人，作为付款前提条件之一。</w:t>
            </w:r>
            <w:r/>
          </w:p>
        </w:tc>
        <w:tc>
          <w:tcPr>
            <w:tcMar>
              <w:left w:w="10" w:type="dxa"/>
              <w:top w:w="0" w:type="dxa"/>
              <w:right w:w="10" w:type="dxa"/>
              <w:bottom w:w="0" w:type="dxa"/>
            </w:tcMar>
            <w:tcW w:w="912"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Mar>
              <w:left w:w="10" w:type="dxa"/>
              <w:top w:w="0" w:type="dxa"/>
              <w:right w:w="10" w:type="dxa"/>
              <w:bottom w:w="0" w:type="dxa"/>
            </w:tcMar>
            <w:tcW w:w="944"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jc w:val="center"/>
          <w:trHeight w:val="284"/>
        </w:trPr>
        <w:tc>
          <w:tcPr>
            <w:tcMar>
              <w:left w:w="10" w:type="dxa"/>
              <w:top w:w="0" w:type="dxa"/>
              <w:right w:w="10" w:type="dxa"/>
              <w:bottom w:w="0" w:type="dxa"/>
            </w:tcMar>
            <w:tcW w:w="554" w:type="dxa"/>
            <w:vAlign w:val="center"/>
            <w:textDirection w:val="lrTb"/>
            <w:noWrap w:val="false"/>
          </w:tcPr>
          <w:p>
            <w:pPr>
              <w:jc w:val="center"/>
              <w:spacing w:line="360" w:lineRule="auto"/>
              <w:widowControl/>
              <w:rPr>
                <w:rFonts w:hint="eastAsia" w:ascii="宋体" w:hAnsi="宋体" w:eastAsia="宋体" w:cs="宋体"/>
                <w:color w:val="auto"/>
                <w:spacing w:val="0"/>
                <w:szCs w:val="21"/>
                <w:lang w:val="en-US" w:eastAsia="zh-CN"/>
              </w:rPr>
            </w:pPr>
            <w:r>
              <w:rPr>
                <w:rFonts w:hint="eastAsia" w:ascii="宋体" w:hAnsi="宋体" w:cs="宋体"/>
                <w:color w:val="auto"/>
                <w:spacing w:val="0"/>
                <w:szCs w:val="21"/>
                <w:lang w:val="en-US" w:eastAsia="zh-CN"/>
              </w:rPr>
              <w:t xml:space="preserve">7</w:t>
            </w:r>
            <w:r/>
          </w:p>
        </w:tc>
        <w:tc>
          <w:tcPr>
            <w:tcMar>
              <w:left w:w="10" w:type="dxa"/>
              <w:top w:w="0" w:type="dxa"/>
              <w:right w:w="10" w:type="dxa"/>
              <w:bottom w:w="0" w:type="dxa"/>
            </w:tcMar>
            <w:tcW w:w="7296" w:type="dxa"/>
            <w:vAlign w:val="center"/>
            <w:textDirection w:val="lrTb"/>
            <w:noWrap w:val="false"/>
          </w:tcPr>
          <w:p>
            <w:pPr>
              <w:jc w:val="both"/>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招标文件</w:t>
            </w:r>
            <w:r>
              <w:rPr>
                <w:rFonts w:hint="eastAsia" w:ascii="宋体" w:hAnsi="宋体" w:cs="宋体"/>
                <w:color w:val="auto"/>
                <w:spacing w:val="0"/>
                <w:szCs w:val="21"/>
                <w:lang w:val="en-US" w:eastAsia="zh-CN"/>
              </w:rPr>
              <w:t xml:space="preserve">中其他</w:t>
            </w:r>
            <w:r>
              <w:rPr>
                <w:rFonts w:hint="eastAsia" w:ascii="宋体" w:hAnsi="宋体" w:eastAsia="宋体" w:cs="宋体"/>
                <w:color w:val="auto"/>
                <w:spacing w:val="0"/>
                <w:szCs w:val="21"/>
              </w:rPr>
              <w:t xml:space="preserve">商务要求</w:t>
            </w:r>
            <w:r/>
          </w:p>
        </w:tc>
        <w:tc>
          <w:tcPr>
            <w:tcMar>
              <w:left w:w="10" w:type="dxa"/>
              <w:top w:w="0" w:type="dxa"/>
              <w:right w:w="10" w:type="dxa"/>
              <w:bottom w:w="0" w:type="dxa"/>
            </w:tcMar>
            <w:tcW w:w="912"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Mar>
              <w:left w:w="10" w:type="dxa"/>
              <w:top w:w="0" w:type="dxa"/>
              <w:right w:w="10" w:type="dxa"/>
              <w:bottom w:w="0" w:type="dxa"/>
            </w:tcMar>
            <w:tcW w:w="944"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bookmarkEnd w:id="200"/>
            <w:r/>
            <w:r/>
          </w:p>
        </w:tc>
      </w:tr>
    </w:tbl>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21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说明：</w:t>
      </w:r>
      <w:r/>
    </w:p>
    <w:p>
      <w:pPr>
        <w:ind w:firstLine="211"/>
        <w:jc w:val="left"/>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1.</w:t>
      </w:r>
      <w:r>
        <w:rPr>
          <w:rFonts w:hint="eastAsia" w:ascii="宋体" w:hAnsi="宋体" w:eastAsia="宋体" w:cs="宋体"/>
          <w:b/>
          <w:bCs/>
          <w:color w:val="auto"/>
          <w:spacing w:val="0"/>
        </w:rPr>
        <w:t xml:space="preserve">投标人</w:t>
      </w:r>
      <w:r>
        <w:rPr>
          <w:rFonts w:hint="eastAsia" w:ascii="宋体" w:hAnsi="宋体" w:eastAsia="宋体" w:cs="宋体"/>
          <w:b/>
          <w:bCs/>
          <w:color w:val="auto"/>
          <w:spacing w:val="0"/>
          <w:szCs w:val="21"/>
        </w:rPr>
        <w:t xml:space="preserve">须对招标文件商务要求中的实质性要求（斜体且有下划线部分，或者打“★”“*”等其他文字说明的商务和技术要求）做出明确响应，</w:t>
      </w:r>
      <w:r>
        <w:rPr>
          <w:rFonts w:hint="eastAsia" w:ascii="宋体" w:hAnsi="宋体" w:eastAsia="宋体" w:cs="宋体"/>
          <w:b/>
          <w:bCs/>
          <w:color w:val="auto"/>
          <w:spacing w:val="0"/>
        </w:rPr>
        <w:t xml:space="preserve">投标人</w:t>
      </w:r>
      <w:r>
        <w:rPr>
          <w:rFonts w:hint="eastAsia" w:ascii="宋体" w:hAnsi="宋体" w:eastAsia="宋体" w:cs="宋体"/>
          <w:b/>
          <w:bCs/>
          <w:color w:val="auto"/>
          <w:spacing w:val="0"/>
          <w:szCs w:val="21"/>
        </w:rPr>
        <w:t xml:space="preserve">未对实质性要求作出明确响应或有负偏离</w:t>
      </w:r>
      <w:r>
        <w:rPr>
          <w:rFonts w:hint="eastAsia" w:ascii="宋体" w:hAnsi="宋体" w:cs="宋体"/>
          <w:b/>
          <w:bCs/>
          <w:color w:val="auto"/>
          <w:spacing w:val="0"/>
          <w:szCs w:val="21"/>
          <w:lang w:val="en-US" w:eastAsia="zh-CN"/>
        </w:rPr>
        <w:t xml:space="preserve">或未提供相应材料</w:t>
      </w:r>
      <w:r>
        <w:rPr>
          <w:rFonts w:hint="eastAsia" w:ascii="宋体" w:hAnsi="宋体" w:eastAsia="宋体" w:cs="宋体"/>
          <w:b/>
          <w:bCs/>
          <w:color w:val="auto"/>
          <w:spacing w:val="0"/>
          <w:szCs w:val="21"/>
        </w:rPr>
        <w:t xml:space="preserve">的，视为无效投标。</w:t>
      </w:r>
      <w:r/>
    </w:p>
    <w:p>
      <w:pPr>
        <w:ind w:firstLine="21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2.行数不够，可自行添加。</w:t>
      </w:r>
      <w:r/>
    </w:p>
    <w:p>
      <w:pPr>
        <w:ind w:firstLine="21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投标人（加盖电子公章）：</w:t>
      </w:r>
      <w:r>
        <w:rPr>
          <w:rFonts w:hint="eastAsia" w:ascii="宋体" w:hAnsi="宋体" w:eastAsia="宋体" w:cs="宋体"/>
          <w:color w:val="auto"/>
          <w:spacing w:val="0"/>
          <w:szCs w:val="21"/>
          <w:u w:val="single"/>
        </w:rPr>
        <w:t xml:space="preserve">                              </w:t>
      </w:r>
      <w:bookmarkEnd w:id="199"/>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 </w:t>
      </w:r>
      <w:r/>
    </w:p>
    <w:p>
      <w:pPr>
        <w:rPr>
          <w:rFonts w:hint="eastAsia" w:ascii="宋体" w:hAnsi="宋体" w:eastAsia="宋体" w:cs="宋体"/>
          <w:color w:val="auto"/>
          <w:spacing w:val="0"/>
        </w:rPr>
      </w:pPr>
      <w:r/>
      <w:bookmarkStart w:id="202" w:name="_Toc43917778"/>
      <w:r/>
      <w:bookmarkStart w:id="203" w:name="_Toc66375431"/>
      <w:r>
        <w:rPr>
          <w:rFonts w:hint="eastAsia" w:ascii="宋体" w:hAnsi="宋体" w:eastAsia="宋体" w:cs="宋体"/>
          <w:color w:val="auto"/>
          <w:spacing w:val="0"/>
        </w:rPr>
        <w:br w:type="page" w:clear="all"/>
      </w:r>
      <w:r/>
    </w:p>
    <w:p>
      <w:pPr>
        <w:pStyle w:val="903"/>
        <w:rPr>
          <w:rFonts w:hint="eastAsia" w:ascii="宋体" w:hAnsi="宋体" w:eastAsia="宋体" w:cs="宋体"/>
          <w:color w:val="auto"/>
          <w:spacing w:val="0"/>
        </w:rPr>
      </w:pPr>
      <w:r>
        <w:rPr>
          <w:rFonts w:hint="eastAsia" w:ascii="宋体" w:hAnsi="宋体" w:eastAsia="宋体" w:cs="宋体"/>
          <w:color w:val="auto"/>
          <w:spacing w:val="0"/>
        </w:rPr>
        <w:t xml:space="preserve">附件</w:t>
      </w:r>
      <w:r>
        <w:rPr>
          <w:rFonts w:hint="eastAsia" w:ascii="宋体" w:hAnsi="宋体" w:cs="宋体"/>
          <w:color w:val="auto"/>
          <w:spacing w:val="0"/>
          <w:lang w:val="en-US" w:eastAsia="zh-CN"/>
        </w:rPr>
        <w:t xml:space="preserve">九</w:t>
      </w:r>
      <w:r>
        <w:rPr>
          <w:rFonts w:hint="eastAsia" w:ascii="宋体" w:hAnsi="宋体" w:eastAsia="宋体" w:cs="宋体"/>
          <w:color w:val="auto"/>
          <w:spacing w:val="0"/>
        </w:rPr>
        <w:t xml:space="preserve">、拟参与本项目服务人员一览表</w:t>
      </w:r>
      <w:bookmarkEnd w:id="202"/>
      <w:r/>
      <w:bookmarkEnd w:id="203"/>
      <w:r/>
      <w:r/>
    </w:p>
    <w:p>
      <w:pPr>
        <w:spacing w:line="460" w:lineRule="atLeast"/>
        <w:widowControl/>
        <w:rPr>
          <w:rFonts w:hint="eastAsia" w:ascii="宋体" w:hAnsi="宋体" w:eastAsia="宋体" w:cs="宋体"/>
          <w:b/>
          <w:bCs/>
          <w:color w:val="auto"/>
          <w:spacing w:val="0"/>
          <w:sz w:val="24"/>
        </w:rPr>
      </w:pPr>
      <w:r>
        <w:rPr>
          <w:rFonts w:hint="eastAsia" w:ascii="宋体" w:hAnsi="宋体" w:eastAsia="宋体" w:cs="宋体"/>
          <w:b/>
          <w:bCs/>
          <w:color w:val="auto"/>
          <w:spacing w:val="0"/>
          <w:sz w:val="24"/>
        </w:rPr>
      </w:r>
      <w:r/>
    </w:p>
    <w:p>
      <w:pPr>
        <w:ind w:left="420"/>
        <w:jc w:val="center"/>
        <w:spacing w:line="360" w:lineRule="auto"/>
        <w:shd w:val="clear" w:color="auto" w:fill="ffffff"/>
        <w:widowControl/>
        <w:rPr>
          <w:rFonts w:hint="eastAsia" w:ascii="宋体" w:hAnsi="宋体" w:eastAsia="宋体" w:cs="宋体"/>
          <w:b/>
          <w:color w:val="auto"/>
          <w:spacing w:val="0"/>
          <w:sz w:val="30"/>
          <w:szCs w:val="30"/>
        </w:rPr>
      </w:pPr>
      <w:r/>
      <w:bookmarkStart w:id="204" w:name="_Hlk67995747"/>
      <w:r>
        <w:rPr>
          <w:rFonts w:hint="eastAsia" w:ascii="宋体" w:hAnsi="宋体" w:eastAsia="宋体" w:cs="宋体"/>
          <w:b/>
          <w:color w:val="auto"/>
          <w:spacing w:val="0"/>
          <w:sz w:val="32"/>
          <w:szCs w:val="32"/>
        </w:rPr>
        <w:t xml:space="preserve">拟参与本项目服务人员一览表</w:t>
      </w:r>
      <w:bookmarkEnd w:id="204"/>
      <w:r/>
      <w:bookmarkStart w:id="205" w:name="_Hlk66378104"/>
      <w:r/>
      <w:bookmarkEnd w:id="205"/>
      <w:r/>
      <w:r/>
    </w:p>
    <w:p>
      <w:pPr>
        <w:jc w:val="center"/>
        <w:widowControl/>
        <w:rPr>
          <w:rFonts w:hint="eastAsia" w:ascii="宋体" w:hAnsi="宋体" w:eastAsia="宋体" w:cs="宋体"/>
          <w:b/>
          <w:bCs/>
          <w:color w:val="auto"/>
          <w:spacing w:val="0"/>
          <w:sz w:val="24"/>
        </w:rPr>
      </w:pPr>
      <w:r>
        <w:rPr>
          <w:rFonts w:hint="eastAsia" w:ascii="宋体" w:hAnsi="宋体" w:eastAsia="宋体" w:cs="宋体"/>
          <w:b/>
          <w:bCs/>
          <w:color w:val="auto"/>
          <w:spacing w:val="0"/>
          <w:sz w:val="24"/>
        </w:rPr>
      </w:r>
      <w:r/>
    </w:p>
    <w:p>
      <w:pPr>
        <w:widowControl/>
        <w:rPr>
          <w:rFonts w:hint="eastAsia" w:ascii="宋体" w:hAnsi="宋体" w:eastAsia="宋体" w:cs="宋体"/>
          <w:color w:val="auto"/>
          <w:spacing w:val="0"/>
          <w:szCs w:val="21"/>
        </w:rPr>
      </w:pPr>
      <w:r/>
      <w:bookmarkStart w:id="206" w:name="_Hlk66784308"/>
      <w:r>
        <w:rPr>
          <w:rFonts w:hint="eastAsia" w:ascii="宋体" w:hAnsi="宋体" w:eastAsia="宋体" w:cs="宋体"/>
          <w:color w:val="auto"/>
          <w:spacing w:val="0"/>
          <w:szCs w:val="21"/>
        </w:rPr>
        <w:t xml:space="preserve">项目名称：                                 项目编号：</w:t>
      </w:r>
      <w:bookmarkEnd w:id="206"/>
      <w:r/>
      <w:r/>
    </w:p>
    <w:tbl>
      <w:tblPr>
        <w:tblStyle w:val="912"/>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姓名</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性别</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年龄</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执业</w:t>
            </w:r>
            <w:r/>
          </w:p>
          <w:p>
            <w:pPr>
              <w:jc w:val="cente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资格</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证书号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项目负责人</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bl>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说明：</w:t>
      </w:r>
      <w:bookmarkStart w:id="207" w:name="OLE_LINK10"/>
      <w:r>
        <w:rPr>
          <w:rFonts w:hint="eastAsia" w:ascii="宋体" w:hAnsi="宋体" w:eastAsia="宋体" w:cs="宋体"/>
          <w:color w:val="auto"/>
          <w:spacing w:val="0"/>
          <w:szCs w:val="21"/>
        </w:rPr>
        <w:t xml:space="preserve">如果行数不够，请自行增加。</w:t>
      </w:r>
      <w:bookmarkEnd w:id="207"/>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投标人（加盖电子公章）：</w:t>
      </w:r>
      <w:r>
        <w:rPr>
          <w:rFonts w:hint="eastAsia" w:ascii="宋体" w:hAnsi="宋体" w:eastAsia="宋体" w:cs="宋体"/>
          <w:color w:val="auto"/>
          <w:spacing w:val="0"/>
          <w:szCs w:val="21"/>
          <w:u w:val="single"/>
        </w:rPr>
        <w:t xml:space="preserve">                                    </w:t>
      </w:r>
      <w:r/>
    </w:p>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br w:type="page" w:clear="all"/>
      </w:r>
      <w:r/>
    </w:p>
    <w:p>
      <w:pPr>
        <w:pStyle w:val="903"/>
        <w:rPr>
          <w:rFonts w:hint="eastAsia" w:ascii="宋体" w:hAnsi="宋体" w:eastAsia="宋体" w:cs="宋体"/>
          <w:color w:val="auto"/>
          <w:spacing w:val="0"/>
        </w:rPr>
      </w:pPr>
      <w:r/>
      <w:bookmarkStart w:id="208" w:name="_Toc66375432"/>
      <w:r/>
      <w:bookmarkStart w:id="209" w:name="_Toc43917779"/>
      <w:r>
        <w:rPr>
          <w:rFonts w:hint="eastAsia" w:ascii="宋体" w:hAnsi="宋体" w:eastAsia="宋体" w:cs="宋体"/>
          <w:color w:val="auto"/>
          <w:spacing w:val="0"/>
        </w:rPr>
        <w:t xml:space="preserve">附件</w:t>
      </w:r>
      <w:r>
        <w:rPr>
          <w:rFonts w:hint="eastAsia" w:ascii="宋体" w:hAnsi="宋体" w:cs="宋体"/>
          <w:color w:val="auto"/>
          <w:spacing w:val="0"/>
          <w:lang w:val="en-US" w:eastAsia="zh-CN"/>
        </w:rPr>
        <w:t xml:space="preserve">十</w:t>
      </w:r>
      <w:r>
        <w:rPr>
          <w:rFonts w:hint="eastAsia" w:ascii="宋体" w:hAnsi="宋体" w:eastAsia="宋体" w:cs="宋体"/>
          <w:color w:val="auto"/>
          <w:spacing w:val="0"/>
        </w:rPr>
        <w:t xml:space="preserve">、投标人类似业绩情况表</w:t>
      </w:r>
      <w:bookmarkEnd w:id="208"/>
      <w:r/>
      <w:bookmarkEnd w:id="209"/>
      <w:r/>
      <w:r/>
    </w:p>
    <w:p>
      <w:pPr>
        <w:jc w:val="center"/>
        <w:spacing w:line="360" w:lineRule="auto"/>
        <w:widowControl/>
        <w:rPr>
          <w:rFonts w:hint="eastAsia" w:ascii="宋体" w:hAnsi="宋体" w:eastAsia="宋体" w:cs="宋体"/>
          <w:b/>
          <w:bCs/>
          <w:color w:val="auto"/>
          <w:spacing w:val="0"/>
          <w:sz w:val="24"/>
        </w:rPr>
      </w:pPr>
      <w:r>
        <w:rPr>
          <w:rFonts w:hint="eastAsia" w:ascii="宋体" w:hAnsi="宋体" w:eastAsia="宋体" w:cs="宋体"/>
          <w:b/>
          <w:bCs/>
          <w:color w:val="auto"/>
          <w:spacing w:val="0"/>
          <w:sz w:val="24"/>
        </w:rPr>
      </w:r>
      <w:r/>
    </w:p>
    <w:p>
      <w:pPr>
        <w:jc w:val="center"/>
        <w:spacing w:line="360" w:lineRule="auto"/>
        <w:rPr>
          <w:rFonts w:hint="eastAsia" w:ascii="宋体" w:hAnsi="宋体" w:eastAsia="宋体" w:cs="宋体"/>
          <w:b/>
          <w:color w:val="auto"/>
          <w:spacing w:val="0"/>
          <w:sz w:val="32"/>
          <w:szCs w:val="32"/>
        </w:rPr>
      </w:pPr>
      <w:r>
        <w:rPr>
          <w:rFonts w:hint="eastAsia" w:ascii="宋体" w:hAnsi="宋体" w:eastAsia="宋体" w:cs="宋体"/>
          <w:b/>
          <w:color w:val="auto"/>
          <w:spacing w:val="0"/>
          <w:sz w:val="32"/>
          <w:szCs w:val="32"/>
        </w:rPr>
        <w:t xml:space="preserve">投标人类似业绩情况表</w:t>
      </w:r>
      <w:r/>
    </w:p>
    <w:p>
      <w:pPr>
        <w:jc w:val="left"/>
        <w:spacing w:line="360" w:lineRule="auto"/>
        <w:rPr>
          <w:rFonts w:hint="eastAsia" w:ascii="宋体" w:hAnsi="宋体" w:eastAsia="宋体" w:cs="宋体"/>
          <w:b/>
          <w:color w:val="auto"/>
          <w:spacing w:val="0"/>
          <w:sz w:val="32"/>
          <w:szCs w:val="32"/>
        </w:rPr>
      </w:pPr>
      <w:r>
        <w:rPr>
          <w:rFonts w:hint="eastAsia" w:ascii="宋体" w:hAnsi="宋体" w:eastAsia="宋体" w:cs="宋体"/>
          <w:color w:val="auto"/>
          <w:spacing w:val="0"/>
          <w:szCs w:val="21"/>
        </w:rPr>
        <w:t xml:space="preserve">项目名称：                                               项目编号：</w:t>
      </w:r>
      <w:r/>
    </w:p>
    <w:tbl>
      <w:tblPr>
        <w:tblStyle w:val="912"/>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341"/>
        <w:gridCol w:w="1211"/>
        <w:gridCol w:w="969"/>
      </w:tblGrid>
      <w:tr>
        <w:trPr>
          <w:jc w:val="center"/>
        </w:trPr>
        <w:tc>
          <w:tcPr>
            <w:tcW w:w="733" w:type="dxa"/>
            <w:vAlign w:val="center"/>
            <w:textDirection w:val="lrTb"/>
            <w:noWrap w:val="false"/>
          </w:tcPr>
          <w:p>
            <w:pPr>
              <w:jc w:val="center"/>
              <w:spacing w:line="360" w:lineRule="auto"/>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序号</w:t>
            </w:r>
            <w:r/>
          </w:p>
        </w:tc>
        <w:tc>
          <w:tcPr>
            <w:tcW w:w="2310" w:type="dxa"/>
            <w:vAlign w:val="center"/>
            <w:textDirection w:val="lrTb"/>
            <w:noWrap w:val="false"/>
          </w:tcPr>
          <w:p>
            <w:pPr>
              <w:jc w:val="center"/>
              <w:spacing w:line="360" w:lineRule="auto"/>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项目名称</w:t>
            </w:r>
            <w:r/>
          </w:p>
        </w:tc>
        <w:tc>
          <w:tcPr>
            <w:tcW w:w="2257" w:type="dxa"/>
            <w:vAlign w:val="center"/>
            <w:textDirection w:val="lrTb"/>
            <w:noWrap w:val="false"/>
          </w:tcPr>
          <w:p>
            <w:pPr>
              <w:jc w:val="center"/>
              <w:spacing w:line="360" w:lineRule="auto"/>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采购单位</w:t>
            </w:r>
            <w:r/>
          </w:p>
        </w:tc>
        <w:tc>
          <w:tcPr>
            <w:tcW w:w="1255" w:type="dxa"/>
            <w:vAlign w:val="center"/>
            <w:textDirection w:val="lrTb"/>
            <w:noWrap w:val="false"/>
          </w:tcPr>
          <w:p>
            <w:pPr>
              <w:jc w:val="center"/>
              <w:spacing w:line="360" w:lineRule="auto"/>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合同金额</w:t>
            </w:r>
            <w:r/>
          </w:p>
        </w:tc>
        <w:tc>
          <w:tcPr>
            <w:tcW w:w="1341" w:type="dxa"/>
            <w:textDirection w:val="lrTb"/>
            <w:noWrap w:val="false"/>
          </w:tcPr>
          <w:p>
            <w:pPr>
              <w:jc w:val="center"/>
              <w:spacing w:line="360" w:lineRule="auto"/>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合同签订</w:t>
            </w:r>
            <w:r/>
          </w:p>
          <w:p>
            <w:pPr>
              <w:jc w:val="center"/>
              <w:spacing w:line="360" w:lineRule="auto"/>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时间</w:t>
            </w:r>
            <w:r/>
          </w:p>
        </w:tc>
        <w:tc>
          <w:tcPr>
            <w:tcW w:w="1211" w:type="dxa"/>
            <w:textDirection w:val="lrTb"/>
            <w:noWrap w:val="false"/>
          </w:tcPr>
          <w:p>
            <w:pPr>
              <w:jc w:val="center"/>
              <w:spacing w:line="360" w:lineRule="auto"/>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联系人及电话</w:t>
            </w:r>
            <w:r/>
          </w:p>
        </w:tc>
        <w:tc>
          <w:tcPr>
            <w:tcW w:w="969" w:type="dxa"/>
            <w:vAlign w:val="center"/>
            <w:textDirection w:val="lrTb"/>
            <w:noWrap w:val="false"/>
          </w:tcPr>
          <w:p>
            <w:pPr>
              <w:jc w:val="center"/>
              <w:spacing w:line="360" w:lineRule="auto"/>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备注</w:t>
            </w:r>
            <w:r/>
          </w:p>
        </w:tc>
      </w:tr>
      <w:tr>
        <w:trPr>
          <w:jc w:val="center"/>
        </w:trPr>
        <w:tc>
          <w:tcPr>
            <w:tcW w:w="733"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310"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257" w:type="dxa"/>
            <w:textDirection w:val="lrTb"/>
            <w:noWrap w:val="false"/>
          </w:tcPr>
          <w:p>
            <w:pPr>
              <w:ind w:firstLine="120"/>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255"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341"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211"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969"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r>
      <w:tr>
        <w:trPr>
          <w:jc w:val="center"/>
        </w:trPr>
        <w:tc>
          <w:tcPr>
            <w:tcW w:w="733"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310"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257"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255"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341"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211"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969"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r>
      <w:tr>
        <w:trPr>
          <w:jc w:val="center"/>
        </w:trPr>
        <w:tc>
          <w:tcPr>
            <w:tcW w:w="733"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310"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257"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255"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341"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211"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969"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r>
      <w:tr>
        <w:trPr>
          <w:jc w:val="center"/>
        </w:trPr>
        <w:tc>
          <w:tcPr>
            <w:tcW w:w="733"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310"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257"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255"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341"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211"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969"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r>
      <w:tr>
        <w:trPr>
          <w:jc w:val="center"/>
        </w:trPr>
        <w:tc>
          <w:tcPr>
            <w:tcW w:w="733"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310"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257"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255"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341"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211"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969"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r>
      <w:tr>
        <w:trPr>
          <w:jc w:val="center"/>
        </w:trPr>
        <w:tc>
          <w:tcPr>
            <w:tcW w:w="733"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310"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257"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255"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341"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211"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969"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r>
    </w:tbl>
    <w:p>
      <w:pPr>
        <w:spacing w:line="360" w:lineRule="auto"/>
        <w:rPr>
          <w:rFonts w:hint="eastAsia" w:ascii="宋体" w:hAnsi="宋体" w:eastAsia="宋体" w:cs="宋体"/>
          <w:b/>
          <w:color w:val="auto"/>
          <w:spacing w:val="0"/>
          <w:sz w:val="24"/>
        </w:rPr>
      </w:pPr>
      <w:r/>
      <w:bookmarkStart w:id="210" w:name="_Hlk66784249"/>
      <w:r/>
      <w:r/>
    </w:p>
    <w:p>
      <w:pPr>
        <w:spacing w:line="360" w:lineRule="auto"/>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说</w:t>
      </w:r>
      <w:r>
        <w:rPr>
          <w:rFonts w:hint="eastAsia" w:ascii="宋体" w:hAnsi="宋体" w:eastAsia="宋体" w:cs="宋体"/>
          <w:b/>
          <w:color w:val="auto"/>
          <w:spacing w:val="0"/>
          <w:szCs w:val="21"/>
        </w:rPr>
        <w:t xml:space="preserve">明：投标人如实填写业绩情况表，</w:t>
      </w:r>
      <w:bookmarkStart w:id="211" w:name="_Hlk66378132"/>
      <w:r>
        <w:rPr>
          <w:rFonts w:hint="eastAsia" w:ascii="宋体" w:hAnsi="宋体" w:eastAsia="宋体" w:cs="宋体"/>
          <w:b/>
          <w:color w:val="auto"/>
          <w:spacing w:val="0"/>
          <w:szCs w:val="21"/>
        </w:rPr>
        <w:t xml:space="preserve">并根据招标文件要求附业绩证明材料。</w:t>
      </w:r>
      <w:bookmarkEnd w:id="211"/>
      <w:r/>
      <w:bookmarkEnd w:id="210"/>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投标人（加盖电子公章）：</w:t>
      </w:r>
      <w:r>
        <w:rPr>
          <w:rFonts w:hint="eastAsia" w:ascii="宋体" w:hAnsi="宋体" w:eastAsia="宋体" w:cs="宋体"/>
          <w:color w:val="auto"/>
          <w:spacing w:val="0"/>
          <w:szCs w:val="21"/>
          <w:u w:val="single"/>
        </w:rPr>
        <w:t xml:space="preserve">                                  </w:t>
      </w:r>
      <w:r/>
    </w:p>
    <w:p>
      <w:pPr>
        <w:spacing w:line="360" w:lineRule="auto"/>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r>
      <w:r/>
    </w:p>
    <w:p>
      <w:pPr>
        <w:spacing w:line="360" w:lineRule="auto"/>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r>
      <w:r/>
    </w:p>
    <w:p>
      <w:pPr>
        <w:spacing w:line="360" w:lineRule="auto"/>
        <w:rPr>
          <w:rFonts w:hint="eastAsia" w:ascii="宋体" w:hAnsi="宋体" w:eastAsia="宋体" w:cs="宋体"/>
          <w:color w:val="auto"/>
          <w:spacing w:val="0"/>
        </w:rPr>
      </w:pPr>
      <w:r>
        <w:rPr>
          <w:rFonts w:hint="eastAsia" w:ascii="宋体" w:hAnsi="宋体" w:eastAsia="宋体" w:cs="宋体"/>
          <w:color w:val="auto"/>
          <w:spacing w:val="0"/>
        </w:rPr>
        <w:br w:type="page" w:clear="all"/>
      </w:r>
      <w:r/>
    </w:p>
    <w:p>
      <w:pPr>
        <w:pStyle w:val="903"/>
        <w:rPr>
          <w:rFonts w:hint="eastAsia" w:ascii="宋体" w:hAnsi="宋体" w:eastAsia="宋体" w:cs="宋体"/>
          <w:color w:val="auto"/>
          <w:spacing w:val="0"/>
        </w:rPr>
      </w:pPr>
      <w:r/>
      <w:bookmarkStart w:id="212" w:name="_Toc43917780"/>
      <w:r/>
      <w:bookmarkStart w:id="213" w:name="_Toc66375433"/>
      <w:r>
        <w:rPr>
          <w:rFonts w:hint="eastAsia" w:ascii="宋体" w:hAnsi="宋体" w:eastAsia="宋体" w:cs="宋体"/>
          <w:color w:val="auto"/>
          <w:spacing w:val="0"/>
        </w:rPr>
        <w:t xml:space="preserve">附件十</w:t>
      </w:r>
      <w:r>
        <w:rPr>
          <w:rFonts w:hint="eastAsia" w:ascii="宋体" w:hAnsi="宋体" w:cs="宋体"/>
          <w:color w:val="auto"/>
          <w:spacing w:val="0"/>
          <w:lang w:val="en-US" w:eastAsia="zh-CN"/>
        </w:rPr>
        <w:t xml:space="preserve">一</w:t>
      </w:r>
      <w:r>
        <w:rPr>
          <w:rFonts w:hint="eastAsia" w:ascii="宋体" w:hAnsi="宋体" w:eastAsia="宋体" w:cs="宋体"/>
          <w:color w:val="auto"/>
          <w:spacing w:val="0"/>
        </w:rPr>
        <w:t xml:space="preserve">、企业声明函</w:t>
      </w:r>
      <w:bookmarkEnd w:id="212"/>
      <w:r/>
      <w:bookmarkEnd w:id="213"/>
      <w:r/>
      <w:r/>
    </w:p>
    <w:p>
      <w:pPr>
        <w:jc w:val="center"/>
        <w:spacing w:line="360" w:lineRule="auto"/>
        <w:rPr>
          <w:rFonts w:hint="eastAsia" w:ascii="宋体" w:hAnsi="宋体" w:eastAsia="宋体" w:cs="宋体"/>
          <w:b/>
          <w:bCs/>
          <w:color w:val="auto"/>
          <w:spacing w:val="0"/>
          <w:sz w:val="28"/>
          <w:szCs w:val="28"/>
        </w:rPr>
      </w:pPr>
      <w:r/>
      <w:bookmarkStart w:id="214" w:name="_Hlk84581158"/>
      <w:r/>
      <w:bookmarkStart w:id="215" w:name="OLE_LINK14"/>
      <w:r/>
      <w:bookmarkStart w:id="216" w:name="OLE_LINK13"/>
      <w:r>
        <w:rPr>
          <w:rFonts w:hint="eastAsia" w:ascii="宋体" w:hAnsi="宋体" w:eastAsia="宋体" w:cs="宋体"/>
          <w:b/>
          <w:bCs/>
          <w:color w:val="auto"/>
          <w:spacing w:val="0"/>
          <w:sz w:val="28"/>
          <w:szCs w:val="28"/>
        </w:rPr>
        <w:t xml:space="preserve">中小企业声明函（货物）</w:t>
      </w:r>
      <w:r/>
    </w:p>
    <w:p>
      <w:pPr>
        <w:ind w:firstLine="420"/>
        <w:jc w:val="left"/>
        <w:spacing w:line="440" w:lineRule="exact"/>
        <w:widowControl/>
        <w:rPr>
          <w:rFonts w:hint="eastAsia" w:ascii="宋体" w:hAnsi="宋体" w:eastAsia="宋体" w:cs="宋体"/>
          <w:color w:val="auto"/>
          <w:spacing w:val="0"/>
          <w:szCs w:val="21"/>
        </w:rPr>
      </w:pPr>
      <w:r>
        <w:rPr>
          <w:rFonts w:hint="eastAsia" w:ascii="宋体" w:hAnsi="宋体" w:eastAsia="宋体" w:cs="宋体"/>
          <w:color w:val="auto"/>
          <w:spacing w:val="0"/>
        </w:rPr>
        <w:t xml:space="preserve">本公司（联合体）郑重声明，根据《政府采购促进中小企业发展管理办法》（财库〔2020 ） 46号）的规定，本公司</w:t>
      </w:r>
      <w:r>
        <w:rPr>
          <w:rFonts w:hint="eastAsia" w:ascii="宋体" w:hAnsi="宋体" w:eastAsia="宋体" w:cs="宋体"/>
          <w:color w:val="auto"/>
          <w:spacing w:val="0"/>
          <w:u w:val="single"/>
        </w:rPr>
        <w:t xml:space="preserve"> </w:t>
      </w:r>
      <w:r>
        <w:rPr>
          <w:rFonts w:hint="eastAsia" w:ascii="宋体" w:hAnsi="宋体" w:cs="宋体"/>
          <w:color w:val="auto"/>
          <w:spacing w:val="0"/>
          <w:u w:val="single"/>
          <w:lang w:val="en-US" w:eastAsia="zh-CN"/>
        </w:rPr>
        <w:t xml:space="preserve">     </w:t>
      </w:r>
      <w:r>
        <w:rPr>
          <w:rFonts w:hint="eastAsia" w:ascii="宋体" w:hAnsi="宋体" w:eastAsia="宋体" w:cs="宋体"/>
          <w:color w:val="auto"/>
          <w:spacing w:val="0"/>
        </w:rPr>
        <w:t xml:space="preserve">参加</w:t>
      </w:r>
      <w:r>
        <w:rPr>
          <w:rFonts w:hint="eastAsia" w:ascii="宋体" w:hAnsi="宋体" w:eastAsia="宋体" w:cs="宋体"/>
          <w:color w:val="auto"/>
          <w:spacing w:val="0"/>
          <w:u w:val="single"/>
        </w:rPr>
        <w:t xml:space="preserve">南京信息职业技术学院</w:t>
      </w:r>
      <w:r>
        <w:rPr>
          <w:rFonts w:hint="eastAsia" w:ascii="宋体" w:hAnsi="宋体" w:eastAsia="宋体" w:cs="宋体"/>
          <w:color w:val="auto"/>
          <w:spacing w:val="0"/>
        </w:rPr>
        <w:t xml:space="preserve">的</w:t>
      </w:r>
      <w:r>
        <w:rPr>
          <w:rFonts w:hint="eastAsia" w:ascii="宋体" w:hAnsi="宋体" w:eastAsia="宋体" w:cs="宋体"/>
          <w:color w:val="auto"/>
          <w:spacing w:val="0"/>
          <w:u w:val="single"/>
          <w:lang w:eastAsia="zh-CN"/>
        </w:rPr>
        <w:t xml:space="preserve">南京信息职业技术学院部分配电房增容改造项目</w:t>
      </w:r>
      <w:r>
        <w:rPr>
          <w:rFonts w:hint="eastAsia" w:ascii="宋体" w:hAnsi="宋体" w:eastAsia="宋体" w:cs="宋体"/>
          <w:color w:val="auto"/>
          <w:spacing w:val="0"/>
        </w:rPr>
        <w:t xml:space="preserve">采购活动</w:t>
      </w:r>
      <w:r>
        <w:rPr>
          <w:rFonts w:hint="eastAsia" w:ascii="宋体" w:hAnsi="宋体" w:cs="宋体"/>
          <w:color w:val="auto"/>
          <w:spacing w:val="0"/>
          <w:lang w:eastAsia="zh-CN"/>
        </w:rPr>
        <w:t xml:space="preserve">，</w:t>
      </w:r>
      <w:r>
        <w:rPr>
          <w:rFonts w:hint="eastAsia" w:ascii="宋体" w:hAnsi="宋体" w:eastAsia="宋体" w:cs="宋体"/>
          <w:color w:val="auto"/>
          <w:spacing w:val="0"/>
        </w:rPr>
        <w:t xml:space="preserve">提供的货物全部由符合政策要求的中小企业制造。相关企业（含联合体中的中小企业、签订分包意向协议的中小企业）的具体情况如下：</w:t>
      </w:r>
      <w:r/>
    </w:p>
    <w:p>
      <w:pPr>
        <w:ind w:firstLine="420"/>
        <w:jc w:val="left"/>
        <w:spacing w:line="440" w:lineRule="exact"/>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w:t>
      </w:r>
      <w:r>
        <w:rPr>
          <w:rFonts w:hint="eastAsia" w:ascii="宋体" w:hAnsi="宋体" w:eastAsia="宋体" w:cs="宋体"/>
          <w:color w:val="auto"/>
          <w:spacing w:val="0"/>
          <w:szCs w:val="21"/>
          <w:u w:val="single"/>
        </w:rPr>
        <w:t xml:space="preserve">（</w:t>
      </w:r>
      <w:r>
        <w:rPr>
          <w:rFonts w:hint="eastAsia" w:ascii="宋体" w:hAnsi="宋体" w:cs="宋体"/>
          <w:color w:val="auto"/>
          <w:spacing w:val="0"/>
          <w:szCs w:val="21"/>
          <w:u w:val="single"/>
          <w:lang w:val="en-US" w:eastAsia="zh-CN"/>
        </w:rPr>
        <w:t xml:space="preserve">设备1</w:t>
      </w:r>
      <w:r>
        <w:rPr>
          <w:rFonts w:hint="eastAsia" w:ascii="宋体" w:hAnsi="宋体" w:eastAsia="宋体" w:cs="宋体"/>
          <w:color w:val="auto"/>
          <w:spacing w:val="0"/>
          <w:szCs w:val="21"/>
          <w:u w:val="single"/>
        </w:rPr>
        <w:t xml:space="preserve">）</w:t>
      </w:r>
      <w:r>
        <w:rPr>
          <w:rFonts w:hint="eastAsia" w:ascii="宋体" w:hAnsi="宋体" w:cs="宋体"/>
          <w:color w:val="auto"/>
          <w:spacing w:val="0"/>
          <w:szCs w:val="21"/>
          <w:u w:val="single"/>
          <w:lang w:eastAsia="zh-CN"/>
        </w:rPr>
        <w:t xml:space="preserve">，</w:t>
      </w:r>
      <w:r>
        <w:rPr>
          <w:rFonts w:hint="eastAsia" w:ascii="宋体" w:hAnsi="宋体" w:eastAsia="宋体" w:cs="宋体"/>
          <w:color w:val="auto"/>
          <w:spacing w:val="0"/>
          <w:szCs w:val="21"/>
        </w:rPr>
        <w:t xml:space="preserve">属于</w:t>
      </w:r>
      <w:r>
        <w:rPr>
          <w:rFonts w:hint="eastAsia" w:ascii="宋体" w:hAnsi="宋体" w:eastAsia="宋体" w:cs="宋体"/>
          <w:color w:val="auto"/>
          <w:spacing w:val="0"/>
          <w:szCs w:val="21"/>
          <w:u w:val="single"/>
        </w:rPr>
        <w:t xml:space="preserve">（</w:t>
      </w:r>
      <w:r>
        <w:rPr>
          <w:rFonts w:hint="eastAsia" w:ascii="宋体" w:hAnsi="宋体" w:cs="宋体"/>
          <w:color w:val="auto"/>
          <w:spacing w:val="0"/>
          <w:szCs w:val="21"/>
          <w:u w:val="single"/>
          <w:lang w:val="en-US" w:eastAsia="zh-CN"/>
        </w:rPr>
        <w:t xml:space="preserve">工业</w:t>
      </w:r>
      <w:r>
        <w:rPr>
          <w:rFonts w:hint="eastAsia" w:ascii="宋体" w:hAnsi="宋体" w:eastAsia="宋体" w:cs="宋体"/>
          <w:color w:val="auto"/>
          <w:spacing w:val="0"/>
          <w:szCs w:val="21"/>
          <w:u w:val="single"/>
        </w:rPr>
        <w:t xml:space="preserve">）</w:t>
      </w:r>
      <w:r>
        <w:rPr>
          <w:rFonts w:hint="eastAsia" w:ascii="宋体" w:hAnsi="宋体" w:eastAsia="宋体" w:cs="宋体"/>
          <w:color w:val="auto"/>
          <w:spacing w:val="0"/>
          <w:szCs w:val="21"/>
        </w:rPr>
        <w:t xml:space="preserve">行业</w:t>
      </w:r>
      <w:r>
        <w:rPr>
          <w:rFonts w:hint="eastAsia" w:ascii="宋体" w:hAnsi="宋体" w:cs="宋体"/>
          <w:color w:val="auto"/>
          <w:spacing w:val="0"/>
          <w:szCs w:val="21"/>
          <w:lang w:eastAsia="zh-CN"/>
        </w:rPr>
        <w:t xml:space="preserve">；</w:t>
      </w:r>
      <w:r>
        <w:rPr>
          <w:rFonts w:hint="eastAsia" w:ascii="宋体" w:hAnsi="宋体" w:eastAsia="宋体" w:cs="宋体"/>
          <w:color w:val="auto"/>
          <w:spacing w:val="0"/>
          <w:szCs w:val="21"/>
        </w:rPr>
        <w:t xml:space="preserve">制造商为</w:t>
      </w:r>
      <w:r>
        <w:rPr>
          <w:rFonts w:hint="eastAsia" w:ascii="宋体" w:hAnsi="宋体" w:eastAsia="宋体" w:cs="宋体"/>
          <w:color w:val="auto"/>
          <w:spacing w:val="0"/>
          <w:szCs w:val="21"/>
          <w:u w:val="single"/>
        </w:rPr>
        <w:t xml:space="preserve">（企业名称）</w:t>
      </w:r>
      <w:r>
        <w:rPr>
          <w:rFonts w:hint="eastAsia" w:ascii="宋体" w:hAnsi="宋体" w:cs="宋体"/>
          <w:color w:val="auto"/>
          <w:spacing w:val="0"/>
          <w:szCs w:val="21"/>
          <w:lang w:eastAsia="zh-CN"/>
        </w:rPr>
        <w:t xml:space="preserve">，</w:t>
      </w:r>
      <w:r>
        <w:rPr>
          <w:rFonts w:hint="eastAsia" w:ascii="宋体" w:hAnsi="宋体" w:eastAsia="宋体" w:cs="宋体"/>
          <w:color w:val="auto"/>
          <w:spacing w:val="0"/>
          <w:szCs w:val="21"/>
        </w:rPr>
        <w:t xml:space="preserve">从业人员</w:t>
      </w:r>
      <w:r>
        <w:rPr>
          <w:rFonts w:hint="eastAsia" w:ascii="宋体" w:hAnsi="宋体" w:eastAsia="宋体" w:cs="宋体"/>
          <w:color w:val="auto"/>
          <w:spacing w:val="0"/>
          <w:szCs w:val="21"/>
          <w:u w:val="single"/>
        </w:rPr>
        <w:tab/>
      </w:r>
      <w:r>
        <w:rPr>
          <w:rFonts w:hint="eastAsia" w:ascii="宋体" w:hAnsi="宋体" w:eastAsia="宋体" w:cs="宋体"/>
          <w:color w:val="auto"/>
          <w:spacing w:val="0"/>
          <w:szCs w:val="21"/>
          <w:u w:val="single"/>
        </w:rPr>
        <w:t xml:space="preserve">人</w:t>
      </w:r>
      <w:r>
        <w:rPr>
          <w:rFonts w:hint="eastAsia" w:ascii="宋体" w:hAnsi="宋体" w:eastAsia="宋体" w:cs="宋体"/>
          <w:color w:val="auto"/>
          <w:spacing w:val="0"/>
          <w:szCs w:val="21"/>
        </w:rPr>
        <w:t xml:space="preserve">，营业收入为</w:t>
      </w:r>
      <w:r>
        <w:rPr>
          <w:rFonts w:hint="eastAsia" w:ascii="宋体" w:hAnsi="宋体" w:eastAsia="宋体" w:cs="宋体"/>
          <w:color w:val="auto"/>
          <w:spacing w:val="0"/>
          <w:szCs w:val="21"/>
          <w:u w:val="single"/>
        </w:rPr>
        <w:tab/>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万元，资产总额为</w:t>
      </w:r>
      <w:r>
        <w:rPr>
          <w:rFonts w:hint="eastAsia" w:ascii="宋体" w:hAnsi="宋体" w:eastAsia="宋体" w:cs="宋体"/>
          <w:color w:val="auto"/>
          <w:spacing w:val="0"/>
          <w:szCs w:val="21"/>
          <w:u w:val="single"/>
        </w:rPr>
        <w:tab/>
      </w:r>
      <w:r>
        <w:rPr>
          <w:rFonts w:hint="eastAsia" w:ascii="宋体" w:hAnsi="宋体" w:eastAsia="宋体" w:cs="宋体"/>
          <w:color w:val="auto"/>
          <w:spacing w:val="0"/>
          <w:szCs w:val="21"/>
          <w:u w:val="single"/>
        </w:rPr>
        <w:t xml:space="preserve">      万</w:t>
      </w:r>
      <w:r>
        <w:rPr>
          <w:rFonts w:hint="eastAsia" w:ascii="宋体" w:hAnsi="宋体" w:eastAsia="宋体" w:cs="宋体"/>
          <w:color w:val="auto"/>
          <w:spacing w:val="0"/>
          <w:szCs w:val="21"/>
        </w:rPr>
        <w:t xml:space="preserve">元属于</w:t>
      </w:r>
      <w:r>
        <w:rPr>
          <w:rFonts w:hint="eastAsia" w:ascii="宋体" w:hAnsi="宋体" w:eastAsia="宋体" w:cs="宋体"/>
          <w:color w:val="auto"/>
          <w:spacing w:val="0"/>
          <w:szCs w:val="21"/>
          <w:u w:val="single"/>
        </w:rPr>
        <w:t xml:space="preserve">（</w:t>
      </w:r>
      <w:bookmarkStart w:id="217" w:name="_Hlk223532627"/>
      <w:r>
        <w:rPr>
          <w:rFonts w:ascii="Wingdings" w:hAnsi="Wingdings" w:eastAsia="Wingdings" w:cs="Wingdings"/>
          <w:color w:val="auto"/>
          <w:sz w:val="21"/>
          <w:szCs w:val="21"/>
          <w:u w:val="single"/>
        </w:rPr>
        <w:t xml:space="preserve">¨</w:t>
      </w:r>
      <w:r>
        <w:rPr>
          <w:rFonts w:hint="eastAsia" w:ascii="宋体" w:hAnsi="宋体" w:eastAsia="宋体" w:cs="宋体"/>
          <w:color w:val="auto"/>
          <w:spacing w:val="0"/>
          <w:szCs w:val="21"/>
          <w:u w:val="single"/>
        </w:rPr>
        <w:t xml:space="preserve">中型企业 </w:t>
      </w:r>
      <w:r>
        <w:rPr>
          <w:rFonts w:ascii="Wingdings" w:hAnsi="Wingdings" w:eastAsia="Wingdings" w:cs="Wingdings"/>
          <w:color w:val="auto"/>
          <w:sz w:val="21"/>
          <w:szCs w:val="21"/>
          <w:u w:val="single"/>
        </w:rPr>
        <w:t xml:space="preserve">¨</w:t>
      </w:r>
      <w:r>
        <w:rPr>
          <w:rFonts w:hint="eastAsia" w:ascii="宋体" w:hAnsi="宋体" w:eastAsia="宋体" w:cs="宋体"/>
          <w:color w:val="auto"/>
          <w:spacing w:val="0"/>
          <w:szCs w:val="21"/>
          <w:u w:val="single"/>
        </w:rPr>
        <w:t xml:space="preserve">小型企业 </w:t>
      </w:r>
      <w:r>
        <w:rPr>
          <w:rFonts w:ascii="Wingdings" w:hAnsi="Wingdings" w:eastAsia="Wingdings" w:cs="Wingdings"/>
          <w:color w:val="auto"/>
          <w:sz w:val="21"/>
          <w:szCs w:val="21"/>
          <w:u w:val="single"/>
        </w:rPr>
        <w:t xml:space="preserve">¨</w:t>
      </w:r>
      <w:r>
        <w:rPr>
          <w:rFonts w:hint="eastAsia" w:ascii="宋体" w:hAnsi="宋体" w:eastAsia="宋体" w:cs="宋体"/>
          <w:color w:val="auto"/>
          <w:spacing w:val="0"/>
          <w:szCs w:val="21"/>
          <w:u w:val="single"/>
        </w:rPr>
        <w:t xml:space="preserve">微型企业</w:t>
      </w:r>
      <w:bookmarkEnd w:id="217"/>
      <w:r>
        <w:rPr>
          <w:rFonts w:hint="eastAsia" w:ascii="宋体" w:hAnsi="宋体" w:eastAsia="宋体" w:cs="宋体"/>
          <w:color w:val="auto"/>
          <w:spacing w:val="0"/>
          <w:szCs w:val="21"/>
          <w:u w:val="single"/>
        </w:rPr>
        <w:t xml:space="preserve">）</w:t>
      </w:r>
      <w:r>
        <w:rPr>
          <w:rFonts w:hint="eastAsia" w:ascii="宋体" w:hAnsi="宋体" w:eastAsia="宋体" w:cs="宋体"/>
          <w:color w:val="auto"/>
          <w:spacing w:val="0"/>
          <w:szCs w:val="21"/>
        </w:rPr>
        <w:t xml:space="preserve">； </w:t>
      </w:r>
      <w:r/>
    </w:p>
    <w:p>
      <w:pPr>
        <w:ind w:firstLine="420"/>
        <w:jc w:val="left"/>
        <w:spacing w:line="440" w:lineRule="exact"/>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w:t>
      </w:r>
      <w:r>
        <w:rPr>
          <w:rFonts w:hint="eastAsia" w:ascii="宋体" w:hAnsi="宋体" w:eastAsia="宋体" w:cs="宋体"/>
          <w:color w:val="auto"/>
          <w:spacing w:val="0"/>
          <w:szCs w:val="21"/>
          <w:u w:val="single"/>
        </w:rPr>
        <w:t xml:space="preserve">（</w:t>
      </w:r>
      <w:r>
        <w:rPr>
          <w:rFonts w:hint="eastAsia" w:ascii="宋体" w:hAnsi="宋体" w:eastAsia="宋体" w:cs="宋体"/>
          <w:color w:val="auto"/>
          <w:spacing w:val="0"/>
          <w:szCs w:val="21"/>
          <w:u w:val="single"/>
          <w:lang w:val="en-US" w:eastAsia="zh-CN"/>
        </w:rPr>
        <w:t xml:space="preserve">设备</w:t>
      </w:r>
      <w:r>
        <w:rPr>
          <w:rFonts w:hint="eastAsia" w:ascii="宋体" w:hAnsi="宋体" w:cs="宋体"/>
          <w:color w:val="auto"/>
          <w:spacing w:val="0"/>
          <w:szCs w:val="21"/>
          <w:u w:val="single"/>
          <w:lang w:val="en-US" w:eastAsia="zh-CN"/>
        </w:rPr>
        <w:t xml:space="preserve">2</w:t>
      </w:r>
      <w:r>
        <w:rPr>
          <w:rFonts w:hint="eastAsia" w:ascii="宋体" w:hAnsi="宋体" w:eastAsia="宋体" w:cs="宋体"/>
          <w:color w:val="auto"/>
          <w:spacing w:val="0"/>
          <w:szCs w:val="21"/>
          <w:u w:val="single"/>
        </w:rPr>
        <w:t xml:space="preserve">）</w:t>
      </w:r>
      <w:r>
        <w:rPr>
          <w:rFonts w:hint="eastAsia" w:ascii="宋体" w:hAnsi="宋体" w:cs="宋体"/>
          <w:color w:val="auto"/>
          <w:spacing w:val="0"/>
          <w:szCs w:val="21"/>
          <w:lang w:eastAsia="zh-CN"/>
        </w:rPr>
        <w:t xml:space="preserve">，</w:t>
      </w:r>
      <w:r>
        <w:rPr>
          <w:rFonts w:hint="eastAsia" w:ascii="宋体" w:hAnsi="宋体" w:eastAsia="宋体" w:cs="宋体"/>
          <w:color w:val="auto"/>
          <w:spacing w:val="0"/>
          <w:szCs w:val="21"/>
        </w:rPr>
        <w:t xml:space="preserve">属于</w:t>
      </w:r>
      <w:r>
        <w:rPr>
          <w:rFonts w:hint="eastAsia" w:ascii="宋体" w:hAnsi="宋体" w:eastAsia="宋体" w:cs="宋体"/>
          <w:color w:val="auto"/>
          <w:spacing w:val="0"/>
          <w:szCs w:val="21"/>
          <w:u w:val="single"/>
        </w:rPr>
        <w:t xml:space="preserve">（</w:t>
      </w:r>
      <w:r>
        <w:rPr>
          <w:rFonts w:hint="eastAsia" w:ascii="宋体" w:hAnsi="宋体" w:eastAsia="宋体" w:cs="宋体"/>
          <w:color w:val="auto"/>
          <w:spacing w:val="0"/>
          <w:szCs w:val="21"/>
          <w:u w:val="single"/>
          <w:lang w:val="en-US" w:eastAsia="zh-CN"/>
        </w:rPr>
        <w:t xml:space="preserve">工业</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行业；制造商为</w:t>
      </w:r>
      <w:r>
        <w:rPr>
          <w:rFonts w:hint="eastAsia" w:ascii="宋体" w:hAnsi="宋体" w:eastAsia="宋体" w:cs="宋体"/>
          <w:color w:val="auto"/>
          <w:spacing w:val="0"/>
          <w:szCs w:val="21"/>
          <w:u w:val="single"/>
        </w:rPr>
        <w:t xml:space="preserve">（企业名称）</w:t>
      </w:r>
      <w:r>
        <w:rPr>
          <w:rFonts w:hint="eastAsia" w:ascii="宋体" w:hAnsi="宋体" w:cs="宋体"/>
          <w:color w:val="auto"/>
          <w:spacing w:val="0"/>
          <w:szCs w:val="21"/>
          <w:lang w:eastAsia="zh-CN"/>
        </w:rPr>
        <w:t xml:space="preserve">，</w:t>
      </w:r>
      <w:r>
        <w:rPr>
          <w:rFonts w:hint="eastAsia" w:ascii="宋体" w:hAnsi="宋体" w:eastAsia="宋体" w:cs="宋体"/>
          <w:color w:val="auto"/>
          <w:spacing w:val="0"/>
          <w:szCs w:val="21"/>
        </w:rPr>
        <w:t xml:space="preserve">从业人员</w:t>
      </w:r>
      <w:r>
        <w:rPr>
          <w:rFonts w:hint="eastAsia" w:ascii="宋体" w:hAnsi="宋体" w:eastAsia="宋体" w:cs="宋体"/>
          <w:color w:val="auto"/>
          <w:spacing w:val="0"/>
          <w:szCs w:val="21"/>
          <w:u w:val="single"/>
        </w:rPr>
        <w:tab/>
      </w:r>
      <w:r>
        <w:rPr>
          <w:rFonts w:hint="eastAsia" w:ascii="宋体" w:hAnsi="宋体" w:eastAsia="宋体" w:cs="宋体"/>
          <w:color w:val="auto"/>
          <w:spacing w:val="0"/>
          <w:szCs w:val="21"/>
          <w:u w:val="single"/>
        </w:rPr>
        <w:t xml:space="preserve">人</w:t>
      </w:r>
      <w:r>
        <w:rPr>
          <w:rFonts w:hint="eastAsia" w:ascii="宋体" w:hAnsi="宋体" w:eastAsia="宋体" w:cs="宋体"/>
          <w:color w:val="auto"/>
          <w:spacing w:val="0"/>
          <w:szCs w:val="21"/>
        </w:rPr>
        <w:t xml:space="preserve">，营业收入为</w:t>
      </w:r>
      <w:r>
        <w:rPr>
          <w:rFonts w:hint="eastAsia" w:ascii="宋体" w:hAnsi="宋体" w:eastAsia="宋体" w:cs="宋体"/>
          <w:color w:val="auto"/>
          <w:spacing w:val="0"/>
          <w:szCs w:val="21"/>
          <w:u w:val="single"/>
        </w:rPr>
        <w:tab/>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万元，资产总额为</w:t>
      </w:r>
      <w:r>
        <w:rPr>
          <w:rFonts w:hint="eastAsia" w:ascii="宋体" w:hAnsi="宋体" w:eastAsia="宋体" w:cs="宋体"/>
          <w:color w:val="auto"/>
          <w:spacing w:val="0"/>
          <w:szCs w:val="21"/>
          <w:u w:val="single"/>
        </w:rPr>
        <w:tab/>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万元，属于</w:t>
      </w:r>
      <w:r>
        <w:rPr>
          <w:rFonts w:hint="eastAsia" w:ascii="宋体" w:hAnsi="宋体" w:eastAsia="宋体" w:cs="宋体"/>
          <w:color w:val="auto"/>
          <w:spacing w:val="0"/>
          <w:szCs w:val="21"/>
          <w:u w:val="single"/>
        </w:rPr>
        <w:t xml:space="preserve">（</w:t>
      </w:r>
      <w:r>
        <w:rPr>
          <w:rFonts w:ascii="Wingdings" w:hAnsi="Wingdings" w:eastAsia="Wingdings" w:cs="Wingdings"/>
          <w:color w:val="auto"/>
          <w:sz w:val="21"/>
          <w:szCs w:val="21"/>
          <w:u w:val="single"/>
        </w:rPr>
        <w:t xml:space="preserve">¨</w:t>
      </w:r>
      <w:r>
        <w:rPr>
          <w:rFonts w:hint="eastAsia" w:ascii="宋体" w:hAnsi="宋体" w:eastAsia="宋体" w:cs="宋体"/>
          <w:color w:val="auto"/>
          <w:spacing w:val="0"/>
          <w:szCs w:val="21"/>
          <w:u w:val="single"/>
        </w:rPr>
        <w:t xml:space="preserve">中型企业 </w:t>
      </w:r>
      <w:r>
        <w:rPr>
          <w:rFonts w:ascii="Wingdings" w:hAnsi="Wingdings" w:eastAsia="Wingdings" w:cs="Wingdings"/>
          <w:color w:val="auto"/>
          <w:sz w:val="21"/>
          <w:szCs w:val="21"/>
          <w:u w:val="single"/>
        </w:rPr>
        <w:t xml:space="preserve">¨</w:t>
      </w:r>
      <w:r>
        <w:rPr>
          <w:rFonts w:hint="eastAsia" w:ascii="宋体" w:hAnsi="宋体" w:eastAsia="宋体" w:cs="宋体"/>
          <w:color w:val="auto"/>
          <w:spacing w:val="0"/>
          <w:szCs w:val="21"/>
          <w:u w:val="single"/>
        </w:rPr>
        <w:t xml:space="preserve">小型企业 </w:t>
      </w:r>
      <w:r>
        <w:rPr>
          <w:rFonts w:ascii="Wingdings" w:hAnsi="Wingdings" w:eastAsia="Wingdings" w:cs="Wingdings"/>
          <w:color w:val="auto"/>
          <w:sz w:val="21"/>
          <w:szCs w:val="21"/>
          <w:u w:val="single"/>
        </w:rPr>
        <w:t xml:space="preserve">¨</w:t>
      </w:r>
      <w:r>
        <w:rPr>
          <w:rFonts w:hint="eastAsia" w:ascii="宋体" w:hAnsi="宋体" w:eastAsia="宋体" w:cs="宋体"/>
          <w:color w:val="auto"/>
          <w:spacing w:val="0"/>
          <w:szCs w:val="21"/>
          <w:u w:val="single"/>
        </w:rPr>
        <w:t xml:space="preserve">微型企业</w:t>
      </w:r>
      <w:r>
        <w:rPr>
          <w:rFonts w:hint="eastAsia" w:ascii="宋体" w:hAnsi="宋体" w:eastAsia="宋体" w:cs="宋体"/>
          <w:color w:val="auto"/>
          <w:spacing w:val="0"/>
          <w:szCs w:val="21"/>
          <w:u w:val="single"/>
        </w:rPr>
        <w:t xml:space="preserve">）</w:t>
      </w:r>
      <w:r>
        <w:rPr>
          <w:rFonts w:hint="eastAsia" w:ascii="宋体" w:hAnsi="宋体" w:eastAsia="宋体" w:cs="宋体"/>
          <w:color w:val="auto"/>
          <w:spacing w:val="0"/>
          <w:szCs w:val="21"/>
        </w:rPr>
        <w:t xml:space="preserve">；</w:t>
      </w:r>
      <w:r/>
    </w:p>
    <w:p>
      <w:pPr>
        <w:ind w:firstLine="420"/>
        <w:jc w:val="left"/>
        <w:spacing w:line="440" w:lineRule="exact"/>
        <w:widowControl/>
        <w:rPr>
          <w:rFonts w:hint="eastAsia" w:ascii="宋体" w:hAnsi="宋体" w:eastAsia="宋体" w:cs="宋体"/>
          <w:color w:val="auto"/>
          <w:spacing w:val="0"/>
          <w:lang w:eastAsia="zh-CN"/>
        </w:rPr>
      </w:pPr>
      <w:r>
        <w:rPr>
          <w:rFonts w:hint="eastAsia" w:ascii="宋体" w:hAnsi="宋体" w:cs="宋体"/>
          <w:color w:val="auto"/>
          <w:spacing w:val="0"/>
          <w:lang w:eastAsia="zh-CN"/>
        </w:rPr>
        <w:t xml:space="preserve">……</w:t>
      </w:r>
      <w:r/>
    </w:p>
    <w:p>
      <w:pPr>
        <w:ind w:firstLine="420"/>
        <w:jc w:val="left"/>
        <w:spacing w:line="440" w:lineRule="exact"/>
        <w:widowControl/>
        <w:rPr>
          <w:rFonts w:hint="eastAsia" w:ascii="宋体" w:hAnsi="宋体" w:eastAsia="宋体" w:cs="宋体"/>
          <w:color w:val="auto"/>
          <w:spacing w:val="0"/>
          <w:szCs w:val="21"/>
        </w:rPr>
      </w:pPr>
      <w:r>
        <w:rPr>
          <w:rFonts w:hint="eastAsia" w:ascii="宋体" w:hAnsi="宋体" w:cs="宋体"/>
          <w:color w:val="auto"/>
          <w:spacing w:val="0"/>
          <w:szCs w:val="21"/>
          <w:lang w:val="en-US" w:eastAsia="zh-CN"/>
        </w:rPr>
        <w:t xml:space="preserve">37</w:t>
      </w:r>
      <w:r>
        <w:rPr>
          <w:rFonts w:hint="eastAsia" w:ascii="宋体" w:hAnsi="宋体" w:eastAsia="宋体" w:cs="宋体"/>
          <w:color w:val="auto"/>
          <w:spacing w:val="0"/>
          <w:szCs w:val="21"/>
        </w:rPr>
        <w:t xml:space="preserve">.</w:t>
      </w:r>
      <w:r>
        <w:rPr>
          <w:rFonts w:hint="eastAsia" w:ascii="宋体" w:hAnsi="宋体" w:eastAsia="宋体" w:cs="宋体"/>
          <w:color w:val="auto"/>
          <w:spacing w:val="0"/>
          <w:szCs w:val="21"/>
          <w:u w:val="single"/>
        </w:rPr>
        <w:t xml:space="preserve">（</w:t>
      </w:r>
      <w:r>
        <w:rPr>
          <w:rFonts w:hint="eastAsia" w:ascii="宋体" w:hAnsi="宋体" w:eastAsia="宋体" w:cs="宋体"/>
          <w:color w:val="auto"/>
          <w:spacing w:val="0"/>
          <w:szCs w:val="21"/>
          <w:u w:val="single"/>
          <w:lang w:val="en-US" w:eastAsia="zh-CN"/>
        </w:rPr>
        <w:t xml:space="preserve">设备</w:t>
      </w:r>
      <w:r>
        <w:rPr>
          <w:rFonts w:hint="eastAsia" w:ascii="宋体" w:hAnsi="宋体" w:cs="宋体"/>
          <w:color w:val="auto"/>
          <w:spacing w:val="0"/>
          <w:szCs w:val="21"/>
          <w:u w:val="single"/>
          <w:lang w:val="en-US" w:eastAsia="zh-CN"/>
        </w:rPr>
        <w:t xml:space="preserve">37</w:t>
      </w:r>
      <w:r>
        <w:rPr>
          <w:rFonts w:hint="eastAsia" w:ascii="宋体" w:hAnsi="宋体" w:eastAsia="宋体" w:cs="宋体"/>
          <w:color w:val="auto"/>
          <w:spacing w:val="0"/>
          <w:szCs w:val="21"/>
          <w:u w:val="single"/>
        </w:rPr>
        <w:t xml:space="preserve">）</w:t>
      </w:r>
      <w:r>
        <w:rPr>
          <w:rFonts w:hint="eastAsia" w:ascii="宋体" w:hAnsi="宋体" w:cs="宋体"/>
          <w:color w:val="auto"/>
          <w:spacing w:val="0"/>
          <w:szCs w:val="21"/>
          <w:lang w:eastAsia="zh-CN"/>
        </w:rPr>
        <w:t xml:space="preserve">，</w:t>
      </w:r>
      <w:r>
        <w:rPr>
          <w:rFonts w:hint="eastAsia" w:ascii="宋体" w:hAnsi="宋体" w:eastAsia="宋体" w:cs="宋体"/>
          <w:color w:val="auto"/>
          <w:spacing w:val="0"/>
          <w:szCs w:val="21"/>
        </w:rPr>
        <w:t xml:space="preserve">属于</w:t>
      </w:r>
      <w:r>
        <w:rPr>
          <w:rFonts w:hint="eastAsia" w:ascii="宋体" w:hAnsi="宋体" w:eastAsia="宋体" w:cs="宋体"/>
          <w:color w:val="auto"/>
          <w:spacing w:val="0"/>
          <w:szCs w:val="21"/>
          <w:u w:val="single"/>
        </w:rPr>
        <w:t xml:space="preserve">（</w:t>
      </w:r>
      <w:r>
        <w:rPr>
          <w:rFonts w:hint="eastAsia" w:ascii="宋体" w:hAnsi="宋体" w:eastAsia="宋体" w:cs="宋体"/>
          <w:color w:val="auto"/>
          <w:spacing w:val="0"/>
          <w:szCs w:val="21"/>
          <w:u w:val="single"/>
          <w:lang w:val="en-US" w:eastAsia="zh-CN"/>
        </w:rPr>
        <w:t xml:space="preserve">工业</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行业；制造商为</w:t>
      </w:r>
      <w:r>
        <w:rPr>
          <w:rFonts w:hint="eastAsia" w:ascii="宋体" w:hAnsi="宋体" w:eastAsia="宋体" w:cs="宋体"/>
          <w:color w:val="auto"/>
          <w:spacing w:val="0"/>
          <w:szCs w:val="21"/>
          <w:u w:val="single"/>
        </w:rPr>
        <w:t xml:space="preserve">（企业名称）</w:t>
      </w:r>
      <w:r>
        <w:rPr>
          <w:rFonts w:hint="eastAsia" w:ascii="宋体" w:hAnsi="宋体" w:cs="宋体"/>
          <w:color w:val="auto"/>
          <w:spacing w:val="0"/>
          <w:szCs w:val="21"/>
          <w:lang w:eastAsia="zh-CN"/>
        </w:rPr>
        <w:t xml:space="preserve">，</w:t>
      </w:r>
      <w:r>
        <w:rPr>
          <w:rFonts w:hint="eastAsia" w:ascii="宋体" w:hAnsi="宋体" w:eastAsia="宋体" w:cs="宋体"/>
          <w:color w:val="auto"/>
          <w:spacing w:val="0"/>
          <w:szCs w:val="21"/>
        </w:rPr>
        <w:t xml:space="preserve">从业人员</w:t>
      </w:r>
      <w:r>
        <w:rPr>
          <w:rFonts w:hint="eastAsia" w:ascii="宋体" w:hAnsi="宋体" w:eastAsia="宋体" w:cs="宋体"/>
          <w:color w:val="auto"/>
          <w:spacing w:val="0"/>
          <w:szCs w:val="21"/>
          <w:u w:val="single"/>
        </w:rPr>
        <w:tab/>
      </w:r>
      <w:r>
        <w:rPr>
          <w:rFonts w:hint="eastAsia" w:ascii="宋体" w:hAnsi="宋体" w:eastAsia="宋体" w:cs="宋体"/>
          <w:color w:val="auto"/>
          <w:spacing w:val="0"/>
          <w:szCs w:val="21"/>
          <w:u w:val="single"/>
        </w:rPr>
        <w:t xml:space="preserve">人</w:t>
      </w:r>
      <w:r>
        <w:rPr>
          <w:rFonts w:hint="eastAsia" w:ascii="宋体" w:hAnsi="宋体" w:eastAsia="宋体" w:cs="宋体"/>
          <w:color w:val="auto"/>
          <w:spacing w:val="0"/>
          <w:szCs w:val="21"/>
        </w:rPr>
        <w:t xml:space="preserve">，营业收入为</w:t>
      </w:r>
      <w:r>
        <w:rPr>
          <w:rFonts w:hint="eastAsia" w:ascii="宋体" w:hAnsi="宋体" w:eastAsia="宋体" w:cs="宋体"/>
          <w:color w:val="auto"/>
          <w:spacing w:val="0"/>
          <w:szCs w:val="21"/>
          <w:u w:val="single"/>
        </w:rPr>
        <w:tab/>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万元，资产总额为</w:t>
      </w:r>
      <w:r>
        <w:rPr>
          <w:rFonts w:hint="eastAsia" w:ascii="宋体" w:hAnsi="宋体" w:eastAsia="宋体" w:cs="宋体"/>
          <w:color w:val="auto"/>
          <w:spacing w:val="0"/>
          <w:szCs w:val="21"/>
          <w:u w:val="single"/>
        </w:rPr>
        <w:tab/>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万元，属于</w:t>
      </w:r>
      <w:r>
        <w:rPr>
          <w:rFonts w:hint="eastAsia" w:ascii="宋体" w:hAnsi="宋体" w:eastAsia="宋体" w:cs="宋体"/>
          <w:color w:val="auto"/>
          <w:spacing w:val="0"/>
          <w:szCs w:val="21"/>
          <w:u w:val="single"/>
        </w:rPr>
        <w:t xml:space="preserve">（</w:t>
      </w:r>
      <w:r>
        <w:rPr>
          <w:rFonts w:ascii="Wingdings" w:hAnsi="Wingdings" w:eastAsia="Wingdings" w:cs="Wingdings"/>
          <w:color w:val="auto"/>
          <w:sz w:val="21"/>
          <w:szCs w:val="21"/>
          <w:u w:val="single"/>
        </w:rPr>
        <w:t xml:space="preserve">¨</w:t>
      </w:r>
      <w:r>
        <w:rPr>
          <w:rFonts w:hint="eastAsia" w:ascii="宋体" w:hAnsi="宋体" w:eastAsia="宋体" w:cs="宋体"/>
          <w:color w:val="auto"/>
          <w:spacing w:val="0"/>
          <w:szCs w:val="21"/>
          <w:u w:val="single"/>
        </w:rPr>
        <w:t xml:space="preserve">中型企业 </w:t>
      </w:r>
      <w:r>
        <w:rPr>
          <w:rFonts w:ascii="Wingdings" w:hAnsi="Wingdings" w:eastAsia="Wingdings" w:cs="Wingdings"/>
          <w:color w:val="auto"/>
          <w:sz w:val="21"/>
          <w:szCs w:val="21"/>
          <w:u w:val="single"/>
        </w:rPr>
        <w:t xml:space="preserve">¨</w:t>
      </w:r>
      <w:r>
        <w:rPr>
          <w:rFonts w:hint="eastAsia" w:ascii="宋体" w:hAnsi="宋体" w:eastAsia="宋体" w:cs="宋体"/>
          <w:color w:val="auto"/>
          <w:spacing w:val="0"/>
          <w:szCs w:val="21"/>
          <w:u w:val="single"/>
        </w:rPr>
        <w:t xml:space="preserve">小型企业 </w:t>
      </w:r>
      <w:r>
        <w:rPr>
          <w:rFonts w:ascii="Wingdings" w:hAnsi="Wingdings" w:eastAsia="Wingdings" w:cs="Wingdings"/>
          <w:color w:val="auto"/>
          <w:sz w:val="21"/>
          <w:szCs w:val="21"/>
          <w:u w:val="single"/>
        </w:rPr>
        <w:t xml:space="preserve">¨</w:t>
      </w:r>
      <w:r>
        <w:rPr>
          <w:rFonts w:hint="eastAsia" w:ascii="宋体" w:hAnsi="宋体" w:eastAsia="宋体" w:cs="宋体"/>
          <w:color w:val="auto"/>
          <w:spacing w:val="0"/>
          <w:szCs w:val="21"/>
          <w:u w:val="single"/>
        </w:rPr>
        <w:t xml:space="preserve">微型企业</w:t>
      </w:r>
      <w:r>
        <w:rPr>
          <w:rFonts w:hint="eastAsia" w:ascii="宋体" w:hAnsi="宋体" w:eastAsia="宋体" w:cs="宋体"/>
          <w:color w:val="auto"/>
          <w:spacing w:val="0"/>
          <w:szCs w:val="21"/>
          <w:u w:val="single"/>
        </w:rPr>
        <w:t xml:space="preserve">）</w:t>
      </w:r>
      <w:r>
        <w:rPr>
          <w:rFonts w:hint="eastAsia" w:ascii="宋体" w:hAnsi="宋体" w:eastAsia="宋体" w:cs="宋体"/>
          <w:color w:val="auto"/>
          <w:spacing w:val="0"/>
          <w:szCs w:val="21"/>
        </w:rPr>
        <w:t xml:space="preserve">；</w:t>
      </w:r>
      <w:r/>
    </w:p>
    <w:p>
      <w:pPr>
        <w:ind w:firstLine="420"/>
        <w:jc w:val="left"/>
        <w:spacing w:line="440" w:lineRule="exact"/>
        <w:widowControl/>
        <w:rPr>
          <w:rFonts w:hint="eastAsia" w:ascii="宋体" w:hAnsi="宋体" w:eastAsia="宋体" w:cs="宋体"/>
          <w:color w:val="auto"/>
          <w:spacing w:val="0"/>
        </w:rPr>
      </w:pPr>
      <w:r>
        <w:rPr>
          <w:rFonts w:hint="eastAsia" w:ascii="宋体" w:hAnsi="宋体" w:eastAsia="宋体" w:cs="宋体"/>
          <w:color w:val="auto"/>
          <w:spacing w:val="0"/>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eastAsia="宋体" w:cs="宋体"/>
          <w:color w:val="auto"/>
          <w:spacing w:val="0"/>
        </w:rPr>
      </w:pPr>
      <w:r>
        <w:rPr>
          <w:rFonts w:hint="eastAsia" w:ascii="宋体" w:hAnsi="宋体" w:eastAsia="宋体" w:cs="宋体"/>
          <w:color w:val="auto"/>
          <w:spacing w:val="0"/>
        </w:rPr>
        <w:t xml:space="preserve">本企业对上述声明内容的真实性负责。如有虚假，将依法承担相应责任。</w:t>
      </w:r>
      <w:r/>
    </w:p>
    <w:p>
      <w:pPr>
        <w:ind w:firstLine="420"/>
        <w:jc w:val="right"/>
        <w:spacing w:line="440" w:lineRule="exact"/>
        <w:widowControl/>
        <w:rPr>
          <w:rFonts w:hint="eastAsia" w:ascii="宋体" w:hAnsi="宋体" w:eastAsia="宋体" w:cs="宋体"/>
          <w:color w:val="auto"/>
          <w:spacing w:val="0"/>
        </w:rPr>
      </w:pPr>
      <w:r>
        <w:rPr>
          <w:rFonts w:hint="eastAsia" w:ascii="宋体" w:hAnsi="宋体" w:eastAsia="宋体" w:cs="宋体"/>
          <w:color w:val="auto"/>
          <w:spacing w:val="0"/>
        </w:rPr>
        <w:t xml:space="preserve">企业名称：（</w:t>
      </w:r>
      <w:r>
        <w:rPr>
          <w:rFonts w:hint="eastAsia" w:ascii="宋体" w:hAnsi="宋体" w:eastAsia="宋体" w:cs="宋体"/>
          <w:color w:val="auto"/>
          <w:spacing w:val="0"/>
          <w:szCs w:val="21"/>
        </w:rPr>
        <w:t xml:space="preserve">加盖电子公章</w:t>
      </w:r>
      <w:r>
        <w:rPr>
          <w:rFonts w:hint="eastAsia" w:ascii="宋体" w:hAnsi="宋体" w:eastAsia="宋体" w:cs="宋体"/>
          <w:color w:val="auto"/>
          <w:spacing w:val="0"/>
        </w:rPr>
        <w:t xml:space="preserve">）</w:t>
      </w:r>
      <w:r/>
    </w:p>
    <w:p>
      <w:pPr>
        <w:ind w:right="1890" w:firstLine="420"/>
        <w:jc w:val="right"/>
        <w:spacing w:line="440" w:lineRule="exact"/>
        <w:widowControl/>
        <w:rPr>
          <w:rFonts w:hint="eastAsia" w:ascii="宋体" w:hAnsi="宋体" w:eastAsia="宋体" w:cs="宋体"/>
          <w:color w:val="auto"/>
          <w:spacing w:val="0"/>
        </w:rPr>
      </w:pPr>
      <w:r>
        <w:rPr>
          <w:rFonts w:hint="eastAsia" w:ascii="宋体" w:hAnsi="宋体" w:eastAsia="宋体" w:cs="宋体"/>
          <w:color w:val="auto"/>
          <w:spacing w:val="0"/>
        </w:rPr>
        <w:t xml:space="preserve">日  期：</w:t>
      </w:r>
      <w:r/>
    </w:p>
    <w:p>
      <w:pPr>
        <w:ind w:firstLine="422"/>
        <w:jc w:val="left"/>
        <w:spacing w:line="440" w:lineRule="exact"/>
        <w:widowControl/>
        <w:rPr>
          <w:rFonts w:hint="eastAsia" w:ascii="宋体" w:hAnsi="宋体" w:eastAsia="宋体" w:cs="宋体"/>
          <w:b/>
          <w:bCs/>
          <w:color w:val="auto"/>
          <w:spacing w:val="0"/>
        </w:rPr>
      </w:pPr>
      <w:r/>
      <w:bookmarkStart w:id="218" w:name="_Hlk223532636"/>
      <w:r>
        <w:rPr>
          <w:rFonts w:hint="eastAsia" w:ascii="宋体" w:hAnsi="宋体" w:eastAsia="宋体" w:cs="宋体"/>
          <w:b/>
          <w:bCs/>
          <w:color w:val="auto"/>
          <w:spacing w:val="0"/>
        </w:rPr>
        <w:t xml:space="preserve">备注：1. 投标人在所属企业类型前的</w:t>
      </w:r>
      <w:r>
        <w:rPr>
          <w:rFonts w:ascii="Wingdings" w:hAnsi="Wingdings" w:eastAsia="Wingdings" w:cs="Wingdings"/>
          <w:color w:val="auto"/>
          <w:sz w:val="21"/>
          <w:szCs w:val="21"/>
          <w:u w:val="single"/>
        </w:rPr>
        <w:t xml:space="preserve">¨</w:t>
      </w:r>
      <w:r>
        <w:rPr>
          <w:rFonts w:hint="eastAsia" w:ascii="宋体" w:hAnsi="宋体" w:eastAsia="宋体" w:cs="宋体"/>
          <w:b/>
          <w:bCs/>
          <w:color w:val="auto"/>
          <w:spacing w:val="0"/>
        </w:rPr>
        <w:t xml:space="preserve">内打“√”。</w:t>
      </w:r>
      <w:r/>
    </w:p>
    <w:p>
      <w:pPr>
        <w:ind w:firstLine="1054"/>
        <w:jc w:val="left"/>
        <w:spacing w:line="440" w:lineRule="exact"/>
        <w:widowControl/>
        <w:rPr>
          <w:rFonts w:hint="eastAsia" w:ascii="宋体" w:hAnsi="宋体" w:eastAsia="宋体" w:cs="宋体"/>
          <w:b/>
          <w:bCs/>
          <w:color w:val="auto"/>
          <w:spacing w:val="0"/>
        </w:rPr>
      </w:pPr>
      <w:r>
        <w:rPr>
          <w:rFonts w:hint="eastAsia" w:ascii="宋体" w:hAnsi="宋体" w:eastAsia="宋体" w:cs="宋体"/>
          <w:b/>
          <w:bCs/>
          <w:color w:val="auto"/>
          <w:spacing w:val="0"/>
        </w:rPr>
        <w:t xml:space="preserve">2.</w:t>
      </w:r>
      <w:bookmarkStart w:id="219" w:name="OLE_LINK59"/>
      <w:r>
        <w:rPr>
          <w:rFonts w:hint="eastAsia" w:ascii="宋体" w:hAnsi="宋体" w:eastAsia="宋体" w:cs="宋体"/>
          <w:b/>
          <w:bCs/>
          <w:color w:val="auto"/>
          <w:spacing w:val="0"/>
        </w:rPr>
        <w:t xml:space="preserve">“中小企业划型标准”详见《关于印发中小企业划型标准规定的通知》工信部联企业〔2011〕300号及《国家统计局关于印发&lt;统计上大中小微型企业划分办法（2017）&gt;的通知》国统字〔2017〕213号）</w:t>
      </w:r>
      <w:bookmarkEnd w:id="218"/>
      <w:r/>
      <w:bookmarkEnd w:id="219"/>
      <w:r/>
      <w:r/>
    </w:p>
    <w:p>
      <w:pPr>
        <w:ind w:firstLine="1054"/>
        <w:jc w:val="left"/>
        <w:spacing w:line="440" w:lineRule="exact"/>
        <w:widowControl/>
        <w:rPr>
          <w:rFonts w:hint="eastAsia" w:ascii="宋体" w:hAnsi="宋体" w:eastAsia="宋体" w:cs="宋体"/>
          <w:b/>
          <w:bCs/>
          <w:color w:val="auto"/>
          <w:spacing w:val="0"/>
        </w:rPr>
      </w:pPr>
      <w:r>
        <w:rPr>
          <w:rFonts w:hint="eastAsia" w:ascii="宋体" w:hAnsi="宋体" w:eastAsia="宋体" w:cs="宋体"/>
          <w:b/>
          <w:bCs/>
          <w:color w:val="auto"/>
          <w:spacing w:val="0"/>
        </w:rPr>
        <w:t xml:space="preserve">3.</w:t>
      </w:r>
      <w:r>
        <w:rPr>
          <w:rFonts w:hint="eastAsia" w:ascii="宋体" w:hAnsi="宋体" w:eastAsia="宋体" w:cs="宋体"/>
          <w:b/>
          <w:bCs/>
          <w:color w:val="auto"/>
          <w:spacing w:val="0"/>
        </w:rPr>
        <w:t xml:space="preserve"> </w:t>
      </w:r>
      <w:r>
        <w:rPr>
          <w:rFonts w:hint="eastAsia" w:ascii="宋体" w:hAnsi="宋体" w:eastAsia="宋体" w:cs="宋体"/>
          <w:b/>
          <w:bCs/>
          <w:color w:val="auto"/>
          <w:spacing w:val="0"/>
        </w:rPr>
        <w:t xml:space="preserve">货物采购项目中，货物由中小企业制造（即货物由中小企业生产且使用该中小企业商号或者注册商标），不对其中涉及的服务的承接商、工程的承建商作出要求。</w:t>
      </w:r>
      <w:r/>
    </w:p>
    <w:p>
      <w:pPr>
        <w:ind w:firstLine="1054"/>
        <w:jc w:val="left"/>
        <w:spacing w:line="440" w:lineRule="exact"/>
        <w:widowControl/>
        <w:rPr>
          <w:rFonts w:hint="eastAsia" w:ascii="宋体" w:hAnsi="宋体" w:eastAsia="宋体" w:cs="宋体"/>
          <w:b/>
          <w:bCs/>
          <w:color w:val="auto"/>
          <w:spacing w:val="0"/>
        </w:rPr>
      </w:pPr>
      <w:r>
        <w:rPr>
          <w:rFonts w:hint="eastAsia" w:ascii="宋体" w:hAnsi="宋体" w:eastAsia="宋体" w:cs="宋体"/>
          <w:b/>
          <w:bCs/>
          <w:color w:val="auto"/>
          <w:spacing w:val="0"/>
        </w:rPr>
        <w:t xml:space="preserve">4.货物采购项目中，投标人提供的货物既有中小企业制造货物，也有大型企业制造货物的，不享受中小企业扶持政策。</w:t>
      </w:r>
      <w:r/>
    </w:p>
    <w:p>
      <w:pPr>
        <w:spacing w:line="360" w:lineRule="auto"/>
        <w:rPr>
          <w:rFonts w:hint="eastAsia" w:ascii="宋体" w:hAnsi="宋体" w:eastAsia="宋体" w:cs="宋体"/>
          <w:b/>
          <w:bCs/>
          <w:color w:val="auto"/>
          <w:spacing w:val="0"/>
          <w:sz w:val="28"/>
        </w:rPr>
      </w:pPr>
      <w:r>
        <w:rPr>
          <w:rFonts w:hint="eastAsia" w:ascii="宋体" w:hAnsi="宋体" w:eastAsia="宋体" w:cs="宋体"/>
          <w:b/>
          <w:bCs/>
          <w:color w:val="auto"/>
          <w:spacing w:val="0"/>
          <w:sz w:val="28"/>
        </w:rPr>
      </w:r>
      <w:r/>
    </w:p>
    <w:p>
      <w:pPr>
        <w:spacing w:line="360" w:lineRule="auto"/>
        <w:rPr>
          <w:rFonts w:hint="eastAsia" w:ascii="宋体" w:hAnsi="宋体" w:eastAsia="宋体" w:cs="宋体"/>
          <w:b/>
          <w:bCs/>
          <w:color w:val="auto"/>
          <w:spacing w:val="0"/>
          <w:sz w:val="28"/>
        </w:rPr>
      </w:pPr>
      <w:r>
        <w:rPr>
          <w:rFonts w:hint="eastAsia" w:ascii="宋体" w:hAnsi="宋体" w:eastAsia="宋体" w:cs="宋体"/>
          <w:b/>
          <w:bCs/>
          <w:color w:val="auto"/>
          <w:spacing w:val="0"/>
          <w:sz w:val="28"/>
        </w:rPr>
      </w:r>
      <w:r/>
    </w:p>
    <w:p>
      <w:pPr>
        <w:spacing w:line="360" w:lineRule="auto"/>
        <w:rPr>
          <w:rFonts w:hint="eastAsia" w:ascii="宋体" w:hAnsi="宋体" w:eastAsia="宋体" w:cs="宋体"/>
          <w:b/>
          <w:bCs/>
          <w:color w:val="auto"/>
          <w:spacing w:val="0"/>
          <w:sz w:val="28"/>
        </w:rPr>
      </w:pPr>
      <w:r>
        <w:rPr>
          <w:rFonts w:hint="eastAsia" w:ascii="宋体" w:hAnsi="宋体" w:eastAsia="宋体" w:cs="宋体"/>
          <w:b/>
          <w:bCs/>
          <w:color w:val="auto"/>
          <w:spacing w:val="0"/>
          <w:sz w:val="28"/>
        </w:rPr>
      </w:r>
      <w:r/>
    </w:p>
    <w:p>
      <w:pPr>
        <w:spacing w:line="360" w:lineRule="auto"/>
        <w:rPr>
          <w:rFonts w:hint="eastAsia" w:ascii="宋体" w:hAnsi="宋体" w:eastAsia="宋体" w:cs="宋体"/>
          <w:b/>
          <w:bCs/>
          <w:color w:val="auto"/>
          <w:spacing w:val="0"/>
          <w:sz w:val="28"/>
        </w:rPr>
      </w:pPr>
      <w:r>
        <w:rPr>
          <w:rFonts w:hint="eastAsia" w:ascii="宋体" w:hAnsi="宋体" w:eastAsia="宋体" w:cs="宋体"/>
          <w:b/>
          <w:bCs/>
          <w:color w:val="auto"/>
          <w:spacing w:val="0"/>
          <w:sz w:val="28"/>
        </w:rPr>
      </w:r>
      <w:bookmarkEnd w:id="214"/>
      <w:r/>
      <w:r/>
    </w:p>
    <w:p>
      <w:pPr>
        <w:rPr>
          <w:rFonts w:hint="eastAsia" w:ascii="宋体" w:hAnsi="宋体" w:eastAsia="宋体" w:cs="宋体"/>
          <w:b/>
          <w:bCs/>
          <w:color w:val="auto"/>
          <w:spacing w:val="0"/>
          <w:sz w:val="28"/>
        </w:rPr>
      </w:pPr>
      <w:r>
        <w:rPr>
          <w:rFonts w:hint="eastAsia" w:ascii="宋体" w:hAnsi="宋体" w:eastAsia="宋体" w:cs="宋体"/>
          <w:b/>
          <w:bCs/>
          <w:color w:val="auto"/>
          <w:spacing w:val="0"/>
          <w:sz w:val="28"/>
        </w:rPr>
      </w:r>
      <w:r/>
    </w:p>
    <w:p>
      <w:pPr>
        <w:jc w:val="center"/>
        <w:spacing w:line="360" w:lineRule="auto"/>
        <w:rPr>
          <w:rFonts w:hint="eastAsia" w:ascii="宋体" w:hAnsi="宋体" w:eastAsia="宋体" w:cs="宋体"/>
          <w:b/>
          <w:bCs/>
          <w:color w:val="auto"/>
          <w:spacing w:val="0"/>
          <w:sz w:val="28"/>
        </w:rPr>
      </w:pPr>
      <w:r>
        <w:rPr>
          <w:rFonts w:hint="eastAsia" w:ascii="宋体" w:hAnsi="宋体" w:eastAsia="宋体" w:cs="宋体"/>
          <w:b/>
          <w:bCs/>
          <w:color w:val="auto"/>
          <w:spacing w:val="0"/>
          <w:sz w:val="28"/>
        </w:rPr>
        <w:t xml:space="preserve">残疾人福利性单位声明函</w:t>
      </w:r>
      <w:bookmarkEnd w:id="215"/>
      <w:r/>
      <w:bookmarkEnd w:id="216"/>
      <w:r/>
      <w:r/>
    </w:p>
    <w:p>
      <w:pPr>
        <w:ind w:firstLine="420"/>
        <w:jc w:val="left"/>
        <w:spacing w:line="440" w:lineRule="exact"/>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本单位对上述声明的真实性负责。如有虚假，将依法承担相应责任。</w:t>
      </w:r>
      <w:r/>
    </w:p>
    <w:p>
      <w:pPr>
        <w:ind w:firstLine="5040"/>
        <w:jc w:val="left"/>
        <w:spacing w:line="440" w:lineRule="exact"/>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单位名称：（加盖电子公章）</w:t>
      </w:r>
      <w:r/>
    </w:p>
    <w:p>
      <w:pPr>
        <w:ind w:firstLine="5040"/>
        <w:jc w:val="left"/>
        <w:spacing w:line="440" w:lineRule="exact"/>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日  期：</w:t>
      </w:r>
      <w:r/>
    </w:p>
    <w:p>
      <w:pPr>
        <w:spacing w:line="360" w:lineRule="auto"/>
        <w:rPr>
          <w:rFonts w:hint="eastAsia" w:ascii="宋体" w:hAnsi="宋体" w:eastAsia="宋体" w:cs="宋体"/>
          <w:b/>
          <w:bCs/>
          <w:color w:val="auto"/>
          <w:spacing w:val="0"/>
        </w:rPr>
      </w:pPr>
      <w:r>
        <w:rPr>
          <w:rFonts w:hint="eastAsia" w:ascii="宋体" w:hAnsi="宋体" w:eastAsia="宋体" w:cs="宋体"/>
          <w:b/>
          <w:bCs/>
          <w:color w:val="auto"/>
          <w:spacing w:val="0"/>
        </w:rPr>
      </w:r>
      <w:r/>
    </w:p>
    <w:p>
      <w:pPr>
        <w:jc w:val="center"/>
        <w:spacing w:line="360" w:lineRule="auto"/>
        <w:rPr>
          <w:rFonts w:hint="eastAsia" w:ascii="宋体" w:hAnsi="宋体" w:eastAsia="宋体" w:cs="宋体"/>
          <w:b/>
          <w:bCs/>
          <w:color w:val="auto"/>
          <w:spacing w:val="0"/>
          <w:sz w:val="28"/>
        </w:rPr>
      </w:pPr>
      <w:r>
        <w:rPr>
          <w:rFonts w:hint="eastAsia" w:ascii="宋体" w:hAnsi="宋体" w:eastAsia="宋体" w:cs="宋体"/>
          <w:b/>
          <w:bCs/>
          <w:color w:val="auto"/>
          <w:spacing w:val="0"/>
          <w:sz w:val="28"/>
        </w:rPr>
        <w:t xml:space="preserve">属于监狱企业的证明文件</w:t>
      </w:r>
      <w:r/>
    </w:p>
    <w:p>
      <w:pPr>
        <w:spacing w:line="360" w:lineRule="auto"/>
        <w:rPr>
          <w:rFonts w:hint="eastAsia" w:ascii="宋体" w:hAnsi="宋体" w:eastAsia="宋体" w:cs="宋体"/>
          <w:color w:val="auto"/>
          <w:spacing w:val="0"/>
        </w:rPr>
      </w:pPr>
      <w:r>
        <w:rPr>
          <w:rFonts w:hint="eastAsia" w:ascii="宋体" w:hAnsi="宋体" w:eastAsia="宋体" w:cs="宋体"/>
          <w:color w:val="auto"/>
          <w:spacing w:val="0"/>
        </w:rPr>
        <w:t xml:space="preserve">（提供由省级以上监狱管理局、戒毒管理局(含新疆生产建设兵团)出具的属于监狱企业的证明文件）</w:t>
      </w:r>
      <w:r/>
    </w:p>
    <w:p>
      <w:pPr>
        <w:spacing w:line="360" w:lineRule="auto"/>
        <w:rPr>
          <w:rFonts w:hint="eastAsia" w:ascii="宋体" w:hAnsi="宋体" w:eastAsia="宋体" w:cs="宋体"/>
          <w:color w:val="auto"/>
          <w:spacing w:val="0"/>
        </w:rPr>
      </w:pPr>
      <w:r>
        <w:rPr>
          <w:rFonts w:hint="eastAsia" w:ascii="宋体" w:hAnsi="宋体" w:eastAsia="宋体" w:cs="宋体"/>
          <w:color w:val="auto"/>
          <w:spacing w:val="0"/>
        </w:rPr>
      </w:r>
      <w:r/>
    </w:p>
    <w:p>
      <w:pPr>
        <w:jc w:val="center"/>
        <w:spacing w:line="360" w:lineRule="auto"/>
        <w:rPr>
          <w:rFonts w:hint="eastAsia" w:ascii="宋体" w:hAnsi="宋体" w:eastAsia="宋体" w:cs="宋体"/>
          <w:b/>
          <w:bCs/>
          <w:color w:val="auto"/>
          <w:spacing w:val="0"/>
          <w:sz w:val="28"/>
          <w:szCs w:val="28"/>
          <w:lang w:val="zh-CN"/>
        </w:rPr>
      </w:pPr>
      <w:r>
        <w:rPr>
          <w:rFonts w:hint="eastAsia" w:ascii="宋体" w:hAnsi="宋体" w:eastAsia="宋体" w:cs="宋体"/>
          <w:b/>
          <w:bCs/>
          <w:color w:val="auto"/>
          <w:spacing w:val="0"/>
          <w:sz w:val="28"/>
          <w:szCs w:val="28"/>
          <w:lang w:val="zh-CN"/>
        </w:rPr>
        <w:t xml:space="preserve">节能产品认证证书</w:t>
      </w:r>
      <w:r/>
    </w:p>
    <w:p>
      <w:pPr>
        <w:jc w:val="center"/>
        <w:spacing w:line="360" w:lineRule="auto"/>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t xml:space="preserve">（提供国家确定的认证机构出具的、处于有效期之内的产品认证证书）</w:t>
      </w:r>
      <w:r/>
    </w:p>
    <w:p>
      <w:pPr>
        <w:spacing w:line="360" w:lineRule="auto"/>
        <w:rPr>
          <w:rFonts w:hint="eastAsia" w:ascii="宋体" w:hAnsi="宋体" w:eastAsia="宋体" w:cs="宋体"/>
          <w:b/>
          <w:bCs/>
          <w:color w:val="auto"/>
          <w:spacing w:val="0"/>
          <w:szCs w:val="21"/>
          <w:lang w:val="zh-CN"/>
        </w:rPr>
      </w:pPr>
      <w:r>
        <w:rPr>
          <w:rFonts w:hint="eastAsia" w:ascii="宋体" w:hAnsi="宋体" w:eastAsia="宋体" w:cs="宋体"/>
          <w:b/>
          <w:bCs/>
          <w:color w:val="auto"/>
          <w:spacing w:val="0"/>
          <w:szCs w:val="21"/>
          <w:lang w:val="zh-CN"/>
        </w:rPr>
      </w:r>
      <w:r/>
    </w:p>
    <w:p>
      <w:pPr>
        <w:spacing w:line="360" w:lineRule="auto"/>
        <w:rPr>
          <w:rFonts w:hint="eastAsia" w:ascii="宋体" w:hAnsi="宋体" w:eastAsia="宋体" w:cs="宋体"/>
          <w:b/>
          <w:bCs/>
          <w:color w:val="auto"/>
          <w:spacing w:val="0"/>
          <w:szCs w:val="21"/>
          <w:lang w:val="zh-CN"/>
        </w:rPr>
      </w:pPr>
      <w:r>
        <w:rPr>
          <w:rFonts w:hint="eastAsia" w:ascii="宋体" w:hAnsi="宋体" w:eastAsia="宋体" w:cs="宋体"/>
          <w:b/>
          <w:bCs/>
          <w:color w:val="auto"/>
          <w:spacing w:val="0"/>
          <w:szCs w:val="21"/>
          <w:lang w:val="zh-CN"/>
        </w:rPr>
      </w:r>
      <w:r/>
    </w:p>
    <w:p>
      <w:pPr>
        <w:spacing w:line="360" w:lineRule="auto"/>
        <w:rPr>
          <w:rFonts w:hint="eastAsia" w:ascii="宋体" w:hAnsi="宋体" w:eastAsia="宋体" w:cs="宋体"/>
          <w:b/>
          <w:bCs/>
          <w:color w:val="auto"/>
          <w:spacing w:val="0"/>
          <w:szCs w:val="21"/>
          <w:lang w:val="zh-CN"/>
        </w:rPr>
      </w:pPr>
      <w:r>
        <w:rPr>
          <w:rFonts w:hint="eastAsia" w:ascii="宋体" w:hAnsi="宋体" w:eastAsia="宋体" w:cs="宋体"/>
          <w:b/>
          <w:bCs/>
          <w:color w:val="auto"/>
          <w:spacing w:val="0"/>
          <w:szCs w:val="21"/>
          <w:lang w:val="zh-CN"/>
        </w:rPr>
      </w:r>
      <w:r/>
    </w:p>
    <w:p>
      <w:pPr>
        <w:spacing w:line="360" w:lineRule="auto"/>
        <w:rPr>
          <w:rFonts w:hint="eastAsia" w:ascii="宋体" w:hAnsi="宋体" w:eastAsia="宋体" w:cs="宋体"/>
          <w:b/>
          <w:bCs/>
          <w:color w:val="auto"/>
          <w:spacing w:val="0"/>
          <w:szCs w:val="21"/>
          <w:lang w:val="zh-CN"/>
        </w:rPr>
      </w:pPr>
      <w:r>
        <w:rPr>
          <w:rFonts w:hint="eastAsia" w:ascii="宋体" w:hAnsi="宋体" w:eastAsia="宋体" w:cs="宋体"/>
          <w:b/>
          <w:bCs/>
          <w:color w:val="auto"/>
          <w:spacing w:val="0"/>
          <w:szCs w:val="21"/>
          <w:lang w:val="zh-CN"/>
        </w:rPr>
      </w:r>
      <w:r/>
    </w:p>
    <w:p>
      <w:pPr>
        <w:spacing w:line="360" w:lineRule="auto"/>
        <w:rPr>
          <w:rFonts w:hint="eastAsia" w:ascii="宋体" w:hAnsi="宋体" w:eastAsia="宋体" w:cs="宋体"/>
          <w:b/>
          <w:bCs/>
          <w:color w:val="auto"/>
          <w:spacing w:val="0"/>
          <w:szCs w:val="21"/>
          <w:lang w:val="zh-CN"/>
        </w:rPr>
      </w:pPr>
      <w:r>
        <w:rPr>
          <w:rFonts w:hint="eastAsia" w:ascii="宋体" w:hAnsi="宋体" w:eastAsia="宋体" w:cs="宋体"/>
          <w:b/>
          <w:bCs/>
          <w:color w:val="auto"/>
          <w:spacing w:val="0"/>
          <w:szCs w:val="21"/>
          <w:lang w:val="zh-CN"/>
        </w:rPr>
      </w:r>
      <w:r/>
    </w:p>
    <w:p>
      <w:pPr>
        <w:jc w:val="center"/>
        <w:spacing w:line="360" w:lineRule="auto"/>
        <w:rPr>
          <w:rFonts w:hint="eastAsia" w:ascii="宋体" w:hAnsi="宋体" w:eastAsia="宋体" w:cs="宋体"/>
          <w:b/>
          <w:bCs/>
          <w:color w:val="auto"/>
          <w:spacing w:val="0"/>
          <w:sz w:val="28"/>
          <w:szCs w:val="28"/>
          <w:lang w:val="zh-CN"/>
        </w:rPr>
      </w:pPr>
      <w:r>
        <w:rPr>
          <w:rFonts w:hint="eastAsia" w:ascii="宋体" w:hAnsi="宋体" w:eastAsia="宋体" w:cs="宋体"/>
          <w:b/>
          <w:bCs/>
          <w:color w:val="auto"/>
          <w:spacing w:val="0"/>
          <w:sz w:val="28"/>
          <w:szCs w:val="28"/>
          <w:lang w:val="zh-CN"/>
        </w:rPr>
        <w:t xml:space="preserve">环境标志产品认证证书</w:t>
      </w:r>
      <w:r/>
    </w:p>
    <w:p>
      <w:pPr>
        <w:jc w:val="center"/>
        <w:spacing w:line="360" w:lineRule="auto"/>
        <w:rPr>
          <w:rFonts w:hint="eastAsia" w:ascii="宋体" w:hAnsi="宋体" w:eastAsia="宋体" w:cs="宋体"/>
          <w:b/>
          <w:bCs/>
          <w:color w:val="auto"/>
          <w:spacing w:val="0"/>
        </w:rPr>
      </w:pPr>
      <w:r>
        <w:rPr>
          <w:rFonts w:hint="eastAsia" w:ascii="宋体" w:hAnsi="宋体" w:eastAsia="宋体" w:cs="宋体"/>
          <w:color w:val="auto"/>
          <w:spacing w:val="0"/>
          <w:szCs w:val="21"/>
          <w:lang w:val="zh-CN"/>
        </w:rPr>
        <w:t xml:space="preserve">（提供国家确定的认证机构出具的、处于有效期之内的产品认证证书）</w:t>
      </w:r>
      <w:r/>
    </w:p>
    <w:p>
      <w:pPr>
        <w:jc w:val="center"/>
        <w:spacing w:line="360" w:lineRule="auto"/>
        <w:rPr>
          <w:rFonts w:hint="eastAsia" w:ascii="宋体" w:hAnsi="宋体" w:eastAsia="宋体" w:cs="宋体"/>
          <w:b/>
          <w:bCs/>
          <w:color w:val="auto"/>
          <w:spacing w:val="0"/>
        </w:rPr>
      </w:pPr>
      <w:r>
        <w:rPr>
          <w:rFonts w:hint="eastAsia" w:ascii="宋体" w:hAnsi="宋体" w:eastAsia="宋体" w:cs="宋体"/>
          <w:b/>
          <w:bCs/>
          <w:color w:val="auto"/>
          <w:spacing w:val="0"/>
        </w:rPr>
      </w:r>
      <w:r/>
    </w:p>
    <w:p>
      <w:pPr>
        <w:jc w:val="center"/>
        <w:spacing w:line="360" w:lineRule="auto"/>
        <w:rPr>
          <w:rFonts w:hint="eastAsia" w:ascii="宋体" w:hAnsi="宋体" w:eastAsia="宋体" w:cs="宋体"/>
          <w:b/>
          <w:bCs/>
          <w:color w:val="auto"/>
          <w:spacing w:val="0"/>
        </w:rPr>
      </w:pPr>
      <w:r>
        <w:rPr>
          <w:rFonts w:hint="eastAsia" w:ascii="宋体" w:hAnsi="宋体" w:eastAsia="宋体" w:cs="宋体"/>
          <w:b/>
          <w:bCs/>
          <w:color w:val="auto"/>
          <w:spacing w:val="0"/>
        </w:rPr>
      </w:r>
      <w:r/>
    </w:p>
    <w:p>
      <w:pPr>
        <w:spacing w:line="360" w:lineRule="auto"/>
        <w:rPr>
          <w:rFonts w:hint="eastAsia" w:ascii="宋体" w:hAnsi="宋体" w:eastAsia="宋体" w:cs="宋体"/>
          <w:b/>
          <w:bCs/>
          <w:color w:val="auto"/>
          <w:spacing w:val="0"/>
        </w:rPr>
      </w:pPr>
      <w:r>
        <w:rPr>
          <w:rFonts w:hint="eastAsia" w:ascii="宋体" w:hAnsi="宋体" w:eastAsia="宋体" w:cs="宋体"/>
          <w:b/>
          <w:bCs/>
          <w:color w:val="auto"/>
          <w:spacing w:val="0"/>
        </w:rPr>
      </w:r>
      <w:r/>
    </w:p>
    <w:p>
      <w:pPr>
        <w:jc w:val="center"/>
        <w:spacing w:line="360" w:lineRule="auto"/>
        <w:rPr>
          <w:rFonts w:hint="eastAsia" w:ascii="宋体" w:hAnsi="宋体" w:eastAsia="宋体" w:cs="宋体"/>
          <w:b/>
          <w:bCs/>
          <w:color w:val="auto"/>
          <w:spacing w:val="0"/>
        </w:rPr>
      </w:pPr>
      <w:r>
        <w:rPr>
          <w:rFonts w:hint="eastAsia" w:ascii="宋体" w:hAnsi="宋体" w:eastAsia="宋体" w:cs="宋体"/>
          <w:b/>
          <w:bCs/>
          <w:color w:val="auto"/>
          <w:spacing w:val="0"/>
        </w:rPr>
      </w:r>
      <w:r/>
    </w:p>
    <w:p>
      <w:pPr>
        <w:jc w:val="center"/>
        <w:spacing w:line="360" w:lineRule="auto"/>
        <w:rPr>
          <w:rFonts w:hint="eastAsia" w:ascii="宋体" w:hAnsi="宋体" w:eastAsia="宋体" w:cs="宋体"/>
          <w:b/>
          <w:bCs/>
          <w:color w:val="auto"/>
          <w:spacing w:val="0"/>
          <w:sz w:val="28"/>
        </w:rPr>
      </w:pPr>
      <w:r>
        <w:rPr>
          <w:rFonts w:hint="eastAsia" w:ascii="宋体" w:hAnsi="宋体" w:eastAsia="宋体" w:cs="宋体"/>
          <w:b/>
          <w:bCs/>
          <w:color w:val="auto"/>
          <w:spacing w:val="0"/>
          <w:sz w:val="28"/>
        </w:rPr>
        <w:t xml:space="preserve">进口产品转让技术、消化吸收再创新方案</w:t>
      </w:r>
      <w:r/>
    </w:p>
    <w:p>
      <w:pPr>
        <w:jc w:val="center"/>
        <w:spacing w:line="360" w:lineRule="auto"/>
        <w:rPr>
          <w:rFonts w:hint="eastAsia" w:ascii="宋体" w:hAnsi="宋体" w:eastAsia="宋体" w:cs="宋体"/>
          <w:bCs/>
          <w:color w:val="auto"/>
          <w:spacing w:val="0"/>
        </w:rPr>
      </w:pPr>
      <w:r>
        <w:rPr>
          <w:rFonts w:hint="eastAsia" w:ascii="宋体" w:hAnsi="宋体" w:eastAsia="宋体" w:cs="宋体"/>
          <w:bCs/>
          <w:color w:val="auto"/>
          <w:spacing w:val="0"/>
        </w:rPr>
        <w:t xml:space="preserve">（对于允许进口产品参加的项目）</w:t>
      </w:r>
      <w:r/>
    </w:p>
    <w:p>
      <w:pPr>
        <w:rPr>
          <w:rFonts w:hint="eastAsia" w:ascii="宋体" w:hAnsi="宋体" w:eastAsia="宋体" w:cs="宋体"/>
          <w:b/>
          <w:bCs/>
          <w:color w:val="auto"/>
          <w:spacing w:val="0"/>
          <w:sz w:val="28"/>
        </w:rPr>
      </w:pPr>
      <w:r>
        <w:rPr>
          <w:rFonts w:hint="eastAsia" w:ascii="宋体" w:hAnsi="宋体" w:eastAsia="宋体" w:cs="宋体"/>
          <w:b/>
          <w:bCs/>
          <w:color w:val="auto"/>
          <w:spacing w:val="0"/>
          <w:sz w:val="28"/>
        </w:rPr>
        <w:br w:type="page" w:clear="all"/>
      </w:r>
      <w:r/>
    </w:p>
    <w:p>
      <w:pPr>
        <w:jc w:val="center"/>
        <w:spacing w:line="360" w:lineRule="auto"/>
        <w:rPr>
          <w:rFonts w:hint="eastAsia" w:ascii="宋体" w:hAnsi="宋体" w:eastAsia="宋体" w:cs="宋体"/>
          <w:b/>
          <w:bCs/>
          <w:color w:val="auto"/>
          <w:spacing w:val="0"/>
          <w:sz w:val="28"/>
        </w:rPr>
      </w:pPr>
      <w:r>
        <w:rPr>
          <w:rFonts w:hint="eastAsia" w:ascii="宋体" w:hAnsi="宋体" w:eastAsia="宋体" w:cs="宋体"/>
          <w:b/>
          <w:bCs/>
          <w:color w:val="auto"/>
          <w:spacing w:val="0"/>
          <w:sz w:val="28"/>
        </w:rPr>
        <w:t xml:space="preserve">关于符合本国产品标准的声明函</w:t>
      </w:r>
      <w:r/>
    </w:p>
    <w:p>
      <w:pPr>
        <w:pStyle w:val="941"/>
        <w:ind w:firstLine="420"/>
        <w:spacing w:beforeAutospacing="0" w:afterAutospacing="0"/>
        <w:shd w:val="clear" w:color="auto" w:fill="ffffff"/>
        <w:rPr>
          <w:rFonts w:hint="eastAsia" w:ascii="宋体" w:hAnsi="宋体" w:eastAsia="宋体" w:cs="宋体"/>
          <w:bCs/>
          <w:color w:val="auto"/>
          <w:spacing w:val="0"/>
          <w:sz w:val="21"/>
        </w:rPr>
      </w:pPr>
      <w:r>
        <w:rPr>
          <w:rFonts w:hint="eastAsia" w:ascii="宋体" w:hAnsi="宋体" w:eastAsia="宋体" w:cs="宋体"/>
          <w:bCs/>
          <w:color w:val="auto"/>
          <w:spacing w:val="0"/>
          <w:sz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1"/>
        <w:ind w:firstLine="420"/>
        <w:spacing w:before="24" w:beforeAutospacing="0" w:after="24" w:afterAutospacing="0" w:line="360" w:lineRule="auto"/>
        <w:shd w:val="clear" w:color="auto" w:fill="ffffff"/>
        <w:rPr>
          <w:rFonts w:hint="eastAsia" w:ascii="宋体" w:hAnsi="宋体" w:eastAsia="宋体" w:cs="宋体"/>
          <w:color w:val="auto"/>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shd w:val="clear" w:color="auto" w:fill="ffffff"/>
        </w:rPr>
        <w:t xml:space="preserve">1.</w:t>
      </w:r>
      <w:r>
        <w:rPr>
          <w:rStyle w:val="950"/>
          <w:rFonts w:hint="eastAsia" w:ascii="宋体" w:hAnsi="宋体" w:eastAsia="宋体" w:cs="宋体"/>
          <w:color w:val="auto"/>
          <w:spacing w:val="0"/>
          <w:sz w:val="21"/>
          <w:szCs w:val="21"/>
          <w:u w:val="single"/>
          <w:shd w:val="clear" w:color="auto" w:fill="ffffff"/>
        </w:rPr>
        <w:t xml:space="preserve">（</w:t>
      </w:r>
      <w:r>
        <w:rPr>
          <w:rStyle w:val="950"/>
          <w:rFonts w:hint="eastAsia" w:ascii="宋体" w:hAnsi="宋体" w:eastAsia="宋体" w:cs="宋体"/>
          <w:color w:val="auto"/>
          <w:spacing w:val="0"/>
          <w:sz w:val="21"/>
          <w:szCs w:val="21"/>
          <w:u w:val="single"/>
          <w:shd w:val="clear" w:color="auto" w:fill="ffffff"/>
          <w:lang w:val="en-US" w:eastAsia="zh-CN"/>
        </w:rPr>
        <w:t xml:space="preserve">设备</w:t>
      </w:r>
      <w:r>
        <w:rPr>
          <w:rStyle w:val="950"/>
          <w:rFonts w:hint="eastAsia" w:ascii="宋体" w:hAnsi="宋体" w:eastAsia="宋体" w:cs="宋体"/>
          <w:color w:val="auto"/>
          <w:spacing w:val="0"/>
          <w:sz w:val="21"/>
          <w:szCs w:val="21"/>
          <w:u w:val="single"/>
          <w:shd w:val="clear" w:color="auto" w:fill="ffffff"/>
        </w:rPr>
        <w:t xml:space="preserve">1）</w:t>
      </w:r>
      <w:r>
        <w:rPr>
          <w:rStyle w:val="950"/>
          <w:rFonts w:hint="eastAsia" w:ascii="宋体" w:hAnsi="宋体" w:eastAsia="宋体" w:cs="宋体"/>
          <w:color w:val="auto"/>
          <w:spacing w:val="0"/>
          <w:sz w:val="21"/>
          <w:szCs w:val="21"/>
          <w:shd w:val="clear" w:color="auto" w:fill="ffffff"/>
          <w:vertAlign w:val="superscript"/>
        </w:rPr>
        <w:t xml:space="preserve">1</w:t>
      </w:r>
      <w:r>
        <w:rPr>
          <w:rFonts w:hint="eastAsia" w:ascii="宋体" w:hAnsi="宋体" w:eastAsia="宋体" w:cs="宋体"/>
          <w:color w:val="auto"/>
          <w:spacing w:val="0"/>
          <w:sz w:val="21"/>
          <w:szCs w:val="21"/>
          <w:shd w:val="clear" w:color="auto" w:fill="ffffff"/>
        </w:rPr>
        <w:t xml:space="preserve">，</w:t>
      </w:r>
      <w:r>
        <w:rPr>
          <w:rFonts w:hint="eastAsia" w:ascii="宋体" w:hAnsi="宋体" w:eastAsia="宋体" w:cs="宋体"/>
          <w:color w:val="auto"/>
          <w:spacing w:val="0"/>
          <w:sz w:val="21"/>
          <w:szCs w:val="21"/>
          <w:u w:val="single"/>
          <w:shd w:val="clear" w:color="auto" w:fill="ffffff"/>
        </w:rPr>
        <w:t xml:space="preserve">生产厂为</w:t>
      </w:r>
      <w:r>
        <w:rPr>
          <w:rStyle w:val="950"/>
          <w:rFonts w:hint="eastAsia" w:ascii="宋体" w:hAnsi="宋体" w:eastAsia="宋体" w:cs="宋体"/>
          <w:color w:val="auto"/>
          <w:spacing w:val="0"/>
          <w:sz w:val="21"/>
          <w:szCs w:val="21"/>
          <w:u w:val="single"/>
          <w:shd w:val="clear" w:color="auto" w:fill="ffffff"/>
        </w:rPr>
        <w:t xml:space="preserve">（厂名）</w:t>
      </w:r>
      <w:r>
        <w:rPr>
          <w:rStyle w:val="950"/>
          <w:rFonts w:hint="eastAsia" w:ascii="宋体" w:hAnsi="宋体" w:eastAsia="宋体" w:cs="宋体"/>
          <w:color w:val="auto"/>
          <w:spacing w:val="0"/>
          <w:sz w:val="21"/>
          <w:szCs w:val="21"/>
          <w:shd w:val="clear" w:color="auto" w:fill="ffffff"/>
          <w:vertAlign w:val="superscript"/>
        </w:rPr>
        <w:t xml:space="preserve">2</w:t>
      </w:r>
      <w:r>
        <w:rPr>
          <w:rFonts w:hint="eastAsia" w:ascii="宋体" w:hAnsi="宋体" w:eastAsia="宋体" w:cs="宋体"/>
          <w:color w:val="auto"/>
          <w:spacing w:val="0"/>
          <w:sz w:val="21"/>
          <w:szCs w:val="21"/>
          <w:shd w:val="clear" w:color="auto" w:fill="ffffff"/>
        </w:rPr>
        <w:t xml:space="preserve">，厂址为</w:t>
      </w:r>
      <w:r>
        <w:rPr>
          <w:rStyle w:val="950"/>
          <w:rFonts w:hint="eastAsia" w:ascii="宋体" w:hAnsi="宋体" w:eastAsia="宋体" w:cs="宋体"/>
          <w:color w:val="auto"/>
          <w:spacing w:val="0"/>
          <w:sz w:val="21"/>
          <w:szCs w:val="21"/>
          <w:u w:val="single"/>
          <w:shd w:val="clear" w:color="auto" w:fill="ffffff"/>
        </w:rPr>
        <w:t xml:space="preserve">（生产厂址）</w:t>
      </w:r>
      <w:r>
        <w:rPr>
          <w:rFonts w:hint="eastAsia" w:ascii="宋体" w:hAnsi="宋体" w:eastAsia="宋体" w:cs="宋体"/>
          <w:color w:val="auto"/>
          <w:spacing w:val="0"/>
          <w:sz w:val="21"/>
          <w:szCs w:val="21"/>
          <w:shd w:val="clear" w:color="auto" w:fill="ffffff"/>
        </w:rPr>
        <w:t xml:space="preserve">。</w:t>
      </w:r>
      <w:r>
        <w:rPr>
          <w:rStyle w:val="950"/>
          <w:rFonts w:hint="eastAsia" w:ascii="宋体" w:hAnsi="宋体" w:eastAsia="宋体" w:cs="宋体"/>
          <w:strike/>
          <w:color w:val="auto"/>
          <w:spacing w:val="0"/>
          <w:sz w:val="21"/>
          <w:szCs w:val="21"/>
          <w:u w:val="single"/>
          <w:shd w:val="clear" w:color="auto" w:fill="ffffff"/>
        </w:rPr>
        <w:t xml:space="preserve">（产品名称1）</w:t>
      </w:r>
      <w:r>
        <w:rPr>
          <w:rFonts w:hint="eastAsia" w:ascii="宋体" w:hAnsi="宋体" w:eastAsia="宋体" w:cs="宋体"/>
          <w:strike/>
          <w:color w:val="auto"/>
          <w:spacing w:val="0"/>
          <w:sz w:val="21"/>
          <w:szCs w:val="21"/>
          <w:shd w:val="clear" w:color="auto" w:fill="ffffff"/>
        </w:rPr>
        <w:t xml:space="preserve">的中国境内生产的组件成本占比≥</w:t>
      </w:r>
      <w:r>
        <w:rPr>
          <w:rStyle w:val="950"/>
          <w:rFonts w:hint="eastAsia" w:ascii="宋体" w:hAnsi="宋体" w:eastAsia="宋体" w:cs="宋体"/>
          <w:strike/>
          <w:color w:val="auto"/>
          <w:spacing w:val="0"/>
          <w:sz w:val="21"/>
          <w:szCs w:val="21"/>
          <w:u w:val="single"/>
          <w:shd w:val="clear" w:color="auto" w:fill="ffffff"/>
        </w:rPr>
        <w:t xml:space="preserve">（规定比例）</w:t>
      </w:r>
      <w:r>
        <w:rPr>
          <w:rStyle w:val="950"/>
          <w:rFonts w:hint="eastAsia" w:ascii="宋体" w:hAnsi="宋体" w:eastAsia="宋体" w:cs="宋体"/>
          <w:color w:val="auto"/>
          <w:spacing w:val="0"/>
          <w:sz w:val="21"/>
          <w:szCs w:val="21"/>
          <w:shd w:val="clear" w:color="auto" w:fill="ffffff"/>
          <w:vertAlign w:val="superscript"/>
        </w:rPr>
        <w:t xml:space="preserve">3</w:t>
      </w:r>
      <w:r>
        <w:rPr>
          <w:rFonts w:hint="eastAsia" w:ascii="宋体" w:hAnsi="宋体" w:eastAsia="宋体" w:cs="宋体"/>
          <w:strike/>
          <w:color w:val="auto"/>
          <w:spacing w:val="0"/>
          <w:sz w:val="21"/>
          <w:szCs w:val="21"/>
          <w:shd w:val="clear" w:color="auto" w:fill="ffffff"/>
        </w:rPr>
        <w:t xml:space="preserve">。</w:t>
      </w:r>
      <w:r>
        <w:rPr>
          <w:rStyle w:val="950"/>
          <w:rFonts w:hint="eastAsia" w:ascii="宋体" w:hAnsi="宋体" w:eastAsia="宋体" w:cs="宋体"/>
          <w:strike/>
          <w:color w:val="auto"/>
          <w:spacing w:val="0"/>
          <w:sz w:val="21"/>
          <w:szCs w:val="21"/>
          <w:u w:val="single"/>
          <w:shd w:val="clear" w:color="auto" w:fill="ffffff"/>
        </w:rPr>
        <w:t xml:space="preserve">（产品名称1）</w:t>
      </w:r>
      <w:r>
        <w:rPr>
          <w:rFonts w:hint="eastAsia" w:ascii="宋体" w:hAnsi="宋体" w:eastAsia="宋体" w:cs="宋体"/>
          <w:strike/>
          <w:color w:val="auto"/>
          <w:spacing w:val="0"/>
          <w:sz w:val="21"/>
          <w:szCs w:val="21"/>
          <w:shd w:val="clear" w:color="auto" w:fill="ffffff"/>
        </w:rPr>
        <w:t xml:space="preserve">的</w:t>
      </w:r>
      <w:r>
        <w:rPr>
          <w:rStyle w:val="950"/>
          <w:rFonts w:hint="eastAsia" w:ascii="宋体" w:hAnsi="宋体" w:eastAsia="宋体" w:cs="宋体"/>
          <w:strike/>
          <w:color w:val="auto"/>
          <w:spacing w:val="0"/>
          <w:sz w:val="21"/>
          <w:szCs w:val="21"/>
          <w:u w:val="single"/>
          <w:shd w:val="clear" w:color="auto" w:fill="ffffff"/>
        </w:rPr>
        <w:t xml:space="preserve">（关键组件）</w:t>
      </w:r>
      <w:r>
        <w:rPr>
          <w:rStyle w:val="950"/>
          <w:rFonts w:hint="eastAsia" w:ascii="宋体" w:hAnsi="宋体" w:eastAsia="宋体" w:cs="宋体"/>
          <w:color w:val="auto"/>
          <w:spacing w:val="0"/>
          <w:sz w:val="21"/>
          <w:szCs w:val="21"/>
          <w:shd w:val="clear" w:color="auto" w:fill="ffffff"/>
          <w:vertAlign w:val="superscript"/>
        </w:rPr>
        <w:t xml:space="preserve">4</w:t>
      </w:r>
      <w:r>
        <w:rPr>
          <w:rFonts w:hint="eastAsia" w:ascii="宋体" w:hAnsi="宋体" w:eastAsia="宋体" w:cs="宋体"/>
          <w:strike/>
          <w:color w:val="auto"/>
          <w:spacing w:val="0"/>
          <w:sz w:val="21"/>
          <w:szCs w:val="21"/>
          <w:shd w:val="clear" w:color="auto" w:fill="ffffff"/>
        </w:rPr>
        <w:t xml:space="preserve">在中国境内生产。</w:t>
      </w:r>
      <w:r>
        <w:rPr>
          <w:rStyle w:val="950"/>
          <w:rFonts w:hint="eastAsia" w:ascii="宋体" w:hAnsi="宋体" w:eastAsia="宋体" w:cs="宋体"/>
          <w:strike/>
          <w:color w:val="auto"/>
          <w:spacing w:val="0"/>
          <w:sz w:val="21"/>
          <w:szCs w:val="21"/>
          <w:u w:val="single"/>
          <w:shd w:val="clear" w:color="auto" w:fill="ffffff"/>
        </w:rPr>
        <w:t xml:space="preserve">（产品名称1）</w:t>
      </w:r>
      <w:r>
        <w:rPr>
          <w:rFonts w:hint="eastAsia" w:ascii="宋体" w:hAnsi="宋体" w:eastAsia="宋体" w:cs="宋体"/>
          <w:strike/>
          <w:color w:val="auto"/>
          <w:spacing w:val="0"/>
          <w:sz w:val="21"/>
          <w:szCs w:val="21"/>
          <w:shd w:val="clear" w:color="auto" w:fill="ffffff"/>
        </w:rPr>
        <w:t xml:space="preserve">的</w:t>
      </w:r>
      <w:r>
        <w:rPr>
          <w:rStyle w:val="950"/>
          <w:rFonts w:hint="eastAsia" w:ascii="宋体" w:hAnsi="宋体" w:eastAsia="宋体" w:cs="宋体"/>
          <w:strike/>
          <w:color w:val="auto"/>
          <w:spacing w:val="0"/>
          <w:sz w:val="21"/>
          <w:szCs w:val="21"/>
          <w:u w:val="single"/>
          <w:shd w:val="clear" w:color="auto" w:fill="ffffff"/>
        </w:rPr>
        <w:t xml:space="preserve">（关键工序）</w:t>
      </w:r>
      <w:r>
        <w:rPr>
          <w:rStyle w:val="950"/>
          <w:rFonts w:hint="eastAsia" w:ascii="宋体" w:hAnsi="宋体" w:eastAsia="宋体" w:cs="宋体"/>
          <w:color w:val="auto"/>
          <w:spacing w:val="0"/>
          <w:sz w:val="21"/>
          <w:szCs w:val="21"/>
          <w:shd w:val="clear" w:color="auto" w:fill="ffffff"/>
          <w:vertAlign w:val="superscript"/>
        </w:rPr>
        <w:t xml:space="preserve">5</w:t>
      </w:r>
      <w:r>
        <w:rPr>
          <w:rFonts w:hint="eastAsia" w:ascii="宋体" w:hAnsi="宋体" w:eastAsia="宋体" w:cs="宋体"/>
          <w:strike/>
          <w:color w:val="auto"/>
          <w:spacing w:val="0"/>
          <w:sz w:val="21"/>
          <w:szCs w:val="21"/>
          <w:shd w:val="clear" w:color="auto" w:fill="ffffff"/>
        </w:rPr>
        <w:t xml:space="preserve">在中国境内完成。</w:t>
      </w:r>
      <w:r/>
    </w:p>
    <w:p>
      <w:pPr>
        <w:pStyle w:val="941"/>
        <w:ind w:firstLine="420"/>
        <w:spacing w:before="24" w:beforeAutospacing="0" w:after="24" w:afterAutospacing="0" w:line="360" w:lineRule="auto"/>
        <w:shd w:val="clear" w:color="auto" w:fill="ffffff"/>
        <w:rPr>
          <w:rFonts w:hint="eastAsia" w:ascii="宋体" w:hAnsi="宋体" w:eastAsia="宋体" w:cs="宋体"/>
          <w:strike/>
          <w:color w:val="auto"/>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shd w:val="clear" w:color="auto" w:fill="ffffff"/>
        </w:rPr>
        <w:t xml:space="preserve">2.</w:t>
      </w:r>
      <w:r>
        <w:rPr>
          <w:rStyle w:val="950"/>
          <w:rFonts w:hint="eastAsia" w:ascii="宋体" w:hAnsi="宋体" w:eastAsia="宋体" w:cs="宋体"/>
          <w:color w:val="auto"/>
          <w:spacing w:val="0"/>
          <w:sz w:val="21"/>
          <w:szCs w:val="21"/>
          <w:u w:val="single"/>
          <w:shd w:val="clear" w:color="auto" w:fill="ffffff"/>
        </w:rPr>
        <w:t xml:space="preserve">（</w:t>
      </w:r>
      <w:r>
        <w:rPr>
          <w:rStyle w:val="950"/>
          <w:rFonts w:hint="eastAsia" w:ascii="宋体" w:hAnsi="宋体" w:eastAsia="宋体" w:cs="宋体"/>
          <w:color w:val="auto"/>
          <w:spacing w:val="0"/>
          <w:sz w:val="21"/>
          <w:szCs w:val="21"/>
          <w:u w:val="single"/>
          <w:shd w:val="clear" w:color="auto" w:fill="ffffff"/>
          <w:lang w:val="en-US" w:eastAsia="zh-CN"/>
        </w:rPr>
        <w:t xml:space="preserve">设备</w:t>
      </w:r>
      <w:r>
        <w:rPr>
          <w:rStyle w:val="950"/>
          <w:rFonts w:hint="eastAsia" w:ascii="宋体" w:hAnsi="宋体" w:eastAsia="宋体" w:cs="宋体"/>
          <w:color w:val="auto"/>
          <w:spacing w:val="0"/>
          <w:sz w:val="21"/>
          <w:szCs w:val="21"/>
          <w:u w:val="single"/>
          <w:shd w:val="clear" w:color="auto" w:fill="ffffff"/>
        </w:rPr>
        <w:t xml:space="preserve">2）</w:t>
      </w:r>
      <w:r>
        <w:rPr>
          <w:rFonts w:hint="eastAsia" w:ascii="宋体" w:hAnsi="宋体" w:eastAsia="宋体" w:cs="宋体"/>
          <w:color w:val="auto"/>
          <w:spacing w:val="0"/>
          <w:sz w:val="21"/>
          <w:szCs w:val="21"/>
          <w:shd w:val="clear" w:color="auto" w:fill="ffffff"/>
        </w:rPr>
        <w:t xml:space="preserve">，生产厂为</w:t>
      </w:r>
      <w:r>
        <w:rPr>
          <w:rStyle w:val="950"/>
          <w:rFonts w:hint="eastAsia" w:ascii="宋体" w:hAnsi="宋体" w:eastAsia="宋体" w:cs="宋体"/>
          <w:color w:val="auto"/>
          <w:spacing w:val="0"/>
          <w:sz w:val="21"/>
          <w:szCs w:val="21"/>
          <w:u w:val="single"/>
          <w:shd w:val="clear" w:color="auto" w:fill="ffffff"/>
        </w:rPr>
        <w:t xml:space="preserve">（厂名）</w:t>
      </w:r>
      <w:r>
        <w:rPr>
          <w:rFonts w:hint="eastAsia" w:ascii="宋体" w:hAnsi="宋体" w:eastAsia="宋体" w:cs="宋体"/>
          <w:color w:val="auto"/>
          <w:spacing w:val="0"/>
          <w:sz w:val="21"/>
          <w:szCs w:val="21"/>
          <w:shd w:val="clear" w:color="auto" w:fill="ffffff"/>
        </w:rPr>
        <w:t xml:space="preserve">，厂址为</w:t>
      </w:r>
      <w:r>
        <w:rPr>
          <w:rStyle w:val="950"/>
          <w:rFonts w:hint="eastAsia" w:ascii="宋体" w:hAnsi="宋体" w:eastAsia="宋体" w:cs="宋体"/>
          <w:color w:val="auto"/>
          <w:spacing w:val="0"/>
          <w:sz w:val="21"/>
          <w:szCs w:val="21"/>
          <w:u w:val="single"/>
          <w:shd w:val="clear" w:color="auto" w:fill="ffffff"/>
        </w:rPr>
        <w:t xml:space="preserve">（生产厂址）</w:t>
      </w:r>
      <w:r>
        <w:rPr>
          <w:rFonts w:hint="eastAsia" w:ascii="宋体" w:hAnsi="宋体" w:eastAsia="宋体" w:cs="宋体"/>
          <w:color w:val="auto"/>
          <w:spacing w:val="0"/>
          <w:sz w:val="21"/>
          <w:szCs w:val="21"/>
          <w:shd w:val="clear" w:color="auto" w:fill="ffffff"/>
        </w:rPr>
        <w:t xml:space="preserve">。</w:t>
      </w:r>
      <w:r>
        <w:rPr>
          <w:rStyle w:val="950"/>
          <w:rFonts w:hint="eastAsia" w:ascii="宋体" w:hAnsi="宋体" w:eastAsia="宋体" w:cs="宋体"/>
          <w:strike/>
          <w:color w:val="auto"/>
          <w:spacing w:val="0"/>
          <w:sz w:val="21"/>
          <w:szCs w:val="21"/>
          <w:u w:val="single"/>
          <w:shd w:val="clear" w:color="auto" w:fill="ffffff"/>
        </w:rPr>
        <w:t xml:space="preserve">（产品名称2）</w:t>
      </w:r>
      <w:r>
        <w:rPr>
          <w:rFonts w:hint="eastAsia" w:ascii="宋体" w:hAnsi="宋体" w:eastAsia="宋体" w:cs="宋体"/>
          <w:strike/>
          <w:color w:val="auto"/>
          <w:spacing w:val="0"/>
          <w:sz w:val="21"/>
          <w:szCs w:val="21"/>
          <w:shd w:val="clear" w:color="auto" w:fill="ffffff"/>
        </w:rPr>
        <w:t xml:space="preserve">的中国境内生产的组件成本占比≥</w:t>
      </w:r>
      <w:r>
        <w:rPr>
          <w:rStyle w:val="950"/>
          <w:rFonts w:hint="eastAsia" w:ascii="宋体" w:hAnsi="宋体" w:eastAsia="宋体" w:cs="宋体"/>
          <w:strike/>
          <w:color w:val="auto"/>
          <w:spacing w:val="0"/>
          <w:sz w:val="21"/>
          <w:szCs w:val="21"/>
          <w:u w:val="single"/>
          <w:shd w:val="clear" w:color="auto" w:fill="ffffff"/>
        </w:rPr>
        <w:t xml:space="preserve">（规定比例）</w:t>
      </w:r>
      <w:r>
        <w:rPr>
          <w:rFonts w:hint="eastAsia" w:ascii="宋体" w:hAnsi="宋体" w:eastAsia="宋体" w:cs="宋体"/>
          <w:strike/>
          <w:color w:val="auto"/>
          <w:spacing w:val="0"/>
          <w:sz w:val="21"/>
          <w:szCs w:val="21"/>
          <w:shd w:val="clear" w:color="auto" w:fill="ffffff"/>
        </w:rPr>
        <w:t xml:space="preserve">。</w:t>
      </w:r>
      <w:r>
        <w:rPr>
          <w:rStyle w:val="950"/>
          <w:rFonts w:hint="eastAsia" w:ascii="宋体" w:hAnsi="宋体" w:eastAsia="宋体" w:cs="宋体"/>
          <w:strike/>
          <w:color w:val="auto"/>
          <w:spacing w:val="0"/>
          <w:sz w:val="21"/>
          <w:szCs w:val="21"/>
          <w:u w:val="single"/>
          <w:shd w:val="clear" w:color="auto" w:fill="ffffff"/>
        </w:rPr>
        <w:t xml:space="preserve">（产品名称2）</w:t>
      </w:r>
      <w:r>
        <w:rPr>
          <w:rFonts w:hint="eastAsia" w:ascii="宋体" w:hAnsi="宋体" w:eastAsia="宋体" w:cs="宋体"/>
          <w:strike/>
          <w:color w:val="auto"/>
          <w:spacing w:val="0"/>
          <w:sz w:val="21"/>
          <w:szCs w:val="21"/>
          <w:shd w:val="clear" w:color="auto" w:fill="ffffff"/>
        </w:rPr>
        <w:t xml:space="preserve">的</w:t>
      </w:r>
      <w:r>
        <w:rPr>
          <w:rStyle w:val="950"/>
          <w:rFonts w:hint="eastAsia" w:ascii="宋体" w:hAnsi="宋体" w:eastAsia="宋体" w:cs="宋体"/>
          <w:strike/>
          <w:color w:val="auto"/>
          <w:spacing w:val="0"/>
          <w:sz w:val="21"/>
          <w:szCs w:val="21"/>
          <w:u w:val="single"/>
          <w:shd w:val="clear" w:color="auto" w:fill="ffffff"/>
        </w:rPr>
        <w:t xml:space="preserve">（关键组件）</w:t>
      </w:r>
      <w:r>
        <w:rPr>
          <w:rFonts w:hint="eastAsia" w:ascii="宋体" w:hAnsi="宋体" w:eastAsia="宋体" w:cs="宋体"/>
          <w:strike/>
          <w:color w:val="auto"/>
          <w:spacing w:val="0"/>
          <w:sz w:val="21"/>
          <w:szCs w:val="21"/>
          <w:shd w:val="clear" w:color="auto" w:fill="ffffff"/>
        </w:rPr>
        <w:t xml:space="preserve">在中国境内生产。</w:t>
      </w:r>
      <w:r>
        <w:rPr>
          <w:rStyle w:val="950"/>
          <w:rFonts w:hint="eastAsia" w:ascii="宋体" w:hAnsi="宋体" w:eastAsia="宋体" w:cs="宋体"/>
          <w:strike/>
          <w:color w:val="auto"/>
          <w:spacing w:val="0"/>
          <w:sz w:val="21"/>
          <w:szCs w:val="21"/>
          <w:u w:val="single"/>
          <w:shd w:val="clear" w:color="auto" w:fill="ffffff"/>
        </w:rPr>
        <w:t xml:space="preserve">（产品名称2）</w:t>
      </w:r>
      <w:r>
        <w:rPr>
          <w:rFonts w:hint="eastAsia" w:ascii="宋体" w:hAnsi="宋体" w:eastAsia="宋体" w:cs="宋体"/>
          <w:strike/>
          <w:color w:val="auto"/>
          <w:spacing w:val="0"/>
          <w:sz w:val="21"/>
          <w:szCs w:val="21"/>
          <w:shd w:val="clear" w:color="auto" w:fill="ffffff"/>
        </w:rPr>
        <w:t xml:space="preserve">的</w:t>
      </w:r>
      <w:r>
        <w:rPr>
          <w:rStyle w:val="950"/>
          <w:rFonts w:hint="eastAsia" w:ascii="宋体" w:hAnsi="宋体" w:eastAsia="宋体" w:cs="宋体"/>
          <w:strike/>
          <w:color w:val="auto"/>
          <w:spacing w:val="0"/>
          <w:sz w:val="21"/>
          <w:szCs w:val="21"/>
          <w:u w:val="single"/>
          <w:shd w:val="clear" w:color="auto" w:fill="ffffff"/>
        </w:rPr>
        <w:t xml:space="preserve">（关键工序）</w:t>
      </w:r>
      <w:r>
        <w:rPr>
          <w:rFonts w:hint="eastAsia" w:ascii="宋体" w:hAnsi="宋体" w:eastAsia="宋体" w:cs="宋体"/>
          <w:strike/>
          <w:color w:val="auto"/>
          <w:spacing w:val="0"/>
          <w:sz w:val="21"/>
          <w:szCs w:val="21"/>
          <w:shd w:val="clear" w:color="auto" w:fill="ffffff"/>
        </w:rPr>
        <w:t xml:space="preserve">在中国境内完成。</w:t>
      </w:r>
      <w:r/>
    </w:p>
    <w:p>
      <w:pPr>
        <w:pStyle w:val="941"/>
        <w:ind w:firstLine="420"/>
        <w:spacing w:before="24" w:beforeAutospacing="0" w:after="24" w:afterAutospacing="0" w:line="360" w:lineRule="auto"/>
        <w:shd w:val="clear" w:color="auto" w:fill="ffffff"/>
        <w:rPr>
          <w:rFonts w:hint="eastAsia" w:ascii="宋体" w:hAnsi="宋体" w:eastAsia="宋体" w:cs="宋体"/>
          <w:color w:val="auto"/>
          <w:spacing w:val="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shd w:val="clear" w:color="auto" w:fill="ffffff"/>
        </w:rPr>
        <w:t xml:space="preserve">……</w:t>
      </w:r>
      <w:r/>
    </w:p>
    <w:p>
      <w:pPr>
        <w:pStyle w:val="941"/>
        <w:ind w:firstLine="420"/>
        <w:spacing w:before="24" w:beforeAutospacing="0" w:after="24" w:afterAutospacing="0" w:line="360" w:lineRule="auto"/>
        <w:shd w:val="clear" w:color="auto" w:fill="ffffff"/>
        <w:rPr>
          <w:rFonts w:hint="eastAsia" w:ascii="宋体" w:hAnsi="宋体" w:eastAsia="宋体" w:cs="宋体"/>
          <w:strike/>
          <w:color w:val="auto"/>
          <w:spacing w:val="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cs="宋体"/>
          <w:color w:val="auto"/>
          <w:spacing w:val="0"/>
          <w:sz w:val="21"/>
          <w:szCs w:val="21"/>
          <w:shd w:val="clear" w:color="auto" w:fill="ffffff"/>
          <w:lang w:val="en-US" w:eastAsia="zh-CN"/>
        </w:rPr>
        <w:t xml:space="preserve">37</w:t>
      </w:r>
      <w:r>
        <w:rPr>
          <w:rFonts w:hint="eastAsia" w:ascii="宋体" w:hAnsi="宋体" w:eastAsia="宋体" w:cs="宋体"/>
          <w:color w:val="auto"/>
          <w:spacing w:val="0"/>
          <w:sz w:val="21"/>
          <w:szCs w:val="21"/>
          <w:shd w:val="clear" w:color="auto" w:fill="ffffff"/>
        </w:rPr>
        <w:t xml:space="preserve">.</w:t>
      </w:r>
      <w:r>
        <w:rPr>
          <w:rFonts w:hint="eastAsia" w:ascii="宋体" w:hAnsi="宋体" w:eastAsia="宋体" w:cs="宋体"/>
          <w:color w:val="auto"/>
          <w:spacing w:val="0"/>
          <w:sz w:val="21"/>
          <w:szCs w:val="21"/>
          <w:u w:val="single"/>
          <w:shd w:val="clear" w:color="auto" w:fill="ffffff"/>
        </w:rPr>
        <w:t xml:space="preserve">（</w:t>
      </w:r>
      <w:r>
        <w:rPr>
          <w:rFonts w:hint="eastAsia" w:ascii="宋体" w:hAnsi="宋体" w:eastAsia="宋体" w:cs="宋体"/>
          <w:color w:val="auto"/>
          <w:spacing w:val="0"/>
          <w:sz w:val="21"/>
          <w:szCs w:val="21"/>
          <w:u w:val="single"/>
          <w:shd w:val="clear" w:color="auto" w:fill="ffffff"/>
          <w:lang w:val="en-US" w:eastAsia="zh-CN"/>
        </w:rPr>
        <w:t xml:space="preserve">设备</w:t>
      </w:r>
      <w:r>
        <w:rPr>
          <w:rFonts w:hint="eastAsia" w:cs="宋体"/>
          <w:color w:val="auto"/>
          <w:spacing w:val="0"/>
          <w:sz w:val="21"/>
          <w:szCs w:val="21"/>
          <w:u w:val="single"/>
          <w:shd w:val="clear" w:color="auto" w:fill="ffffff"/>
          <w:lang w:val="en-US" w:eastAsia="zh-CN"/>
        </w:rPr>
        <w:t xml:space="preserve">37</w:t>
      </w:r>
      <w:r>
        <w:rPr>
          <w:rFonts w:hint="eastAsia" w:ascii="宋体" w:hAnsi="宋体" w:eastAsia="宋体" w:cs="宋体"/>
          <w:color w:val="auto"/>
          <w:spacing w:val="0"/>
          <w:sz w:val="21"/>
          <w:szCs w:val="21"/>
          <w:u w:val="single"/>
          <w:shd w:val="clear" w:color="auto" w:fill="ffffff"/>
        </w:rPr>
        <w:t xml:space="preserve">）</w:t>
      </w:r>
      <w:r>
        <w:rPr>
          <w:rFonts w:hint="eastAsia" w:ascii="宋体" w:hAnsi="宋体" w:eastAsia="宋体" w:cs="宋体"/>
          <w:color w:val="auto"/>
          <w:spacing w:val="0"/>
          <w:sz w:val="21"/>
          <w:szCs w:val="21"/>
          <w:shd w:val="clear" w:color="auto" w:fill="ffffff"/>
        </w:rPr>
        <w:t xml:space="preserve">，生产厂为</w:t>
      </w:r>
      <w:r>
        <w:rPr>
          <w:rFonts w:hint="eastAsia" w:ascii="宋体" w:hAnsi="宋体" w:eastAsia="宋体" w:cs="宋体"/>
          <w:color w:val="auto"/>
          <w:spacing w:val="0"/>
          <w:sz w:val="21"/>
          <w:szCs w:val="21"/>
          <w:u w:val="single"/>
          <w:shd w:val="clear" w:color="auto" w:fill="ffffff"/>
        </w:rPr>
        <w:t xml:space="preserve">（厂名）</w:t>
      </w:r>
      <w:r>
        <w:rPr>
          <w:rFonts w:hint="eastAsia" w:ascii="宋体" w:hAnsi="宋体" w:eastAsia="宋体" w:cs="宋体"/>
          <w:color w:val="auto"/>
          <w:spacing w:val="0"/>
          <w:sz w:val="21"/>
          <w:szCs w:val="21"/>
          <w:shd w:val="clear" w:color="auto" w:fill="ffffff"/>
        </w:rPr>
        <w:t xml:space="preserve">，厂址为</w:t>
      </w:r>
      <w:r>
        <w:rPr>
          <w:rFonts w:hint="eastAsia" w:ascii="宋体" w:hAnsi="宋体" w:eastAsia="宋体" w:cs="宋体"/>
          <w:color w:val="auto"/>
          <w:spacing w:val="0"/>
          <w:sz w:val="21"/>
          <w:szCs w:val="21"/>
          <w:u w:val="single"/>
          <w:shd w:val="clear" w:color="auto" w:fill="ffffff"/>
        </w:rPr>
        <w:t xml:space="preserve">（生产厂址）</w:t>
      </w:r>
      <w:r>
        <w:rPr>
          <w:rFonts w:hint="eastAsia" w:ascii="宋体" w:hAnsi="宋体" w:eastAsia="宋体" w:cs="宋体"/>
          <w:color w:val="auto"/>
          <w:spacing w:val="0"/>
          <w:sz w:val="21"/>
          <w:szCs w:val="21"/>
          <w:shd w:val="clear" w:color="auto" w:fill="ffffff"/>
        </w:rPr>
        <w:t xml:space="preserve">。</w:t>
      </w:r>
      <w:r>
        <w:rPr>
          <w:rFonts w:hint="eastAsia" w:ascii="宋体" w:hAnsi="宋体" w:eastAsia="宋体" w:cs="宋体"/>
          <w:strike/>
          <w:color w:val="auto"/>
          <w:spacing w:val="0"/>
          <w:sz w:val="21"/>
          <w:szCs w:val="21"/>
          <w:u w:val="single"/>
          <w:shd w:val="clear" w:color="auto" w:fill="ffffff"/>
        </w:rPr>
        <w:t xml:space="preserve">（产品名称2）</w:t>
      </w:r>
      <w:r>
        <w:rPr>
          <w:rFonts w:hint="eastAsia" w:ascii="宋体" w:hAnsi="宋体" w:eastAsia="宋体" w:cs="宋体"/>
          <w:strike/>
          <w:color w:val="auto"/>
          <w:spacing w:val="0"/>
          <w:sz w:val="21"/>
          <w:szCs w:val="21"/>
          <w:shd w:val="clear" w:color="auto" w:fill="ffffff"/>
        </w:rPr>
        <w:t xml:space="preserve">的中国境内生产的组件成本占比≥</w:t>
      </w:r>
      <w:r>
        <w:rPr>
          <w:rFonts w:hint="eastAsia" w:ascii="宋体" w:hAnsi="宋体" w:eastAsia="宋体" w:cs="宋体"/>
          <w:strike/>
          <w:color w:val="auto"/>
          <w:spacing w:val="0"/>
          <w:sz w:val="21"/>
          <w:szCs w:val="21"/>
          <w:u w:val="single"/>
          <w:shd w:val="clear" w:color="auto" w:fill="ffffff"/>
        </w:rPr>
        <w:t xml:space="preserve">（规定比例）</w:t>
      </w:r>
      <w:r>
        <w:rPr>
          <w:rFonts w:hint="eastAsia" w:ascii="宋体" w:hAnsi="宋体" w:eastAsia="宋体" w:cs="宋体"/>
          <w:strike/>
          <w:color w:val="auto"/>
          <w:spacing w:val="0"/>
          <w:sz w:val="21"/>
          <w:szCs w:val="21"/>
          <w:shd w:val="clear" w:color="auto" w:fill="ffffff"/>
        </w:rPr>
        <w:t xml:space="preserve">。</w:t>
      </w:r>
      <w:r>
        <w:rPr>
          <w:rFonts w:hint="eastAsia" w:ascii="宋体" w:hAnsi="宋体" w:eastAsia="宋体" w:cs="宋体"/>
          <w:strike/>
          <w:color w:val="auto"/>
          <w:spacing w:val="0"/>
          <w:sz w:val="21"/>
          <w:szCs w:val="21"/>
          <w:u w:val="single"/>
          <w:shd w:val="clear" w:color="auto" w:fill="ffffff"/>
        </w:rPr>
        <w:t xml:space="preserve">（产品名称2）</w:t>
      </w:r>
      <w:r>
        <w:rPr>
          <w:rFonts w:hint="eastAsia" w:ascii="宋体" w:hAnsi="宋体" w:eastAsia="宋体" w:cs="宋体"/>
          <w:strike/>
          <w:color w:val="auto"/>
          <w:spacing w:val="0"/>
          <w:sz w:val="21"/>
          <w:szCs w:val="21"/>
          <w:shd w:val="clear" w:color="auto" w:fill="ffffff"/>
        </w:rPr>
        <w:t xml:space="preserve">的</w:t>
      </w:r>
      <w:r>
        <w:rPr>
          <w:rFonts w:hint="eastAsia" w:ascii="宋体" w:hAnsi="宋体" w:eastAsia="宋体" w:cs="宋体"/>
          <w:strike/>
          <w:color w:val="auto"/>
          <w:spacing w:val="0"/>
          <w:sz w:val="21"/>
          <w:szCs w:val="21"/>
          <w:u w:val="single"/>
          <w:shd w:val="clear" w:color="auto" w:fill="ffffff"/>
        </w:rPr>
        <w:t xml:space="preserve">（关键组件）</w:t>
      </w:r>
      <w:r>
        <w:rPr>
          <w:rFonts w:hint="eastAsia" w:ascii="宋体" w:hAnsi="宋体" w:eastAsia="宋体" w:cs="宋体"/>
          <w:strike/>
          <w:color w:val="auto"/>
          <w:spacing w:val="0"/>
          <w:sz w:val="21"/>
          <w:szCs w:val="21"/>
          <w:shd w:val="clear" w:color="auto" w:fill="ffffff"/>
        </w:rPr>
        <w:t xml:space="preserve">在中国境内生产。</w:t>
      </w:r>
      <w:r>
        <w:rPr>
          <w:rFonts w:hint="eastAsia" w:ascii="宋体" w:hAnsi="宋体" w:eastAsia="宋体" w:cs="宋体"/>
          <w:strike/>
          <w:color w:val="auto"/>
          <w:spacing w:val="0"/>
          <w:sz w:val="21"/>
          <w:szCs w:val="21"/>
          <w:u w:val="single"/>
          <w:shd w:val="clear" w:color="auto" w:fill="ffffff"/>
        </w:rPr>
        <w:t xml:space="preserve">（产品名称2）</w:t>
      </w:r>
      <w:r>
        <w:rPr>
          <w:rFonts w:hint="eastAsia" w:ascii="宋体" w:hAnsi="宋体" w:eastAsia="宋体" w:cs="宋体"/>
          <w:strike/>
          <w:color w:val="auto"/>
          <w:spacing w:val="0"/>
          <w:sz w:val="21"/>
          <w:szCs w:val="21"/>
          <w:shd w:val="clear" w:color="auto" w:fill="ffffff"/>
        </w:rPr>
        <w:t xml:space="preserve">的</w:t>
      </w:r>
      <w:r>
        <w:rPr>
          <w:rFonts w:hint="eastAsia" w:ascii="宋体" w:hAnsi="宋体" w:eastAsia="宋体" w:cs="宋体"/>
          <w:strike/>
          <w:color w:val="auto"/>
          <w:spacing w:val="0"/>
          <w:sz w:val="21"/>
          <w:szCs w:val="21"/>
          <w:u w:val="single"/>
          <w:shd w:val="clear" w:color="auto" w:fill="ffffff"/>
        </w:rPr>
        <w:t xml:space="preserve">（关键工序）</w:t>
      </w:r>
      <w:r>
        <w:rPr>
          <w:rFonts w:hint="eastAsia" w:ascii="宋体" w:hAnsi="宋体" w:eastAsia="宋体" w:cs="宋体"/>
          <w:strike/>
          <w:color w:val="auto"/>
          <w:spacing w:val="0"/>
          <w:sz w:val="21"/>
          <w:szCs w:val="21"/>
          <w:shd w:val="clear" w:color="auto" w:fill="ffffff"/>
        </w:rPr>
        <w:t xml:space="preserve">在中国境内完成。</w:t>
      </w:r>
      <w:r/>
    </w:p>
    <w:p>
      <w:pPr>
        <w:pStyle w:val="941"/>
        <w:ind w:firstLine="420"/>
        <w:spacing w:before="24" w:beforeAutospacing="0" w:after="24" w:afterAutospacing="0" w:line="360" w:lineRule="auto"/>
        <w:shd w:val="clear" w:color="auto" w:fill="ffffff"/>
        <w:rPr>
          <w:rFonts w:hint="eastAsia" w:ascii="宋体" w:hAnsi="宋体" w:eastAsia="宋体" w:cs="宋体"/>
          <w:color w:val="auto"/>
          <w:spacing w:val="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auto"/>
          <w:spacing w:val="0"/>
          <w:sz w:val="21"/>
          <w:szCs w:val="21"/>
          <w:u w:val="single"/>
          <w:shd w:val="clear" w:color="auto" w:fill="ffffff"/>
        </w:rPr>
        <w:t xml:space="preserve">   </w:t>
      </w:r>
      <w:r>
        <w:rPr>
          <w:rFonts w:hint="eastAsia" w:ascii="宋体" w:hAnsi="宋体" w:eastAsia="宋体" w:cs="宋体"/>
          <w:color w:val="auto"/>
          <w:spacing w:val="0"/>
          <w:sz w:val="21"/>
          <w:szCs w:val="21"/>
          <w:shd w:val="clear" w:color="auto" w:fill="ffffff"/>
        </w:rPr>
        <w:t xml:space="preserve">%。</w:t>
      </w:r>
      <w:r>
        <w:rPr>
          <w:rStyle w:val="950"/>
          <w:rFonts w:hint="eastAsia" w:ascii="宋体" w:hAnsi="宋体" w:eastAsia="宋体" w:cs="宋体"/>
          <w:color w:val="auto"/>
          <w:spacing w:val="0"/>
          <w:sz w:val="21"/>
          <w:szCs w:val="21"/>
          <w:vertAlign w:val="superscript"/>
        </w:rPr>
        <w:t xml:space="preserve">6</w:t>
      </w:r>
      <w:r/>
    </w:p>
    <w:p>
      <w:pPr>
        <w:pStyle w:val="941"/>
        <w:ind w:firstLine="420"/>
        <w:spacing w:before="24" w:beforeAutospacing="0" w:after="24" w:afterAutospacing="0" w:line="360" w:lineRule="auto"/>
        <w:shd w:val="clear" w:color="auto" w:fill="ffffff"/>
        <w:rPr>
          <w:rFonts w:hint="eastAsia" w:ascii="宋体" w:hAnsi="宋体" w:eastAsia="宋体" w:cs="宋体"/>
          <w:color w:val="auto"/>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shd w:val="clear" w:color="auto" w:fill="ffffff"/>
        </w:rPr>
        <w:t xml:space="preserve">本公司（单位）对上述声明内容的真实性负责。如有虚假，愿承担相应法律责任。</w:t>
      </w:r>
      <w:r/>
    </w:p>
    <w:p>
      <w:pPr>
        <w:pStyle w:val="941"/>
        <w:ind w:firstLine="420"/>
        <w:jc w:val="right"/>
        <w:spacing w:before="24" w:beforeAutospacing="0" w:after="24" w:afterAutospacing="0" w:line="360" w:lineRule="auto"/>
        <w:shd w:val="clear" w:color="auto" w:fill="ffffff"/>
        <w:rPr>
          <w:rFonts w:hint="eastAsia" w:ascii="宋体" w:hAnsi="宋体" w:eastAsia="宋体" w:cs="宋体"/>
          <w:bCs/>
          <w:color w:val="auto"/>
          <w:spacing w:val="0"/>
          <w:sz w:val="21"/>
        </w:rPr>
      </w:pPr>
      <w:r>
        <w:rPr>
          <w:rFonts w:hint="eastAsia" w:ascii="宋体" w:hAnsi="宋体" w:eastAsia="宋体" w:cs="宋体"/>
          <w:bCs/>
          <w:color w:val="auto"/>
          <w:spacing w:val="0"/>
          <w:sz w:val="21"/>
        </w:rPr>
        <w:t xml:space="preserve">公司（单位）名称（加盖电子公章）：      </w:t>
      </w:r>
      <w:r/>
    </w:p>
    <w:p>
      <w:pPr>
        <w:pStyle w:val="941"/>
        <w:ind w:firstLine="420"/>
        <w:jc w:val="right"/>
        <w:spacing w:before="24" w:after="24" w:line="360" w:lineRule="auto"/>
        <w:shd w:val="clear" w:color="auto" w:fill="ffffff"/>
        <w:rPr>
          <w:rFonts w:hint="eastAsia" w:ascii="宋体" w:hAnsi="宋体" w:eastAsia="宋体" w:cs="宋体"/>
          <w:bCs/>
          <w:color w:val="auto"/>
          <w:spacing w:val="0"/>
          <w:sz w:val="21"/>
        </w:rPr>
      </w:pPr>
      <w:r>
        <w:rPr>
          <w:rFonts w:hint="eastAsia" w:ascii="宋体" w:hAnsi="宋体" w:eastAsia="宋体" w:cs="宋体"/>
          <w:bCs/>
          <w:color w:val="auto"/>
          <w:spacing w:val="0"/>
          <w:sz w:val="21"/>
        </w:rPr>
        <w:t xml:space="preserve">日期：　　　　　年　　月　日    </w:t>
      </w:r>
      <w:r/>
    </w:p>
    <w:p>
      <w:pPr>
        <w:pStyle w:val="941"/>
        <w:ind w:firstLine="420"/>
        <w:spacing w:before="24" w:beforeAutospacing="0" w:after="24" w:afterAutospacing="0" w:line="360" w:lineRule="auto"/>
        <w:shd w:val="clear" w:color="auto" w:fill="ffffff"/>
        <w:rPr>
          <w:rFonts w:hint="eastAsia" w:ascii="宋体" w:hAnsi="宋体" w:eastAsia="宋体" w:cs="宋体"/>
          <w:b/>
          <w:bCs/>
          <w:color w:val="auto"/>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rPr>
        <w:t xml:space="preserve">备注：</w:t>
      </w:r>
      <w:r>
        <w:rPr>
          <w:rFonts w:hint="eastAsia" w:ascii="宋体" w:hAnsi="宋体" w:eastAsia="宋体" w:cs="宋体"/>
          <w:b/>
          <w:bCs/>
          <w:color w:val="auto"/>
          <w:spacing w:val="0"/>
          <w:sz w:val="21"/>
          <w:szCs w:val="21"/>
          <w:shd w:val="clear" w:color="auto" w:fill="ffffff"/>
        </w:rPr>
        <w:t xml:space="preserve">1.产品如有型号，请在“产品名称”栏一并填写。</w:t>
      </w:r>
      <w:r/>
    </w:p>
    <w:p>
      <w:pPr>
        <w:pStyle w:val="941"/>
        <w:ind w:firstLine="1054"/>
        <w:spacing w:before="24" w:beforeAutospacing="0" w:after="24" w:afterAutospacing="0" w:line="360" w:lineRule="auto"/>
        <w:shd w:val="clear" w:color="auto" w:fill="ffffff"/>
        <w:rPr>
          <w:rFonts w:hint="eastAsia" w:ascii="宋体" w:hAnsi="宋体" w:eastAsia="宋体" w:cs="宋体"/>
          <w:b/>
          <w:bCs/>
          <w:color w:val="auto"/>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shd w:val="clear" w:color="auto" w:fill="ffffff"/>
        </w:rPr>
        <w:t xml:space="preserve">2.生产厂名与厂址应与生产厂营业执照载明的相关信息保持一致。</w:t>
      </w:r>
      <w:r/>
    </w:p>
    <w:p>
      <w:pPr>
        <w:pStyle w:val="941"/>
        <w:ind w:firstLine="1050"/>
        <w:spacing w:before="24" w:beforeAutospacing="0" w:after="24" w:afterAutospacing="0" w:line="360" w:lineRule="auto"/>
        <w:shd w:val="clear" w:color="auto" w:fill="ffffff"/>
        <w:rPr>
          <w:rFonts w:hint="eastAsia" w:ascii="宋体" w:hAnsi="宋体" w:eastAsia="宋体" w:cs="宋体"/>
          <w:color w:val="auto"/>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shd w:val="clear" w:color="auto" w:fill="ffffff"/>
        </w:rPr>
        <w:t xml:space="preserve">3.该产品的中国境内生产的组件成本占比相关要求实施前，“规定比例”栏可不填。</w:t>
      </w:r>
      <w:r/>
    </w:p>
    <w:p>
      <w:pPr>
        <w:pStyle w:val="941"/>
        <w:ind w:firstLine="1050"/>
        <w:spacing w:before="24" w:beforeAutospacing="0" w:after="24" w:afterAutospacing="0" w:line="360" w:lineRule="auto"/>
        <w:shd w:val="clear" w:color="auto" w:fill="ffffff"/>
        <w:rPr>
          <w:rFonts w:hint="eastAsia" w:ascii="宋体" w:hAnsi="宋体" w:eastAsia="宋体" w:cs="宋体"/>
          <w:color w:val="auto"/>
          <w:spacing w:val="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shd w:val="clear" w:color="auto" w:fill="ffffff"/>
        </w:rPr>
        <w:t xml:space="preserve">4.该产品的关键组件要求实施前，“关键组件”栏可不填。</w:t>
      </w:r>
      <w:r/>
    </w:p>
    <w:p>
      <w:pPr>
        <w:pStyle w:val="941"/>
        <w:ind w:firstLine="1050"/>
        <w:spacing w:before="24" w:beforeAutospacing="0" w:after="24" w:afterAutospacing="0" w:line="360" w:lineRule="auto"/>
        <w:shd w:val="clear" w:color="auto" w:fill="ffffff"/>
        <w:rPr>
          <w:rFonts w:hint="eastAsia" w:ascii="宋体" w:hAnsi="宋体" w:eastAsia="宋体" w:cs="宋体"/>
          <w:color w:val="auto"/>
          <w:spacing w:val="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shd w:val="clear" w:color="auto" w:fill="ffffff"/>
        </w:rPr>
        <w:t xml:space="preserve">5.该产品的关键工序要求实施前，“关键工序”栏可不填。</w:t>
      </w:r>
      <w:r/>
    </w:p>
    <w:p>
      <w:pPr>
        <w:pStyle w:val="941"/>
        <w:ind w:firstLine="1054"/>
        <w:spacing w:before="24" w:beforeAutospacing="0" w:after="24" w:afterAutospacing="0" w:line="360" w:lineRule="auto"/>
        <w:shd w:val="clear" w:color="auto" w:fill="ffffff"/>
        <w:rPr>
          <w:rFonts w:hint="eastAsia" w:ascii="宋体" w:hAnsi="宋体" w:eastAsia="宋体" w:cs="宋体"/>
          <w:b/>
          <w:bCs/>
          <w:color w:val="auto"/>
          <w:spacing w:val="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shd w:val="clear" w:color="auto" w:fill="ffffff"/>
        </w:rPr>
        <w:t xml:space="preserve">6.当采购项目或者采购包中含有多种产品，投标人为该采购项目或者采购包提供的符合本国产品标准的产品成本之和占该投标人提供的全部产品成本之和的比例达到80%以上时（投标人需在《声明函》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949"/>
        <w:spacing w:line="360" w:lineRule="auto"/>
        <w:rPr>
          <w:rFonts w:hint="eastAsia" w:ascii="宋体" w:hAnsi="宋体" w:eastAsia="宋体" w:cs="宋体"/>
          <w:color w:val="auto"/>
          <w:spacing w:val="0"/>
        </w:rPr>
      </w:pPr>
      <w:r>
        <w:rPr>
          <w:rFonts w:hint="eastAsia" w:ascii="宋体" w:hAnsi="宋体" w:eastAsia="宋体" w:cs="宋体"/>
          <w:b/>
          <w:bCs/>
          <w:color w:val="auto"/>
          <w:spacing w:val="0"/>
        </w:rPr>
        <w:t xml:space="preserve">7.《关于符合本国产品标准的声明函》准确填写产品名称、厂名、生产厂址三项信息，三项信息中任意一项未填写的视为该项产品不符合本国产品标准，不享受本国产品价格评审优惠。</w:t>
      </w:r>
      <w:r>
        <w:rPr>
          <w:rFonts w:hint="eastAsia" w:ascii="宋体" w:hAnsi="宋体" w:cs="宋体"/>
          <w:b/>
          <w:bCs/>
          <w:color w:val="auto"/>
          <w:spacing w:val="0"/>
          <w:lang w:val="en-US" w:eastAsia="zh-CN"/>
        </w:rPr>
        <w:t xml:space="preserve"> </w:t>
      </w:r>
      <w:r>
        <w:rPr>
          <w:rFonts w:hint="eastAsia" w:ascii="宋体" w:hAnsi="宋体" w:eastAsia="宋体" w:cs="宋体"/>
          <w:color w:val="auto"/>
          <w:spacing w:val="0"/>
        </w:rPr>
        <w:br w:type="page" w:clear="all"/>
      </w:r>
      <w:r/>
    </w:p>
    <w:p>
      <w:pPr>
        <w:numPr>
          <w:ilvl w:val="1"/>
          <w:numId w:val="1"/>
        </w:numPr>
        <w:jc w:val="both"/>
        <w:keepLines/>
        <w:keepNext/>
        <w:spacing w:before="260" w:after="260" w:line="416" w:lineRule="auto"/>
        <w:widowControl w:val="off"/>
        <w:rPr>
          <w:rFonts w:hint="eastAsia" w:ascii="宋体" w:hAnsi="宋体" w:eastAsia="宋体" w:cs="宋体"/>
          <w:b/>
          <w:bCs/>
          <w:color w:val="auto"/>
          <w:spacing w:val="0"/>
          <w:sz w:val="32"/>
          <w:szCs w:val="32"/>
          <w:lang w:val="en-US" w:eastAsia="zh-CN" w:bidi="ar-SA"/>
        </w:rPr>
        <w:outlineLvl w:val="1"/>
      </w:pPr>
      <w:r/>
      <w:bookmarkStart w:id="220" w:name="_Toc1487"/>
      <w:r/>
      <w:bookmarkStart w:id="221" w:name="_Toc66375434"/>
      <w:r/>
      <w:bookmarkStart w:id="222" w:name="_Toc43917781"/>
      <w:r>
        <w:rPr>
          <w:rFonts w:hint="eastAsia" w:ascii="宋体" w:hAnsi="宋体" w:eastAsia="宋体" w:cs="宋体"/>
          <w:b/>
          <w:bCs/>
          <w:color w:val="auto"/>
          <w:spacing w:val="0"/>
          <w:sz w:val="32"/>
          <w:szCs w:val="32"/>
          <w:lang w:val="en-US" w:eastAsia="zh-CN" w:bidi="ar-SA"/>
        </w:rPr>
        <w:t xml:space="preserve">附件十二、具有履行合同所必需的设备和专业技术能力的声明</w:t>
      </w:r>
      <w:bookmarkEnd w:id="220"/>
      <w:r/>
      <w:r/>
    </w:p>
    <w:p>
      <w:pPr>
        <w:jc w:val="center"/>
        <w:spacing w:line="240" w:lineRule="atLeast"/>
        <w:rPr>
          <w:rFonts w:hint="eastAsia" w:ascii="宋体" w:hAnsi="宋体" w:eastAsia="宋体" w:cs="宋体"/>
          <w:b/>
          <w:bCs/>
          <w:color w:val="auto"/>
          <w:spacing w:val="0"/>
          <w:sz w:val="32"/>
          <w:szCs w:val="32"/>
        </w:rPr>
      </w:pPr>
      <w:r/>
      <w:bookmarkStart w:id="223" w:name="_Toc3130"/>
      <w:r/>
      <w:r/>
    </w:p>
    <w:p>
      <w:pPr>
        <w:jc w:val="center"/>
        <w:spacing w:line="240" w:lineRule="atLeast"/>
        <w:rPr>
          <w:rFonts w:hint="eastAsia" w:ascii="宋体" w:hAnsi="宋体" w:eastAsia="宋体" w:cs="宋体"/>
          <w:b/>
          <w:bCs/>
          <w:color w:val="auto"/>
          <w:spacing w:val="0"/>
          <w:sz w:val="32"/>
          <w:szCs w:val="32"/>
        </w:rPr>
      </w:pPr>
      <w:r>
        <w:rPr>
          <w:rFonts w:hint="eastAsia" w:ascii="宋体" w:hAnsi="宋体" w:eastAsia="宋体" w:cs="宋体"/>
          <w:b/>
          <w:bCs/>
          <w:color w:val="auto"/>
          <w:spacing w:val="0"/>
          <w:sz w:val="32"/>
          <w:szCs w:val="32"/>
        </w:rPr>
        <w:t xml:space="preserve">具有履行合同所必需的设备和专业技术能力的声明</w:t>
      </w:r>
      <w:bookmarkEnd w:id="223"/>
      <w:r/>
      <w:r/>
    </w:p>
    <w:p>
      <w:pPr>
        <w:spacing w:line="360" w:lineRule="auto"/>
        <w:rPr>
          <w:rFonts w:hint="eastAsia" w:ascii="宋体" w:hAnsi="宋体" w:eastAsia="宋体" w:cs="宋体"/>
          <w:color w:val="auto"/>
          <w:spacing w:val="0"/>
        </w:rPr>
      </w:pPr>
      <w:r>
        <w:rPr>
          <w:rFonts w:hint="eastAsia" w:ascii="宋体" w:hAnsi="宋体" w:eastAsia="宋体" w:cs="宋体"/>
          <w:color w:val="auto"/>
          <w:spacing w:val="0"/>
        </w:rPr>
        <w:t xml:space="preserve">致：南京信息职业技术学院</w:t>
      </w:r>
      <w:r/>
    </w:p>
    <w:p>
      <w:pPr>
        <w:spacing w:line="360" w:lineRule="auto"/>
        <w:rPr>
          <w:rFonts w:hint="eastAsia" w:ascii="宋体" w:hAnsi="宋体" w:eastAsia="宋体" w:cs="宋体"/>
          <w:color w:val="auto"/>
          <w:spacing w:val="0"/>
        </w:rPr>
      </w:pPr>
      <w:r>
        <w:rPr>
          <w:rFonts w:hint="eastAsia" w:ascii="宋体" w:hAnsi="宋体" w:eastAsia="宋体" w:cs="宋体"/>
          <w:color w:val="auto"/>
          <w:spacing w:val="0"/>
          <w:shd w:val="clear" w:color="auto" w:fill="ffffff"/>
          <w:lang w:val="zh-CN"/>
        </w:rPr>
        <w:t xml:space="preserve">    江苏国采工程咨询有限公司</w:t>
      </w:r>
      <w:r/>
    </w:p>
    <w:p>
      <w:pPr>
        <w:ind w:firstLine="42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我单位</w:t>
      </w:r>
      <w:r>
        <w:rPr>
          <w:rFonts w:hint="eastAsia" w:ascii="宋体" w:hAnsi="宋体" w:cs="宋体"/>
          <w:color w:val="auto"/>
          <w:spacing w:val="0"/>
          <w:szCs w:val="21"/>
          <w:u w:val="single"/>
          <w:lang w:val="en-US" w:eastAsia="zh-CN"/>
        </w:rPr>
        <w:t xml:space="preserve">      </w:t>
      </w:r>
      <w:r>
        <w:rPr>
          <w:rFonts w:hint="eastAsia" w:ascii="宋体" w:hAnsi="宋体" w:eastAsia="宋体" w:cs="宋体"/>
          <w:color w:val="auto"/>
          <w:spacing w:val="0"/>
          <w:szCs w:val="21"/>
        </w:rPr>
        <w:t xml:space="preserve">（投标人名称）郑重声明：</w:t>
      </w:r>
      <w:r/>
    </w:p>
    <w:p>
      <w:pPr>
        <w:ind w:firstLine="42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主要设备有：</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。（材料附后）</w:t>
      </w:r>
      <w:r/>
    </w:p>
    <w:p>
      <w:pPr>
        <w:ind w:firstLine="42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主要专业技术能力有：</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。（材料附后）</w:t>
      </w:r>
      <w:r/>
    </w:p>
    <w:p>
      <w:pPr>
        <w:ind w:firstLine="42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left="6300"/>
        <w:jc w:val="left"/>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声明人：（</w:t>
      </w:r>
      <w:r>
        <w:rPr>
          <w:rFonts w:hint="eastAsia" w:ascii="宋体" w:hAnsi="宋体" w:eastAsia="宋体" w:cs="宋体"/>
          <w:color w:val="auto"/>
          <w:spacing w:val="0"/>
        </w:rPr>
        <w:t xml:space="preserve">加盖电子公章</w:t>
      </w:r>
      <w:r>
        <w:rPr>
          <w:rFonts w:hint="eastAsia" w:ascii="宋体" w:hAnsi="宋体" w:eastAsia="宋体" w:cs="宋体"/>
          <w:color w:val="auto"/>
          <w:spacing w:val="0"/>
          <w:szCs w:val="21"/>
        </w:rPr>
        <w:t xml:space="preserve">）</w:t>
      </w:r>
      <w:r/>
    </w:p>
    <w:p>
      <w:pPr>
        <w:ind w:left="6300"/>
        <w:jc w:val="left"/>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日期：  年  月  日</w:t>
      </w:r>
      <w:r/>
    </w:p>
    <w:p>
      <w:pPr>
        <w:pStyle w:val="903"/>
        <w:rPr>
          <w:rFonts w:hint="eastAsia" w:ascii="宋体" w:hAnsi="宋体" w:eastAsia="宋体" w:cs="宋体"/>
          <w:color w:val="auto"/>
          <w:spacing w:val="0"/>
        </w:rPr>
      </w:pPr>
      <w:r>
        <w:rPr>
          <w:rFonts w:hint="eastAsia" w:ascii="宋体" w:hAnsi="宋体" w:eastAsia="宋体" w:cs="宋体"/>
          <w:color w:val="auto"/>
          <w:spacing w:val="0"/>
        </w:rPr>
        <w:t xml:space="preserve">附件十</w:t>
      </w:r>
      <w:r>
        <w:rPr>
          <w:rFonts w:hint="eastAsia" w:ascii="宋体" w:hAnsi="宋体" w:cs="宋体"/>
          <w:color w:val="auto"/>
          <w:spacing w:val="0"/>
          <w:lang w:val="en-US" w:eastAsia="zh-CN"/>
        </w:rPr>
        <w:t xml:space="preserve">三</w:t>
      </w:r>
      <w:r>
        <w:rPr>
          <w:rFonts w:hint="eastAsia" w:ascii="宋体" w:hAnsi="宋体" w:eastAsia="宋体" w:cs="宋体"/>
          <w:color w:val="auto"/>
          <w:spacing w:val="0"/>
        </w:rPr>
        <w:t xml:space="preserve">、无重大违法记录声明</w:t>
      </w:r>
      <w:bookmarkEnd w:id="221"/>
      <w:r/>
      <w:bookmarkEnd w:id="222"/>
      <w:r/>
      <w:r/>
    </w:p>
    <w:p>
      <w:pPr>
        <w:jc w:val="center"/>
        <w:spacing w:line="240" w:lineRule="atLeast"/>
        <w:rPr>
          <w:rFonts w:hint="eastAsia" w:ascii="宋体" w:hAnsi="宋体" w:eastAsia="宋体" w:cs="宋体"/>
          <w:b/>
          <w:bCs/>
          <w:color w:val="auto"/>
          <w:spacing w:val="0"/>
          <w:sz w:val="32"/>
          <w:szCs w:val="32"/>
        </w:rPr>
      </w:pPr>
      <w:r>
        <w:rPr>
          <w:rFonts w:hint="eastAsia" w:ascii="宋体" w:hAnsi="宋体" w:eastAsia="宋体" w:cs="宋体"/>
          <w:b/>
          <w:bCs/>
          <w:color w:val="auto"/>
          <w:spacing w:val="0"/>
          <w:sz w:val="32"/>
          <w:szCs w:val="32"/>
        </w:rPr>
        <w:t xml:space="preserve">无重大违法记录声明</w:t>
      </w:r>
      <w:r/>
    </w:p>
    <w:p>
      <w:pPr>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致：</w:t>
      </w:r>
      <w:r>
        <w:rPr>
          <w:rFonts w:hint="eastAsia" w:ascii="宋体" w:hAnsi="宋体" w:eastAsia="宋体" w:cs="宋体"/>
          <w:color w:val="auto"/>
          <w:spacing w:val="0"/>
          <w:szCs w:val="21"/>
        </w:rPr>
        <w:t xml:space="preserve">南京信息职业技术学院</w:t>
      </w:r>
      <w:r/>
    </w:p>
    <w:p>
      <w:pPr>
        <w:ind w:firstLine="42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江苏国采工程咨询有限公司</w:t>
      </w:r>
      <w:r/>
    </w:p>
    <w:p>
      <w:pPr>
        <w:ind w:firstLine="420"/>
        <w:spacing w:line="360" w:lineRule="auto"/>
        <w:rPr>
          <w:rFonts w:hint="eastAsia" w:ascii="宋体" w:hAnsi="宋体" w:eastAsia="宋体" w:cs="宋体"/>
          <w:color w:val="auto"/>
          <w:spacing w:val="0"/>
        </w:rPr>
      </w:pPr>
      <w:r>
        <w:rPr>
          <w:rFonts w:hint="eastAsia" w:ascii="宋体" w:hAnsi="宋体" w:eastAsia="宋体" w:cs="宋体"/>
          <w:color w:val="auto"/>
          <w:spacing w:val="0"/>
        </w:rPr>
        <w:t xml:space="preserve">我单位</w:t>
      </w:r>
      <w:r>
        <w:rPr>
          <w:rFonts w:hint="eastAsia" w:ascii="宋体" w:hAnsi="宋体" w:cs="宋体"/>
          <w:color w:val="auto"/>
          <w:spacing w:val="0"/>
          <w:u w:val="single"/>
          <w:lang w:val="en-US" w:eastAsia="zh-CN"/>
        </w:rPr>
        <w:t xml:space="preserve">       </w:t>
      </w:r>
      <w:r>
        <w:rPr>
          <w:rFonts w:hint="eastAsia" w:ascii="宋体" w:hAnsi="宋体" w:eastAsia="宋体" w:cs="宋体"/>
          <w:color w:val="auto"/>
          <w:spacing w:val="0"/>
        </w:rPr>
        <w:t xml:space="preserve">（投标人名称）郑重声明：</w:t>
      </w:r>
      <w:r/>
    </w:p>
    <w:p>
      <w:pPr>
        <w:ind w:firstLine="420"/>
        <w:spacing w:line="360" w:lineRule="auto"/>
        <w:rPr>
          <w:rFonts w:hint="eastAsia" w:ascii="宋体" w:hAnsi="宋体" w:eastAsia="宋体" w:cs="宋体"/>
          <w:color w:val="auto"/>
          <w:spacing w:val="0"/>
        </w:rPr>
      </w:pPr>
      <w:r>
        <w:rPr>
          <w:rFonts w:hint="eastAsia" w:ascii="宋体" w:hAnsi="宋体" w:eastAsia="宋体" w:cs="宋体"/>
          <w:color w:val="auto"/>
          <w:spacing w:val="0"/>
        </w:rPr>
        <w:t xml:space="preserve">参加政府采购活动前3年内在经营活动中</w:t>
      </w:r>
      <w:r>
        <w:rPr>
          <w:rFonts w:hint="eastAsia" w:ascii="宋体" w:hAnsi="宋体" w:eastAsia="宋体" w:cs="宋体"/>
          <w:color w:val="auto"/>
          <w:spacing w:val="0"/>
          <w:u w:val="single"/>
        </w:rPr>
        <w:t xml:space="preserve">         </w:t>
      </w:r>
      <w:r>
        <w:rPr>
          <w:rFonts w:hint="eastAsia" w:ascii="宋体" w:hAnsi="宋体" w:eastAsia="宋体" w:cs="宋体"/>
          <w:color w:val="auto"/>
          <w:spacing w:val="0"/>
        </w:rPr>
        <w:t xml:space="preserve"> （在下划线上如实填写：有或没有）重大违法记录。</w:t>
      </w:r>
      <w:r/>
    </w:p>
    <w:p>
      <w:pPr>
        <w:ind w:firstLine="315"/>
        <w:spacing w:line="360" w:lineRule="auto"/>
        <w:rPr>
          <w:rFonts w:hint="eastAsia" w:ascii="宋体" w:hAnsi="宋体" w:eastAsia="宋体" w:cs="宋体"/>
          <w:color w:val="auto"/>
          <w:spacing w:val="0"/>
        </w:rPr>
      </w:pPr>
      <w:r>
        <w:rPr>
          <w:rFonts w:hint="eastAsia" w:ascii="宋体" w:hAnsi="宋体" w:eastAsia="宋体" w:cs="宋体"/>
          <w:color w:val="auto"/>
          <w:spacing w:val="0"/>
        </w:rPr>
        <w:t xml:space="preserve">（说明：政府采购法第二十二条第一款第五项所称重大违法记录，是指投标人因违法经营受到刑事处罚或者责令停产停业、吊销许可证或者执照、较大数额罚款等行政处罚。）</w:t>
      </w:r>
      <w:r/>
    </w:p>
    <w:p>
      <w:pPr>
        <w:spacing w:line="360" w:lineRule="auto"/>
        <w:rPr>
          <w:rFonts w:hint="eastAsia" w:ascii="宋体" w:hAnsi="宋体" w:eastAsia="宋体" w:cs="宋体"/>
          <w:color w:val="auto"/>
          <w:spacing w:val="0"/>
        </w:rPr>
      </w:pPr>
      <w:r>
        <w:rPr>
          <w:rFonts w:hint="eastAsia" w:ascii="宋体" w:hAnsi="宋体" w:eastAsia="宋体" w:cs="宋体"/>
          <w:color w:val="auto"/>
          <w:spacing w:val="0"/>
        </w:rPr>
      </w:r>
      <w:r/>
    </w:p>
    <w:p>
      <w:pPr>
        <w:ind w:firstLine="5103"/>
        <w:spacing w:line="360" w:lineRule="auto"/>
        <w:rPr>
          <w:rFonts w:hint="eastAsia" w:ascii="宋体" w:hAnsi="宋体" w:eastAsia="宋体" w:cs="宋体"/>
          <w:color w:val="auto"/>
          <w:spacing w:val="0"/>
        </w:rPr>
      </w:pPr>
      <w:r>
        <w:rPr>
          <w:rFonts w:hint="eastAsia" w:ascii="宋体" w:hAnsi="宋体" w:eastAsia="宋体" w:cs="宋体"/>
          <w:color w:val="auto"/>
          <w:spacing w:val="0"/>
        </w:rPr>
        <w:t xml:space="preserve">声明人： （</w:t>
      </w:r>
      <w:r>
        <w:rPr>
          <w:rFonts w:hint="eastAsia" w:ascii="宋体" w:hAnsi="宋体" w:eastAsia="宋体" w:cs="宋体"/>
          <w:color w:val="auto"/>
          <w:spacing w:val="0"/>
        </w:rPr>
        <w:t xml:space="preserve">加盖电子公章</w:t>
      </w:r>
      <w:r>
        <w:rPr>
          <w:rFonts w:hint="eastAsia" w:ascii="宋体" w:hAnsi="宋体" w:eastAsia="宋体" w:cs="宋体"/>
          <w:color w:val="auto"/>
          <w:spacing w:val="0"/>
        </w:rPr>
        <w:t xml:space="preserve">）</w:t>
      </w:r>
      <w:r/>
    </w:p>
    <w:p>
      <w:pPr>
        <w:ind w:firstLine="5040"/>
        <w:spacing w:line="360" w:lineRule="auto"/>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t xml:space="preserve">日   期：    年   月  日</w:t>
      </w:r>
      <w:r>
        <w:rPr>
          <w:rFonts w:hint="eastAsia" w:ascii="宋体" w:hAnsi="宋体" w:eastAsia="宋体" w:cs="宋体"/>
          <w:color w:val="auto"/>
          <w:spacing w:val="0"/>
          <w:szCs w:val="21"/>
          <w:lang w:val="zh-CN"/>
        </w:rPr>
        <w:br w:type="page" w:clear="all"/>
      </w:r>
      <w:r/>
    </w:p>
    <w:p>
      <w:pPr>
        <w:pStyle w:val="903"/>
        <w:jc w:val="left"/>
        <w:rPr>
          <w:rFonts w:hint="eastAsia" w:ascii="宋体" w:hAnsi="宋体" w:eastAsia="宋体" w:cs="宋体"/>
          <w:color w:val="auto"/>
          <w:spacing w:val="0"/>
          <w:sz w:val="30"/>
          <w:szCs w:val="30"/>
        </w:rPr>
      </w:pPr>
      <w:r/>
      <w:bookmarkStart w:id="224" w:name="_Hlk176529286"/>
      <w:r>
        <w:rPr>
          <w:rFonts w:hint="eastAsia" w:ascii="宋体" w:hAnsi="宋体" w:eastAsia="宋体" w:cs="宋体"/>
          <w:color w:val="auto"/>
          <w:spacing w:val="0"/>
        </w:rPr>
        <w:t xml:space="preserve">附件十三、核心产品品牌一览表</w:t>
      </w:r>
      <w:r/>
    </w:p>
    <w:p>
      <w:pPr>
        <w:jc w:val="center"/>
        <w:spacing w:line="240" w:lineRule="atLeast"/>
        <w:rPr>
          <w:rFonts w:hint="eastAsia" w:ascii="宋体" w:hAnsi="宋体" w:eastAsia="宋体" w:cs="宋体"/>
          <w:color w:val="auto"/>
          <w:spacing w:val="0"/>
          <w:sz w:val="32"/>
          <w:szCs w:val="32"/>
        </w:rPr>
      </w:pPr>
      <w:r/>
      <w:bookmarkStart w:id="225" w:name="_Hlk176879253"/>
      <w:r>
        <w:rPr>
          <w:rFonts w:hint="eastAsia" w:ascii="宋体" w:hAnsi="宋体" w:eastAsia="宋体" w:cs="宋体"/>
          <w:b/>
          <w:bCs/>
          <w:color w:val="auto"/>
          <w:spacing w:val="0"/>
          <w:sz w:val="32"/>
          <w:szCs w:val="32"/>
        </w:rPr>
        <w:t xml:space="preserve">核心产品品牌一览表</w:t>
      </w:r>
      <w:r/>
    </w:p>
    <w:tbl>
      <w:tblPr>
        <w:tblStyle w:val="912"/>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4088"/>
        <w:gridCol w:w="2158"/>
        <w:gridCol w:w="2391"/>
      </w:tblGrid>
      <w:tr>
        <w:trPr>
          <w:jc w:val="center"/>
          <w:trHeight w:val="72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0" w:lineRule="atLeast"/>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t xml:space="preserve">序号</w:t>
            </w:r>
            <w:r/>
          </w:p>
        </w:tc>
        <w:tc>
          <w:tcPr>
            <w:tcBorders>
              <w:top w:val="single" w:color="000000" w:sz="4" w:space="0"/>
              <w:left w:val="single" w:color="000000" w:sz="4" w:space="0"/>
              <w:right w:val="single" w:color="000000" w:sz="4" w:space="0"/>
            </w:tcBorders>
            <w:tcW w:w="4088" w:type="dxa"/>
            <w:vAlign w:val="center"/>
            <w:textDirection w:val="lrTb"/>
            <w:noWrap w:val="false"/>
          </w:tcPr>
          <w:p>
            <w:pPr>
              <w:jc w:val="center"/>
              <w:spacing w:line="0" w:lineRule="atLeast"/>
              <w:rPr>
                <w:rFonts w:hint="eastAsia" w:ascii="宋体" w:hAnsi="宋体" w:eastAsia="宋体" w:cs="宋体"/>
                <w:color w:val="auto"/>
                <w:spacing w:val="0"/>
                <w:szCs w:val="21"/>
                <w:lang w:val="zh-CN"/>
              </w:rPr>
            </w:pPr>
            <w:r>
              <w:rPr>
                <w:rFonts w:hint="eastAsia" w:ascii="宋体" w:hAnsi="宋体" w:eastAsia="宋体" w:cs="宋体"/>
                <w:color w:val="auto"/>
                <w:spacing w:val="0"/>
                <w:szCs w:val="21"/>
              </w:rPr>
              <w:t xml:space="preserve">产品</w:t>
            </w:r>
            <w:r>
              <w:rPr>
                <w:rFonts w:hint="eastAsia" w:ascii="宋体" w:hAnsi="宋体" w:eastAsia="宋体" w:cs="宋体"/>
                <w:color w:val="auto"/>
                <w:spacing w:val="0"/>
                <w:szCs w:val="21"/>
                <w:lang w:val="zh-CN"/>
              </w:rPr>
              <w:t xml:space="preserve">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0" w:lineRule="atLeast"/>
              <w:rPr>
                <w:rFonts w:hint="eastAsia" w:ascii="宋体" w:hAnsi="宋体" w:eastAsia="宋体" w:cs="宋体"/>
                <w:color w:val="auto"/>
                <w:spacing w:val="0"/>
                <w:szCs w:val="21"/>
                <w:lang w:val="zh-CN"/>
              </w:rPr>
            </w:pPr>
            <w:r>
              <w:rPr>
                <w:rFonts w:hint="eastAsia" w:ascii="宋体" w:hAnsi="宋体" w:eastAsia="宋体" w:cs="宋体"/>
                <w:color w:val="auto"/>
                <w:spacing w:val="0"/>
                <w:szCs w:val="21"/>
              </w:rPr>
              <w:t xml:space="preserve">产品</w:t>
            </w:r>
            <w:r>
              <w:rPr>
                <w:rFonts w:hint="eastAsia" w:ascii="宋体" w:hAnsi="宋体" w:eastAsia="宋体" w:cs="宋体"/>
                <w:color w:val="auto"/>
                <w:spacing w:val="0"/>
                <w:szCs w:val="21"/>
                <w:lang w:val="zh-CN"/>
              </w:rPr>
              <w:t xml:space="preserve">品牌</w:t>
            </w:r>
            <w:r/>
          </w:p>
        </w:tc>
        <w:tc>
          <w:tcPr>
            <w:tcBorders>
              <w:top w:val="single" w:color="000000" w:sz="4" w:space="0"/>
              <w:left w:val="single" w:color="000000" w:sz="4" w:space="0"/>
              <w:right w:val="single" w:color="000000" w:sz="4" w:space="0"/>
            </w:tcBorders>
            <w:tcW w:w="2391" w:type="dxa"/>
            <w:vAlign w:val="center"/>
            <w:textDirection w:val="lrTb"/>
            <w:noWrap w:val="false"/>
          </w:tcPr>
          <w:p>
            <w:pPr>
              <w:jc w:val="center"/>
              <w:spacing w:line="0" w:lineRule="atLeast"/>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t xml:space="preserve">规格或型号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0" w:lineRule="atLeast"/>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t xml:space="preserve">1</w:t>
            </w:r>
            <w:r/>
          </w:p>
        </w:tc>
        <w:tc>
          <w:tcPr>
            <w:tcBorders>
              <w:left w:val="single" w:color="000000" w:sz="4" w:space="0"/>
              <w:right w:val="single" w:color="000000" w:sz="4" w:space="0"/>
            </w:tcBorders>
            <w:tcW w:w="4088" w:type="dxa"/>
            <w:vAlign w:val="center"/>
            <w:textDirection w:val="lrTb"/>
            <w:noWrap w:val="false"/>
          </w:tcPr>
          <w:p>
            <w:pPr>
              <w:jc w:val="center"/>
              <w:spacing w:line="0" w:lineRule="atLeast"/>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t xml:space="preserve">中心子站变电所改造</w:t>
            </w:r>
            <w:r>
              <w:rPr>
                <w:rFonts w:hint="eastAsia" w:ascii="宋体" w:hAnsi="宋体" w:cs="宋体"/>
                <w:color w:val="auto"/>
                <w:spacing w:val="0"/>
                <w:szCs w:val="21"/>
                <w:lang w:val="en-US" w:eastAsia="zh-CN"/>
              </w:rPr>
              <w:t xml:space="preserve">-</w:t>
            </w:r>
            <w:r>
              <w:rPr>
                <w:rFonts w:hint="eastAsia" w:ascii="宋体" w:hAnsi="宋体" w:eastAsia="宋体" w:cs="宋体"/>
                <w:color w:val="auto"/>
                <w:spacing w:val="0"/>
                <w:szCs w:val="21"/>
                <w:lang w:val="zh-CN"/>
              </w:rPr>
              <w:t xml:space="preserve">干式变压器SCB14</w:t>
            </w:r>
            <w:r/>
          </w:p>
        </w:tc>
        <w:tc>
          <w:tcPr>
            <w:tcBorders>
              <w:left w:val="single" w:color="000000" w:sz="4" w:space="0"/>
              <w:right w:val="single" w:color="000000" w:sz="4" w:space="0"/>
            </w:tcBorders>
            <w:tcW w:w="2158" w:type="dxa"/>
            <w:textDirection w:val="lrTb"/>
            <w:noWrap w:val="false"/>
          </w:tcPr>
          <w:p>
            <w:pPr>
              <w:jc w:val="center"/>
              <w:spacing w:line="0" w:lineRule="atLeast"/>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r>
            <w:r/>
          </w:p>
        </w:tc>
        <w:tc>
          <w:tcPr>
            <w:tcBorders>
              <w:left w:val="single" w:color="000000" w:sz="4" w:space="0"/>
              <w:right w:val="single" w:color="000000" w:sz="4" w:space="0"/>
            </w:tcBorders>
            <w:tcW w:w="2391" w:type="dxa"/>
            <w:textDirection w:val="lrTb"/>
            <w:noWrap w:val="false"/>
          </w:tcPr>
          <w:p>
            <w:pPr>
              <w:jc w:val="center"/>
              <w:spacing w:line="0" w:lineRule="atLeast"/>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r>
            <w:r/>
          </w:p>
        </w:tc>
      </w:tr>
    </w:tbl>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投标人（加盖电子公章）：</w:t>
      </w:r>
      <w:r>
        <w:rPr>
          <w:rFonts w:hint="eastAsia" w:ascii="宋体" w:hAnsi="宋体" w:eastAsia="宋体" w:cs="宋体"/>
          <w:color w:val="auto"/>
          <w:spacing w:val="0"/>
          <w:szCs w:val="21"/>
          <w:u w:val="single"/>
        </w:rPr>
        <w:t xml:space="preserve">                                  </w:t>
      </w:r>
      <w:r/>
    </w:p>
    <w:p>
      <w:pPr>
        <w:ind w:firstLine="482"/>
        <w:spacing w:line="480" w:lineRule="exact"/>
        <w:rPr>
          <w:rFonts w:hint="eastAsia" w:ascii="宋体" w:hAnsi="宋体" w:eastAsia="宋体" w:cs="宋体"/>
          <w:b/>
          <w:bCs/>
          <w:color w:val="auto"/>
          <w:spacing w:val="0"/>
          <w:sz w:val="24"/>
        </w:rPr>
      </w:pPr>
      <w:r>
        <w:rPr>
          <w:rFonts w:hint="eastAsia" w:ascii="宋体" w:hAnsi="宋体" w:eastAsia="宋体" w:cs="宋体"/>
          <w:b/>
          <w:bCs/>
          <w:color w:val="auto"/>
          <w:spacing w:val="0"/>
          <w:sz w:val="24"/>
        </w:rPr>
      </w:r>
      <w:bookmarkEnd w:id="225"/>
      <w:r/>
      <w:r/>
    </w:p>
    <w:p>
      <w:pPr>
        <w:ind w:firstLine="482"/>
        <w:spacing w:line="480" w:lineRule="exact"/>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说明：投标人须按照表格要求明确填写所投“核心产品”的品牌，不得填报“/”“无”等内容，否则视为无效投标。</w:t>
      </w:r>
      <w:bookmarkEnd w:id="224"/>
      <w:r/>
      <w:r/>
    </w:p>
    <w:p>
      <w:pPr>
        <w:spacing w:line="360" w:lineRule="auto"/>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r>
      <w:r/>
    </w:p>
    <w:p>
      <w:pPr>
        <w:spacing w:line="360" w:lineRule="auto"/>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r>
      <w:r/>
    </w:p>
    <w:p>
      <w:pPr>
        <w:ind w:firstLine="420"/>
        <w:rPr>
          <w:rFonts w:hint="eastAsia" w:ascii="宋体" w:hAnsi="宋体" w:eastAsia="宋体" w:cs="宋体"/>
          <w:color w:val="auto"/>
          <w:spacing w:val="0"/>
        </w:rPr>
      </w:pPr>
      <w:r>
        <w:rPr>
          <w:rFonts w:hint="eastAsia" w:ascii="宋体" w:hAnsi="宋体" w:eastAsia="宋体" w:cs="宋体"/>
          <w:color w:val="auto"/>
          <w:spacing w:val="0"/>
        </w:rPr>
      </w:r>
      <w:r/>
    </w:p>
    <w:sectPr>
      <w:footnotePr/>
      <w:endnotePr/>
      <w:type w:val="nextPage"/>
      <w:pgSz w:w="11906" w:h="16838" w:orient="portrait"/>
      <w:pgMar w:top="1134" w:right="1134" w:bottom="1134" w:left="1134" w:header="850" w:footer="850" w:gutter="0"/>
      <w:pgNumType w:start="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KNLe">
    <w:panose1 w:val="020B0503020202020204"/>
  </w:font>
  <w:font w:name="Courier New">
    <w:panose1 w:val="02070309020205020404"/>
  </w:font>
  <w:font w:name="Tahoma">
    <w:panose1 w:val="020B060403050404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25158638"/>
      <w:rPr/>
    </w:sdtPr>
    <w:sdtContent>
      <w:p>
        <w:pPr>
          <w:pStyle w:val="930"/>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3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PAGE  \* MERGEFORMAT </w:instrText>
    </w:r>
    <w:r>
      <w:rPr>
        <w:rFonts w:hint="eastAsia" w:ascii="宋体" w:hAnsi="宋体" w:cs="宋体"/>
        <w:szCs w:val="21"/>
      </w:rPr>
      <w:fldChar w:fldCharType="separate"/>
    </w:r>
    <w:r>
      <w:rPr>
        <w:rFonts w:ascii="宋体" w:hAnsi="宋体" w:cs="宋体"/>
        <w:szCs w:val="21"/>
      </w:rPr>
      <w:t xml:space="preserve">26</w:t>
    </w:r>
    <w:r>
      <w:rPr>
        <w:rFonts w:hint="eastAsia" w:ascii="宋体" w:hAnsi="宋体" w:cs="宋体"/>
        <w:szCs w:val="21"/>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left"/>
      <w:tabs>
        <w:tab w:val="left" w:pos="444" w:leader="none"/>
        <w:tab w:val="center" w:pos="42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-146685</wp:posOffset>
              </wp:positionV>
              <wp:extent cx="326390" cy="259080"/>
              <wp:effectExtent l="0" t="0" r="0" b="0"/>
              <wp:wrapNone/>
              <wp:docPr id="1" name="图片 794094129"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094129" name="图片 794094129"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1.5pt;mso-position-horizontal:absolute;mso-position-vertical-relative:text;margin-top:-11.5pt;mso-position-vertical:absolute;width:25.7pt;height:20.4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388620</wp:posOffset>
              </wp:positionH>
              <wp:positionV relativeFrom="paragraph">
                <wp:posOffset>-137160</wp:posOffset>
              </wp:positionV>
              <wp:extent cx="2110105" cy="299085"/>
              <wp:effectExtent l="19050" t="0" r="4445" b="0"/>
              <wp:wrapNone/>
              <wp:docPr id="2" name="图片 990525942"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525942" name="图片 990525942"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33655</wp:posOffset>
              </wp:positionH>
              <wp:positionV relativeFrom="paragraph">
                <wp:posOffset>-137160</wp:posOffset>
              </wp:positionV>
              <wp:extent cx="326390" cy="243840"/>
              <wp:effectExtent l="0" t="0" r="0" b="0"/>
              <wp:wrapNone/>
              <wp:docPr id="3" name="图片 1337483135"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483135" name="图片 1337483135" descr="C:\Users\Administrator\Desktop\eb0d.png"/>
                      <pic:cNvPicPr>
                        <a:picLocks noChangeAspect="1"/>
                      </pic:cNvPicPr>
                      <pic:nvPr/>
                    </pic:nvPicPr>
                    <pic:blipFill>
                      <a:blip r:embed="rId1"/>
                      <a:srcRect l="38461" t="15534" r="37413" b="34950"/>
                      <a:stretch/>
                    </pic:blipFill>
                    <pic:spPr bwMode="auto">
                      <a:xfrm>
                        <a:off x="0" y="0"/>
                        <a:ext cx="326390" cy="24384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2.6pt;mso-position-horizontal:absolute;mso-position-vertical-relative:text;margin-top:-10.8pt;mso-position-vertical:absolute;width:25.7pt;height:19.2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389255</wp:posOffset>
              </wp:positionH>
              <wp:positionV relativeFrom="paragraph">
                <wp:posOffset>-152400</wp:posOffset>
              </wp:positionV>
              <wp:extent cx="2110105" cy="299085"/>
              <wp:effectExtent l="0" t="0" r="0" b="0"/>
              <wp:wrapNone/>
              <wp:docPr id="4" name="图片 736630457"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630457" name="图片 736630457" descr="C:\Users\Administrator\Desktop\eb0d.png"/>
                      <pic:cNvPicPr>
                        <a:picLocks noChangeAspect="1"/>
                      </pic:cNvPicPr>
                      <pic:nvPr/>
                    </pic:nvPicPr>
                    <pic:blipFill>
                      <a:blip r:embed="rId1"/>
                      <a:srcRect l="6617" t="66019" r="7909" b="0"/>
                      <a:stretch/>
                    </pic:blipFill>
                    <pic:spPr bwMode="auto">
                      <a:xfrm>
                        <a:off x="0" y="0"/>
                        <a:ext cx="2110105" cy="29908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30.6pt;mso-position-horizontal:absolute;mso-position-vertical-relative:text;margin-top:-12.0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02"/>
      <w:isLgl w:val="false"/>
      <w:suff w:val="nothing"/>
      <w:lvlText w:val="第%1章"/>
      <w:lvlJc w:val="left"/>
      <w:pPr>
        <w:ind w:left="567" w:firstLine="0"/>
      </w:pPr>
    </w:lvl>
    <w:lvl w:ilvl="1">
      <w:start w:val="1"/>
      <w:numFmt w:val="none"/>
      <w:pStyle w:val="903"/>
      <w:isLgl w:val="false"/>
      <w:suff w:val="nothing"/>
      <w:lvlText w:val=""/>
      <w:lvlJc w:val="left"/>
      <w:pPr>
        <w:ind w:left="0" w:firstLine="0"/>
      </w:pPr>
    </w:lvl>
    <w:lvl w:ilvl="2">
      <w:start w:val="1"/>
      <w:numFmt w:val="none"/>
      <w:pStyle w:val="904"/>
      <w:isLgl w:val="false"/>
      <w:suff w:val="nothing"/>
      <w:lvlText w:val=""/>
      <w:lvlJc w:val="left"/>
      <w:pPr>
        <w:ind w:left="0" w:firstLine="0"/>
      </w:pPr>
    </w:lvl>
    <w:lvl w:ilvl="3">
      <w:start w:val="1"/>
      <w:numFmt w:val="none"/>
      <w:pStyle w:val="905"/>
      <w:isLgl w:val="false"/>
      <w:suff w:val="nothing"/>
      <w:lvlText w:val=""/>
      <w:lvlJc w:val="left"/>
      <w:pPr>
        <w:ind w:left="0" w:firstLine="0"/>
      </w:pPr>
    </w:lvl>
    <w:lvl w:ilvl="4">
      <w:start w:val="1"/>
      <w:numFmt w:val="none"/>
      <w:pStyle w:val="906"/>
      <w:isLgl w:val="false"/>
      <w:suff w:val="nothing"/>
      <w:lvlText w:val=""/>
      <w:lvlJc w:val="left"/>
      <w:pPr>
        <w:ind w:left="0" w:firstLine="0"/>
      </w:pPr>
    </w:lvl>
    <w:lvl w:ilvl="5">
      <w:start w:val="1"/>
      <w:numFmt w:val="none"/>
      <w:pStyle w:val="907"/>
      <w:isLgl w:val="false"/>
      <w:suff w:val="nothing"/>
      <w:lvlText w:val=""/>
      <w:lvlJc w:val="left"/>
      <w:pPr>
        <w:ind w:left="0" w:firstLine="0"/>
      </w:pPr>
    </w:lvl>
    <w:lvl w:ilvl="6">
      <w:start w:val="1"/>
      <w:numFmt w:val="none"/>
      <w:pStyle w:val="908"/>
      <w:isLgl w:val="false"/>
      <w:suff w:val="nothing"/>
      <w:lvlText w:val=""/>
      <w:lvlJc w:val="left"/>
      <w:pPr>
        <w:ind w:left="0" w:firstLine="0"/>
      </w:pPr>
    </w:lvl>
    <w:lvl w:ilvl="7">
      <w:start w:val="1"/>
      <w:numFmt w:val="none"/>
      <w:pStyle w:val="909"/>
      <w:isLgl w:val="false"/>
      <w:suff w:val="nothing"/>
      <w:lvlText w:val=""/>
      <w:lvlJc w:val="left"/>
      <w:pPr>
        <w:ind w:left="0" w:firstLine="0"/>
      </w:pPr>
    </w:lvl>
    <w:lvl w:ilvl="8">
      <w:start w:val="1"/>
      <w:numFmt w:val="none"/>
      <w:pStyle w:val="910"/>
      <w:isLgl w:val="false"/>
      <w:suff w:val="nothing"/>
      <w:lvlText w:val=""/>
      <w:lvlJc w:val="left"/>
      <w:pPr>
        <w:ind w:left="0" w:firstLine="0"/>
      </w:pPr>
    </w:lvl>
  </w:abstractNum>
  <w:abstractNum w:abstractNumId="1">
    <w:multiLevelType w:val="hybridMultilevel"/>
    <w:lvl w:ilvl="0">
      <w:start w:val="1"/>
      <w:numFmt w:val="chineseCountingThousand"/>
      <w:pStyle w:val="973"/>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93"/>
      <w:isLgl/>
      <w:suff w:val="tab"/>
      <w:lvlText w:val="%1.%2"/>
      <w:lvlJc w:val="left"/>
      <w:pPr>
        <w:ind w:left="425" w:hanging="425"/>
      </w:pPr>
      <w:rPr>
        <w:rFonts w:hint="eastAsia" w:ascii="Arial Unicode MS" w:hAnsi="Arial Unicode MS" w:eastAsia="微软雅黑"/>
        <w:b/>
        <w:i w:val="0"/>
      </w:rPr>
    </w:lvl>
    <w:lvl w:ilvl="2">
      <w:start w:val="1"/>
      <w:numFmt w:val="decimal"/>
      <w:pStyle w:val="1007"/>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96"/>
      <w:isLgl w:val="false"/>
      <w:suff w:val="tab"/>
      <w:lvlText w:val="%6."/>
      <w:lvlJc w:val="left"/>
      <w:pPr>
        <w:ind w:left="4320" w:hanging="360"/>
        <w:tabs>
          <w:tab w:val="left" w:pos="4320" w:leader="none"/>
        </w:tabs>
      </w:pPr>
    </w:lvl>
    <w:lvl w:ilvl="6">
      <w:start w:val="1"/>
      <w:numFmt w:val="decimal"/>
      <w:pStyle w:val="1097"/>
      <w:isLgl w:val="false"/>
      <w:suff w:val="tab"/>
      <w:lvlText w:val="%7."/>
      <w:lvlJc w:val="left"/>
      <w:pPr>
        <w:ind w:left="5040" w:hanging="360"/>
        <w:tabs>
          <w:tab w:val="left" w:pos="5040" w:leader="none"/>
        </w:tabs>
      </w:pPr>
    </w:lvl>
    <w:lvl w:ilvl="7">
      <w:start w:val="1"/>
      <w:numFmt w:val="decimal"/>
      <w:pStyle w:val="1098"/>
      <w:isLgl w:val="false"/>
      <w:suff w:val="tab"/>
      <w:lvlText w:val="%8."/>
      <w:lvlJc w:val="left"/>
      <w:pPr>
        <w:ind w:left="5760" w:hanging="360"/>
        <w:tabs>
          <w:tab w:val="left" w:pos="5760" w:leader="none"/>
        </w:tabs>
      </w:pPr>
    </w:lvl>
    <w:lvl w:ilvl="8">
      <w:start w:val="1"/>
      <w:numFmt w:val="decimal"/>
      <w:pStyle w:val="1099"/>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9">
    <w:name w:val="Heading 1 Char"/>
    <w:basedOn w:val="911"/>
    <w:link w:val="902"/>
    <w:uiPriority w:val="9"/>
    <w:rPr>
      <w:rFonts w:ascii="Arial" w:hAnsi="Arial" w:eastAsia="Arial" w:cs="Arial"/>
      <w:sz w:val="40"/>
      <w:szCs w:val="40"/>
    </w:rPr>
  </w:style>
  <w:style w:type="character" w:styleId="750">
    <w:name w:val="Heading 2 Char"/>
    <w:basedOn w:val="911"/>
    <w:link w:val="903"/>
    <w:uiPriority w:val="9"/>
    <w:rPr>
      <w:rFonts w:ascii="Arial" w:hAnsi="Arial" w:eastAsia="Arial" w:cs="Arial"/>
      <w:sz w:val="34"/>
    </w:rPr>
  </w:style>
  <w:style w:type="character" w:styleId="751">
    <w:name w:val="Heading 3 Char"/>
    <w:basedOn w:val="911"/>
    <w:link w:val="904"/>
    <w:uiPriority w:val="9"/>
    <w:rPr>
      <w:rFonts w:ascii="Arial" w:hAnsi="Arial" w:eastAsia="Arial" w:cs="Arial"/>
      <w:sz w:val="30"/>
      <w:szCs w:val="30"/>
    </w:rPr>
  </w:style>
  <w:style w:type="character" w:styleId="752">
    <w:name w:val="Heading 4 Char"/>
    <w:basedOn w:val="911"/>
    <w:link w:val="905"/>
    <w:uiPriority w:val="9"/>
    <w:rPr>
      <w:rFonts w:ascii="Arial" w:hAnsi="Arial" w:eastAsia="Arial" w:cs="Arial"/>
      <w:b/>
      <w:bCs/>
      <w:sz w:val="26"/>
      <w:szCs w:val="26"/>
    </w:rPr>
  </w:style>
  <w:style w:type="character" w:styleId="753">
    <w:name w:val="Heading 5 Char"/>
    <w:basedOn w:val="911"/>
    <w:link w:val="906"/>
    <w:uiPriority w:val="9"/>
    <w:rPr>
      <w:rFonts w:ascii="Arial" w:hAnsi="Arial" w:eastAsia="Arial" w:cs="Arial"/>
      <w:b/>
      <w:bCs/>
      <w:sz w:val="24"/>
      <w:szCs w:val="24"/>
    </w:rPr>
  </w:style>
  <w:style w:type="character" w:styleId="754">
    <w:name w:val="Heading 6 Char"/>
    <w:basedOn w:val="911"/>
    <w:link w:val="907"/>
    <w:uiPriority w:val="9"/>
    <w:rPr>
      <w:rFonts w:ascii="Arial" w:hAnsi="Arial" w:eastAsia="Arial" w:cs="Arial"/>
      <w:b/>
      <w:bCs/>
      <w:sz w:val="22"/>
      <w:szCs w:val="22"/>
    </w:rPr>
  </w:style>
  <w:style w:type="character" w:styleId="755">
    <w:name w:val="Heading 7 Char"/>
    <w:basedOn w:val="911"/>
    <w:link w:val="908"/>
    <w:uiPriority w:val="9"/>
    <w:rPr>
      <w:rFonts w:ascii="Arial" w:hAnsi="Arial" w:eastAsia="Arial" w:cs="Arial"/>
      <w:b/>
      <w:bCs/>
      <w:i/>
      <w:iCs/>
      <w:sz w:val="22"/>
      <w:szCs w:val="22"/>
    </w:rPr>
  </w:style>
  <w:style w:type="character" w:styleId="756">
    <w:name w:val="Heading 8 Char"/>
    <w:basedOn w:val="911"/>
    <w:link w:val="909"/>
    <w:uiPriority w:val="9"/>
    <w:rPr>
      <w:rFonts w:ascii="Arial" w:hAnsi="Arial" w:eastAsia="Arial" w:cs="Arial"/>
      <w:i/>
      <w:iCs/>
      <w:sz w:val="22"/>
      <w:szCs w:val="22"/>
    </w:rPr>
  </w:style>
  <w:style w:type="character" w:styleId="757">
    <w:name w:val="Heading 9 Char"/>
    <w:basedOn w:val="911"/>
    <w:link w:val="910"/>
    <w:uiPriority w:val="9"/>
    <w:rPr>
      <w:rFonts w:ascii="Arial" w:hAnsi="Arial" w:eastAsia="Arial" w:cs="Arial"/>
      <w:i/>
      <w:iCs/>
      <w:sz w:val="21"/>
      <w:szCs w:val="21"/>
    </w:rPr>
  </w:style>
  <w:style w:type="paragraph" w:styleId="758">
    <w:name w:val="No Spacing"/>
    <w:uiPriority w:val="1"/>
    <w:qFormat/>
    <w:pPr>
      <w:spacing w:before="0" w:after="0" w:line="240" w:lineRule="auto"/>
    </w:pPr>
  </w:style>
  <w:style w:type="character" w:styleId="759">
    <w:name w:val="Title Char"/>
    <w:basedOn w:val="911"/>
    <w:link w:val="943"/>
    <w:uiPriority w:val="10"/>
    <w:rPr>
      <w:sz w:val="48"/>
      <w:szCs w:val="48"/>
    </w:rPr>
  </w:style>
  <w:style w:type="character" w:styleId="760">
    <w:name w:val="Subtitle Char"/>
    <w:basedOn w:val="911"/>
    <w:link w:val="934"/>
    <w:uiPriority w:val="11"/>
    <w:rPr>
      <w:sz w:val="24"/>
      <w:szCs w:val="24"/>
    </w:rPr>
  </w:style>
  <w:style w:type="paragraph" w:styleId="761">
    <w:name w:val="Quote"/>
    <w:basedOn w:val="901"/>
    <w:next w:val="901"/>
    <w:link w:val="762"/>
    <w:uiPriority w:val="29"/>
    <w:qFormat/>
    <w:pPr>
      <w:ind w:left="720" w:right="720"/>
    </w:pPr>
    <w:rPr>
      <w:i/>
    </w:rPr>
  </w:style>
  <w:style w:type="character" w:styleId="762">
    <w:name w:val="Quote Char"/>
    <w:link w:val="761"/>
    <w:uiPriority w:val="29"/>
    <w:rPr>
      <w:i/>
    </w:rPr>
  </w:style>
  <w:style w:type="paragraph" w:styleId="763">
    <w:name w:val="Intense Quote"/>
    <w:basedOn w:val="901"/>
    <w:next w:val="901"/>
    <w:link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name w:val="Intense Quote Char"/>
    <w:link w:val="763"/>
    <w:uiPriority w:val="30"/>
    <w:rPr>
      <w:i/>
    </w:rPr>
  </w:style>
  <w:style w:type="character" w:styleId="765">
    <w:name w:val="Header Char"/>
    <w:basedOn w:val="911"/>
    <w:link w:val="931"/>
    <w:uiPriority w:val="99"/>
  </w:style>
  <w:style w:type="character" w:styleId="766">
    <w:name w:val="Footer Char"/>
    <w:basedOn w:val="911"/>
    <w:link w:val="930"/>
    <w:uiPriority w:val="99"/>
  </w:style>
  <w:style w:type="character" w:styleId="767">
    <w:name w:val="Caption Char"/>
    <w:basedOn w:val="916"/>
    <w:link w:val="930"/>
    <w:uiPriority w:val="99"/>
  </w:style>
  <w:style w:type="table" w:styleId="768">
    <w:name w:val="Table Grid Light"/>
    <w:basedOn w:val="9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9">
    <w:name w:val="Plain Table 1"/>
    <w:basedOn w:val="9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basedOn w:val="9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basedOn w:val="9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1 Light - Accent 1"/>
    <w:basedOn w:val="9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6">
    <w:name w:val="Grid Table 1 Light - Accent 2"/>
    <w:basedOn w:val="9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7">
    <w:name w:val="Grid Table 1 Light - Accent 3"/>
    <w:basedOn w:val="9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8">
    <w:name w:val="Grid Table 1 Light - Accent 4"/>
    <w:basedOn w:val="9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9">
    <w:name w:val="Grid Table 1 Light - Accent 5"/>
    <w:basedOn w:val="9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0">
    <w:name w:val="Grid Table 1 Light - Accent 6"/>
    <w:basedOn w:val="9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1">
    <w:name w:val="Grid Table 2"/>
    <w:basedOn w:val="9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2 - Accent 1"/>
    <w:basedOn w:val="9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3">
    <w:name w:val="Grid Table 2 - Accent 2"/>
    <w:basedOn w:val="9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2 - Accent 3"/>
    <w:basedOn w:val="9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2 - Accent 4"/>
    <w:basedOn w:val="9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2 - Accent 5"/>
    <w:basedOn w:val="9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7">
    <w:name w:val="Grid Table 2 - Accent 6"/>
    <w:basedOn w:val="9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8">
    <w:name w:val="Grid Table 3"/>
    <w:basedOn w:val="9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1"/>
    <w:basedOn w:val="9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2"/>
    <w:basedOn w:val="9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3"/>
    <w:basedOn w:val="9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4"/>
    <w:basedOn w:val="9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5"/>
    <w:basedOn w:val="9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6"/>
    <w:basedOn w:val="9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basedOn w:val="9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4 - Accent 1"/>
    <w:basedOn w:val="91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7">
    <w:name w:val="Grid Table 4 - Accent 2"/>
    <w:basedOn w:val="91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8">
    <w:name w:val="Grid Table 4 - Accent 3"/>
    <w:basedOn w:val="91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9">
    <w:name w:val="Grid Table 4 - Accent 4"/>
    <w:basedOn w:val="91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0">
    <w:name w:val="Grid Table 4 - Accent 5"/>
    <w:basedOn w:val="91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1">
    <w:name w:val="Grid Table 4 - Accent 6"/>
    <w:basedOn w:val="91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2">
    <w:name w:val="Grid Table 5 Dark"/>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5 Dark- Accent 1"/>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4">
    <w:name w:val="Grid Table 5 Dark - Accent 2"/>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5">
    <w:name w:val="Grid Table 5 Dark - Accent 3"/>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6">
    <w:name w:val="Grid Table 5 Dark- Accent 4"/>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7">
    <w:name w:val="Grid Table 5 Dark - Accent 5"/>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8">
    <w:name w:val="Grid Table 5 Dark - Accent 6"/>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9">
    <w:name w:val="Grid Table 6 Colorful"/>
    <w:basedOn w:val="9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6 Colorful - Accent 1"/>
    <w:basedOn w:val="91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1">
    <w:name w:val="Grid Table 6 Colorful - Accent 2"/>
    <w:basedOn w:val="9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2">
    <w:name w:val="Grid Table 6 Colorful - Accent 3"/>
    <w:basedOn w:val="91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3">
    <w:name w:val="Grid Table 6 Colorful - Accent 4"/>
    <w:basedOn w:val="9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4">
    <w:name w:val="Grid Table 6 Colorful - Accent 5"/>
    <w:basedOn w:val="91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5">
    <w:name w:val="Grid Table 6 Colorful - Accent 6"/>
    <w:basedOn w:val="91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7 Colorful"/>
    <w:basedOn w:val="9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Grid Table 7 Colorful - Accent 1"/>
    <w:basedOn w:val="91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8">
    <w:name w:val="Grid Table 7 Colorful - Accent 2"/>
    <w:basedOn w:val="91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7 Colorful - Accent 3"/>
    <w:basedOn w:val="91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7 Colorful - Accent 4"/>
    <w:basedOn w:val="91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7 Colorful - Accent 5"/>
    <w:basedOn w:val="91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2">
    <w:name w:val="Grid Table 7 Colorful - Accent 6"/>
    <w:basedOn w:val="91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3">
    <w:name w:val="List Table 1 Light"/>
    <w:basedOn w:val="9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1 Light - Accent 1"/>
    <w:basedOn w:val="91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5">
    <w:name w:val="List Table 1 Light - Accent 2"/>
    <w:basedOn w:val="91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6">
    <w:name w:val="List Table 1 Light - Accent 3"/>
    <w:basedOn w:val="91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7">
    <w:name w:val="List Table 1 Light - Accent 4"/>
    <w:basedOn w:val="91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8">
    <w:name w:val="List Table 1 Light - Accent 5"/>
    <w:basedOn w:val="91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9">
    <w:name w:val="List Table 1 Light - Accent 6"/>
    <w:basedOn w:val="91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0">
    <w:name w:val="List Table 2"/>
    <w:basedOn w:val="9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2 - Accent 1"/>
    <w:basedOn w:val="91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2">
    <w:name w:val="List Table 2 - Accent 2"/>
    <w:basedOn w:val="91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3">
    <w:name w:val="List Table 2 - Accent 3"/>
    <w:basedOn w:val="91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4">
    <w:name w:val="List Table 2 - Accent 4"/>
    <w:basedOn w:val="91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5">
    <w:name w:val="List Table 2 - Accent 5"/>
    <w:basedOn w:val="91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6">
    <w:name w:val="List Table 2 - Accent 6"/>
    <w:basedOn w:val="91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7">
    <w:name w:val="List Table 3"/>
    <w:basedOn w:val="9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3 - Accent 1"/>
    <w:basedOn w:val="91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9">
    <w:name w:val="List Table 3 - Accent 2"/>
    <w:basedOn w:val="9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0">
    <w:name w:val="List Table 3 - Accent 3"/>
    <w:basedOn w:val="91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1">
    <w:name w:val="List Table 3 - Accent 4"/>
    <w:basedOn w:val="9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2">
    <w:name w:val="List Table 3 - Accent 5"/>
    <w:basedOn w:val="91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3">
    <w:name w:val="List Table 3 - Accent 6"/>
    <w:basedOn w:val="91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4">
    <w:name w:val="List Table 4"/>
    <w:basedOn w:val="9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 Accent 1"/>
    <w:basedOn w:val="91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4 - Accent 2"/>
    <w:basedOn w:val="91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7">
    <w:name w:val="List Table 4 - Accent 3"/>
    <w:basedOn w:val="91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8">
    <w:name w:val="List Table 4 - Accent 4"/>
    <w:basedOn w:val="91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9">
    <w:name w:val="List Table 4 - Accent 5"/>
    <w:basedOn w:val="91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0">
    <w:name w:val="List Table 4 - Accent 6"/>
    <w:basedOn w:val="91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1">
    <w:name w:val="List Table 5 Dark"/>
    <w:basedOn w:val="9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1"/>
    <w:basedOn w:val="91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2"/>
    <w:basedOn w:val="91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3"/>
    <w:basedOn w:val="91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4"/>
    <w:basedOn w:val="91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5"/>
    <w:basedOn w:val="91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6"/>
    <w:basedOn w:val="91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basedOn w:val="9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6 Colorful - Accent 1"/>
    <w:basedOn w:val="91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0">
    <w:name w:val="List Table 6 Colorful - Accent 2"/>
    <w:basedOn w:val="91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1">
    <w:name w:val="List Table 6 Colorful - Accent 3"/>
    <w:basedOn w:val="91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2">
    <w:name w:val="List Table 6 Colorful - Accent 4"/>
    <w:basedOn w:val="91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3">
    <w:name w:val="List Table 6 Colorful - Accent 5"/>
    <w:basedOn w:val="91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4">
    <w:name w:val="List Table 6 Colorful - Accent 6"/>
    <w:basedOn w:val="91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5">
    <w:name w:val="List Table 7 Colorful"/>
    <w:basedOn w:val="9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6">
    <w:name w:val="List Table 7 Colorful - Accent 1"/>
    <w:basedOn w:val="91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7">
    <w:name w:val="List Table 7 Colorful - Accent 2"/>
    <w:basedOn w:val="91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8">
    <w:name w:val="List Table 7 Colorful - Accent 3"/>
    <w:basedOn w:val="91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9">
    <w:name w:val="List Table 7 Colorful - Accent 4"/>
    <w:basedOn w:val="91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0">
    <w:name w:val="List Table 7 Colorful - Accent 5"/>
    <w:basedOn w:val="91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1">
    <w:name w:val="List Table 7 Colorful - Accent 6"/>
    <w:basedOn w:val="91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2">
    <w:name w:val="Lined - Accent"/>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Lined - Accent 1"/>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4">
    <w:name w:val="Lined - Accent 2"/>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5">
    <w:name w:val="Lined - Accent 3"/>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6">
    <w:name w:val="Lined - Accent 4"/>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7">
    <w:name w:val="Lined - Accent 5"/>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8">
    <w:name w:val="Lined - Accent 6"/>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9">
    <w:name w:val="Bordered &amp; Lined - Accent"/>
    <w:basedOn w:val="91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Bordered &amp; Lined - Accent 1"/>
    <w:basedOn w:val="91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Bordered &amp; Lined - Accent 2"/>
    <w:basedOn w:val="91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Bordered &amp; Lined - Accent 3"/>
    <w:basedOn w:val="91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Bordered &amp; Lined - Accent 4"/>
    <w:basedOn w:val="91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Bordered &amp; Lined - Accent 5"/>
    <w:basedOn w:val="91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Bordered &amp; Lined - Accent 6"/>
    <w:basedOn w:val="91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w:basedOn w:val="91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7">
    <w:name w:val="Bordered - Accent 1"/>
    <w:basedOn w:val="9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8">
    <w:name w:val="Bordered - Accent 2"/>
    <w:basedOn w:val="9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9">
    <w:name w:val="Bordered - Accent 3"/>
    <w:basedOn w:val="9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0">
    <w:name w:val="Bordered - Accent 4"/>
    <w:basedOn w:val="9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1">
    <w:name w:val="Bordered - Accent 5"/>
    <w:basedOn w:val="9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2">
    <w:name w:val="Bordered - Accent 6"/>
    <w:basedOn w:val="9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3">
    <w:name w:val="footnote text"/>
    <w:basedOn w:val="901"/>
    <w:link w:val="894"/>
    <w:uiPriority w:val="99"/>
    <w:semiHidden/>
    <w:unhideWhenUsed/>
    <w:pPr>
      <w:spacing w:after="40" w:line="240" w:lineRule="auto"/>
    </w:pPr>
    <w:rPr>
      <w:sz w:val="18"/>
    </w:rPr>
  </w:style>
  <w:style w:type="character" w:styleId="894">
    <w:name w:val="Footnote Text Char"/>
    <w:link w:val="893"/>
    <w:uiPriority w:val="99"/>
    <w:rPr>
      <w:sz w:val="18"/>
    </w:rPr>
  </w:style>
  <w:style w:type="character" w:styleId="895">
    <w:name w:val="footnote reference"/>
    <w:basedOn w:val="911"/>
    <w:uiPriority w:val="99"/>
    <w:unhideWhenUsed/>
    <w:rPr>
      <w:vertAlign w:val="superscript"/>
    </w:rPr>
  </w:style>
  <w:style w:type="paragraph" w:styleId="896">
    <w:name w:val="endnote text"/>
    <w:basedOn w:val="901"/>
    <w:link w:val="897"/>
    <w:uiPriority w:val="99"/>
    <w:semiHidden/>
    <w:unhideWhenUsed/>
    <w:pPr>
      <w:spacing w:after="0" w:line="240" w:lineRule="auto"/>
    </w:pPr>
    <w:rPr>
      <w:sz w:val="20"/>
    </w:rPr>
  </w:style>
  <w:style w:type="character" w:styleId="897">
    <w:name w:val="Endnote Text Char"/>
    <w:link w:val="896"/>
    <w:uiPriority w:val="99"/>
    <w:rPr>
      <w:sz w:val="20"/>
    </w:rPr>
  </w:style>
  <w:style w:type="character" w:styleId="898">
    <w:name w:val="endnote reference"/>
    <w:basedOn w:val="911"/>
    <w:uiPriority w:val="99"/>
    <w:semiHidden/>
    <w:unhideWhenUsed/>
    <w:rPr>
      <w:vertAlign w:val="superscript"/>
    </w:rPr>
  </w:style>
  <w:style w:type="paragraph" w:styleId="899">
    <w:name w:val="TOC Heading"/>
    <w:uiPriority w:val="39"/>
    <w:unhideWhenUsed/>
  </w:style>
  <w:style w:type="paragraph" w:styleId="900">
    <w:name w:val="table of figures"/>
    <w:basedOn w:val="901"/>
    <w:next w:val="901"/>
    <w:uiPriority w:val="99"/>
    <w:unhideWhenUsed/>
    <w:pPr>
      <w:spacing w:after="0" w:afterAutospacing="0"/>
    </w:pPr>
  </w:style>
  <w:style w:type="paragraph" w:styleId="901" w:default="1">
    <w:name w:val="Normal"/>
    <w:next w:val="903"/>
    <w:uiPriority w:val="0"/>
    <w:qFormat/>
    <w:pPr>
      <w:jc w:val="both"/>
      <w:widowControl w:val="off"/>
    </w:pPr>
    <w:rPr>
      <w:rFonts w:ascii="Times New Roman" w:hAnsi="Times New Roman" w:eastAsia="宋体" w:cs="Times New Roman"/>
      <w:sz w:val="21"/>
      <w:szCs w:val="24"/>
      <w:lang w:val="en-US" w:eastAsia="zh-CN" w:bidi="ar-SA"/>
    </w:rPr>
  </w:style>
  <w:style w:type="paragraph" w:styleId="902">
    <w:name w:val="Heading 1"/>
    <w:basedOn w:val="901"/>
    <w:next w:val="901"/>
    <w:link w:val="1081"/>
    <w:uiPriority w:val="0"/>
    <w:qFormat/>
    <w:pPr>
      <w:numPr>
        <w:ilvl w:val="0"/>
        <w:numId w:val="1"/>
      </w:numPr>
      <w:jc w:val="center"/>
      <w:keepLines/>
      <w:keepNext/>
      <w:spacing w:before="340" w:after="330" w:line="578" w:lineRule="auto"/>
      <w:outlineLvl w:val="0"/>
    </w:pPr>
    <w:rPr>
      <w:b/>
      <w:bCs/>
      <w:sz w:val="32"/>
      <w:szCs w:val="44"/>
    </w:rPr>
  </w:style>
  <w:style w:type="paragraph" w:styleId="903">
    <w:name w:val="Heading 2"/>
    <w:basedOn w:val="902"/>
    <w:next w:val="913"/>
    <w:link w:val="1019"/>
    <w:uiPriority w:val="0"/>
    <w:qFormat/>
    <w:pPr>
      <w:numPr>
        <w:ilvl w:val="1"/>
        <w:numId w:val="1"/>
      </w:numPr>
      <w:keepLines/>
      <w:keepNext/>
      <w:spacing w:before="260" w:after="260" w:line="416" w:lineRule="auto"/>
      <w:outlineLvl w:val="1"/>
    </w:pPr>
    <w:rPr>
      <w:rFonts w:ascii="Cambria" w:hAnsi="Cambria"/>
      <w:sz w:val="32"/>
      <w:szCs w:val="32"/>
    </w:rPr>
  </w:style>
  <w:style w:type="paragraph" w:styleId="904">
    <w:name w:val="Heading 3"/>
    <w:basedOn w:val="901"/>
    <w:next w:val="901"/>
    <w:link w:val="1053"/>
    <w:uiPriority w:val="0"/>
    <w:qFormat/>
    <w:pPr>
      <w:numPr>
        <w:ilvl w:val="2"/>
        <w:numId w:val="1"/>
      </w:numPr>
      <w:keepLines/>
      <w:keepNext/>
      <w:spacing w:before="260" w:after="260" w:line="416" w:lineRule="auto"/>
      <w:outlineLvl w:val="2"/>
    </w:pPr>
    <w:rPr>
      <w:b/>
      <w:bCs/>
      <w:sz w:val="32"/>
      <w:szCs w:val="32"/>
    </w:rPr>
  </w:style>
  <w:style w:type="paragraph" w:styleId="905">
    <w:name w:val="Heading 4"/>
    <w:basedOn w:val="901"/>
    <w:next w:val="901"/>
    <w:link w:val="1086"/>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906">
    <w:name w:val="Heading 5"/>
    <w:basedOn w:val="901"/>
    <w:next w:val="901"/>
    <w:link w:val="1043"/>
    <w:uiPriority w:val="0"/>
    <w:qFormat/>
    <w:pPr>
      <w:numPr>
        <w:ilvl w:val="4"/>
        <w:numId w:val="1"/>
      </w:numPr>
      <w:keepLines/>
      <w:keepNext/>
      <w:spacing w:before="280" w:after="290" w:line="376" w:lineRule="auto"/>
      <w:outlineLvl w:val="4"/>
    </w:pPr>
    <w:rPr>
      <w:b/>
      <w:bCs/>
      <w:sz w:val="28"/>
      <w:szCs w:val="28"/>
    </w:rPr>
  </w:style>
  <w:style w:type="paragraph" w:styleId="907">
    <w:name w:val="Heading 6"/>
    <w:basedOn w:val="901"/>
    <w:next w:val="901"/>
    <w:link w:val="1031"/>
    <w:uiPriority w:val="0"/>
    <w:qFormat/>
    <w:pPr>
      <w:numPr>
        <w:ilvl w:val="5"/>
        <w:numId w:val="1"/>
      </w:numPr>
      <w:keepLines/>
      <w:keepNext/>
      <w:spacing w:before="240" w:after="64" w:line="320" w:lineRule="auto"/>
      <w:outlineLvl w:val="5"/>
    </w:pPr>
    <w:rPr>
      <w:rFonts w:ascii="Cambria" w:hAnsi="Cambria"/>
      <w:b/>
      <w:bCs/>
      <w:sz w:val="24"/>
    </w:rPr>
  </w:style>
  <w:style w:type="paragraph" w:styleId="908">
    <w:name w:val="Heading 7"/>
    <w:basedOn w:val="901"/>
    <w:next w:val="901"/>
    <w:link w:val="1080"/>
    <w:uiPriority w:val="0"/>
    <w:qFormat/>
    <w:pPr>
      <w:numPr>
        <w:ilvl w:val="6"/>
        <w:numId w:val="1"/>
      </w:numPr>
      <w:keepLines/>
      <w:keepNext/>
      <w:spacing w:before="240" w:after="64" w:line="320" w:lineRule="auto"/>
      <w:outlineLvl w:val="6"/>
    </w:pPr>
    <w:rPr>
      <w:b/>
      <w:bCs/>
      <w:sz w:val="24"/>
    </w:rPr>
  </w:style>
  <w:style w:type="paragraph" w:styleId="909">
    <w:name w:val="Heading 8"/>
    <w:basedOn w:val="901"/>
    <w:next w:val="901"/>
    <w:link w:val="1066"/>
    <w:uiPriority w:val="0"/>
    <w:qFormat/>
    <w:pPr>
      <w:numPr>
        <w:ilvl w:val="7"/>
        <w:numId w:val="1"/>
      </w:numPr>
      <w:keepLines/>
      <w:keepNext/>
      <w:spacing w:before="240" w:after="64" w:line="320" w:lineRule="auto"/>
      <w:outlineLvl w:val="7"/>
    </w:pPr>
    <w:rPr>
      <w:rFonts w:ascii="Cambria" w:hAnsi="Cambria"/>
      <w:sz w:val="24"/>
    </w:rPr>
  </w:style>
  <w:style w:type="paragraph" w:styleId="910">
    <w:name w:val="Heading 9"/>
    <w:basedOn w:val="901"/>
    <w:next w:val="901"/>
    <w:link w:val="1047"/>
    <w:uiPriority w:val="0"/>
    <w:qFormat/>
    <w:pPr>
      <w:numPr>
        <w:ilvl w:val="8"/>
        <w:numId w:val="1"/>
      </w:numPr>
      <w:keepLines/>
      <w:keepNext/>
      <w:spacing w:before="240" w:after="64" w:line="320" w:lineRule="auto"/>
      <w:outlineLvl w:val="8"/>
    </w:pPr>
    <w:rPr>
      <w:rFonts w:ascii="Cambria" w:hAnsi="Cambria"/>
      <w:szCs w:val="21"/>
    </w:rPr>
  </w:style>
  <w:style w:type="character" w:styleId="911" w:default="1">
    <w:name w:val="Default Paragraph Font"/>
    <w:uiPriority w:val="1"/>
    <w:semiHidden/>
    <w:unhideWhenUsed/>
    <w:qFormat/>
  </w:style>
  <w:style w:type="table" w:styleId="912" w:default="1">
    <w:name w:val="Normal Table"/>
    <w:uiPriority w:val="99"/>
    <w:semiHidden/>
    <w:unhideWhenUsed/>
    <w:qFormat/>
    <w:tblPr>
      <w:tblCellMar>
        <w:left w:w="108" w:type="dxa"/>
        <w:top w:w="0" w:type="dxa"/>
        <w:right w:w="108" w:type="dxa"/>
        <w:bottom w:w="0" w:type="dxa"/>
      </w:tblCellMar>
    </w:tblPr>
  </w:style>
  <w:style w:type="paragraph" w:styleId="913">
    <w:name w:val="Normal Indent"/>
    <w:basedOn w:val="901"/>
    <w:next w:val="901"/>
    <w:link w:val="1100"/>
    <w:uiPriority w:val="0"/>
    <w:qFormat/>
    <w:pPr>
      <w:ind w:firstLine="420"/>
    </w:pPr>
    <w:rPr>
      <w:b/>
      <w:sz w:val="24"/>
      <w:szCs w:val="20"/>
    </w:rPr>
  </w:style>
  <w:style w:type="paragraph" w:styleId="914">
    <w:name w:val="List 3"/>
    <w:basedOn w:val="901"/>
    <w:uiPriority w:val="99"/>
    <w:unhideWhenUsed/>
    <w:qFormat/>
    <w:pPr>
      <w:ind w:left="1260" w:hanging="420"/>
      <w:spacing w:before="100" w:beforeAutospacing="1" w:after="100" w:afterAutospacing="1"/>
    </w:pPr>
    <w:rPr>
      <w:szCs w:val="21"/>
    </w:rPr>
  </w:style>
  <w:style w:type="paragraph" w:styleId="915">
    <w:name w:val="toc 7"/>
    <w:basedOn w:val="901"/>
    <w:next w:val="901"/>
    <w:uiPriority w:val="39"/>
    <w:unhideWhenUsed/>
    <w:qFormat/>
    <w:pPr>
      <w:ind w:left="2520"/>
    </w:pPr>
    <w:rPr>
      <w:rFonts w:ascii="Calibri" w:hAnsi="Calibri"/>
      <w:szCs w:val="22"/>
    </w:rPr>
  </w:style>
  <w:style w:type="paragraph" w:styleId="916">
    <w:name w:val="Caption"/>
    <w:basedOn w:val="901"/>
    <w:next w:val="901"/>
    <w:uiPriority w:val="0"/>
    <w:qFormat/>
    <w:rPr>
      <w:rFonts w:ascii="Cambria" w:hAnsi="Cambria" w:eastAsia="黑体"/>
      <w:sz w:val="20"/>
      <w:szCs w:val="22"/>
    </w:rPr>
  </w:style>
  <w:style w:type="paragraph" w:styleId="917">
    <w:name w:val="Document Map"/>
    <w:basedOn w:val="901"/>
    <w:link w:val="1038"/>
    <w:uiPriority w:val="0"/>
    <w:qFormat/>
    <w:rPr>
      <w:rFonts w:ascii="宋体"/>
      <w:sz w:val="18"/>
      <w:szCs w:val="18"/>
    </w:rPr>
  </w:style>
  <w:style w:type="paragraph" w:styleId="918">
    <w:name w:val="annotation text"/>
    <w:basedOn w:val="901"/>
    <w:link w:val="1059"/>
    <w:uiPriority w:val="99"/>
    <w:qFormat/>
    <w:pPr>
      <w:jc w:val="left"/>
    </w:pPr>
  </w:style>
  <w:style w:type="paragraph" w:styleId="919">
    <w:name w:val="Body Text 3"/>
    <w:basedOn w:val="901"/>
    <w:link w:val="1076"/>
    <w:uiPriority w:val="0"/>
    <w:qFormat/>
    <w:rPr>
      <w:rFonts w:ascii="宋体"/>
      <w:sz w:val="24"/>
      <w:szCs w:val="20"/>
    </w:rPr>
  </w:style>
  <w:style w:type="paragraph" w:styleId="920">
    <w:name w:val="Body Text"/>
    <w:basedOn w:val="901"/>
    <w:next w:val="901"/>
    <w:link w:val="1065"/>
    <w:uiPriority w:val="0"/>
    <w:qFormat/>
    <w:pPr>
      <w:jc w:val="center"/>
    </w:pPr>
    <w:rPr>
      <w:rFonts w:eastAsia="幼圆"/>
      <w:b/>
      <w:bCs/>
      <w:sz w:val="44"/>
    </w:rPr>
  </w:style>
  <w:style w:type="paragraph" w:styleId="921">
    <w:name w:val="Body Text Indent"/>
    <w:basedOn w:val="901"/>
    <w:link w:val="1027"/>
    <w:uiPriority w:val="0"/>
    <w:qFormat/>
    <w:pPr>
      <w:ind w:left="420"/>
      <w:spacing w:after="120"/>
    </w:pPr>
  </w:style>
  <w:style w:type="paragraph" w:styleId="922">
    <w:name w:val="index 4"/>
    <w:basedOn w:val="901"/>
    <w:next w:val="901"/>
    <w:uiPriority w:val="0"/>
    <w:qFormat/>
    <w:pPr>
      <w:ind w:left="600"/>
    </w:pPr>
    <w:rPr>
      <w:rFonts w:ascii="Calibri" w:hAnsi="Calibri"/>
    </w:rPr>
  </w:style>
  <w:style w:type="paragraph" w:styleId="923">
    <w:name w:val="toc 5"/>
    <w:basedOn w:val="901"/>
    <w:next w:val="901"/>
    <w:uiPriority w:val="39"/>
    <w:unhideWhenUsed/>
    <w:qFormat/>
    <w:pPr>
      <w:ind w:left="1680"/>
    </w:pPr>
    <w:rPr>
      <w:rFonts w:ascii="Calibri" w:hAnsi="Calibri"/>
      <w:szCs w:val="22"/>
    </w:rPr>
  </w:style>
  <w:style w:type="paragraph" w:styleId="924">
    <w:name w:val="toc 3"/>
    <w:basedOn w:val="901"/>
    <w:next w:val="901"/>
    <w:uiPriority w:val="39"/>
    <w:qFormat/>
    <w:pPr>
      <w:ind w:left="840"/>
    </w:pPr>
    <w:rPr>
      <w:rFonts w:ascii="Calibri" w:hAnsi="Calibri"/>
      <w:szCs w:val="22"/>
    </w:rPr>
  </w:style>
  <w:style w:type="paragraph" w:styleId="925">
    <w:name w:val="Plain Text"/>
    <w:basedOn w:val="901"/>
    <w:link w:val="1032"/>
    <w:uiPriority w:val="0"/>
    <w:qFormat/>
    <w:rPr>
      <w:rFonts w:ascii="Ari"/>
      <w:sz w:val="20"/>
      <w:szCs w:val="20"/>
    </w:rPr>
  </w:style>
  <w:style w:type="paragraph" w:styleId="926">
    <w:name w:val="toc 8"/>
    <w:basedOn w:val="901"/>
    <w:next w:val="901"/>
    <w:uiPriority w:val="39"/>
    <w:unhideWhenUsed/>
    <w:qFormat/>
    <w:pPr>
      <w:ind w:left="2940"/>
    </w:pPr>
    <w:rPr>
      <w:rFonts w:ascii="Calibri" w:hAnsi="Calibri"/>
      <w:szCs w:val="22"/>
    </w:rPr>
  </w:style>
  <w:style w:type="paragraph" w:styleId="927">
    <w:name w:val="Date"/>
    <w:basedOn w:val="901"/>
    <w:next w:val="901"/>
    <w:link w:val="1039"/>
    <w:uiPriority w:val="0"/>
    <w:unhideWhenUsed/>
    <w:qFormat/>
  </w:style>
  <w:style w:type="paragraph" w:styleId="928">
    <w:name w:val="Body Text Indent 2"/>
    <w:basedOn w:val="901"/>
    <w:link w:val="1058"/>
    <w:uiPriority w:val="99"/>
    <w:unhideWhenUsed/>
    <w:qFormat/>
    <w:pPr>
      <w:ind w:firstLine="525"/>
      <w:spacing w:line="420" w:lineRule="exact"/>
    </w:pPr>
    <w:rPr>
      <w:rFonts w:ascii="宋体"/>
      <w:sz w:val="20"/>
      <w:szCs w:val="20"/>
    </w:rPr>
  </w:style>
  <w:style w:type="paragraph" w:styleId="929">
    <w:name w:val="Balloon Text"/>
    <w:basedOn w:val="901"/>
    <w:link w:val="1079"/>
    <w:uiPriority w:val="0"/>
    <w:qFormat/>
    <w:rPr>
      <w:sz w:val="18"/>
      <w:szCs w:val="18"/>
    </w:rPr>
  </w:style>
  <w:style w:type="paragraph" w:styleId="930">
    <w:name w:val="Footer"/>
    <w:basedOn w:val="901"/>
    <w:link w:val="1070"/>
    <w:uiPriority w:val="99"/>
    <w:qFormat/>
    <w:pPr>
      <w:jc w:val="left"/>
      <w:tabs>
        <w:tab w:val="center" w:pos="4153" w:leader="none"/>
        <w:tab w:val="right" w:pos="8306" w:leader="none"/>
      </w:tabs>
    </w:pPr>
    <w:rPr>
      <w:sz w:val="18"/>
      <w:szCs w:val="18"/>
    </w:rPr>
  </w:style>
  <w:style w:type="paragraph" w:styleId="931">
    <w:name w:val="Header"/>
    <w:basedOn w:val="901"/>
    <w:link w:val="1030"/>
    <w:uiPriority w:val="99"/>
    <w:qFormat/>
    <w:pPr>
      <w:jc w:val="center"/>
      <w:tabs>
        <w:tab w:val="center" w:pos="4153" w:leader="none"/>
        <w:tab w:val="right" w:pos="8306" w:leader="none"/>
      </w:tabs>
      <w:pBdr>
        <w:bottom w:val="single" w:color="auto" w:sz="6" w:space="1"/>
      </w:pBdr>
    </w:pPr>
    <w:rPr>
      <w:sz w:val="18"/>
      <w:szCs w:val="18"/>
    </w:rPr>
  </w:style>
  <w:style w:type="paragraph" w:styleId="932">
    <w:name w:val="toc 1"/>
    <w:basedOn w:val="901"/>
    <w:next w:val="901"/>
    <w:uiPriority w:val="39"/>
    <w:qFormat/>
  </w:style>
  <w:style w:type="paragraph" w:styleId="933">
    <w:name w:val="toc 4"/>
    <w:basedOn w:val="901"/>
    <w:next w:val="901"/>
    <w:uiPriority w:val="39"/>
    <w:unhideWhenUsed/>
    <w:qFormat/>
    <w:pPr>
      <w:ind w:left="1260"/>
    </w:pPr>
    <w:rPr>
      <w:rFonts w:ascii="Calibri" w:hAnsi="Calibri"/>
      <w:szCs w:val="22"/>
    </w:rPr>
  </w:style>
  <w:style w:type="paragraph" w:styleId="934">
    <w:name w:val="Subtitle"/>
    <w:basedOn w:val="901"/>
    <w:next w:val="901"/>
    <w:link w:val="1055"/>
    <w:uiPriority w:val="0"/>
    <w:qFormat/>
    <w:pPr>
      <w:jc w:val="center"/>
      <w:spacing w:before="240" w:after="60" w:line="312" w:lineRule="auto"/>
      <w:outlineLvl w:val="1"/>
    </w:pPr>
    <w:rPr>
      <w:rFonts w:ascii="Cambria" w:hAnsi="Cambria"/>
      <w:b/>
      <w:bCs/>
      <w:sz w:val="32"/>
      <w:szCs w:val="32"/>
    </w:rPr>
  </w:style>
  <w:style w:type="paragraph" w:styleId="935">
    <w:name w:val="toc 6"/>
    <w:basedOn w:val="901"/>
    <w:next w:val="901"/>
    <w:uiPriority w:val="39"/>
    <w:unhideWhenUsed/>
    <w:qFormat/>
    <w:pPr>
      <w:ind w:left="2100"/>
    </w:pPr>
    <w:rPr>
      <w:rFonts w:ascii="Calibri" w:hAnsi="Calibri"/>
      <w:szCs w:val="22"/>
    </w:rPr>
  </w:style>
  <w:style w:type="paragraph" w:styleId="936">
    <w:name w:val="Body Text Indent 3"/>
    <w:basedOn w:val="901"/>
    <w:link w:val="1077"/>
    <w:uiPriority w:val="0"/>
    <w:qFormat/>
    <w:pPr>
      <w:ind w:left="420"/>
      <w:spacing w:after="120"/>
    </w:pPr>
    <w:rPr>
      <w:sz w:val="16"/>
      <w:szCs w:val="20"/>
    </w:rPr>
  </w:style>
  <w:style w:type="paragraph" w:styleId="937">
    <w:name w:val="toc 2"/>
    <w:basedOn w:val="901"/>
    <w:next w:val="901"/>
    <w:uiPriority w:val="39"/>
    <w:qFormat/>
    <w:pPr>
      <w:ind w:left="420"/>
    </w:pPr>
    <w:rPr>
      <w:rFonts w:ascii="Calibri" w:hAnsi="Calibri"/>
      <w:szCs w:val="22"/>
    </w:rPr>
  </w:style>
  <w:style w:type="paragraph" w:styleId="938">
    <w:name w:val="toc 9"/>
    <w:basedOn w:val="901"/>
    <w:next w:val="901"/>
    <w:uiPriority w:val="39"/>
    <w:unhideWhenUsed/>
    <w:qFormat/>
    <w:pPr>
      <w:ind w:left="3360"/>
    </w:pPr>
    <w:rPr>
      <w:rFonts w:ascii="Calibri" w:hAnsi="Calibri"/>
      <w:szCs w:val="22"/>
    </w:rPr>
  </w:style>
  <w:style w:type="paragraph" w:styleId="939">
    <w:name w:val="Body Text 2"/>
    <w:basedOn w:val="901"/>
    <w:uiPriority w:val="99"/>
    <w:semiHidden/>
    <w:unhideWhenUsed/>
    <w:qFormat/>
    <w:pPr>
      <w:spacing w:after="120" w:line="480" w:lineRule="auto"/>
    </w:pPr>
  </w:style>
  <w:style w:type="paragraph" w:styleId="940">
    <w:name w:val="HTML Preformatted"/>
    <w:basedOn w:val="90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41">
    <w:name w:val="Normal (Web)"/>
    <w:basedOn w:val="901"/>
    <w:uiPriority w:val="99"/>
    <w:qFormat/>
    <w:pPr>
      <w:jc w:val="left"/>
      <w:spacing w:before="100" w:beforeAutospacing="1" w:after="100" w:afterAutospacing="1"/>
      <w:widowControl/>
    </w:pPr>
    <w:rPr>
      <w:rFonts w:ascii="宋体" w:hAnsi="宋体" w:cs="宋体"/>
      <w:sz w:val="24"/>
    </w:rPr>
  </w:style>
  <w:style w:type="paragraph" w:styleId="942">
    <w:name w:val="index 1"/>
    <w:basedOn w:val="901"/>
    <w:next w:val="901"/>
    <w:uiPriority w:val="0"/>
    <w:qFormat/>
    <w:pPr>
      <w:jc w:val="center"/>
      <w:spacing w:line="220" w:lineRule="exact"/>
    </w:pPr>
    <w:rPr>
      <w:rFonts w:ascii="仿宋_GB2312" w:hAnsi="Calibri" w:eastAsia="仿宋_GB2312"/>
      <w:szCs w:val="22"/>
    </w:rPr>
  </w:style>
  <w:style w:type="paragraph" w:styleId="943">
    <w:name w:val="Title"/>
    <w:basedOn w:val="901"/>
    <w:link w:val="1035"/>
    <w:uiPriority w:val="0"/>
    <w:qFormat/>
    <w:pPr>
      <w:jc w:val="center"/>
      <w:spacing w:before="240" w:after="60" w:line="420" w:lineRule="atLeast"/>
      <w:outlineLvl w:val="0"/>
    </w:pPr>
    <w:rPr>
      <w:rFonts w:ascii="Arial" w:hAnsi="Arial"/>
      <w:b/>
      <w:sz w:val="32"/>
      <w:szCs w:val="20"/>
    </w:rPr>
  </w:style>
  <w:style w:type="paragraph" w:styleId="944">
    <w:name w:val="annotation subject"/>
    <w:basedOn w:val="918"/>
    <w:next w:val="918"/>
    <w:link w:val="1068"/>
    <w:uiPriority w:val="0"/>
    <w:qFormat/>
    <w:rPr>
      <w:b/>
      <w:bCs/>
    </w:rPr>
  </w:style>
  <w:style w:type="paragraph" w:styleId="945">
    <w:name w:val="Body Text First Indent"/>
    <w:basedOn w:val="920"/>
    <w:link w:val="1090"/>
    <w:uiPriority w:val="0"/>
    <w:semiHidden/>
    <w:unhideWhenUsed/>
    <w:qFormat/>
    <w:pPr>
      <w:ind w:firstLine="420"/>
      <w:jc w:val="both"/>
      <w:spacing w:after="120"/>
    </w:pPr>
    <w:rPr>
      <w:rFonts w:eastAsia="宋体"/>
      <w:b w:val="0"/>
      <w:bCs w:val="0"/>
      <w:sz w:val="21"/>
    </w:rPr>
  </w:style>
  <w:style w:type="table" w:styleId="946">
    <w:name w:val="Table Grid"/>
    <w:basedOn w:val="912"/>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7">
    <w:name w:val="Strong"/>
    <w:uiPriority w:val="0"/>
    <w:qFormat/>
    <w:rPr>
      <w:rFonts w:cs="Times New Roman"/>
      <w:b/>
    </w:rPr>
  </w:style>
  <w:style w:type="character" w:styleId="948">
    <w:name w:val="page number"/>
    <w:uiPriority w:val="0"/>
    <w:qFormat/>
    <w:rPr>
      <w:rFonts w:eastAsia="宋体"/>
      <w:b/>
      <w:spacing w:val="0"/>
      <w:sz w:val="24"/>
      <w:szCs w:val="24"/>
      <w:lang w:val="en-US" w:eastAsia="zh-CN" w:bidi="ar-SA"/>
    </w:rPr>
  </w:style>
  <w:style w:type="character" w:styleId="949">
    <w:name w:val="FollowedHyperlink"/>
    <w:uiPriority w:val="0"/>
    <w:qFormat/>
    <w:rPr>
      <w:color w:val="800080"/>
      <w:u w:val="single"/>
    </w:rPr>
  </w:style>
  <w:style w:type="character" w:styleId="950">
    <w:name w:val="Emphasis"/>
    <w:uiPriority w:val="0"/>
    <w:qFormat/>
    <w:rPr>
      <w:color w:val="cc0000"/>
    </w:rPr>
  </w:style>
  <w:style w:type="character" w:styleId="951">
    <w:name w:val="Hyperlink"/>
    <w:uiPriority w:val="99"/>
    <w:qFormat/>
    <w:rPr>
      <w:color w:val="0000ff"/>
      <w:u w:val="single"/>
    </w:rPr>
  </w:style>
  <w:style w:type="character" w:styleId="952">
    <w:name w:val="annotation reference"/>
    <w:uiPriority w:val="99"/>
    <w:qFormat/>
    <w:rPr>
      <w:sz w:val="21"/>
      <w:szCs w:val="21"/>
    </w:rPr>
  </w:style>
  <w:style w:type="character" w:styleId="953">
    <w:name w:val="HTML Cite"/>
    <w:uiPriority w:val="0"/>
    <w:qFormat/>
    <w:rPr>
      <w:color w:val="008000"/>
    </w:rPr>
  </w:style>
  <w:style w:type="character" w:styleId="954" w:customStyle="1">
    <w:name w:val="标题 1 Char"/>
    <w:uiPriority w:val="0"/>
    <w:qFormat/>
    <w:rPr>
      <w:b/>
      <w:bCs/>
      <w:sz w:val="32"/>
      <w:szCs w:val="44"/>
    </w:rPr>
  </w:style>
  <w:style w:type="paragraph" w:styleId="955" w:customStyle="1">
    <w:name w:val="列出段落1"/>
    <w:basedOn w:val="901"/>
    <w:uiPriority w:val="0"/>
    <w:qFormat/>
    <w:pPr>
      <w:ind w:firstLine="420"/>
    </w:pPr>
  </w:style>
  <w:style w:type="paragraph" w:styleId="956" w:customStyle="1">
    <w:name w:val="标题 3_0"/>
    <w:basedOn w:val="957"/>
    <w:next w:val="957"/>
    <w:link w:val="1018"/>
    <w:uiPriority w:val="0"/>
    <w:qFormat/>
    <w:pPr>
      <w:keepLines/>
      <w:keepNext/>
      <w:spacing w:before="260" w:after="260" w:line="416" w:lineRule="auto"/>
      <w:outlineLvl w:val="2"/>
    </w:pPr>
    <w:rPr>
      <w:b/>
      <w:bCs/>
      <w:sz w:val="32"/>
      <w:szCs w:val="32"/>
    </w:rPr>
  </w:style>
  <w:style w:type="paragraph" w:styleId="957"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958" w:customStyle="1">
    <w:name w:val="引用1"/>
    <w:basedOn w:val="901"/>
    <w:next w:val="901"/>
    <w:link w:val="1023"/>
    <w:uiPriority w:val="0"/>
    <w:qFormat/>
    <w:rPr>
      <w:i/>
      <w:iCs/>
      <w:color w:val="000000"/>
      <w:sz w:val="20"/>
      <w:szCs w:val="20"/>
    </w:rPr>
  </w:style>
  <w:style w:type="paragraph" w:styleId="959" w:customStyle="1">
    <w:name w:val="标题 1_0"/>
    <w:basedOn w:val="957"/>
    <w:next w:val="957"/>
    <w:link w:val="1024"/>
    <w:uiPriority w:val="0"/>
    <w:qFormat/>
    <w:pPr>
      <w:keepLines/>
      <w:keepNext/>
      <w:spacing w:before="340" w:after="330" w:line="578" w:lineRule="auto"/>
      <w:outlineLvl w:val="0"/>
    </w:pPr>
    <w:rPr>
      <w:b/>
      <w:bCs/>
      <w:sz w:val="44"/>
      <w:szCs w:val="44"/>
    </w:rPr>
  </w:style>
  <w:style w:type="paragraph" w:styleId="960" w:customStyle="1">
    <w:name w:val="标题 4_0"/>
    <w:basedOn w:val="957"/>
    <w:next w:val="957"/>
    <w:link w:val="1029"/>
    <w:uiPriority w:val="0"/>
    <w:qFormat/>
    <w:pPr>
      <w:keepLines/>
      <w:keepNext/>
      <w:spacing w:before="280" w:after="290" w:line="376" w:lineRule="auto"/>
      <w:outlineLvl w:val="3"/>
    </w:pPr>
    <w:rPr>
      <w:rFonts w:ascii="Arial" w:hAnsi="Arial" w:eastAsia="黑体"/>
      <w:b/>
      <w:bCs/>
      <w:sz w:val="28"/>
      <w:szCs w:val="28"/>
    </w:rPr>
  </w:style>
  <w:style w:type="paragraph" w:styleId="961" w:customStyle="1">
    <w:name w:val="标题5"/>
    <w:basedOn w:val="904"/>
    <w:link w:val="1036"/>
    <w:uiPriority w:val="0"/>
    <w:qFormat/>
    <w:pPr>
      <w:numPr>
        <w:numId w:val="0"/>
      </w:numPr>
      <w:spacing w:line="413" w:lineRule="auto"/>
    </w:pPr>
    <w:rPr>
      <w:rFonts w:ascii="Arial" w:hAnsi="Arial"/>
      <w:sz w:val="24"/>
    </w:rPr>
  </w:style>
  <w:style w:type="paragraph" w:styleId="962" w:customStyle="1">
    <w:name w:val="明显引用1"/>
    <w:basedOn w:val="901"/>
    <w:next w:val="901"/>
    <w:link w:val="1042"/>
    <w:uiPriority w:val="0"/>
    <w:qFormat/>
    <w:pPr>
      <w:ind w:left="936" w:right="936"/>
      <w:spacing w:before="200" w:after="280"/>
      <w:pBdr>
        <w:bottom w:val="single" w:color="4F81BD" w:sz="4" w:space="4"/>
      </w:pBdr>
    </w:pPr>
    <w:rPr>
      <w:b/>
      <w:bCs/>
      <w:i/>
      <w:iCs/>
      <w:color w:val="4f81bd"/>
      <w:sz w:val="20"/>
      <w:szCs w:val="20"/>
    </w:rPr>
  </w:style>
  <w:style w:type="paragraph" w:styleId="963" w:customStyle="1">
    <w:name w:val="正文文本_0"/>
    <w:basedOn w:val="957"/>
    <w:link w:val="1054"/>
    <w:uiPriority w:val="0"/>
    <w:qFormat/>
    <w:pPr>
      <w:spacing w:after="120"/>
    </w:pPr>
    <w:rPr>
      <w:sz w:val="20"/>
    </w:rPr>
  </w:style>
  <w:style w:type="paragraph" w:styleId="964" w:customStyle="1">
    <w:name w:val="标题 5_0"/>
    <w:basedOn w:val="957"/>
    <w:next w:val="957"/>
    <w:link w:val="1057"/>
    <w:uiPriority w:val="0"/>
    <w:qFormat/>
    <w:pPr>
      <w:keepLines/>
      <w:keepNext/>
      <w:spacing w:before="280" w:after="290" w:line="372" w:lineRule="auto"/>
      <w:outlineLvl w:val="4"/>
    </w:pPr>
    <w:rPr>
      <w:rFonts w:ascii="Calibri" w:hAnsi="Calibri"/>
      <w:b/>
      <w:bCs/>
      <w:sz w:val="28"/>
      <w:szCs w:val="28"/>
    </w:rPr>
  </w:style>
  <w:style w:type="paragraph" w:styleId="965" w:customStyle="1">
    <w:name w:val="标题4"/>
    <w:basedOn w:val="903"/>
    <w:next w:val="922"/>
    <w:link w:val="1071"/>
    <w:uiPriority w:val="0"/>
    <w:qFormat/>
    <w:pPr>
      <w:numPr>
        <w:numId w:val="0"/>
      </w:numPr>
      <w:spacing w:line="413" w:lineRule="auto"/>
    </w:pPr>
    <w:rPr>
      <w:rFonts w:ascii="Arial" w:hAnsi="Arial"/>
      <w:sz w:val="24"/>
    </w:rPr>
  </w:style>
  <w:style w:type="paragraph" w:styleId="966" w:customStyle="1">
    <w:name w:val="标题 2_0"/>
    <w:basedOn w:val="957"/>
    <w:next w:val="957"/>
    <w:link w:val="1083"/>
    <w:uiPriority w:val="0"/>
    <w:unhideWhenUsed/>
    <w:qFormat/>
    <w:pPr>
      <w:keepLines/>
      <w:keepNext/>
      <w:spacing w:before="260" w:after="260" w:line="416" w:lineRule="auto"/>
      <w:outlineLvl w:val="1"/>
    </w:pPr>
    <w:rPr>
      <w:rFonts w:ascii="Cambria" w:hAnsi="Cambria"/>
      <w:b/>
      <w:bCs/>
      <w:sz w:val="32"/>
      <w:szCs w:val="32"/>
    </w:rPr>
  </w:style>
  <w:style w:type="paragraph" w:styleId="967" w:customStyle="1">
    <w:name w:val="List Paragraph1"/>
    <w:basedOn w:val="901"/>
    <w:link w:val="1087"/>
    <w:uiPriority w:val="99"/>
    <w:qFormat/>
    <w:pPr>
      <w:ind w:firstLine="420"/>
    </w:pPr>
  </w:style>
  <w:style w:type="paragraph" w:styleId="968" w:customStyle="1">
    <w:name w:val="样式 标题 3 + (中文) 黑体 小四 非加粗 段前: 7.8 磅 段后: 0 磅 行距: 固定值 20 磅"/>
    <w:basedOn w:val="904"/>
    <w:next w:val="901"/>
    <w:uiPriority w:val="0"/>
    <w:qFormat/>
    <w:pPr>
      <w:spacing w:before="0" w:after="0" w:line="400" w:lineRule="exact"/>
    </w:pPr>
    <w:rPr>
      <w:rFonts w:eastAsia="黑体" w:cs="宋体"/>
      <w:b w:val="0"/>
      <w:bCs w:val="0"/>
      <w:sz w:val="24"/>
      <w:szCs w:val="20"/>
    </w:rPr>
  </w:style>
  <w:style w:type="paragraph" w:styleId="969" w:customStyle="1">
    <w:name w:val="_Style 34"/>
    <w:next w:val="901"/>
    <w:uiPriority w:val="0"/>
    <w:qFormat/>
    <w:pPr>
      <w:jc w:val="both"/>
      <w:widowControl w:val="off"/>
    </w:pPr>
    <w:rPr>
      <w:rFonts w:ascii="Times New Roman" w:hAnsi="Times New Roman" w:eastAsia="宋体" w:cs="Times New Roman"/>
      <w:sz w:val="21"/>
      <w:lang w:val="en-US" w:eastAsia="zh-CN" w:bidi="ar-SA"/>
    </w:rPr>
  </w:style>
  <w:style w:type="paragraph" w:styleId="970"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971" w:customStyle="1">
    <w:name w:val="_Style 36"/>
    <w:next w:val="901"/>
    <w:uiPriority w:val="0"/>
    <w:qFormat/>
    <w:pPr>
      <w:jc w:val="both"/>
      <w:widowControl w:val="off"/>
    </w:pPr>
    <w:rPr>
      <w:rFonts w:ascii="Times New Roman" w:hAnsi="Times New Roman" w:eastAsia="宋体" w:cs="Times New Roman"/>
      <w:sz w:val="21"/>
      <w:lang w:val="en-US" w:eastAsia="zh-CN" w:bidi="ar-SA"/>
    </w:rPr>
  </w:style>
  <w:style w:type="paragraph" w:styleId="972" w:customStyle="1">
    <w:name w:val="空半行"/>
    <w:basedOn w:val="901"/>
    <w:uiPriority w:val="0"/>
    <w:qFormat/>
    <w:pPr>
      <w:spacing w:line="120" w:lineRule="exact"/>
    </w:pPr>
    <w:rPr>
      <w:rFonts w:ascii="Calibri" w:hAnsi="Calibri" w:eastAsia="仿宋_GB2312"/>
      <w:color w:val="ffffff"/>
      <w:sz w:val="30"/>
      <w:szCs w:val="22"/>
    </w:rPr>
  </w:style>
  <w:style w:type="paragraph" w:styleId="973" w:customStyle="1">
    <w:name w:val="1方案格式1"/>
    <w:basedOn w:val="902"/>
    <w:uiPriority w:val="0"/>
    <w:qFormat/>
    <w:pPr>
      <w:numPr>
        <w:numId w:val="2"/>
      </w:numPr>
      <w:ind w:left="0" w:firstLine="0"/>
      <w:spacing w:line="360" w:lineRule="auto"/>
      <w:tabs>
        <w:tab w:val="left" w:pos="360" w:leader="none"/>
      </w:tabs>
    </w:pPr>
    <w:rPr>
      <w:rFonts w:eastAsia="微软雅黑"/>
      <w:bCs w:val="0"/>
      <w:sz w:val="48"/>
    </w:rPr>
  </w:style>
  <w:style w:type="paragraph" w:styleId="974" w:customStyle="1">
    <w:name w:val="格式３"/>
    <w:basedOn w:val="901"/>
    <w:uiPriority w:val="0"/>
    <w:qFormat/>
    <w:pPr>
      <w:ind w:left="600" w:hanging="600"/>
      <w:spacing w:line="420" w:lineRule="exact"/>
    </w:pPr>
    <w:rPr>
      <w:rFonts w:ascii="宋体" w:hAnsi="宋体"/>
      <w:color w:val="000000"/>
      <w:sz w:val="24"/>
      <w:szCs w:val="20"/>
    </w:rPr>
  </w:style>
  <w:style w:type="paragraph" w:styleId="975" w:customStyle="1">
    <w:name w:val="正文1"/>
    <w:uiPriority w:val="0"/>
    <w:qFormat/>
    <w:pPr>
      <w:jc w:val="both"/>
      <w:widowControl w:val="off"/>
    </w:pPr>
    <w:rPr>
      <w:rFonts w:ascii="Calibri" w:hAnsi="Calibri" w:eastAsia="宋体" w:cs="Times New Roman"/>
      <w:lang w:val="en-US" w:eastAsia="zh-CN" w:bidi="ar-SA"/>
    </w:rPr>
  </w:style>
  <w:style w:type="paragraph" w:styleId="976" w:customStyle="1">
    <w:name w:val="列出段落111"/>
    <w:basedOn w:val="901"/>
    <w:uiPriority w:val="99"/>
    <w:qFormat/>
    <w:pPr>
      <w:contextualSpacing/>
      <w:ind w:left="720"/>
      <w:jc w:val="left"/>
      <w:widowControl/>
    </w:pPr>
    <w:rPr>
      <w:rFonts w:ascii="Arial" w:hAnsi="Arial" w:eastAsia="黑体"/>
      <w:sz w:val="24"/>
      <w:lang w:eastAsia="en-US"/>
    </w:rPr>
  </w:style>
  <w:style w:type="paragraph" w:styleId="977" w:customStyle="1">
    <w:name w:val="正文空2字"/>
    <w:basedOn w:val="901"/>
    <w:uiPriority w:val="0"/>
    <w:qFormat/>
    <w:pPr>
      <w:ind w:firstLine="200"/>
      <w:spacing w:line="360" w:lineRule="auto"/>
    </w:pPr>
    <w:rPr>
      <w:sz w:val="24"/>
      <w:lang w:bidi="en-US"/>
    </w:rPr>
  </w:style>
  <w:style w:type="paragraph" w:styleId="978"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979" w:customStyle="1">
    <w:name w:val="目录 5_0"/>
    <w:basedOn w:val="957"/>
    <w:next w:val="957"/>
    <w:uiPriority w:val="39"/>
    <w:qFormat/>
    <w:pPr>
      <w:ind w:left="1680"/>
    </w:pPr>
    <w:rPr>
      <w:rFonts w:ascii="Calibri" w:hAnsi="Calibri"/>
    </w:rPr>
  </w:style>
  <w:style w:type="paragraph" w:styleId="980" w:customStyle="1">
    <w:name w:val="修订1"/>
    <w:uiPriority w:val="0"/>
    <w:qFormat/>
    <w:rPr>
      <w:rFonts w:ascii="Times New Roman" w:hAnsi="Times New Roman" w:eastAsia="宋体" w:cs="Times New Roman"/>
      <w:sz w:val="21"/>
      <w:szCs w:val="24"/>
      <w:lang w:val="en-US" w:eastAsia="zh-CN" w:bidi="ar-SA"/>
    </w:rPr>
  </w:style>
  <w:style w:type="paragraph" w:styleId="981" w:customStyle="1">
    <w:name w:val="标题 11"/>
    <w:basedOn w:val="975"/>
    <w:next w:val="975"/>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982" w:customStyle="1">
    <w:name w:val="正文 + 行距: 固定值 20 磅"/>
    <w:basedOn w:val="901"/>
    <w:uiPriority w:val="0"/>
    <w:qFormat/>
    <w:pPr>
      <w:ind w:firstLine="716"/>
      <w:spacing w:line="400" w:lineRule="exact"/>
    </w:pPr>
    <w:rPr>
      <w:rFonts w:ascii="Calibri" w:hAnsi="Calibri"/>
      <w:szCs w:val="22"/>
    </w:rPr>
  </w:style>
  <w:style w:type="paragraph" w:styleId="983" w:customStyle="1">
    <w:name w:val="TOC 标题1"/>
    <w:basedOn w:val="902"/>
    <w:next w:val="901"/>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984" w:customStyle="1">
    <w:name w:val="表格文字"/>
    <w:basedOn w:val="901"/>
    <w:link w:val="1088"/>
    <w:uiPriority w:val="0"/>
    <w:qFormat/>
    <w:pPr>
      <w:jc w:val="left"/>
      <w:spacing w:line="420" w:lineRule="atLeast"/>
    </w:pPr>
    <w:rPr>
      <w:rFonts w:ascii="Calibri" w:hAnsi="Calibri"/>
      <w:szCs w:val="22"/>
    </w:rPr>
  </w:style>
  <w:style w:type="paragraph" w:styleId="985" w:customStyle="1">
    <w:name w:val="flNote"/>
    <w:basedOn w:val="901"/>
    <w:uiPriority w:val="0"/>
    <w:qFormat/>
    <w:pPr>
      <w:jc w:val="center"/>
      <w:spacing w:before="320" w:after="160" w:line="360" w:lineRule="atLeast"/>
    </w:pPr>
    <w:rPr>
      <w:rFonts w:ascii="Arial" w:hAnsi="Calibri" w:eastAsia="黑体"/>
      <w:sz w:val="30"/>
      <w:szCs w:val="22"/>
    </w:rPr>
  </w:style>
  <w:style w:type="paragraph" w:styleId="986" w:customStyle="1">
    <w:name w:val="文章正文"/>
    <w:basedOn w:val="901"/>
    <w:uiPriority w:val="99"/>
    <w:qFormat/>
    <w:pPr>
      <w:ind w:firstLine="480"/>
      <w:spacing w:line="360" w:lineRule="auto"/>
    </w:pPr>
    <w:rPr>
      <w:rFonts w:ascii="仿宋_GB2312" w:hAnsi="宋体" w:eastAsia="仿宋_GB2312"/>
      <w:color w:val="ff0000"/>
      <w:sz w:val="24"/>
    </w:rPr>
  </w:style>
  <w:style w:type="paragraph" w:styleId="987" w:customStyle="1">
    <w:name w:val="表格"/>
    <w:basedOn w:val="901"/>
    <w:uiPriority w:val="0"/>
    <w:qFormat/>
    <w:pPr>
      <w:jc w:val="center"/>
    </w:pPr>
    <w:rPr>
      <w:rFonts w:ascii="华文细黑" w:hAnsi="华文细黑"/>
      <w:szCs w:val="22"/>
    </w:rPr>
  </w:style>
  <w:style w:type="paragraph" w:styleId="988" w:customStyle="1">
    <w:name w:val="Char"/>
    <w:basedOn w:val="901"/>
    <w:uiPriority w:val="0"/>
    <w:qFormat/>
    <w:pPr>
      <w:jc w:val="left"/>
      <w:spacing w:after="160" w:line="240" w:lineRule="exact"/>
      <w:widowControl/>
    </w:pPr>
    <w:rPr>
      <w:rFonts w:ascii="Verdana" w:hAnsi="Verdana"/>
      <w:sz w:val="20"/>
      <w:szCs w:val="20"/>
      <w:lang w:eastAsia="en-US"/>
    </w:rPr>
  </w:style>
  <w:style w:type="paragraph" w:styleId="98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90" w:customStyle="1">
    <w:name w:val="列出段落2"/>
    <w:basedOn w:val="901"/>
    <w:uiPriority w:val="99"/>
    <w:qFormat/>
    <w:pPr>
      <w:ind w:firstLine="420"/>
    </w:pPr>
  </w:style>
  <w:style w:type="paragraph" w:styleId="991" w:customStyle="1">
    <w:name w:val="6'"/>
    <w:basedOn w:val="901"/>
    <w:uiPriority w:val="0"/>
    <w:qFormat/>
    <w:pPr>
      <w:jc w:val="center"/>
      <w:spacing w:line="320" w:lineRule="exact"/>
    </w:pPr>
    <w:rPr>
      <w:rFonts w:ascii="Calibri" w:hAnsi="Calibri"/>
      <w:spacing w:val="20"/>
      <w:szCs w:val="22"/>
    </w:rPr>
  </w:style>
  <w:style w:type="paragraph" w:styleId="992" w:customStyle="1">
    <w:name w:val="Char Char Char Char Char Char Char"/>
    <w:basedOn w:val="901"/>
    <w:uiPriority w:val="0"/>
    <w:qFormat/>
    <w:pPr>
      <w:spacing w:line="360" w:lineRule="auto"/>
    </w:pPr>
    <w:rPr>
      <w:sz w:val="24"/>
      <w:szCs w:val="20"/>
    </w:rPr>
  </w:style>
  <w:style w:type="paragraph" w:styleId="993" w:customStyle="1">
    <w:name w:val="2方案格式2"/>
    <w:basedOn w:val="973"/>
    <w:uiPriority w:val="0"/>
    <w:qFormat/>
    <w:pPr>
      <w:numPr>
        <w:ilvl w:val="1"/>
      </w:numPr>
      <w:spacing w:line="240" w:lineRule="auto"/>
      <w:outlineLvl w:val="1"/>
    </w:pPr>
    <w:rPr>
      <w:sz w:val="44"/>
    </w:rPr>
  </w:style>
  <w:style w:type="paragraph" w:styleId="994"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95" w:customStyle="1">
    <w:name w:val="文档正文"/>
    <w:basedOn w:val="901"/>
    <w:uiPriority w:val="0"/>
    <w:qFormat/>
    <w:pPr>
      <w:ind w:firstLine="567"/>
      <w:spacing w:line="480" w:lineRule="atLeast"/>
    </w:pPr>
    <w:rPr>
      <w:rFonts w:ascii="Ari" w:eastAsia="Ari"/>
      <w:sz w:val="28"/>
      <w:szCs w:val="20"/>
    </w:rPr>
  </w:style>
  <w:style w:type="paragraph" w:styleId="996" w:customStyle="1">
    <w:name w:val="txt"/>
    <w:basedOn w:val="901"/>
    <w:uiPriority w:val="0"/>
    <w:qFormat/>
    <w:pPr>
      <w:jc w:val="left"/>
      <w:spacing w:before="100" w:beforeAutospacing="1" w:after="100" w:afterAutospacing="1"/>
      <w:widowControl/>
    </w:pPr>
    <w:rPr>
      <w:rFonts w:ascii="宋体" w:hAnsi="宋体" w:cs="宋体"/>
      <w:sz w:val="24"/>
    </w:rPr>
  </w:style>
  <w:style w:type="paragraph" w:styleId="997" w:customStyle="1">
    <w:name w:val="目录 4_0"/>
    <w:basedOn w:val="957"/>
    <w:next w:val="957"/>
    <w:uiPriority w:val="39"/>
    <w:qFormat/>
    <w:pPr>
      <w:ind w:left="1260"/>
    </w:pPr>
    <w:rPr>
      <w:rFonts w:ascii="Calibri" w:hAnsi="Calibri"/>
    </w:rPr>
  </w:style>
  <w:style w:type="paragraph" w:styleId="998" w:customStyle="1">
    <w:name w:val="目录 3_0"/>
    <w:basedOn w:val="957"/>
    <w:next w:val="957"/>
    <w:uiPriority w:val="39"/>
    <w:qFormat/>
    <w:pPr>
      <w:ind w:left="840"/>
    </w:pPr>
    <w:rPr>
      <w:rFonts w:ascii="Calibri" w:hAnsi="Calibri"/>
    </w:rPr>
  </w:style>
  <w:style w:type="paragraph" w:styleId="999" w:customStyle="1">
    <w:name w:val="样式 标题 1 + 黑体 三号 非加粗 居中 段前: 6 磅 段后: 6 磅 行距: 固定值 20 磅"/>
    <w:basedOn w:val="902"/>
    <w:uiPriority w:val="0"/>
    <w:qFormat/>
    <w:pPr>
      <w:numPr>
        <w:numId w:val="0"/>
      </w:numPr>
      <w:spacing w:before="120" w:after="120" w:line="400" w:lineRule="exact"/>
    </w:pPr>
    <w:rPr>
      <w:rFonts w:ascii="黑体" w:hAnsi="黑体" w:eastAsia="黑体"/>
      <w:b w:val="0"/>
      <w:bCs w:val="0"/>
      <w:szCs w:val="20"/>
    </w:rPr>
  </w:style>
  <w:style w:type="paragraph" w:styleId="1000" w:customStyle="1">
    <w:name w:val="1"/>
    <w:basedOn w:val="901"/>
    <w:next w:val="901"/>
    <w:uiPriority w:val="0"/>
    <w:qFormat/>
    <w:rPr>
      <w:rFonts w:ascii="Calibri" w:hAnsi="Calibri"/>
      <w:szCs w:val="22"/>
    </w:rPr>
  </w:style>
  <w:style w:type="paragraph" w:styleId="1001" w:customStyle="1">
    <w:name w:val="Blockquote_0"/>
    <w:basedOn w:val="957"/>
    <w:uiPriority w:val="0"/>
    <w:qFormat/>
    <w:pPr>
      <w:ind w:left="360" w:right="360"/>
      <w:jc w:val="left"/>
      <w:spacing w:before="100" w:after="100"/>
    </w:pPr>
    <w:rPr>
      <w:rFonts w:ascii="Calibri" w:hAnsi="Calibri" w:eastAsia="Times New Roman"/>
      <w:sz w:val="24"/>
      <w:szCs w:val="20"/>
    </w:rPr>
  </w:style>
  <w:style w:type="paragraph" w:styleId="1002" w:customStyle="1">
    <w:name w:val="列出段落11"/>
    <w:basedOn w:val="901"/>
    <w:uiPriority w:val="0"/>
    <w:qFormat/>
    <w:pPr>
      <w:contextualSpacing/>
      <w:ind w:left="720"/>
      <w:jc w:val="left"/>
      <w:widowControl/>
    </w:pPr>
    <w:rPr>
      <w:rFonts w:ascii="Arial" w:hAnsi="Arial" w:eastAsia="黑体"/>
      <w:sz w:val="24"/>
      <w:lang w:eastAsia="en-US"/>
    </w:rPr>
  </w:style>
  <w:style w:type="paragraph" w:styleId="1003" w:customStyle="1">
    <w:name w:val="样式 标题 2 + Times New Roman 四号 非加粗 段前: 5 磅 段后: 0 磅 行距: 固定值 20..._0"/>
    <w:basedOn w:val="901"/>
    <w:uiPriority w:val="0"/>
    <w:qFormat/>
    <w:pPr>
      <w:keepLines/>
      <w:keepNext/>
      <w:spacing w:before="100" w:line="360" w:lineRule="auto"/>
      <w:outlineLvl w:val="1"/>
    </w:pPr>
    <w:rPr>
      <w:rFonts w:eastAsia="Times New Roman" w:cs="宋体"/>
      <w:sz w:val="28"/>
      <w:szCs w:val="20"/>
    </w:rPr>
  </w:style>
  <w:style w:type="paragraph" w:styleId="1004" w:customStyle="1">
    <w:name w:val="op_mapdots_left"/>
    <w:basedOn w:val="901"/>
    <w:uiPriority w:val="0"/>
    <w:qFormat/>
    <w:pPr>
      <w:jc w:val="left"/>
      <w:spacing w:before="100" w:beforeAutospacing="1" w:after="100" w:afterAutospacing="1"/>
      <w:widowControl/>
    </w:pPr>
    <w:rPr>
      <w:rFonts w:ascii="宋体" w:hAnsi="宋体" w:cs="宋体"/>
      <w:sz w:val="24"/>
    </w:rPr>
  </w:style>
  <w:style w:type="paragraph" w:styleId="1005" w:customStyle="1">
    <w:name w:val="p0"/>
    <w:basedOn w:val="901"/>
    <w:uiPriority w:val="0"/>
    <w:qFormat/>
    <w:pPr>
      <w:widowControl/>
    </w:pPr>
    <w:rPr>
      <w:b/>
      <w:bCs/>
      <w:sz w:val="24"/>
    </w:rPr>
  </w:style>
  <w:style w:type="paragraph" w:styleId="1006" w:customStyle="1">
    <w:name w:val="Blockquote"/>
    <w:basedOn w:val="901"/>
    <w:uiPriority w:val="0"/>
    <w:qFormat/>
    <w:pPr>
      <w:ind w:left="360" w:right="360"/>
      <w:jc w:val="left"/>
      <w:spacing w:before="100" w:after="100"/>
    </w:pPr>
    <w:rPr>
      <w:rFonts w:ascii="Calibri" w:hAnsi="Calibri"/>
      <w:sz w:val="24"/>
      <w:szCs w:val="22"/>
    </w:rPr>
  </w:style>
  <w:style w:type="paragraph" w:styleId="1007" w:customStyle="1">
    <w:name w:val="3方案格式3"/>
    <w:basedOn w:val="993"/>
    <w:uiPriority w:val="0"/>
    <w:qFormat/>
    <w:pPr>
      <w:numPr>
        <w:ilvl w:val="2"/>
      </w:numPr>
      <w:outlineLvl w:val="2"/>
    </w:pPr>
    <w:rPr>
      <w:sz w:val="32"/>
    </w:rPr>
  </w:style>
  <w:style w:type="paragraph" w:styleId="1008" w:customStyle="1">
    <w:name w:val="样式 标题 2 + Times New Roman 四号 非加粗 段前: 5 磅 段后: 0 磅 行距: 固定值 20..."/>
    <w:basedOn w:val="903"/>
    <w:uiPriority w:val="0"/>
    <w:qFormat/>
    <w:pPr>
      <w:numPr>
        <w:numId w:val="0"/>
      </w:numPr>
      <w:spacing w:before="100" w:after="0" w:line="400" w:lineRule="exact"/>
    </w:pPr>
    <w:rPr>
      <w:rFonts w:ascii="Times New Roman" w:hAnsi="Times New Roman" w:eastAsia="黑体"/>
      <w:b w:val="0"/>
      <w:bCs w:val="0"/>
      <w:sz w:val="28"/>
      <w:szCs w:val="20"/>
    </w:rPr>
  </w:style>
  <w:style w:type="paragraph" w:styleId="1009" w:customStyle="1">
    <w:name w:val="标题2"/>
    <w:basedOn w:val="903"/>
    <w:next w:val="920"/>
    <w:uiPriority w:val="0"/>
    <w:qFormat/>
    <w:pPr>
      <w:spacing w:before="156" w:after="156" w:line="360" w:lineRule="auto"/>
    </w:pPr>
    <w:rPr>
      <w:bCs w:val="0"/>
      <w:sz w:val="24"/>
    </w:rPr>
  </w:style>
  <w:style w:type="paragraph" w:styleId="1010" w:customStyle="1">
    <w:name w:val="普通正文"/>
    <w:basedOn w:val="901"/>
    <w:uiPriority w:val="0"/>
    <w:qFormat/>
    <w:pPr>
      <w:ind w:firstLine="480"/>
      <w:jc w:val="left"/>
      <w:spacing w:before="120" w:after="120" w:line="360" w:lineRule="auto"/>
    </w:pPr>
    <w:rPr>
      <w:rFonts w:ascii="Arial" w:hAnsi="Arial"/>
      <w:sz w:val="24"/>
    </w:rPr>
  </w:style>
  <w:style w:type="paragraph" w:styleId="1011" w:customStyle="1">
    <w:name w:val="正文11"/>
    <w:uiPriority w:val="0"/>
    <w:qFormat/>
    <w:rPr>
      <w:rFonts w:ascii="Calibri" w:hAnsi="Calibri" w:eastAsia="宋体" w:cs="Calibri"/>
      <w:sz w:val="24"/>
      <w:szCs w:val="24"/>
      <w:lang w:val="en-US" w:eastAsia="zh-CN" w:bidi="ar-SA"/>
    </w:rPr>
  </w:style>
  <w:style w:type="paragraph" w:styleId="1012" w:customStyle="1">
    <w:name w:val="正文2"/>
    <w:basedOn w:val="901"/>
    <w:uiPriority w:val="0"/>
    <w:qFormat/>
    <w:rPr>
      <w:rFonts w:eastAsia="微软雅黑"/>
      <w:sz w:val="24"/>
    </w:rPr>
  </w:style>
  <w:style w:type="paragraph" w:styleId="1013" w:customStyle="1">
    <w:name w:val="列出段落3"/>
    <w:basedOn w:val="901"/>
    <w:uiPriority w:val="0"/>
    <w:qFormat/>
    <w:pPr>
      <w:ind w:firstLine="420"/>
      <w:jc w:val="left"/>
      <w:spacing w:after="200"/>
      <w:widowControl/>
    </w:pPr>
    <w:rPr>
      <w:rFonts w:ascii="Tahoma" w:hAnsi="Tahoma" w:eastAsia="微软雅黑"/>
      <w:sz w:val="22"/>
      <w:szCs w:val="22"/>
    </w:rPr>
  </w:style>
  <w:style w:type="paragraph" w:styleId="1014" w:customStyle="1">
    <w:name w:val="纯文本2"/>
    <w:basedOn w:val="901"/>
    <w:uiPriority w:val="0"/>
    <w:qFormat/>
    <w:pPr>
      <w:jc w:val="left"/>
    </w:pPr>
    <w:rPr>
      <w:rFonts w:hint="eastAsia" w:ascii="宋体" w:hAnsi="宋体" w:cs="Courier New"/>
      <w:sz w:val="24"/>
      <w:szCs w:val="20"/>
    </w:rPr>
  </w:style>
  <w:style w:type="paragraph" w:styleId="1015" w:customStyle="1">
    <w:name w:val="trs_editor"/>
    <w:basedOn w:val="901"/>
    <w:uiPriority w:val="0"/>
    <w:qFormat/>
    <w:pPr>
      <w:jc w:val="left"/>
      <w:spacing w:before="100" w:beforeAutospacing="1" w:after="100" w:afterAutospacing="1"/>
      <w:widowControl/>
    </w:pPr>
    <w:rPr>
      <w:rFonts w:ascii="宋体" w:hAnsi="宋体" w:cs="宋体"/>
      <w:sz w:val="24"/>
    </w:rPr>
  </w:style>
  <w:style w:type="character" w:styleId="1016" w:customStyle="1">
    <w:name w:val="明显强调1"/>
    <w:uiPriority w:val="0"/>
    <w:qFormat/>
    <w:rPr>
      <w:b/>
      <w:bCs/>
      <w:i/>
      <w:iCs/>
      <w:color w:val="4f81bd"/>
    </w:rPr>
  </w:style>
  <w:style w:type="character" w:styleId="1017" w:customStyle="1">
    <w:name w:val="批注文字 Char2"/>
    <w:uiPriority w:val="0"/>
    <w:qFormat/>
    <w:rPr>
      <w:sz w:val="21"/>
    </w:rPr>
  </w:style>
  <w:style w:type="character" w:styleId="1018" w:customStyle="1">
    <w:name w:val="标题 3 Char_0"/>
    <w:link w:val="956"/>
    <w:uiPriority w:val="0"/>
    <w:qFormat/>
    <w:rPr>
      <w:b/>
      <w:bCs/>
      <w:sz w:val="32"/>
      <w:szCs w:val="32"/>
    </w:rPr>
  </w:style>
  <w:style w:type="character" w:styleId="1019" w:customStyle="1">
    <w:name w:val="标题 2 字符"/>
    <w:link w:val="903"/>
    <w:uiPriority w:val="0"/>
    <w:qFormat/>
    <w:rPr>
      <w:rFonts w:ascii="Cambria" w:hAnsi="Cambria"/>
      <w:b/>
      <w:bCs/>
      <w:sz w:val="32"/>
      <w:szCs w:val="32"/>
    </w:rPr>
  </w:style>
  <w:style w:type="character" w:styleId="1020" w:customStyle="1">
    <w:name w:val="正文文本 Char2"/>
    <w:uiPriority w:val="99"/>
    <w:semiHidden/>
    <w:qFormat/>
    <w:rPr>
      <w:rFonts w:ascii="Calibri" w:hAnsi="Calibri" w:eastAsia="宋体" w:cs="Times New Roman"/>
    </w:rPr>
  </w:style>
  <w:style w:type="character" w:styleId="1021" w:customStyle="1">
    <w:name w:val="页脚 Char1"/>
    <w:uiPriority w:val="99"/>
    <w:semiHidden/>
    <w:qFormat/>
    <w:rPr>
      <w:rFonts w:ascii="Calibri" w:hAnsi="Calibri" w:eastAsia="宋体" w:cs="Times New Roman"/>
      <w:sz w:val="18"/>
      <w:szCs w:val="18"/>
    </w:rPr>
  </w:style>
  <w:style w:type="character" w:styleId="1022" w:customStyle="1">
    <w:name w:val="明显引用 Char2"/>
    <w:uiPriority w:val="99"/>
    <w:qFormat/>
    <w:rPr>
      <w:b/>
      <w:bCs/>
      <w:i/>
      <w:iCs/>
      <w:color w:val="4f81bd"/>
      <w:sz w:val="21"/>
      <w:szCs w:val="24"/>
    </w:rPr>
  </w:style>
  <w:style w:type="character" w:styleId="1023" w:customStyle="1">
    <w:name w:val="引用 Char"/>
    <w:link w:val="958"/>
    <w:uiPriority w:val="0"/>
    <w:qFormat/>
    <w:rPr>
      <w:i/>
      <w:iCs/>
      <w:color w:val="000000"/>
    </w:rPr>
  </w:style>
  <w:style w:type="character" w:styleId="1024" w:customStyle="1">
    <w:name w:val="标题 1 Char_0"/>
    <w:link w:val="959"/>
    <w:uiPriority w:val="0"/>
    <w:qFormat/>
    <w:rPr>
      <w:b/>
      <w:bCs/>
      <w:sz w:val="44"/>
      <w:szCs w:val="44"/>
    </w:rPr>
  </w:style>
  <w:style w:type="character" w:styleId="1025" w:customStyle="1">
    <w:name w:val="正文文本缩进 3 Char1"/>
    <w:uiPriority w:val="99"/>
    <w:semiHidden/>
    <w:qFormat/>
    <w:rPr>
      <w:sz w:val="16"/>
      <w:szCs w:val="16"/>
    </w:rPr>
  </w:style>
  <w:style w:type="character" w:styleId="1026" w:customStyle="1">
    <w:name w:val="引用 Char1"/>
    <w:uiPriority w:val="29"/>
    <w:qFormat/>
    <w:rPr>
      <w:i/>
      <w:iCs/>
      <w:color w:val="000000"/>
      <w:sz w:val="21"/>
    </w:rPr>
  </w:style>
  <w:style w:type="character" w:styleId="1027" w:customStyle="1">
    <w:name w:val="正文文本缩进 字符"/>
    <w:link w:val="921"/>
    <w:uiPriority w:val="0"/>
    <w:qFormat/>
    <w:rPr>
      <w:sz w:val="21"/>
      <w:szCs w:val="24"/>
    </w:rPr>
  </w:style>
  <w:style w:type="character" w:styleId="1028" w:customStyle="1">
    <w:name w:val="font161"/>
    <w:uiPriority w:val="0"/>
    <w:qFormat/>
    <w:rPr>
      <w:b/>
      <w:sz w:val="32"/>
    </w:rPr>
  </w:style>
  <w:style w:type="character" w:styleId="1029" w:customStyle="1">
    <w:name w:val="标题 4 Char_0"/>
    <w:link w:val="960"/>
    <w:uiPriority w:val="0"/>
    <w:qFormat/>
    <w:rPr>
      <w:rFonts w:ascii="Arial" w:hAnsi="Arial" w:eastAsia="黑体"/>
      <w:b/>
      <w:bCs/>
      <w:sz w:val="28"/>
      <w:szCs w:val="28"/>
    </w:rPr>
  </w:style>
  <w:style w:type="character" w:styleId="1030" w:customStyle="1">
    <w:name w:val="页眉 字符"/>
    <w:link w:val="931"/>
    <w:uiPriority w:val="99"/>
    <w:qFormat/>
    <w:rPr>
      <w:sz w:val="18"/>
      <w:szCs w:val="18"/>
    </w:rPr>
  </w:style>
  <w:style w:type="character" w:styleId="1031" w:customStyle="1">
    <w:name w:val="标题 6 字符"/>
    <w:link w:val="907"/>
    <w:uiPriority w:val="0"/>
    <w:qFormat/>
    <w:rPr>
      <w:rFonts w:ascii="Cambria" w:hAnsi="Cambria" w:eastAsia="宋体" w:cs="Times New Roman"/>
      <w:b/>
      <w:bCs/>
      <w:sz w:val="24"/>
      <w:szCs w:val="24"/>
    </w:rPr>
  </w:style>
  <w:style w:type="character" w:styleId="1032" w:customStyle="1">
    <w:name w:val="纯文本 字符"/>
    <w:link w:val="925"/>
    <w:uiPriority w:val="0"/>
    <w:qFormat/>
    <w:rPr>
      <w:rFonts w:ascii="Ari"/>
      <w:lang w:val="en-US" w:eastAsia="zh-CN" w:bidi="ar-SA"/>
    </w:rPr>
  </w:style>
  <w:style w:type="character" w:styleId="1033" w:customStyle="1">
    <w:name w:val="引用 Char2"/>
    <w:uiPriority w:val="99"/>
    <w:qFormat/>
    <w:rPr>
      <w:i/>
      <w:iCs/>
      <w:color w:val="000000"/>
      <w:sz w:val="21"/>
      <w:szCs w:val="24"/>
    </w:rPr>
  </w:style>
  <w:style w:type="character" w:styleId="1034" w:customStyle="1">
    <w:name w:val="rvts11"/>
    <w:uiPriority w:val="0"/>
    <w:qFormat/>
    <w:rPr>
      <w:rFonts w:hint="default" w:ascii="KNLe" w:hAnsi="KNLe"/>
      <w:sz w:val="24"/>
      <w:szCs w:val="24"/>
      <w:u w:val="single"/>
    </w:rPr>
  </w:style>
  <w:style w:type="character" w:styleId="1035" w:customStyle="1">
    <w:name w:val="标题 字符"/>
    <w:link w:val="943"/>
    <w:uiPriority w:val="0"/>
    <w:qFormat/>
    <w:rPr>
      <w:rFonts w:ascii="Arial" w:hAnsi="Arial"/>
      <w:b/>
      <w:sz w:val="32"/>
    </w:rPr>
  </w:style>
  <w:style w:type="character" w:styleId="1036" w:customStyle="1">
    <w:name w:val="标题5 Char Char"/>
    <w:link w:val="961"/>
    <w:uiPriority w:val="0"/>
    <w:qFormat/>
    <w:rPr>
      <w:rFonts w:ascii="Arial" w:hAnsi="Arial"/>
      <w:b/>
      <w:bCs/>
      <w:sz w:val="24"/>
      <w:szCs w:val="32"/>
    </w:rPr>
  </w:style>
  <w:style w:type="character" w:styleId="1037" w:customStyle="1">
    <w:name w:val="副标题 Char2"/>
    <w:uiPriority w:val="11"/>
    <w:qFormat/>
    <w:rPr>
      <w:rFonts w:ascii="Cambria" w:hAnsi="Cambria" w:cs="Times New Roman"/>
      <w:b/>
      <w:bCs/>
      <w:sz w:val="32"/>
      <w:szCs w:val="32"/>
    </w:rPr>
  </w:style>
  <w:style w:type="character" w:styleId="1038" w:customStyle="1">
    <w:name w:val="文档结构图 字符"/>
    <w:link w:val="917"/>
    <w:uiPriority w:val="0"/>
    <w:qFormat/>
    <w:rPr>
      <w:rFonts w:ascii="宋体"/>
      <w:sz w:val="18"/>
      <w:szCs w:val="18"/>
    </w:rPr>
  </w:style>
  <w:style w:type="character" w:styleId="1039" w:customStyle="1">
    <w:name w:val="日期 字符"/>
    <w:link w:val="927"/>
    <w:uiPriority w:val="0"/>
    <w:qFormat/>
    <w:rPr>
      <w:sz w:val="21"/>
      <w:szCs w:val="24"/>
    </w:rPr>
  </w:style>
  <w:style w:type="character" w:styleId="1040" w:customStyle="1">
    <w:name w:val="批注主题 Char1"/>
    <w:uiPriority w:val="0"/>
    <w:qFormat/>
    <w:rPr>
      <w:b/>
      <w:bCs/>
      <w:sz w:val="21"/>
      <w:szCs w:val="22"/>
    </w:rPr>
  </w:style>
  <w:style w:type="character" w:styleId="1041" w:customStyle="1">
    <w:name w:val="font31"/>
    <w:uiPriority w:val="0"/>
    <w:qFormat/>
    <w:rPr>
      <w:rFonts w:hint="eastAsia" w:ascii="宋体" w:hAnsi="宋体" w:eastAsia="宋体" w:cs="宋体"/>
      <w:color w:val="000000"/>
      <w:sz w:val="20"/>
      <w:szCs w:val="20"/>
      <w:u w:val="none"/>
    </w:rPr>
  </w:style>
  <w:style w:type="character" w:styleId="1042" w:customStyle="1">
    <w:name w:val="明显引用 Char"/>
    <w:link w:val="962"/>
    <w:uiPriority w:val="0"/>
    <w:qFormat/>
    <w:rPr>
      <w:b/>
      <w:bCs/>
      <w:i/>
      <w:iCs/>
      <w:color w:val="4f81bd"/>
    </w:rPr>
  </w:style>
  <w:style w:type="character" w:styleId="1043" w:customStyle="1">
    <w:name w:val="标题 5 字符"/>
    <w:link w:val="906"/>
    <w:uiPriority w:val="0"/>
    <w:qFormat/>
    <w:rPr>
      <w:b/>
      <w:bCs/>
      <w:sz w:val="28"/>
      <w:szCs w:val="28"/>
    </w:rPr>
  </w:style>
  <w:style w:type="character" w:styleId="1044" w:customStyle="1">
    <w:name w:val="日期 Char1"/>
    <w:uiPriority w:val="0"/>
    <w:qFormat/>
    <w:rPr>
      <w:rFonts w:ascii="Calibri" w:hAnsi="Calibri" w:eastAsia="宋体" w:cs="Times New Roman"/>
    </w:rPr>
  </w:style>
  <w:style w:type="character" w:styleId="1045" w:customStyle="1">
    <w:name w:val="批注框文本 Char1"/>
    <w:uiPriority w:val="0"/>
    <w:qFormat/>
    <w:rPr>
      <w:sz w:val="18"/>
      <w:szCs w:val="18"/>
    </w:rPr>
  </w:style>
  <w:style w:type="character" w:styleId="1046" w:customStyle="1">
    <w:name w:val="标题 Char1"/>
    <w:uiPriority w:val="10"/>
    <w:qFormat/>
    <w:rPr>
      <w:rFonts w:ascii="Cambria" w:hAnsi="Cambria" w:eastAsia="宋体" w:cs="Times New Roman"/>
      <w:b/>
      <w:bCs/>
      <w:sz w:val="32"/>
      <w:szCs w:val="32"/>
    </w:rPr>
  </w:style>
  <w:style w:type="character" w:styleId="1047" w:customStyle="1">
    <w:name w:val="标题 9 字符"/>
    <w:link w:val="910"/>
    <w:uiPriority w:val="0"/>
    <w:qFormat/>
    <w:rPr>
      <w:rFonts w:ascii="Cambria" w:hAnsi="Cambria" w:eastAsia="宋体" w:cs="Times New Roman"/>
      <w:sz w:val="21"/>
      <w:szCs w:val="21"/>
    </w:rPr>
  </w:style>
  <w:style w:type="character" w:styleId="1048" w:customStyle="1">
    <w:name w:val="不明显参考1"/>
    <w:uiPriority w:val="0"/>
    <w:qFormat/>
    <w:rPr>
      <w:smallCaps/>
      <w:color w:val="c0504d"/>
      <w:u w:val="single"/>
    </w:rPr>
  </w:style>
  <w:style w:type="character" w:styleId="1049" w:customStyle="1">
    <w:name w:val="批注文字 Char1"/>
    <w:uiPriority w:val="0"/>
    <w:qFormat/>
    <w:rPr>
      <w:rFonts w:ascii="Calibri" w:hAnsi="Calibri" w:eastAsia="宋体" w:cs="Times New Roman"/>
    </w:rPr>
  </w:style>
  <w:style w:type="character" w:styleId="1050" w:customStyle="1">
    <w:name w:val="标题 Char2"/>
    <w:uiPriority w:val="10"/>
    <w:qFormat/>
    <w:rPr>
      <w:rFonts w:ascii="Cambria" w:hAnsi="Cambria" w:cs="Times New Roman"/>
      <w:b/>
      <w:bCs/>
      <w:sz w:val="32"/>
      <w:szCs w:val="32"/>
    </w:rPr>
  </w:style>
  <w:style w:type="character" w:styleId="1051" w:customStyle="1">
    <w:name w:val="正文文本 3 Char1"/>
    <w:uiPriority w:val="99"/>
    <w:semiHidden/>
    <w:qFormat/>
    <w:rPr>
      <w:sz w:val="16"/>
      <w:szCs w:val="16"/>
    </w:rPr>
  </w:style>
  <w:style w:type="character" w:styleId="1052" w:customStyle="1">
    <w:name w:val="批注主题 Char2"/>
    <w:uiPriority w:val="0"/>
    <w:qFormat/>
    <w:rPr>
      <w:b/>
      <w:bCs/>
      <w:sz w:val="21"/>
    </w:rPr>
  </w:style>
  <w:style w:type="character" w:styleId="1053" w:customStyle="1">
    <w:name w:val="标题 3 字符"/>
    <w:link w:val="904"/>
    <w:uiPriority w:val="0"/>
    <w:qFormat/>
    <w:rPr>
      <w:b/>
      <w:bCs/>
      <w:sz w:val="32"/>
      <w:szCs w:val="32"/>
    </w:rPr>
  </w:style>
  <w:style w:type="character" w:styleId="1054" w:customStyle="1">
    <w:name w:val="正文文本 Char_0"/>
    <w:link w:val="963"/>
    <w:uiPriority w:val="0"/>
    <w:qFormat/>
    <w:rPr>
      <w:szCs w:val="24"/>
    </w:rPr>
  </w:style>
  <w:style w:type="character" w:styleId="1055" w:customStyle="1">
    <w:name w:val="副标题 字符"/>
    <w:link w:val="934"/>
    <w:uiPriority w:val="0"/>
    <w:qFormat/>
    <w:rPr>
      <w:rFonts w:ascii="Cambria" w:hAnsi="Cambria"/>
      <w:b/>
      <w:bCs/>
      <w:sz w:val="32"/>
      <w:szCs w:val="32"/>
    </w:rPr>
  </w:style>
  <w:style w:type="character" w:styleId="1056" w:customStyle="1">
    <w:name w:val="bookmark"/>
    <w:basedOn w:val="911"/>
    <w:uiPriority w:val="0"/>
    <w:qFormat/>
  </w:style>
  <w:style w:type="character" w:styleId="1057" w:customStyle="1">
    <w:name w:val="标题 5 Char_0"/>
    <w:link w:val="964"/>
    <w:uiPriority w:val="0"/>
    <w:qFormat/>
    <w:rPr>
      <w:rFonts w:ascii="Calibri" w:hAnsi="Calibri"/>
      <w:b/>
      <w:bCs/>
      <w:sz w:val="28"/>
      <w:szCs w:val="28"/>
    </w:rPr>
  </w:style>
  <w:style w:type="character" w:styleId="1058" w:customStyle="1">
    <w:name w:val="正文文本缩进 2 字符"/>
    <w:link w:val="928"/>
    <w:uiPriority w:val="99"/>
    <w:qFormat/>
    <w:rPr>
      <w:rFonts w:ascii="宋体"/>
    </w:rPr>
  </w:style>
  <w:style w:type="character" w:styleId="1059" w:customStyle="1">
    <w:name w:val="批注文字 字符"/>
    <w:link w:val="918"/>
    <w:uiPriority w:val="99"/>
    <w:qFormat/>
    <w:rPr>
      <w:sz w:val="21"/>
      <w:szCs w:val="24"/>
    </w:rPr>
  </w:style>
  <w:style w:type="character" w:styleId="1060" w:customStyle="1">
    <w:name w:val="font11"/>
    <w:uiPriority w:val="0"/>
    <w:qFormat/>
    <w:rPr>
      <w:rFonts w:hint="eastAsia" w:ascii="宋体" w:hAnsi="宋体" w:eastAsia="宋体" w:cs="宋体"/>
      <w:color w:val="000000"/>
      <w:sz w:val="20"/>
      <w:szCs w:val="20"/>
      <w:u w:val="none"/>
    </w:rPr>
  </w:style>
  <w:style w:type="character" w:styleId="1061" w:customStyle="1">
    <w:name w:val="明显参考1"/>
    <w:uiPriority w:val="0"/>
    <w:qFormat/>
    <w:rPr>
      <w:b/>
      <w:bCs/>
      <w:smallCaps/>
      <w:color w:val="c0504d"/>
      <w:spacing w:val="5"/>
      <w:u w:val="single"/>
    </w:rPr>
  </w:style>
  <w:style w:type="character" w:styleId="1062" w:customStyle="1">
    <w:name w:val="超链接_0"/>
    <w:uiPriority w:val="99"/>
    <w:qFormat/>
    <w:rPr>
      <w:rFonts w:ascii="Calibri" w:hAnsi="Calibri"/>
      <w:color w:val="0000ff"/>
      <w:u w:val="single"/>
    </w:rPr>
  </w:style>
  <w:style w:type="character" w:styleId="1063" w:customStyle="1">
    <w:name w:val="文档结构图 Char2"/>
    <w:uiPriority w:val="99"/>
    <w:semiHidden/>
    <w:qFormat/>
    <w:rPr>
      <w:rFonts w:ascii="宋体" w:hAnsi="Calibri" w:eastAsia="宋体" w:cs="Times New Roman"/>
      <w:sz w:val="18"/>
      <w:szCs w:val="18"/>
    </w:rPr>
  </w:style>
  <w:style w:type="character" w:styleId="1064" w:customStyle="1">
    <w:name w:val="textcontents"/>
    <w:uiPriority w:val="0"/>
    <w:qFormat/>
    <w:rPr>
      <w:rFonts w:cs="Times New Roman"/>
    </w:rPr>
  </w:style>
  <w:style w:type="character" w:styleId="1065" w:customStyle="1">
    <w:name w:val="正文文本 字符"/>
    <w:link w:val="920"/>
    <w:uiPriority w:val="0"/>
    <w:qFormat/>
    <w:rPr>
      <w:rFonts w:eastAsia="幼圆"/>
      <w:b/>
      <w:bCs/>
      <w:sz w:val="44"/>
      <w:szCs w:val="24"/>
    </w:rPr>
  </w:style>
  <w:style w:type="character" w:styleId="1066" w:customStyle="1">
    <w:name w:val="标题 8 字符"/>
    <w:link w:val="909"/>
    <w:uiPriority w:val="0"/>
    <w:qFormat/>
    <w:rPr>
      <w:rFonts w:ascii="Cambria" w:hAnsi="Cambria" w:eastAsia="宋体" w:cs="Times New Roman"/>
      <w:sz w:val="24"/>
      <w:szCs w:val="24"/>
    </w:rPr>
  </w:style>
  <w:style w:type="character" w:styleId="1067" w:customStyle="1">
    <w:name w:val="副标题 Char1"/>
    <w:uiPriority w:val="11"/>
    <w:qFormat/>
    <w:rPr>
      <w:rFonts w:ascii="Cambria" w:hAnsi="Cambria" w:cs="Times New Roman"/>
      <w:b/>
      <w:bCs/>
      <w:sz w:val="32"/>
      <w:szCs w:val="32"/>
    </w:rPr>
  </w:style>
  <w:style w:type="character" w:styleId="1068" w:customStyle="1">
    <w:name w:val="批注主题 字符"/>
    <w:link w:val="944"/>
    <w:uiPriority w:val="0"/>
    <w:qFormat/>
    <w:rPr>
      <w:b/>
      <w:bCs/>
      <w:sz w:val="21"/>
      <w:szCs w:val="24"/>
    </w:rPr>
  </w:style>
  <w:style w:type="character" w:styleId="1069" w:customStyle="1">
    <w:name w:val="书籍标题1"/>
    <w:uiPriority w:val="0"/>
    <w:qFormat/>
    <w:rPr>
      <w:b/>
      <w:bCs/>
      <w:smallCaps/>
      <w:spacing w:val="5"/>
    </w:rPr>
  </w:style>
  <w:style w:type="character" w:styleId="1070" w:customStyle="1">
    <w:name w:val="页脚 字符"/>
    <w:link w:val="930"/>
    <w:uiPriority w:val="99"/>
    <w:qFormat/>
    <w:rPr>
      <w:sz w:val="18"/>
      <w:szCs w:val="18"/>
    </w:rPr>
  </w:style>
  <w:style w:type="character" w:styleId="1071" w:customStyle="1">
    <w:name w:val="标题4 Char Char"/>
    <w:link w:val="965"/>
    <w:uiPriority w:val="0"/>
    <w:qFormat/>
    <w:rPr>
      <w:rFonts w:ascii="Arial" w:hAnsi="Arial"/>
      <w:b/>
      <w:bCs/>
      <w:sz w:val="24"/>
      <w:szCs w:val="32"/>
    </w:rPr>
  </w:style>
  <w:style w:type="character" w:styleId="1072" w:customStyle="1">
    <w:name w:val="正文文本 Char1"/>
    <w:uiPriority w:val="0"/>
    <w:qFormat/>
    <w:rPr>
      <w:rFonts w:ascii="Calibri" w:hAnsi="Calibri" w:eastAsia="宋体" w:cs="Times New Roman"/>
    </w:rPr>
  </w:style>
  <w:style w:type="character" w:styleId="1073" w:customStyle="1">
    <w:name w:val="明显引用 Char1"/>
    <w:uiPriority w:val="30"/>
    <w:qFormat/>
    <w:rPr>
      <w:b/>
      <w:bCs/>
      <w:i/>
      <w:iCs/>
      <w:color w:val="4f81bd"/>
      <w:sz w:val="21"/>
    </w:rPr>
  </w:style>
  <w:style w:type="character" w:styleId="1074" w:customStyle="1">
    <w:name w:val="页眉 Char1"/>
    <w:uiPriority w:val="99"/>
    <w:semiHidden/>
    <w:qFormat/>
    <w:rPr>
      <w:rFonts w:ascii="Calibri" w:hAnsi="Calibri" w:eastAsia="宋体" w:cs="Times New Roman"/>
      <w:sz w:val="18"/>
      <w:szCs w:val="18"/>
    </w:rPr>
  </w:style>
  <w:style w:type="character" w:styleId="1075" w:customStyle="1">
    <w:name w:val="不明显强调1"/>
    <w:uiPriority w:val="0"/>
    <w:qFormat/>
    <w:rPr>
      <w:i/>
      <w:iCs/>
      <w:color w:val="808080"/>
    </w:rPr>
  </w:style>
  <w:style w:type="character" w:styleId="1076" w:customStyle="1">
    <w:name w:val="正文文本 3 字符"/>
    <w:link w:val="919"/>
    <w:uiPriority w:val="0"/>
    <w:qFormat/>
    <w:rPr>
      <w:rFonts w:ascii="宋体"/>
      <w:sz w:val="24"/>
    </w:rPr>
  </w:style>
  <w:style w:type="character" w:styleId="1077" w:customStyle="1">
    <w:name w:val="正文文本缩进 3 字符"/>
    <w:link w:val="936"/>
    <w:uiPriority w:val="0"/>
    <w:qFormat/>
    <w:rPr>
      <w:sz w:val="16"/>
    </w:rPr>
  </w:style>
  <w:style w:type="character" w:styleId="1078" w:customStyle="1">
    <w:name w:val="font21"/>
    <w:uiPriority w:val="0"/>
    <w:qFormat/>
    <w:rPr>
      <w:rFonts w:hint="eastAsia" w:ascii="宋体" w:hAnsi="宋体" w:eastAsia="宋体" w:cs="宋体"/>
      <w:color w:val="000000"/>
      <w:sz w:val="20"/>
      <w:szCs w:val="20"/>
      <w:u w:val="none"/>
    </w:rPr>
  </w:style>
  <w:style w:type="character" w:styleId="1079" w:customStyle="1">
    <w:name w:val="批注框文本 字符"/>
    <w:link w:val="929"/>
    <w:uiPriority w:val="0"/>
    <w:qFormat/>
    <w:rPr>
      <w:sz w:val="18"/>
      <w:szCs w:val="18"/>
    </w:rPr>
  </w:style>
  <w:style w:type="character" w:styleId="1080" w:customStyle="1">
    <w:name w:val="标题 7 字符"/>
    <w:link w:val="908"/>
    <w:uiPriority w:val="0"/>
    <w:qFormat/>
    <w:rPr>
      <w:b/>
      <w:bCs/>
      <w:sz w:val="24"/>
      <w:szCs w:val="24"/>
    </w:rPr>
  </w:style>
  <w:style w:type="character" w:styleId="1081" w:customStyle="1">
    <w:name w:val="标题 1 字符"/>
    <w:link w:val="902"/>
    <w:uiPriority w:val="0"/>
    <w:qFormat/>
    <w:rPr>
      <w:rFonts w:ascii="Times New Roman" w:hAnsi="Times New Roman" w:eastAsia="宋体" w:cs="Times New Roman"/>
      <w:b/>
      <w:bCs/>
      <w:sz w:val="32"/>
      <w:szCs w:val="44"/>
    </w:rPr>
  </w:style>
  <w:style w:type="character" w:styleId="1082" w:customStyle="1">
    <w:name w:val="文档结构图 Char1"/>
    <w:uiPriority w:val="0"/>
    <w:qFormat/>
    <w:rPr>
      <w:rFonts w:ascii="宋体" w:hAnsi="Calibri" w:eastAsia="宋体" w:cs="Times New Roman"/>
      <w:sz w:val="18"/>
      <w:szCs w:val="18"/>
    </w:rPr>
  </w:style>
  <w:style w:type="character" w:styleId="1083" w:customStyle="1">
    <w:name w:val="标题 2 Char_0"/>
    <w:link w:val="966"/>
    <w:uiPriority w:val="0"/>
    <w:qFormat/>
    <w:rPr>
      <w:rFonts w:ascii="Cambria" w:hAnsi="Cambria"/>
      <w:b/>
      <w:bCs/>
      <w:sz w:val="32"/>
      <w:szCs w:val="32"/>
    </w:rPr>
  </w:style>
  <w:style w:type="character" w:styleId="1084" w:customStyle="1">
    <w:name w:val="日期 Char2"/>
    <w:uiPriority w:val="99"/>
    <w:semiHidden/>
    <w:qFormat/>
    <w:rPr>
      <w:rFonts w:ascii="Calibri" w:hAnsi="Calibri" w:eastAsia="宋体" w:cs="Times New Roman"/>
    </w:rPr>
  </w:style>
  <w:style w:type="character" w:styleId="1085" w:customStyle="1">
    <w:name w:val="批注框文本 Char2"/>
    <w:uiPriority w:val="99"/>
    <w:semiHidden/>
    <w:qFormat/>
    <w:rPr>
      <w:rFonts w:ascii="Calibri" w:hAnsi="Calibri" w:eastAsia="宋体" w:cs="Times New Roman"/>
      <w:sz w:val="18"/>
      <w:szCs w:val="18"/>
    </w:rPr>
  </w:style>
  <w:style w:type="character" w:styleId="1086" w:customStyle="1">
    <w:name w:val="标题 4 字符"/>
    <w:link w:val="905"/>
    <w:uiPriority w:val="0"/>
    <w:qFormat/>
    <w:rPr>
      <w:rFonts w:ascii="Cambria" w:hAnsi="Cambria" w:eastAsia="宋体" w:cs="Times New Roman"/>
      <w:b/>
      <w:bCs/>
      <w:sz w:val="28"/>
      <w:szCs w:val="28"/>
    </w:rPr>
  </w:style>
  <w:style w:type="character" w:styleId="1087" w:customStyle="1">
    <w:name w:val="列出段落 Char"/>
    <w:link w:val="967"/>
    <w:uiPriority w:val="99"/>
    <w:qFormat/>
    <w:rPr>
      <w:sz w:val="21"/>
      <w:szCs w:val="24"/>
    </w:rPr>
  </w:style>
  <w:style w:type="character" w:styleId="1088" w:customStyle="1">
    <w:name w:val="表格文字 字符"/>
    <w:link w:val="984"/>
    <w:uiPriority w:val="0"/>
    <w:qFormat/>
    <w:rPr>
      <w:rFonts w:ascii="Calibri" w:hAnsi="Calibri" w:eastAsia="宋体" w:cs="Times New Roman"/>
      <w:sz w:val="21"/>
      <w:szCs w:val="22"/>
    </w:rPr>
  </w:style>
  <w:style w:type="paragraph" w:styleId="1089" w:customStyle="1">
    <w:name w:val="修订2"/>
    <w:hidden/>
    <w:uiPriority w:val="99"/>
    <w:semiHidden/>
    <w:qFormat/>
    <w:rPr>
      <w:rFonts w:ascii="Times New Roman" w:hAnsi="Times New Roman" w:eastAsia="宋体" w:cs="Times New Roman"/>
      <w:sz w:val="21"/>
      <w:szCs w:val="24"/>
      <w:lang w:val="en-US" w:eastAsia="zh-CN" w:bidi="ar-SA"/>
    </w:rPr>
  </w:style>
  <w:style w:type="character" w:styleId="1090" w:customStyle="1">
    <w:name w:val="正文文本首行缩进 字符"/>
    <w:basedOn w:val="1065"/>
    <w:link w:val="945"/>
    <w:uiPriority w:val="0"/>
    <w:semiHidden/>
    <w:qFormat/>
    <w:rPr>
      <w:rFonts w:eastAsia="幼圆"/>
      <w:b w:val="0"/>
      <w:bCs w:val="0"/>
      <w:sz w:val="21"/>
      <w:szCs w:val="24"/>
    </w:rPr>
  </w:style>
  <w:style w:type="character" w:styleId="1091" w:customStyle="1">
    <w:name w:val="未处理的提及1"/>
    <w:basedOn w:val="911"/>
    <w:uiPriority w:val="99"/>
    <w:semiHidden/>
    <w:unhideWhenUsed/>
    <w:qFormat/>
    <w:rPr>
      <w:color w:val="605e5c"/>
      <w:shd w:val="clear" w:color="auto" w:fill="e1dfdd"/>
    </w:rPr>
  </w:style>
  <w:style w:type="paragraph" w:styleId="1092" w:customStyle="1">
    <w:name w:val="TOC 标题2"/>
    <w:basedOn w:val="902"/>
    <w:next w:val="901"/>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Cs w:val="32"/>
    </w:rPr>
  </w:style>
  <w:style w:type="paragraph" w:styleId="1093">
    <w:name w:val="List Paragraph"/>
    <w:basedOn w:val="901"/>
    <w:uiPriority w:val="99"/>
    <w:qFormat/>
    <w:pPr>
      <w:ind w:firstLine="420"/>
    </w:pPr>
  </w:style>
  <w:style w:type="character" w:styleId="1094" w:customStyle="1">
    <w:name w:val="未处理的提及2"/>
    <w:basedOn w:val="911"/>
    <w:uiPriority w:val="99"/>
    <w:semiHidden/>
    <w:unhideWhenUsed/>
    <w:qFormat/>
    <w:rPr>
      <w:color w:val="605e5c"/>
      <w:shd w:val="clear" w:color="auto" w:fill="e1dfdd"/>
    </w:rPr>
  </w:style>
  <w:style w:type="paragraph" w:styleId="1095"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096" w:customStyle="1">
    <w:name w:val="标题 61"/>
    <w:basedOn w:val="901"/>
    <w:next w:val="901"/>
    <w:uiPriority w:val="0"/>
    <w:qFormat/>
    <w:pPr>
      <w:numPr>
        <w:ilvl w:val="5"/>
        <w:numId w:val="3"/>
      </w:numPr>
      <w:keepLines/>
      <w:keepNext/>
      <w:spacing w:before="240" w:after="64" w:line="320" w:lineRule="auto"/>
      <w:outlineLvl w:val="5"/>
    </w:pPr>
    <w:rPr>
      <w:rFonts w:ascii="Arial" w:hAnsi="Arial" w:eastAsia="黑体"/>
      <w:b/>
      <w:bCs/>
      <w:sz w:val="24"/>
    </w:rPr>
  </w:style>
  <w:style w:type="paragraph" w:styleId="1097" w:customStyle="1">
    <w:name w:val="标题 71"/>
    <w:basedOn w:val="901"/>
    <w:next w:val="901"/>
    <w:uiPriority w:val="0"/>
    <w:qFormat/>
    <w:pPr>
      <w:numPr>
        <w:ilvl w:val="6"/>
        <w:numId w:val="3"/>
      </w:numPr>
      <w:keepLines/>
      <w:keepNext/>
      <w:spacing w:before="240" w:after="64" w:line="320" w:lineRule="auto"/>
      <w:outlineLvl w:val="6"/>
    </w:pPr>
    <w:rPr>
      <w:b/>
      <w:bCs/>
      <w:sz w:val="24"/>
    </w:rPr>
  </w:style>
  <w:style w:type="paragraph" w:styleId="1098" w:customStyle="1">
    <w:name w:val="标题 81"/>
    <w:basedOn w:val="901"/>
    <w:next w:val="901"/>
    <w:uiPriority w:val="0"/>
    <w:qFormat/>
    <w:pPr>
      <w:numPr>
        <w:ilvl w:val="7"/>
        <w:numId w:val="3"/>
      </w:numPr>
      <w:keepLines/>
      <w:keepNext/>
      <w:spacing w:before="240" w:after="64" w:line="320" w:lineRule="auto"/>
      <w:outlineLvl w:val="7"/>
    </w:pPr>
    <w:rPr>
      <w:rFonts w:ascii="Arial" w:hAnsi="Arial" w:eastAsia="黑体"/>
      <w:sz w:val="24"/>
    </w:rPr>
  </w:style>
  <w:style w:type="paragraph" w:styleId="1099" w:customStyle="1">
    <w:name w:val="标题 91"/>
    <w:basedOn w:val="901"/>
    <w:next w:val="901"/>
    <w:uiPriority w:val="0"/>
    <w:qFormat/>
    <w:pPr>
      <w:numPr>
        <w:ilvl w:val="8"/>
        <w:numId w:val="3"/>
      </w:numPr>
      <w:keepLines/>
      <w:keepNext/>
      <w:spacing w:before="240" w:after="64" w:line="320" w:lineRule="auto"/>
      <w:outlineLvl w:val="8"/>
    </w:pPr>
    <w:rPr>
      <w:rFonts w:ascii="Arial" w:hAnsi="Arial" w:eastAsia="黑体"/>
      <w:szCs w:val="21"/>
    </w:rPr>
  </w:style>
  <w:style w:type="character" w:styleId="1100" w:customStyle="1">
    <w:name w:val="正文缩进 字符"/>
    <w:link w:val="913"/>
    <w:uiPriority w:val="0"/>
    <w:qFormat/>
    <w:rPr>
      <w:b/>
      <w:sz w:val="24"/>
    </w:rPr>
  </w:style>
  <w:style w:type="paragraph" w:styleId="1101" w:customStyle="1">
    <w:name w:val="Revision"/>
    <w:hidden/>
    <w:uiPriority w:val="99"/>
    <w:unhideWhenUsed/>
    <w:qFormat/>
    <w:rPr>
      <w:rFonts w:ascii="Times New Roman" w:hAnsi="Times New Roman" w:eastAsia="宋体" w:cs="Times New Roman"/>
      <w:sz w:val="21"/>
      <w:szCs w:val="24"/>
      <w:lang w:val="en-US" w:eastAsia="zh-CN" w:bidi="ar-SA"/>
    </w:rPr>
  </w:style>
  <w:style w:type="paragraph" w:styleId="1102" w:customStyle="1">
    <w:name w:val="页脚11"/>
    <w:basedOn w:val="901"/>
    <w:uiPriority w:val="99"/>
    <w:unhideWhenUsed/>
    <w:qFormat/>
    <w:pPr>
      <w:jc w:val="left"/>
      <w:tabs>
        <w:tab w:val="center" w:pos="4153" w:leader="none"/>
        <w:tab w:val="right" w:pos="8306" w:leader="none"/>
      </w:tabs>
    </w:pPr>
    <w:rPr>
      <w:sz w:val="18"/>
      <w:szCs w:val="18"/>
    </w:rPr>
  </w:style>
  <w:style w:type="paragraph" w:styleId="1103" w:customStyle="1">
    <w:name w:val="正文首行缩进 21"/>
    <w:basedOn w:val="1104"/>
    <w:uiPriority w:val="0"/>
    <w:qFormat/>
    <w:pPr>
      <w:ind w:left="420" w:firstLine="420"/>
      <w:jc w:val="left"/>
      <w:spacing w:after="120" w:line="315" w:lineRule="atLeast"/>
    </w:pPr>
    <w:rPr>
      <w:rFonts w:ascii="宋体"/>
      <w:sz w:val="24"/>
      <w:szCs w:val="24"/>
    </w:rPr>
  </w:style>
  <w:style w:type="paragraph" w:styleId="1104" w:customStyle="1">
    <w:name w:val="正文文本缩进1"/>
    <w:basedOn w:val="901"/>
    <w:next w:val="1103"/>
    <w:uiPriority w:val="0"/>
    <w:qFormat/>
    <w:pPr>
      <w:ind w:left="420"/>
      <w:spacing w:after="120"/>
    </w:pPr>
    <w:rPr>
      <w:szCs w:val="24"/>
    </w:rPr>
  </w:style>
  <w:style w:type="numbering" w:styleId="11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F1339F0-E50E-4E3F-B1A2-EE2E3E30BF42}"/>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张波</cp:lastModifiedBy>
  <cp:revision>111</cp:revision>
  <dcterms:created xsi:type="dcterms:W3CDTF">2021-03-26T03:19:00Z</dcterms:created>
  <dcterms:modified xsi:type="dcterms:W3CDTF">2026-07-07T07:38:18Z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D07E351A16854D8F8A02C27C9503C4F5_13</vt:lpwstr>
  </property>
  <property fmtid="{D5CDD505-2E9C-101B-9397-08002B2CF9AE}" pid="4" name="KSOTemplateDocerSaveRecord">
    <vt:lpwstr>eyJoZGlkIjoiM2JiMzkzMTc0ODczMzFmZDU2Zjg4ZTllMWQ3ZTMwZmUiLCJ1c2VySWQiOiI1Mzg2ODMwOTkifQ==</vt:lpwstr>
  </property>
</Properties>
</file>