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jc w:val="cente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pStyle w:val="908"/>
        <w:rPr>
          <w:color w:val="auto"/>
          <w:highlight w:val="none"/>
        </w:rPr>
      </w:pPr>
      <w:r>
        <w:rPr>
          <w:color w:val="auto"/>
          <w:highlight w:val="none"/>
        </w:rPr>
      </w:r>
      <w:r>
        <w:rPr>
          <w:color w:val="auto"/>
          <w:highlight w:val="none"/>
        </w:rPr>
      </w:r>
      <w:r/>
    </w:p>
    <w:p>
      <w:pPr>
        <w:jc w:val="center"/>
        <w:spacing w:line="360" w:lineRule="auto"/>
        <w:rPr>
          <w:rFonts w:ascii="宋体" w:hAnsi="宋体" w:eastAsia="宋体"/>
          <w:b/>
          <w:color w:val="auto"/>
          <w:sz w:val="72"/>
          <w:highlight w:val="none"/>
        </w:rPr>
      </w:pPr>
      <w:r>
        <w:rPr>
          <w:rFonts w:hint="eastAsia" w:ascii="宋体" w:hAnsi="宋体" w:eastAsia="宋体"/>
          <w:b/>
          <w:color w:val="auto"/>
          <w:sz w:val="72"/>
          <w:highlight w:val="none"/>
        </w:rPr>
        <w:t xml:space="preserve">苏 州 政 府 采 购</w:t>
      </w:r>
      <w:r>
        <w:rPr>
          <w:color w:val="auto"/>
          <w:highlight w:val="none"/>
        </w:rPr>
      </w:r>
      <w:r/>
    </w:p>
    <w:p>
      <w:pPr>
        <w:jc w:val="center"/>
        <w:spacing w:line="360" w:lineRule="auto"/>
        <w:rPr>
          <w:rFonts w:ascii="宋体" w:hAnsi="宋体" w:eastAsia="宋体"/>
          <w:b/>
          <w:color w:val="auto"/>
          <w:sz w:val="72"/>
          <w:highlight w:val="none"/>
        </w:rPr>
      </w:pPr>
      <w:r>
        <w:rPr>
          <w:rFonts w:hint="eastAsia" w:ascii="宋体" w:hAnsi="宋体" w:eastAsia="宋体"/>
          <w:b/>
          <w:color w:val="auto"/>
          <w:sz w:val="72"/>
          <w:highlight w:val="none"/>
        </w:rPr>
        <w:t xml:space="preserve">竞争性磋商文件</w:t>
      </w:r>
      <w:r>
        <w:rPr>
          <w:color w:val="auto"/>
          <w:highlight w:val="none"/>
        </w:rPr>
      </w:r>
      <w:r/>
    </w:p>
    <w:p>
      <w:pPr>
        <w:jc w:val="cente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jc w:val="cente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ind w:firstLine="1237"/>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采购编号：</w:t>
      </w:r>
      <w:bookmarkStart w:id="59" w:name="_GoBack"/>
      <w:r>
        <w:rPr>
          <w:color w:val="auto"/>
          <w:highlight w:val="none"/>
        </w:rPr>
      </w:r>
      <w:bookmarkEnd w:id="59"/>
      <w:r>
        <w:rPr>
          <w:rFonts w:hint="eastAsia" w:ascii="宋体" w:hAnsi="宋体" w:eastAsia="宋体"/>
          <w:b/>
          <w:color w:val="auto"/>
          <w:spacing w:val="-6"/>
          <w:sz w:val="32"/>
          <w:highlight w:val="none"/>
          <w:lang w:eastAsia="zh-CN"/>
        </w:rPr>
        <w:t xml:space="preserve">JSZC-320507-JSZQ-C2026-0005</w:t>
      </w:r>
      <w:r>
        <w:rPr>
          <w:color w:val="auto"/>
          <w:highlight w:val="none"/>
        </w:rPr>
      </w:r>
      <w:r/>
    </w:p>
    <w:p>
      <w:pPr>
        <w:ind w:firstLine="1237"/>
        <w:spacing w:line="360" w:lineRule="auto"/>
        <w:rPr>
          <w:rFonts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采购单位：苏州市相城区望亭中学</w:t>
      </w:r>
      <w:r>
        <w:rPr>
          <w:color w:val="auto"/>
          <w:highlight w:val="none"/>
        </w:rPr>
      </w:r>
      <w:r/>
    </w:p>
    <w:p>
      <w:pPr>
        <w:ind w:firstLine="1237"/>
        <w:spacing w:line="360" w:lineRule="auto"/>
        <w:rPr>
          <w:rFonts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采购内容：望亭中学基础教育内涵建设项目</w:t>
      </w:r>
      <w:r>
        <w:rPr>
          <w:color w:val="auto"/>
          <w:highlight w:val="none"/>
        </w:rPr>
      </w:r>
      <w:r/>
    </w:p>
    <w:p>
      <w:pPr>
        <w:ind w:firstLine="1237"/>
        <w:spacing w:line="360" w:lineRule="auto"/>
        <w:rPr>
          <w:rFonts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rPr>
          <w:color w:val="auto"/>
          <w:highlight w:val="none"/>
        </w:rPr>
      </w:r>
      <w:r/>
    </w:p>
    <w:p>
      <w:pPr>
        <w:pStyle w:val="735"/>
        <w:jc w:val="cente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jc w:val="center"/>
        <w:spacing w:line="360" w:lineRule="auto"/>
        <w:rPr>
          <w:rFonts w:ascii="宋体" w:hAnsi="宋体" w:eastAsia="宋体"/>
          <w:b/>
          <w:color w:val="auto"/>
          <w:highlight w:val="none"/>
        </w:rPr>
      </w:pPr>
      <w:r>
        <w:rPr>
          <w:rFonts w:ascii="宋体" w:hAnsi="宋体" w:eastAsia="宋体"/>
          <w:b/>
          <w:color w:val="auto"/>
          <w:highlight w:val="none"/>
        </w:rPr>
      </w:r>
      <w:r>
        <w:rPr>
          <w:color w:val="auto"/>
          <w:highlight w:val="none"/>
        </w:rPr>
      </w:r>
      <w:r/>
    </w:p>
    <w:p>
      <w:pPr>
        <w:jc w:val="cente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pStyle w:val="908"/>
        <w:rPr>
          <w:color w:val="auto"/>
          <w:highlight w:val="none"/>
        </w:rPr>
      </w:pPr>
      <w:r>
        <w:rPr>
          <w:color w:val="auto"/>
          <w:highlight w:val="none"/>
        </w:rPr>
      </w:r>
      <w:r>
        <w:rPr>
          <w:color w:val="auto"/>
          <w:highlight w:val="none"/>
        </w:rPr>
      </w:r>
      <w:r/>
    </w:p>
    <w:p>
      <w:pPr>
        <w:pStyle w:val="908"/>
        <w:rPr>
          <w:color w:val="auto"/>
          <w:highlight w:val="none"/>
        </w:rPr>
      </w:pPr>
      <w:r>
        <w:rPr>
          <w:color w:val="auto"/>
          <w:highlight w:val="none"/>
        </w:rPr>
      </w:r>
      <w:r>
        <w:rPr>
          <w:color w:val="auto"/>
          <w:highlight w:val="none"/>
        </w:rPr>
      </w:r>
      <w:r/>
    </w:p>
    <w:p>
      <w:pPr>
        <w:pStyle w:val="908"/>
        <w:rPr>
          <w:color w:val="auto"/>
          <w:highlight w:val="none"/>
        </w:rPr>
      </w:pPr>
      <w:r>
        <w:rPr>
          <w:color w:val="auto"/>
          <w:highlight w:val="none"/>
        </w:rPr>
      </w:r>
      <w:r>
        <w:rPr>
          <w:color w:val="auto"/>
          <w:highlight w:val="none"/>
        </w:rPr>
      </w:r>
      <w:r/>
    </w:p>
    <w:p>
      <w:pPr>
        <w:jc w:val="center"/>
        <w:spacing w:line="360" w:lineRule="auto"/>
        <w:rPr>
          <w:rFonts w:ascii="宋体" w:hAnsi="宋体" w:eastAsia="宋体"/>
          <w:b/>
          <w:color w:val="auto"/>
          <w:highlight w:val="none"/>
        </w:rPr>
      </w:pPr>
      <w:r>
        <w:rPr>
          <w:rFonts w:ascii="宋体" w:hAnsi="宋体" w:eastAsia="宋体"/>
          <w:b/>
          <w:color w:val="auto"/>
          <w:highlight w:val="none"/>
        </w:rPr>
      </w:r>
      <w:r>
        <w:rPr>
          <w:color w:val="auto"/>
          <w:highlight w:val="none"/>
        </w:rPr>
      </w:r>
      <w:r/>
    </w:p>
    <w:p>
      <w:pPr>
        <w:jc w:val="center"/>
        <w:spacing w:line="360" w:lineRule="auto"/>
        <w:rPr>
          <w:rFonts w:ascii="宋体" w:hAnsi="宋体" w:eastAsia="宋体"/>
          <w:b/>
          <w:color w:val="auto"/>
          <w:sz w:val="32"/>
          <w:highlight w:val="none"/>
        </w:rPr>
      </w:pPr>
      <w:r>
        <w:rPr>
          <w:rFonts w:ascii="宋体" w:hAnsi="宋体" w:eastAsia="宋体"/>
          <w:b/>
          <w:color w:val="auto"/>
          <w:sz w:val="32"/>
          <w:highlight w:val="none"/>
        </w:rPr>
      </w:r>
      <w:r>
        <w:rPr>
          <w:color w:val="auto"/>
          <w:highlight w:val="none"/>
        </w:rPr>
      </w:r>
      <w:r/>
    </w:p>
    <w:p>
      <w:pPr>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江苏正琦工程咨询有限公司</w:t>
      </w:r>
      <w:r>
        <w:rPr>
          <w:color w:val="auto"/>
          <w:highlight w:val="none"/>
        </w:rPr>
      </w:r>
      <w:r/>
    </w:p>
    <w:p>
      <w:pPr>
        <w:jc w:val="center"/>
        <w:spacing w:line="360" w:lineRule="auto"/>
        <w:rPr>
          <w:rFonts w:ascii="宋体" w:hAnsi="宋体" w:eastAsia="宋体"/>
          <w:b/>
          <w:color w:val="auto"/>
          <w:sz w:val="32"/>
          <w:highlight w:val="none"/>
        </w:rPr>
      </w:pPr>
      <w:r>
        <w:rPr>
          <w:rFonts w:hint="eastAsia" w:ascii="宋体" w:hAnsi="宋体" w:eastAsia="宋体"/>
          <w:b/>
          <w:color w:val="auto"/>
          <w:sz w:val="32"/>
          <w:highlight w:val="none"/>
        </w:rPr>
        <w:t xml:space="preserve">二○二六年</w:t>
      </w:r>
      <w:r>
        <w:rPr>
          <w:rFonts w:hint="eastAsia" w:ascii="宋体" w:hAnsi="宋体" w:eastAsia="宋体"/>
          <w:b/>
          <w:color w:val="auto"/>
          <w:sz w:val="32"/>
          <w:highlight w:val="none"/>
          <w:lang w:val="en-US" w:eastAsia="zh-CN"/>
        </w:rPr>
        <w:t xml:space="preserve">七</w:t>
      </w:r>
      <w:r>
        <w:rPr>
          <w:rFonts w:hint="eastAsia" w:ascii="宋体" w:hAnsi="宋体" w:eastAsia="宋体"/>
          <w:b/>
          <w:color w:val="auto"/>
          <w:sz w:val="32"/>
          <w:highlight w:val="none"/>
        </w:rPr>
        <w:t xml:space="preserve">月</w:t>
      </w:r>
      <w:r>
        <w:rPr>
          <w:color w:val="auto"/>
          <w:highlight w:val="none"/>
        </w:rPr>
      </w:r>
      <w:r/>
    </w:p>
    <w:p>
      <w:pPr>
        <w:jc w:val="center"/>
        <w:rPr>
          <w:rFonts w:ascii="宋体" w:hAnsi="宋体" w:eastAsia="宋体"/>
          <w:b/>
          <w:color w:val="auto"/>
          <w:sz w:val="32"/>
          <w:szCs w:val="32"/>
          <w:highlight w:val="none"/>
        </w:rPr>
      </w:pPr>
      <w:r>
        <w:rPr>
          <w:rFonts w:ascii="宋体" w:hAnsi="宋体" w:eastAsia="宋体"/>
          <w:b/>
          <w:color w:val="auto"/>
          <w:sz w:val="36"/>
          <w:highlight w:val="none"/>
        </w:rPr>
        <w:br w:type="page" w:clear="all"/>
      </w:r>
      <w:r>
        <w:rPr>
          <w:rFonts w:hint="eastAsia" w:ascii="宋体" w:hAnsi="宋体" w:eastAsia="宋体"/>
          <w:b/>
          <w:color w:val="auto"/>
          <w:sz w:val="32"/>
          <w:szCs w:val="32"/>
          <w:highlight w:val="none"/>
        </w:rPr>
        <w:t xml:space="preserve">前附表</w:t>
      </w:r>
      <w:r>
        <w:rPr>
          <w:color w:val="auto"/>
          <w:highlight w:val="none"/>
        </w:rPr>
      </w:r>
      <w:r/>
    </w:p>
    <w:tbl>
      <w:tblPr>
        <w:tblStyle w:val="72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jc w:val="center"/>
        </w:trPr>
        <w:tc>
          <w:tcPr>
            <w:tcW w:w="851" w:type="dxa"/>
            <w:vAlign w:val="center"/>
            <w:textDirection w:val="lrTb"/>
            <w:noWrap w:val="false"/>
          </w:tcPr>
          <w:p>
            <w:pPr>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rPr>
                <w:color w:val="auto"/>
                <w:highlight w:val="none"/>
              </w:rPr>
            </w:r>
            <w:r/>
          </w:p>
        </w:tc>
        <w:tc>
          <w:tcPr>
            <w:tcW w:w="9135" w:type="dxa"/>
            <w:vAlign w:val="center"/>
            <w:textDirection w:val="lrTb"/>
            <w:noWrap w:val="false"/>
          </w:tcPr>
          <w:p>
            <w:pPr>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内容规定</w:t>
            </w:r>
            <w:r>
              <w:rPr>
                <w:color w:val="auto"/>
                <w:highlight w:val="none"/>
              </w:rPr>
            </w:r>
            <w:r/>
          </w:p>
        </w:tc>
      </w:tr>
      <w:tr>
        <w:trPr>
          <w:jc w:val="center"/>
          <w:trHeight w:val="288"/>
        </w:trPr>
        <w:tc>
          <w:tcPr>
            <w:tcW w:w="851" w:type="dxa"/>
            <w:vAlign w:val="center"/>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color w:val="auto"/>
                <w:highlight w:val="none"/>
              </w:rPr>
            </w:r>
            <w:r/>
          </w:p>
        </w:tc>
        <w:tc>
          <w:tcPr>
            <w:tcW w:w="9135" w:type="dxa"/>
            <w:vAlign w:val="center"/>
            <w:textDirection w:val="lrTb"/>
            <w:noWrap w:val="false"/>
          </w:tcPr>
          <w:p>
            <w:pPr>
              <w:jc w:val="left"/>
              <w:tabs>
                <w:tab w:val="left" w:pos="988" w:leader="none"/>
              </w:tabs>
              <w:rPr>
                <w:rFonts w:eastAsia="宋体"/>
                <w:color w:val="auto"/>
                <w:sz w:val="24"/>
                <w:szCs w:val="24"/>
                <w:highlight w:val="none"/>
              </w:rPr>
            </w:pPr>
            <w:r>
              <w:rPr>
                <w:rFonts w:hint="eastAsia" w:ascii="宋体" w:hAnsi="宋体" w:eastAsia="宋体"/>
                <w:color w:val="auto"/>
                <w:sz w:val="21"/>
                <w:szCs w:val="21"/>
                <w:highlight w:val="none"/>
              </w:rPr>
              <w:t xml:space="preserve">采购内容：望亭中学基础教育内涵建设项目</w:t>
            </w:r>
            <w:r>
              <w:rPr>
                <w:color w:val="auto"/>
                <w:highlight w:val="none"/>
              </w:rPr>
            </w:r>
            <w:r/>
          </w:p>
        </w:tc>
      </w:tr>
      <w:tr>
        <w:trPr>
          <w:jc w:val="center"/>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color w:val="auto"/>
                <w:highlight w:val="none"/>
              </w:rPr>
            </w:r>
            <w:r/>
          </w:p>
        </w:tc>
        <w:tc>
          <w:tcPr>
            <w:tcW w:w="9135"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响应文件有效期为响应文件提交截止之日起六十天（日历日）</w:t>
            </w:r>
            <w:r>
              <w:rPr>
                <w:color w:val="auto"/>
                <w:highlight w:val="none"/>
              </w:rPr>
            </w:r>
            <w:r/>
          </w:p>
        </w:tc>
      </w:tr>
      <w:tr>
        <w:trPr>
          <w:jc w:val="center"/>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color w:val="auto"/>
                <w:highlight w:val="none"/>
              </w:rPr>
            </w:r>
            <w:r/>
          </w:p>
        </w:tc>
        <w:tc>
          <w:tcPr>
            <w:tcW w:w="9135"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本项目不收取磋商保证金</w:t>
            </w:r>
            <w:r>
              <w:rPr>
                <w:color w:val="auto"/>
                <w:highlight w:val="none"/>
              </w:rPr>
            </w:r>
            <w:r/>
          </w:p>
        </w:tc>
      </w:tr>
      <w:tr>
        <w:trPr>
          <w:jc w:val="center"/>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color w:val="auto"/>
                <w:highlight w:val="none"/>
              </w:rPr>
            </w:r>
            <w:r/>
          </w:p>
        </w:tc>
        <w:tc>
          <w:tcPr>
            <w:tcW w:w="9135"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磋商响应文件份数：本项目采用电子响应文件，供应商按照采购文件要求制作上传电子响应文件，不接受纸质响应文件。成交后，成交单位提供三份纸质响应文件。</w:t>
            </w:r>
            <w:r>
              <w:rPr>
                <w:color w:val="auto"/>
                <w:highlight w:val="none"/>
              </w:rPr>
            </w:r>
            <w:r/>
          </w:p>
        </w:tc>
      </w:tr>
      <w:tr>
        <w:trPr>
          <w:jc w:val="center"/>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color w:val="auto"/>
                <w:highlight w:val="none"/>
              </w:rPr>
            </w:r>
            <w:r/>
          </w:p>
        </w:tc>
        <w:tc>
          <w:tcPr>
            <w:tcW w:w="9135"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响应文件网上提交截止时间：</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6年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点30分（北京时间）</w:t>
            </w:r>
            <w:r>
              <w:rPr>
                <w:color w:val="auto"/>
                <w:highlight w:val="none"/>
              </w:rPr>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响应文件必须在截止时间前完成提交（上传），逾期提交（上传）的响应文件恕不接受。</w:t>
            </w:r>
            <w:r>
              <w:rPr>
                <w:color w:val="auto"/>
                <w:highlight w:val="none"/>
              </w:rPr>
            </w:r>
            <w:r/>
          </w:p>
        </w:tc>
      </w:tr>
      <w:tr>
        <w:trPr>
          <w:jc w:val="center"/>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color w:val="auto"/>
                <w:highlight w:val="none"/>
              </w:rPr>
            </w:r>
            <w:r/>
          </w:p>
        </w:tc>
        <w:tc>
          <w:tcPr>
            <w:tcW w:w="9135" w:type="dxa"/>
            <w:vAlign w:val="center"/>
            <w:textDirection w:val="lrTb"/>
            <w:noWrap w:val="false"/>
          </w:tcPr>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开启时间：</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6年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点30分（北京时间）</w:t>
            </w:r>
            <w:r>
              <w:rPr>
                <w:color w:val="auto"/>
                <w:highlight w:val="none"/>
              </w:rPr>
            </w:r>
            <w:r/>
          </w:p>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开启地点：</w:t>
            </w:r>
            <w:r>
              <w:rPr>
                <w:rFonts w:hint="cs" w:ascii="宋体" w:hAnsi="宋体" w:eastAsia="宋体"/>
                <w:color w:val="auto"/>
                <w:sz w:val="21"/>
                <w:szCs w:val="21"/>
                <w:highlight w:val="none"/>
                <w:cs/>
              </w:rPr>
              <w:t xml:space="preserve">“</w:t>
            </w:r>
            <w:r>
              <w:rPr>
                <w:rFonts w:hint="eastAsia" w:ascii="宋体" w:hAnsi="宋体" w:eastAsia="宋体"/>
                <w:color w:val="auto"/>
                <w:sz w:val="21"/>
                <w:szCs w:val="21"/>
                <w:highlight w:val="none"/>
              </w:rPr>
              <w:t xml:space="preserve">苏采云</w:t>
            </w:r>
            <w:r>
              <w:rPr>
                <w:rFonts w:hint="cs" w:ascii="宋体" w:hAnsi="宋体" w:eastAsia="宋体"/>
                <w:color w:val="auto"/>
                <w:sz w:val="21"/>
                <w:szCs w:val="21"/>
                <w:highlight w:val="none"/>
                <w:cs/>
              </w:rPr>
              <w:t xml:space="preserve">”</w:t>
            </w:r>
            <w:r>
              <w:rPr>
                <w:rFonts w:hint="eastAsia" w:ascii="宋体" w:hAnsi="宋体" w:eastAsia="宋体"/>
                <w:color w:val="auto"/>
                <w:sz w:val="21"/>
                <w:szCs w:val="21"/>
                <w:highlight w:val="none"/>
              </w:rPr>
              <w:t xml:space="preserve">系统（网址：</w:t>
            </w:r>
            <w:r>
              <w:rPr>
                <w:rFonts w:ascii="宋体" w:hAnsi="宋体" w:eastAsia="宋体"/>
                <w:color w:val="auto"/>
                <w:sz w:val="21"/>
                <w:szCs w:val="21"/>
                <w:highlight w:val="none"/>
              </w:rPr>
              <w:t xml:space="preserve">http://jszfcg.jsczt.cn/</w:t>
            </w:r>
            <w:r>
              <w:rPr>
                <w:rFonts w:hint="eastAsia" w:ascii="宋体" w:hAnsi="宋体" w:eastAsia="宋体"/>
                <w:color w:val="auto"/>
                <w:sz w:val="21"/>
                <w:szCs w:val="21"/>
                <w:highlight w:val="none"/>
              </w:rPr>
              <w:t xml:space="preserve">）</w:t>
            </w:r>
            <w:r>
              <w:rPr>
                <w:color w:val="auto"/>
                <w:highlight w:val="none"/>
              </w:rPr>
            </w:r>
            <w:r/>
          </w:p>
          <w:p>
            <w:pPr>
              <w:tabs>
                <w:tab w:val="left" w:pos="3600"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本项目为不见面磋商项目，开启阶段供应商在【供应商解密】环节必须使用</w:t>
            </w:r>
            <w:r>
              <w:rPr>
                <w:rFonts w:ascii="宋体" w:hAnsi="宋体" w:eastAsia="宋体"/>
                <w:b/>
                <w:bCs/>
                <w:color w:val="auto"/>
                <w:sz w:val="21"/>
                <w:szCs w:val="21"/>
                <w:highlight w:val="none"/>
              </w:rPr>
              <w:t xml:space="preserve">CA</w:t>
            </w:r>
            <w:r>
              <w:rPr>
                <w:rFonts w:hint="eastAsia" w:ascii="宋体" w:hAnsi="宋体" w:eastAsia="宋体"/>
                <w:b/>
                <w:bCs/>
                <w:color w:val="auto"/>
                <w:sz w:val="21"/>
                <w:szCs w:val="21"/>
                <w:highlight w:val="none"/>
              </w:rPr>
              <w:t xml:space="preserve">证书解密电子响应文件，如在系统规定的解密时间</w:t>
            </w:r>
            <w:r>
              <w:rPr>
                <w:rFonts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rPr>
              <w:t xml:space="preserve">响应文件提交截止时间后</w:t>
            </w:r>
            <w:r>
              <w:rPr>
                <w:rFonts w:ascii="宋体" w:hAnsi="宋体" w:eastAsia="宋体"/>
                <w:b/>
                <w:bCs/>
                <w:color w:val="auto"/>
                <w:sz w:val="21"/>
                <w:szCs w:val="21"/>
                <w:highlight w:val="none"/>
              </w:rPr>
              <w:t xml:space="preserve"> 30 </w:t>
            </w:r>
            <w:r>
              <w:rPr>
                <w:rFonts w:hint="eastAsia" w:ascii="宋体" w:hAnsi="宋体" w:eastAsia="宋体"/>
                <w:b/>
                <w:bCs/>
                <w:color w:val="auto"/>
                <w:sz w:val="21"/>
                <w:szCs w:val="21"/>
                <w:highlight w:val="none"/>
              </w:rPr>
              <w:t xml:space="preserve">分钟</w:t>
            </w:r>
            <w:r>
              <w:rPr>
                <w:rFonts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rPr>
              <w:t xml:space="preserve">内未能完成解密的视为放弃参与本项目。</w:t>
            </w:r>
            <w:r>
              <w:rPr>
                <w:color w:val="auto"/>
                <w:highlight w:val="none"/>
              </w:rPr>
            </w:r>
            <w:r/>
          </w:p>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评审时间：</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6年</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eastAsia="zh-CN"/>
              </w:rPr>
              <w:t xml:space="preserve">13</w:t>
            </w:r>
            <w:r>
              <w:rPr>
                <w:rFonts w:hint="eastAsia" w:ascii="宋体" w:hAnsi="宋体" w:eastAsia="宋体"/>
                <w:color w:val="auto"/>
                <w:sz w:val="21"/>
                <w:szCs w:val="21"/>
                <w:highlight w:val="none"/>
              </w:rPr>
              <w:t xml:space="preserve">点30分（北京时间）</w:t>
            </w:r>
            <w:r>
              <w:rPr>
                <w:color w:val="auto"/>
                <w:highlight w:val="none"/>
              </w:rPr>
            </w:r>
            <w:r/>
          </w:p>
          <w:p>
            <w:pPr>
              <w:tabs>
                <w:tab w:val="left" w:pos="3600" w:leader="none"/>
              </w:tabs>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评审地点：苏州高新区邓尉路</w:t>
            </w:r>
            <w:r>
              <w:rPr>
                <w:rFonts w:ascii="宋体" w:hAnsi="宋体" w:eastAsia="宋体"/>
                <w:color w:val="auto"/>
                <w:sz w:val="21"/>
                <w:szCs w:val="21"/>
                <w:highlight w:val="none"/>
              </w:rPr>
              <w:t xml:space="preserve">105</w:t>
            </w:r>
            <w:r>
              <w:rPr>
                <w:rFonts w:hint="eastAsia" w:ascii="宋体" w:hAnsi="宋体" w:eastAsia="宋体"/>
                <w:color w:val="auto"/>
                <w:sz w:val="21"/>
                <w:szCs w:val="21"/>
                <w:highlight w:val="none"/>
              </w:rPr>
              <w:t xml:space="preserve">号狮山科技馆</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楼</w:t>
            </w:r>
            <w:r>
              <w:rPr>
                <w:color w:val="auto"/>
                <w:highlight w:val="none"/>
              </w:rPr>
            </w:r>
            <w:r/>
          </w:p>
        </w:tc>
      </w:tr>
      <w:tr>
        <w:trPr>
          <w:jc w:val="center"/>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color w:val="auto"/>
                <w:highlight w:val="none"/>
              </w:rPr>
            </w:r>
            <w:r/>
          </w:p>
        </w:tc>
        <w:tc>
          <w:tcPr>
            <w:tcW w:w="9135" w:type="dxa"/>
            <w:vAlign w:val="center"/>
            <w:textDirection w:val="lrTb"/>
            <w:noWrap w:val="false"/>
          </w:tcPr>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代理服务费收费标准：</w:t>
            </w:r>
            <w:r>
              <w:rPr>
                <w:color w:val="auto"/>
                <w:highlight w:val="none"/>
              </w:rPr>
            </w:r>
            <w:r/>
          </w:p>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预算金额100万元以下部分，费率为该部分预算金额的1.5%；</w:t>
            </w:r>
            <w:r>
              <w:rPr>
                <w:color w:val="auto"/>
                <w:highlight w:val="none"/>
              </w:rPr>
            </w:r>
            <w:r/>
          </w:p>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预算金额100万元（含）－500万元部分，费率为该部分预算金额的1.1%；</w:t>
            </w:r>
            <w:r>
              <w:rPr>
                <w:color w:val="auto"/>
                <w:highlight w:val="none"/>
              </w:rPr>
            </w:r>
            <w:r/>
          </w:p>
          <w:p>
            <w:pPr>
              <w:tabs>
                <w:tab w:val="left" w:pos="360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说明：代理服务费以采购预算金额为基数依据，按以上规定的标准和差额定率累进法进行计算后六折收取，如按上述方法计算的金额低于人民币3000元整的，则成交服务费按人民币3000元整计取。</w:t>
            </w:r>
            <w:r>
              <w:rPr>
                <w:color w:val="auto"/>
                <w:highlight w:val="none"/>
              </w:rPr>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本项目代理服务费：</w:t>
            </w:r>
            <w:r>
              <w:rPr>
                <w:rFonts w:ascii="宋体" w:hAnsi="宋体" w:eastAsia="宋体"/>
                <w:color w:val="auto"/>
                <w:sz w:val="21"/>
                <w:szCs w:val="21"/>
                <w:highlight w:val="none"/>
              </w:rPr>
              <w:t xml:space="preserve">12438</w:t>
            </w:r>
            <w:r>
              <w:rPr>
                <w:rFonts w:hint="eastAsia" w:ascii="宋体" w:hAnsi="宋体" w:eastAsia="宋体"/>
                <w:color w:val="auto"/>
                <w:sz w:val="21"/>
                <w:szCs w:val="21"/>
                <w:highlight w:val="none"/>
              </w:rPr>
              <w:t xml:space="preserve">元。由采购人支付。</w:t>
            </w:r>
            <w:r>
              <w:rPr>
                <w:color w:val="auto"/>
                <w:highlight w:val="none"/>
              </w:rPr>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收款单位：江苏正琦工程咨询有限公司望亭分公司</w:t>
            </w:r>
            <w:r>
              <w:rPr>
                <w:color w:val="auto"/>
                <w:highlight w:val="none"/>
              </w:rPr>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开户银行：中国民生银行股份有限公司苏州相城支行</w:t>
            </w:r>
            <w:r>
              <w:rPr>
                <w:color w:val="auto"/>
                <w:highlight w:val="none"/>
              </w:rPr>
            </w:r>
            <w:r/>
          </w:p>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银行账号：645640467</w:t>
            </w:r>
            <w:r>
              <w:rPr>
                <w:color w:val="auto"/>
                <w:highlight w:val="none"/>
              </w:rPr>
            </w:r>
            <w:r/>
          </w:p>
        </w:tc>
      </w:tr>
      <w:tr>
        <w:trPr>
          <w:jc w:val="center"/>
          <w:trHeight w:val="672"/>
        </w:trPr>
        <w:tc>
          <w:tcPr>
            <w:tcW w:w="85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color w:val="auto"/>
                <w:highlight w:val="none"/>
              </w:rPr>
            </w:r>
            <w:r/>
          </w:p>
        </w:tc>
        <w:tc>
          <w:tcPr>
            <w:tcW w:w="9135" w:type="dxa"/>
            <w:vAlign w:val="center"/>
            <w:textDirection w:val="lrTb"/>
            <w:noWrap w:val="false"/>
          </w:tcPr>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政府采购监督管理部门监督电话</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0512-67591005、0512-67591006</w:t>
            </w:r>
            <w:r>
              <w:rPr>
                <w:color w:val="auto"/>
                <w:highlight w:val="none"/>
              </w:rPr>
            </w:r>
            <w:r/>
          </w:p>
        </w:tc>
      </w:tr>
    </w:tbl>
    <w:p>
      <w:pPr>
        <w:jc w:val="center"/>
        <w:spacing w:line="360" w:lineRule="auto"/>
        <w:widowControl/>
        <w:rPr>
          <w:rFonts w:ascii="宋体" w:hAnsi="宋体" w:eastAsia="宋体"/>
          <w:color w:val="auto"/>
          <w:highlight w:val="none"/>
        </w:rPr>
      </w:pPr>
      <w:r>
        <w:rPr>
          <w:rFonts w:hint="eastAsia" w:ascii="宋体" w:hAnsi="宋体" w:eastAsia="宋体"/>
          <w:b/>
          <w:color w:val="auto"/>
          <w:sz w:val="44"/>
          <w:szCs w:val="44"/>
          <w:highlight w:val="none"/>
        </w:rPr>
        <w:br w:type="page" w:clear="all"/>
      </w:r>
      <w:r>
        <w:rPr>
          <w:rFonts w:hint="eastAsia" w:ascii="宋体" w:hAnsi="宋体" w:eastAsia="宋体"/>
          <w:b/>
          <w:color w:val="auto"/>
          <w:sz w:val="44"/>
          <w:szCs w:val="44"/>
          <w:highlight w:val="none"/>
        </w:rPr>
        <w:t xml:space="preserve">总目录</w:t>
      </w:r>
      <w:r>
        <w:rPr>
          <w:color w:val="auto"/>
          <w:highlight w:val="none"/>
        </w:rPr>
      </w:r>
      <w:r/>
    </w:p>
    <w:p>
      <w:pPr>
        <w:pStyle w:val="913"/>
        <w:ind w:firstLine="0"/>
        <w:jc w:val="center"/>
        <w:spacing w:line="360" w:lineRule="auto"/>
        <w:rPr>
          <w:rFonts w:ascii="宋体" w:hAnsi="宋体" w:eastAsia="宋体"/>
          <w:color w:val="auto"/>
          <w:sz w:val="44"/>
          <w:szCs w:val="44"/>
          <w:highlight w:val="none"/>
        </w:rPr>
      </w:pPr>
      <w:r>
        <w:rPr>
          <w:rFonts w:ascii="宋体" w:hAnsi="宋体" w:eastAsia="宋体"/>
          <w:color w:val="auto"/>
          <w:sz w:val="44"/>
          <w:szCs w:val="44"/>
          <w:highlight w:val="none"/>
        </w:rPr>
      </w:r>
      <w:r>
        <w:rPr>
          <w:color w:val="auto"/>
          <w:highlight w:val="none"/>
        </w:rPr>
      </w:r>
      <w:r/>
    </w:p>
    <w:p>
      <w:pPr>
        <w:pStyle w:val="735"/>
        <w:spacing w:line="360" w:lineRule="auto"/>
        <w:tabs>
          <w:tab w:val="right" w:pos="9926" w:leader="dot"/>
        </w:tabs>
        <w:rPr>
          <w:color w:val="auto"/>
          <w:highlight w:val="none"/>
        </w:rPr>
      </w:pPr>
      <w:r>
        <w:rPr>
          <w:rFonts w:ascii="宋体" w:hAnsi="宋体" w:eastAsia="宋体"/>
          <w:b/>
          <w:bCs/>
          <w:color w:val="auto"/>
          <w:sz w:val="21"/>
          <w:szCs w:val="21"/>
          <w:highlight w:val="none"/>
        </w:rPr>
        <w:fldChar w:fldCharType="begin"/>
      </w:r>
      <w:r>
        <w:rPr>
          <w:rFonts w:ascii="宋体" w:hAnsi="宋体" w:eastAsia="宋体"/>
          <w:b/>
          <w:bCs/>
          <w:color w:val="auto"/>
          <w:sz w:val="21"/>
          <w:szCs w:val="21"/>
          <w:highlight w:val="none"/>
        </w:rPr>
        <w:instrText xml:space="preserve"> TOC \o "1-1"</w:instrText>
      </w:r>
      <w:r>
        <w:rPr>
          <w:rFonts w:ascii="宋体" w:hAnsi="宋体" w:eastAsia="宋体"/>
          <w:b/>
          <w:bCs/>
          <w:color w:val="auto"/>
          <w:sz w:val="21"/>
          <w:szCs w:val="21"/>
          <w:highlight w:val="none"/>
        </w:rPr>
        <w:fldChar w:fldCharType="separate"/>
      </w:r>
      <w:r>
        <w:rPr>
          <w:rFonts w:hint="eastAsia" w:ascii="宋体" w:hAnsi="宋体" w:eastAsia="宋体"/>
          <w:color w:val="auto"/>
          <w:highlight w:val="none"/>
        </w:rPr>
        <w:t xml:space="preserve">第一章 磋商邀请函</w:t>
      </w:r>
      <w:r>
        <w:rPr>
          <w:color w:val="auto"/>
          <w:highlight w:val="none"/>
        </w:rPr>
        <w:tab/>
      </w:r>
      <w:r>
        <w:rPr>
          <w:color w:val="auto"/>
          <w:highlight w:val="none"/>
        </w:rPr>
        <w:fldChar w:fldCharType="begin"/>
      </w:r>
      <w:r>
        <w:rPr>
          <w:color w:val="auto"/>
          <w:highlight w:val="none"/>
        </w:rPr>
        <w:instrText xml:space="preserve"> PAGEREF _Toc26313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r>
      <w:r/>
    </w:p>
    <w:p>
      <w:pPr>
        <w:pStyle w:val="735"/>
        <w:spacing w:line="360" w:lineRule="auto"/>
        <w:tabs>
          <w:tab w:val="right" w:pos="9926" w:leader="dot"/>
        </w:tabs>
        <w:rPr>
          <w:color w:val="auto"/>
          <w:highlight w:val="none"/>
        </w:rPr>
      </w:pPr>
      <w:r>
        <w:rPr>
          <w:rFonts w:hint="eastAsia" w:ascii="宋体" w:hAnsi="宋体" w:eastAsia="宋体"/>
          <w:color w:val="auto"/>
          <w:szCs w:val="52"/>
          <w:highlight w:val="none"/>
        </w:rPr>
        <w:t xml:space="preserve">第二章 磋商响应文件格式</w:t>
      </w:r>
      <w:r>
        <w:rPr>
          <w:color w:val="auto"/>
          <w:highlight w:val="none"/>
        </w:rPr>
        <w:tab/>
      </w:r>
      <w:r>
        <w:rPr>
          <w:color w:val="auto"/>
          <w:highlight w:val="none"/>
        </w:rPr>
        <w:fldChar w:fldCharType="begin"/>
      </w:r>
      <w:r>
        <w:rPr>
          <w:color w:val="auto"/>
          <w:highlight w:val="none"/>
        </w:rPr>
        <w:instrText xml:space="preserve"> PAGEREF _Toc24033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r>
      <w:r/>
    </w:p>
    <w:p>
      <w:pPr>
        <w:pStyle w:val="735"/>
        <w:spacing w:line="360" w:lineRule="auto"/>
        <w:tabs>
          <w:tab w:val="right" w:pos="9926" w:leader="dot"/>
        </w:tabs>
        <w:rPr>
          <w:color w:val="auto"/>
          <w:highlight w:val="none"/>
        </w:rPr>
      </w:pPr>
      <w:r>
        <w:rPr>
          <w:rFonts w:hint="eastAsia" w:ascii="宋体" w:hAnsi="宋体" w:eastAsia="宋体"/>
          <w:color w:val="auto"/>
          <w:szCs w:val="52"/>
          <w:highlight w:val="none"/>
        </w:rPr>
        <w:t xml:space="preserve">第三章 采购内容</w:t>
      </w:r>
      <w:r>
        <w:rPr>
          <w:color w:val="auto"/>
          <w:highlight w:val="none"/>
        </w:rPr>
        <w:tab/>
      </w:r>
      <w:r>
        <w:rPr>
          <w:color w:val="auto"/>
          <w:highlight w:val="none"/>
        </w:rPr>
        <w:fldChar w:fldCharType="begin"/>
      </w:r>
      <w:r>
        <w:rPr>
          <w:color w:val="auto"/>
          <w:highlight w:val="none"/>
        </w:rPr>
        <w:instrText xml:space="preserve"> PAGEREF _Toc4590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r>
      <w:r/>
    </w:p>
    <w:p>
      <w:pPr>
        <w:pStyle w:val="735"/>
        <w:spacing w:line="360" w:lineRule="auto"/>
        <w:tabs>
          <w:tab w:val="right" w:pos="9926" w:leader="dot"/>
        </w:tabs>
        <w:rPr>
          <w:color w:val="auto"/>
          <w:highlight w:val="none"/>
        </w:rPr>
      </w:pPr>
      <w:r>
        <w:rPr>
          <w:rFonts w:hint="eastAsia" w:ascii="宋体" w:hAnsi="宋体" w:eastAsia="宋体"/>
          <w:color w:val="auto"/>
          <w:highlight w:val="none"/>
        </w:rPr>
        <w:t xml:space="preserve">第四章 合同主要条款</w:t>
      </w:r>
      <w:r>
        <w:rPr>
          <w:color w:val="auto"/>
          <w:highlight w:val="none"/>
        </w:rPr>
        <w:tab/>
      </w:r>
      <w:r>
        <w:rPr>
          <w:color w:val="auto"/>
          <w:highlight w:val="none"/>
        </w:rPr>
        <w:fldChar w:fldCharType="begin"/>
      </w:r>
      <w:r>
        <w:rPr>
          <w:color w:val="auto"/>
          <w:highlight w:val="none"/>
        </w:rPr>
        <w:instrText xml:space="preserve"> PAGEREF _Toc1784 </w:instrText>
      </w:r>
      <w:r>
        <w:rPr>
          <w:color w:val="auto"/>
          <w:highlight w:val="none"/>
        </w:rPr>
        <w:fldChar w:fldCharType="separate"/>
      </w:r>
      <w:r>
        <w:rPr>
          <w:color w:val="auto"/>
          <w:highlight w:val="none"/>
        </w:rPr>
        <w:t xml:space="preserve">31</w:t>
      </w:r>
      <w:r>
        <w:rPr>
          <w:color w:val="auto"/>
          <w:highlight w:val="none"/>
        </w:rPr>
        <w:fldChar w:fldCharType="end"/>
      </w:r>
      <w:r>
        <w:rPr>
          <w:color w:val="auto"/>
          <w:highlight w:val="none"/>
        </w:rPr>
      </w:r>
      <w:r/>
    </w:p>
    <w:p>
      <w:pPr>
        <w:pStyle w:val="735"/>
        <w:spacing w:line="360" w:lineRule="auto"/>
        <w:tabs>
          <w:tab w:val="right" w:pos="9926" w:leader="dot"/>
        </w:tabs>
        <w:rPr>
          <w:color w:val="auto"/>
          <w:highlight w:val="none"/>
        </w:rPr>
      </w:pPr>
      <w:r>
        <w:rPr>
          <w:rFonts w:hint="eastAsia" w:ascii="宋体" w:hAnsi="宋体" w:eastAsia="宋体"/>
          <w:color w:val="auto"/>
          <w:highlight w:val="none"/>
        </w:rPr>
        <w:t xml:space="preserve">第五章 评审办法</w:t>
      </w:r>
      <w:r>
        <w:rPr>
          <w:color w:val="auto"/>
          <w:highlight w:val="none"/>
        </w:rPr>
        <w:tab/>
      </w:r>
      <w:r>
        <w:rPr>
          <w:color w:val="auto"/>
          <w:highlight w:val="none"/>
        </w:rPr>
        <w:fldChar w:fldCharType="begin"/>
      </w:r>
      <w:r>
        <w:rPr>
          <w:color w:val="auto"/>
          <w:highlight w:val="none"/>
        </w:rPr>
        <w:instrText xml:space="preserve"> PAGEREF _Toc7356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r>
      <w:r/>
    </w:p>
    <w:p>
      <w:pPr>
        <w:pStyle w:val="913"/>
        <w:ind w:left="283" w:right="569" w:firstLine="0"/>
        <w:jc w:val="both"/>
        <w:spacing w:line="360" w:lineRule="auto"/>
        <w:tabs>
          <w:tab w:val="right" w:pos="9356" w:leader="dot"/>
        </w:tabs>
        <w:rPr>
          <w:rFonts w:ascii="宋体" w:hAnsi="宋体" w:eastAsia="宋体"/>
          <w:color w:val="auto"/>
          <w:highlight w:val="none"/>
        </w:rPr>
      </w:pPr>
      <w:r>
        <w:rPr>
          <w:rFonts w:ascii="宋体" w:hAnsi="宋体" w:eastAsia="宋体"/>
          <w:bCs/>
          <w:color w:val="auto"/>
          <w:szCs w:val="21"/>
          <w:highlight w:val="none"/>
        </w:rPr>
        <w:fldChar w:fldCharType="end"/>
      </w:r>
      <w:r>
        <w:rPr>
          <w:color w:val="auto"/>
          <w:highlight w:val="none"/>
        </w:rPr>
      </w:r>
      <w:r/>
    </w:p>
    <w:p>
      <w:pPr>
        <w:jc w:val="left"/>
        <w:spacing w:line="360" w:lineRule="auto"/>
        <w:widowControl/>
        <w:rPr>
          <w:rFonts w:ascii="宋体" w:hAnsi="宋体" w:eastAsia="宋体"/>
          <w:color w:val="auto"/>
          <w:highlight w:val="none"/>
        </w:rPr>
      </w:pPr>
      <w:r>
        <w:rPr>
          <w:rFonts w:ascii="宋体" w:hAnsi="宋体" w:eastAsia="宋体"/>
          <w:color w:val="auto"/>
          <w:highlight w:val="none"/>
        </w:rPr>
        <w:br w:type="page" w:clear="all"/>
      </w:r>
      <w:r>
        <w:rPr>
          <w:color w:val="auto"/>
          <w:highlight w:val="none"/>
        </w:rPr>
      </w:r>
      <w:r/>
    </w:p>
    <w:p>
      <w:pPr>
        <w:jc w:val="left"/>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pStyle w:val="897"/>
        <w:jc w:val="center"/>
        <w:spacing w:line="360" w:lineRule="auto"/>
        <w:rPr>
          <w:rFonts w:ascii="宋体" w:hAnsi="宋体" w:eastAsia="宋体"/>
          <w:color w:val="auto"/>
          <w:sz w:val="52"/>
          <w:highlight w:val="none"/>
        </w:rPr>
      </w:pPr>
      <w:r>
        <w:rPr>
          <w:color w:val="auto"/>
          <w:highlight w:val="none"/>
        </w:rPr>
      </w:r>
      <w:bookmarkStart w:id="0" w:name="_Toc26313"/>
      <w:r>
        <w:rPr>
          <w:rFonts w:hint="eastAsia" w:ascii="宋体" w:hAnsi="宋体" w:eastAsia="宋体"/>
          <w:color w:val="auto"/>
          <w:sz w:val="52"/>
          <w:highlight w:val="none"/>
        </w:rPr>
        <w:t xml:space="preserve">第一章 磋商邀请函</w:t>
      </w:r>
      <w:bookmarkEnd w:id="0"/>
      <w:r>
        <w:rPr>
          <w:color w:val="auto"/>
          <w:highlight w:val="none"/>
        </w:rPr>
      </w:r>
      <w:r/>
    </w:p>
    <w:p>
      <w:pPr>
        <w:spacing w:line="360" w:lineRule="auto"/>
        <w:rPr>
          <w:rFonts w:ascii="宋体" w:hAnsi="宋体" w:eastAsia="宋体"/>
          <w:color w:val="auto"/>
          <w:sz w:val="21"/>
          <w:szCs w:val="21"/>
          <w:highlight w:val="none"/>
          <w:u w:val="single"/>
        </w:rPr>
      </w:pPr>
      <w:r>
        <w:rPr>
          <w:rFonts w:ascii="宋体" w:hAnsi="宋体" w:eastAsia="宋体"/>
          <w:color w:val="auto"/>
          <w:highlight w:val="none"/>
        </w:rPr>
        <w:br w:type="page" w:clear="all"/>
      </w:r>
      <w:r>
        <w:rPr>
          <w:color w:val="auto"/>
          <w:highlight w:val="none"/>
        </w:rPr>
      </w:r>
      <w:r/>
    </w:p>
    <w:p>
      <w:pPr>
        <w:ind w:firstLine="420"/>
        <w:spacing w:line="360" w:lineRule="auto"/>
        <w:rPr>
          <w:rFonts w:ascii="宋体" w:hAnsi="宋体" w:eastAsia="宋体"/>
          <w:color w:val="auto"/>
          <w:sz w:val="21"/>
          <w:szCs w:val="21"/>
          <w:highlight w:val="none"/>
        </w:rPr>
        <w:pBdr>
          <w:top w:val="single" w:color="000000" w:sz="4" w:space="1"/>
          <w:left w:val="single" w:color="000000" w:sz="4" w:space="4"/>
          <w:bottom w:val="single" w:color="000000" w:sz="4" w:space="1"/>
          <w:right w:val="single" w:color="000000" w:sz="4" w:space="4"/>
        </w:pBdr>
      </w:pPr>
      <w:r>
        <w:rPr>
          <w:color w:val="auto"/>
          <w:highlight w:val="none"/>
        </w:rPr>
      </w:r>
      <w:bookmarkStart w:id="1" w:name="_Toc28359012"/>
      <w:r>
        <w:rPr>
          <w:color w:val="auto"/>
          <w:highlight w:val="none"/>
        </w:rPr>
      </w:r>
      <w:bookmarkStart w:id="2" w:name="_Toc35393629"/>
      <w:r>
        <w:rPr>
          <w:color w:val="auto"/>
          <w:highlight w:val="none"/>
        </w:rPr>
      </w:r>
      <w:bookmarkStart w:id="3" w:name="_Toc28359089"/>
      <w:r>
        <w:rPr>
          <w:color w:val="auto"/>
          <w:highlight w:val="none"/>
        </w:rPr>
      </w:r>
      <w:bookmarkStart w:id="4" w:name="_Toc35393798"/>
      <w:r>
        <w:rPr>
          <w:rFonts w:hint="eastAsia" w:ascii="宋体" w:hAnsi="宋体" w:eastAsia="宋体"/>
          <w:color w:val="auto"/>
          <w:sz w:val="21"/>
          <w:szCs w:val="21"/>
          <w:highlight w:val="none"/>
        </w:rPr>
        <w:t xml:space="preserve">项目概况</w:t>
      </w:r>
      <w:r>
        <w:rPr>
          <w:color w:val="auto"/>
          <w:highlight w:val="none"/>
        </w:rPr>
      </w:r>
      <w:r/>
    </w:p>
    <w:p>
      <w:pPr>
        <w:ind w:firstLine="420"/>
        <w:spacing w:line="360" w:lineRule="auto"/>
        <w:rPr>
          <w:rFonts w:ascii="宋体" w:hAnsi="宋体" w:eastAsia="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1"/>
          <w:szCs w:val="21"/>
          <w:highlight w:val="none"/>
          <w:u w:val="single"/>
        </w:rPr>
        <w:t xml:space="preserve">望亭中学基础教育内涵建设项目</w:t>
      </w:r>
      <w:r>
        <w:rPr>
          <w:rFonts w:hint="eastAsia" w:ascii="宋体" w:hAnsi="宋体" w:eastAsia="宋体"/>
          <w:color w:val="auto"/>
          <w:sz w:val="21"/>
          <w:szCs w:val="21"/>
          <w:highlight w:val="none"/>
        </w:rPr>
        <w:t xml:space="preserve">采购项目的潜在供应商应在</w:t>
      </w:r>
      <w:r>
        <w:rPr>
          <w:rFonts w:hint="eastAsia" w:ascii="宋体" w:hAnsi="宋体" w:eastAsia="宋体"/>
          <w:color w:val="auto"/>
          <w:sz w:val="21"/>
          <w:szCs w:val="21"/>
          <w:highlight w:val="none"/>
          <w:u w:val="single"/>
        </w:rPr>
        <w:t xml:space="preserve">“苏采云”系统（网址：http://jszfcg.jsczt.cn/）获取采购文件，并于</w:t>
      </w:r>
      <w:r>
        <w:rPr>
          <w:rFonts w:hint="eastAsia" w:ascii="宋体" w:hAnsi="宋体" w:eastAsia="宋体"/>
          <w:bCs/>
          <w:color w:val="auto"/>
          <w:sz w:val="21"/>
          <w:szCs w:val="21"/>
          <w:highlight w:val="none"/>
          <w:u w:val="single"/>
        </w:rPr>
        <w:t xml:space="preserve">2026年</w:t>
      </w:r>
      <w:r>
        <w:rPr>
          <w:rFonts w:hint="eastAsia" w:ascii="宋体" w:hAnsi="宋体" w:eastAsia="宋体"/>
          <w:bCs/>
          <w:color w:val="auto"/>
          <w:sz w:val="21"/>
          <w:szCs w:val="21"/>
          <w:highlight w:val="none"/>
          <w:u w:val="single"/>
          <w:lang w:val="en-US" w:eastAsia="zh-CN"/>
        </w:rPr>
        <w:t xml:space="preserve">7</w:t>
      </w:r>
      <w:r>
        <w:rPr>
          <w:rFonts w:hint="eastAsia" w:ascii="宋体" w:hAnsi="宋体" w:eastAsia="宋体"/>
          <w:bCs/>
          <w:color w:val="auto"/>
          <w:sz w:val="21"/>
          <w:szCs w:val="21"/>
          <w:highlight w:val="none"/>
          <w:u w:val="single"/>
        </w:rPr>
        <w:t xml:space="preserve">月</w:t>
      </w:r>
      <w:r>
        <w:rPr>
          <w:rFonts w:hint="eastAsia" w:ascii="宋体" w:hAnsi="宋体" w:eastAsia="宋体"/>
          <w:bCs/>
          <w:color w:val="auto"/>
          <w:sz w:val="21"/>
          <w:szCs w:val="21"/>
          <w:highlight w:val="none"/>
          <w:u w:val="single"/>
          <w:lang w:val="en-US" w:eastAsia="zh-CN"/>
        </w:rPr>
        <w:t xml:space="preserve">13</w:t>
      </w:r>
      <w:r>
        <w:rPr>
          <w:rFonts w:hint="eastAsia" w:ascii="宋体" w:hAnsi="宋体" w:eastAsia="宋体"/>
          <w:bCs/>
          <w:color w:val="auto"/>
          <w:sz w:val="21"/>
          <w:szCs w:val="21"/>
          <w:highlight w:val="none"/>
          <w:u w:val="single"/>
        </w:rPr>
        <w:t xml:space="preserve">日</w:t>
      </w:r>
      <w:r>
        <w:rPr>
          <w:rFonts w:hint="eastAsia" w:ascii="宋体" w:hAnsi="宋体" w:eastAsia="宋体"/>
          <w:bCs/>
          <w:color w:val="auto"/>
          <w:sz w:val="21"/>
          <w:szCs w:val="21"/>
          <w:highlight w:val="none"/>
          <w:u w:val="single"/>
          <w:lang w:val="en-US" w:eastAsia="zh-CN"/>
        </w:rPr>
        <w:t xml:space="preserve">13</w:t>
      </w:r>
      <w:r>
        <w:rPr>
          <w:rFonts w:hint="eastAsia" w:ascii="宋体" w:hAnsi="宋体" w:eastAsia="宋体"/>
          <w:bCs/>
          <w:color w:val="auto"/>
          <w:sz w:val="21"/>
          <w:szCs w:val="21"/>
          <w:highlight w:val="none"/>
          <w:u w:val="single"/>
        </w:rPr>
        <w:t xml:space="preserve">点30分</w:t>
      </w:r>
      <w:r>
        <w:rPr>
          <w:rFonts w:hint="eastAsia" w:ascii="宋体" w:hAnsi="宋体" w:eastAsia="宋体"/>
          <w:bCs/>
          <w:color w:val="auto"/>
          <w:sz w:val="21"/>
          <w:szCs w:val="21"/>
          <w:highlight w:val="none"/>
        </w:rPr>
        <w:t xml:space="preserve">（北京时间）前提交响应文件</w:t>
      </w:r>
      <w:r>
        <w:rPr>
          <w:rFonts w:hint="eastAsia" w:ascii="宋体" w:hAnsi="宋体" w:eastAsia="宋体"/>
          <w:color w:val="auto"/>
          <w:sz w:val="21"/>
          <w:szCs w:val="21"/>
          <w:highlight w:val="none"/>
        </w:rPr>
        <w:t xml:space="preserve">。</w:t>
      </w:r>
      <w:r>
        <w:rPr>
          <w:color w:val="auto"/>
          <w:highlight w:val="none"/>
        </w:rPr>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JSZC-320507-JSZQ-C2026-0005</w:t>
      </w:r>
      <w:r>
        <w:rPr>
          <w:color w:val="auto"/>
          <w:highlight w:val="none"/>
        </w:rPr>
      </w:r>
      <w:r/>
    </w:p>
    <w:p>
      <w:pPr>
        <w:ind w:firstLine="420"/>
        <w:spacing w:line="360" w:lineRule="auto"/>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2.项目名称：望亭中学基础教育内涵建设项目</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3.采购方式：竞争性磋商</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4.预算金额：人民币壹佰伍拾贰万壹仟元（￥：1521000.00）</w:t>
      </w:r>
      <w:bookmarkStart w:id="5" w:name="_Toc28359013"/>
      <w:r>
        <w:rPr>
          <w:color w:val="auto"/>
          <w:highlight w:val="none"/>
        </w:rPr>
      </w:r>
      <w:bookmarkStart w:id="6" w:name="_Toc35393630"/>
      <w:r>
        <w:rPr>
          <w:color w:val="auto"/>
          <w:highlight w:val="none"/>
        </w:rPr>
      </w:r>
      <w:bookmarkStart w:id="7" w:name="_Toc35393799"/>
      <w:r>
        <w:rPr>
          <w:color w:val="auto"/>
          <w:highlight w:val="none"/>
        </w:rPr>
      </w:r>
      <w:bookmarkStart w:id="8" w:name="_Toc28359090"/>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5.最高限价：人民币壹佰伍拾贰万壹仟元（￥：1521000.00）</w:t>
      </w:r>
      <w:r>
        <w:rPr>
          <w:color w:val="auto"/>
          <w:highlight w:val="none"/>
        </w:rPr>
      </w:r>
      <w:r/>
    </w:p>
    <w:p>
      <w:pPr>
        <w:ind w:firstLine="42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6.采购需求：</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望亭中学基础教育内涵建设项目，本次采购为望亭中学基础教育内涵服务采购，项目致力于培养“乡村振兴”未来时代新人。主要包含空间建设、设施设备、教师培训管理、课程开发、学生活动、成果提炼与推广等内容。</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7.合同履行期限：合同签订生效后，45天（日历日）内完成基础设计建设，其他指导服务于合同签订之日起一年内完成。</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8.本项目不接受联合体。</w:t>
      </w:r>
      <w:r>
        <w:rPr>
          <w:color w:val="auto"/>
          <w:highlight w:val="none"/>
        </w:rPr>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二、申请人的资格要求：</w:t>
      </w:r>
      <w:bookmarkEnd w:id="5"/>
      <w:r>
        <w:rPr>
          <w:color w:val="auto"/>
          <w:highlight w:val="none"/>
        </w:rPr>
      </w:r>
      <w:bookmarkEnd w:id="6"/>
      <w:r>
        <w:rPr>
          <w:color w:val="auto"/>
          <w:highlight w:val="none"/>
        </w:rPr>
      </w:r>
      <w:bookmarkEnd w:id="7"/>
      <w:r>
        <w:rPr>
          <w:color w:val="auto"/>
          <w:highlight w:val="none"/>
        </w:rPr>
      </w:r>
      <w:bookmarkEnd w:id="8"/>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1.满足《中华人民共和国政府采购法》第二十二条规定：</w:t>
      </w:r>
      <w:r>
        <w:rPr>
          <w:color w:val="auto"/>
          <w:highlight w:val="none"/>
        </w:rPr>
      </w:r>
      <w:r/>
    </w:p>
    <w:p>
      <w:pPr>
        <w:ind w:firstLine="420"/>
        <w:spacing w:line="360" w:lineRule="auto"/>
        <w:rPr>
          <w:rFonts w:ascii="宋体" w:hAnsi="宋体" w:eastAsia="宋体"/>
          <w:color w:val="auto"/>
          <w:sz w:val="21"/>
          <w:szCs w:val="21"/>
          <w:highlight w:val="none"/>
        </w:rPr>
      </w:pPr>
      <w:r>
        <w:rPr>
          <w:color w:val="auto"/>
          <w:highlight w:val="none"/>
        </w:rPr>
      </w:r>
      <w:bookmarkStart w:id="9" w:name="_Toc28359014"/>
      <w:r>
        <w:rPr>
          <w:color w:val="auto"/>
          <w:highlight w:val="none"/>
        </w:rPr>
      </w:r>
      <w:bookmarkStart w:id="10" w:name="_Toc28359091"/>
      <w:r>
        <w:rPr>
          <w:rFonts w:hint="eastAsia" w:ascii="宋体" w:hAnsi="宋体" w:eastAsia="宋体"/>
          <w:color w:val="auto"/>
          <w:sz w:val="21"/>
          <w:szCs w:val="21"/>
          <w:highlight w:val="none"/>
        </w:rPr>
        <w:t xml:space="preserve">（1）具有独立承担民事责任的能力；</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.落实政府采购政策需满足的资格要求：</w:t>
      </w:r>
      <w:r>
        <w:rPr>
          <w:rFonts w:ascii="宋体" w:hAnsi="宋体" w:eastAsia="宋体" w:cs="宋体"/>
          <w:color w:val="auto"/>
          <w:sz w:val="21"/>
          <w:highlight w:val="none"/>
        </w:rPr>
        <w:t xml:space="preserve">根据《政府采购促进中小企业发展管理办法》的相关规定，本项目专门面向中小企业,所属行业为其他未列明行业,供应商所提供服务的所有承接商应为中小微企业、监狱企业、残疾人福利性单位。</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3.本项目的特定资格要求：</w:t>
      </w:r>
      <w:bookmarkEnd w:id="9"/>
      <w:r>
        <w:rPr>
          <w:color w:val="auto"/>
          <w:highlight w:val="none"/>
        </w:rPr>
      </w:r>
      <w:bookmarkEnd w:id="10"/>
      <w:r>
        <w:rPr>
          <w:color w:val="auto"/>
          <w:highlight w:val="none"/>
        </w:rPr>
      </w:r>
      <w:r/>
    </w:p>
    <w:p>
      <w:pPr>
        <w:ind w:firstLine="420"/>
        <w:spacing w:line="360" w:lineRule="auto"/>
        <w:rPr>
          <w:rFonts w:ascii="宋体" w:hAnsi="宋体" w:eastAsia="宋体"/>
          <w:color w:val="auto"/>
          <w:sz w:val="21"/>
          <w:szCs w:val="21"/>
          <w:highlight w:val="none"/>
        </w:rPr>
      </w:pPr>
      <w:r>
        <w:rPr>
          <w:color w:val="auto"/>
          <w:highlight w:val="none"/>
        </w:rPr>
      </w:r>
      <w:bookmarkStart w:id="11" w:name="_Toc28359001"/>
      <w:r>
        <w:rPr>
          <w:color w:val="auto"/>
          <w:highlight w:val="none"/>
        </w:rPr>
      </w:r>
      <w:bookmarkStart w:id="12" w:name="_Toc35393789"/>
      <w:r>
        <w:rPr>
          <w:color w:val="auto"/>
          <w:highlight w:val="none"/>
        </w:rPr>
      </w:r>
      <w:bookmarkStart w:id="13" w:name="_Toc35393632"/>
      <w:r>
        <w:rPr>
          <w:color w:val="auto"/>
          <w:highlight w:val="none"/>
        </w:rPr>
      </w:r>
      <w:bookmarkStart w:id="14" w:name="_Toc28359092"/>
      <w:r>
        <w:rPr>
          <w:color w:val="auto"/>
          <w:highlight w:val="none"/>
        </w:rPr>
      </w:r>
      <w:bookmarkStart w:id="15" w:name="_Toc35393801"/>
      <w:r>
        <w:rPr>
          <w:color w:val="auto"/>
          <w:highlight w:val="none"/>
        </w:rPr>
      </w:r>
      <w:bookmarkStart w:id="16" w:name="_Toc28359015"/>
      <w:r>
        <w:rPr>
          <w:rFonts w:hint="eastAsia" w:ascii="宋体" w:hAnsi="宋体" w:eastAsia="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（2）法人的分支机构不得参加投标（除银行、保险、石油石化、电力、电信等行业特殊情况外）。</w:t>
      </w:r>
      <w:r>
        <w:rPr>
          <w:color w:val="auto"/>
          <w:highlight w:val="none"/>
        </w:rPr>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三、获取采购文件</w:t>
      </w:r>
      <w:bookmarkEnd w:id="11"/>
      <w:r>
        <w:rPr>
          <w:color w:val="auto"/>
          <w:highlight w:val="none"/>
        </w:rPr>
      </w:r>
      <w:bookmarkEnd w:id="12"/>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1、时间：自公告发布之日起</w:t>
      </w:r>
      <w:r>
        <w:rPr>
          <w:rFonts w:ascii="宋体" w:hAnsi="宋体" w:eastAsia="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个工作日</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2、地点：“苏采云”系统自行下载采购文件</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3、方式：</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（1）CA证书办理</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1"/>
          <w:szCs w:val="21"/>
          <w:highlight w:val="none"/>
        </w:rPr>
        <w:t xml:space="preserve">苏州现场办理地址：苏州高新区邓尉路</w:t>
      </w:r>
      <w:r>
        <w:rPr>
          <w:rFonts w:ascii="宋体" w:hAnsi="宋体" w:eastAsia="宋体" w:cs="宋体"/>
          <w:b/>
          <w:bCs/>
          <w:color w:val="auto"/>
          <w:sz w:val="21"/>
          <w:szCs w:val="21"/>
          <w:highlight w:val="none"/>
        </w:rPr>
        <w:t xml:space="preserve">105</w:t>
      </w:r>
      <w:r>
        <w:rPr>
          <w:rFonts w:hint="eastAsia" w:ascii="宋体" w:hAnsi="宋体" w:eastAsia="宋体" w:cs="宋体"/>
          <w:b/>
          <w:bCs/>
          <w:color w:val="auto"/>
          <w:sz w:val="21"/>
          <w:szCs w:val="21"/>
          <w:highlight w:val="none"/>
        </w:rPr>
        <w:t xml:space="preserve">号狮山科技馆</w:t>
      </w:r>
      <w:r>
        <w:rPr>
          <w:rFonts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rPr>
        <w:t xml:space="preserve">楼服务大厅，咨询电话：</w:t>
      </w:r>
      <w:r>
        <w:rPr>
          <w:rFonts w:ascii="宋体" w:hAnsi="宋体" w:eastAsia="宋体" w:cs="宋体"/>
          <w:b/>
          <w:bCs/>
          <w:color w:val="auto"/>
          <w:sz w:val="21"/>
          <w:szCs w:val="21"/>
          <w:highlight w:val="none"/>
        </w:rPr>
        <w:t xml:space="preserve">0512-65737699</w:t>
      </w:r>
      <w:r>
        <w:rPr>
          <w:rFonts w:hint="eastAsia" w:ascii="宋体" w:hAnsi="宋体" w:eastAsia="宋体" w:cs="宋体"/>
          <w:b/>
          <w:bCs/>
          <w:color w:val="auto"/>
          <w:sz w:val="21"/>
          <w:szCs w:val="21"/>
          <w:highlight w:val="none"/>
        </w:rPr>
        <w:t xml:space="preserve">。</w:t>
      </w:r>
      <w:r>
        <w:rPr>
          <w:color w:val="auto"/>
          <w:highlight w:val="none"/>
        </w:rPr>
      </w:r>
      <w:r/>
    </w:p>
    <w:p>
      <w:pPr>
        <w:pStyle w:val="913"/>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（2）参与采购活动</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（3）电子投标准备</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color w:val="auto"/>
          <w:sz w:val="21"/>
          <w:szCs w:val="21"/>
          <w:highlight w:val="none"/>
        </w:rPr>
        <w:t xml:space="preserve">（具体详见《苏采云系统供应商操作手册》，网址链接</w:t>
      </w:r>
      <w:r>
        <w:rPr>
          <w:rFonts w:ascii="宋体" w:hAnsi="宋体" w:eastAsia="宋体"/>
          <w:b/>
          <w:color w:val="auto"/>
          <w:sz w:val="21"/>
          <w:szCs w:val="21"/>
          <w:highlight w:val="none"/>
        </w:rPr>
        <w:t xml:space="preserve">https://czju.suzhou.gov.cn/zfcg/html/content/20231220161910031.shtml</w:t>
      </w:r>
      <w:r>
        <w:rPr>
          <w:rFonts w:hint="eastAsia" w:ascii="宋体" w:hAnsi="宋体" w:eastAsia="宋体"/>
          <w:b/>
          <w:color w:val="auto"/>
          <w:sz w:val="21"/>
          <w:szCs w:val="21"/>
          <w:highlight w:val="none"/>
        </w:rPr>
        <w:t xml:space="preserve">）</w:t>
      </w:r>
      <w:r>
        <w:rPr>
          <w:rFonts w:hint="eastAsia" w:ascii="宋体" w:hAnsi="宋体" w:eastAsia="宋体"/>
          <w:color w:val="auto"/>
          <w:sz w:val="21"/>
          <w:szCs w:val="21"/>
          <w:highlight w:val="none"/>
        </w:rPr>
        <w:t xml:space="preserve">。</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在系统操作过程中如有疑问，请按以下方式联系：</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注册咨询：</w:t>
      </w:r>
      <w:r>
        <w:rPr>
          <w:rFonts w:ascii="宋体" w:hAnsi="宋体" w:eastAsia="宋体"/>
          <w:color w:val="auto"/>
          <w:sz w:val="21"/>
          <w:szCs w:val="21"/>
          <w:highlight w:val="none"/>
        </w:rPr>
        <w:t xml:space="preserve">13914088964</w:t>
      </w:r>
      <w:r>
        <w:rPr>
          <w:rFonts w:hint="eastAsia" w:ascii="宋体" w:hAnsi="宋体" w:eastAsia="宋体"/>
          <w:color w:val="auto"/>
          <w:sz w:val="21"/>
          <w:szCs w:val="21"/>
          <w:highlight w:val="none"/>
        </w:rPr>
        <w:t xml:space="preserve">；</w:t>
      </w:r>
      <w:r>
        <w:rPr>
          <w:color w:val="auto"/>
          <w:highlight w:val="none"/>
        </w:rPr>
      </w:r>
      <w:r/>
    </w:p>
    <w:p>
      <w:pPr>
        <w:pStyle w:val="91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CA</w:t>
      </w:r>
      <w:r>
        <w:rPr>
          <w:rFonts w:hint="eastAsia" w:ascii="宋体" w:hAnsi="宋体" w:eastAsia="宋体"/>
          <w:color w:val="auto"/>
          <w:sz w:val="21"/>
          <w:szCs w:val="21"/>
          <w:highlight w:val="none"/>
        </w:rPr>
        <w:t xml:space="preserve">技术咨询电话：</w:t>
      </w:r>
      <w:r>
        <w:rPr>
          <w:rFonts w:ascii="宋体" w:hAnsi="宋体" w:eastAsia="宋体"/>
          <w:color w:val="auto"/>
          <w:sz w:val="21"/>
          <w:szCs w:val="21"/>
          <w:highlight w:val="none"/>
        </w:rPr>
        <w:t xml:space="preserve">400-608-6099</w:t>
      </w:r>
      <w:r>
        <w:rPr>
          <w:rFonts w:hint="eastAsia" w:ascii="宋体" w:hAnsi="宋体" w:eastAsia="宋体"/>
          <w:color w:val="auto"/>
          <w:sz w:val="21"/>
          <w:szCs w:val="21"/>
          <w:highlight w:val="none"/>
        </w:rPr>
        <w:t xml:space="preserve">；</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签章使用问题：</w:t>
      </w:r>
      <w:r>
        <w:rPr>
          <w:rFonts w:ascii="宋体" w:hAnsi="宋体" w:eastAsia="宋体"/>
          <w:color w:val="auto"/>
          <w:sz w:val="21"/>
          <w:szCs w:val="21"/>
          <w:highlight w:val="none"/>
        </w:rPr>
        <w:t xml:space="preserve">025-83633811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025-83633812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15380932027</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15371015030</w:t>
      </w:r>
      <w:r>
        <w:rPr>
          <w:rFonts w:hint="eastAsia" w:ascii="宋体" w:hAnsi="宋体" w:eastAsia="宋体"/>
          <w:color w:val="auto"/>
          <w:sz w:val="21"/>
          <w:szCs w:val="21"/>
          <w:highlight w:val="none"/>
        </w:rPr>
        <w:t xml:space="preserve">；</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系统使用指导与咨询：联系电话：13914088964、</w:t>
      </w:r>
      <w:r>
        <w:rPr>
          <w:rFonts w:ascii="宋体" w:hAnsi="宋体" w:eastAsia="宋体"/>
          <w:color w:val="auto"/>
          <w:sz w:val="21"/>
          <w:szCs w:val="21"/>
          <w:highlight w:val="none"/>
        </w:rPr>
        <w:t xml:space="preserve">0512-69820854</w:t>
      </w:r>
      <w:r>
        <w:rPr>
          <w:rFonts w:hint="eastAsia" w:ascii="宋体" w:hAnsi="宋体" w:eastAsia="宋体"/>
          <w:color w:val="auto"/>
          <w:sz w:val="21"/>
          <w:szCs w:val="21"/>
          <w:highlight w:val="none"/>
        </w:rPr>
        <w:t xml:space="preserve">；智能客服：登录苏采云系统后，联系系统右下方智能客服图标进行咨询。</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4、售价：免费</w:t>
      </w:r>
      <w:r>
        <w:rPr>
          <w:color w:val="auto"/>
          <w:highlight w:val="none"/>
        </w:rPr>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四、响应文件提交</w:t>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r/>
    </w:p>
    <w:p>
      <w:pPr>
        <w:pStyle w:val="913"/>
        <w:spacing w:line="360" w:lineRule="auto"/>
        <w:rPr>
          <w:rFonts w:ascii="宋体" w:hAnsi="宋体" w:eastAsia="宋体" w:cs="宋体"/>
          <w:bCs/>
          <w:color w:val="auto"/>
          <w:sz w:val="21"/>
          <w:szCs w:val="21"/>
          <w:highlight w:val="none"/>
        </w:rPr>
      </w:pPr>
      <w:r>
        <w:rPr>
          <w:color w:val="auto"/>
          <w:highlight w:val="none"/>
        </w:rPr>
      </w:r>
      <w:bookmarkStart w:id="17" w:name="_Toc35393633"/>
      <w:r>
        <w:rPr>
          <w:color w:val="auto"/>
          <w:highlight w:val="none"/>
        </w:rPr>
      </w:r>
      <w:bookmarkStart w:id="18" w:name="_Toc35393802"/>
      <w:r>
        <w:rPr>
          <w:color w:val="auto"/>
          <w:highlight w:val="none"/>
        </w:rPr>
      </w:r>
      <w:bookmarkStart w:id="19" w:name="_Toc28359016"/>
      <w:r>
        <w:rPr>
          <w:color w:val="auto"/>
          <w:highlight w:val="none"/>
        </w:rPr>
      </w:r>
      <w:bookmarkStart w:id="20" w:name="_Toc28359093"/>
      <w:r>
        <w:rPr>
          <w:rFonts w:hint="eastAsia" w:ascii="宋体" w:hAnsi="宋体" w:eastAsia="宋体" w:cs="宋体"/>
          <w:bCs/>
          <w:color w:val="auto"/>
          <w:sz w:val="21"/>
          <w:szCs w:val="21"/>
          <w:highlight w:val="none"/>
        </w:rPr>
        <w:t xml:space="preserve">1、递交响应文件截止时间：</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lang w:val="en-US" w:eastAsia="zh-CN"/>
        </w:rPr>
        <w:t xml:space="preserve">13</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13</w:t>
      </w:r>
      <w:r>
        <w:rPr>
          <w:rFonts w:hint="eastAsia" w:ascii="宋体" w:hAnsi="宋体" w:eastAsia="宋体" w:cs="宋体"/>
          <w:bCs/>
          <w:color w:val="auto"/>
          <w:sz w:val="21"/>
          <w:szCs w:val="21"/>
          <w:highlight w:val="none"/>
          <w:u w:val="single"/>
        </w:rPr>
        <w:t xml:space="preserve">点30分</w:t>
      </w:r>
      <w:r>
        <w:rPr>
          <w:rFonts w:hint="eastAsia" w:ascii="宋体" w:hAnsi="宋体" w:eastAsia="宋体" w:cs="宋体"/>
          <w:bCs/>
          <w:color w:val="auto"/>
          <w:sz w:val="21"/>
          <w:szCs w:val="21"/>
          <w:highlight w:val="none"/>
        </w:rPr>
        <w:t xml:space="preserve">（北京时间）；</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2、地点：</w:t>
      </w:r>
      <w:r>
        <w:rPr>
          <w:rFonts w:hint="eastAsia" w:ascii="宋体" w:hAnsi="宋体" w:eastAsia="宋体" w:cs="宋体"/>
          <w:b/>
          <w:bCs/>
          <w:color w:val="auto"/>
          <w:sz w:val="21"/>
          <w:szCs w:val="21"/>
          <w:highlight w:val="none"/>
        </w:rPr>
        <w:t xml:space="preserve">“苏采云”系统（网址：http://jszfcg.jsczt.cn/）</w:t>
      </w:r>
      <w:r>
        <w:rPr>
          <w:rFonts w:hint="eastAsia" w:ascii="宋体" w:hAnsi="宋体" w:eastAsia="宋体" w:cs="宋体"/>
          <w:bCs/>
          <w:color w:val="auto"/>
          <w:sz w:val="21"/>
          <w:szCs w:val="21"/>
          <w:highlight w:val="none"/>
        </w:rPr>
        <w:t xml:space="preserve">。响应文件网上递交，不需要现场参加采购活动，无需提供纸质响应文件。</w:t>
      </w:r>
      <w:r>
        <w:rPr>
          <w:color w:val="auto"/>
          <w:highlight w:val="none"/>
        </w:rPr>
      </w:r>
      <w:r/>
    </w:p>
    <w:p>
      <w:pPr>
        <w:pStyle w:val="913"/>
        <w:spacing w:line="360" w:lineRule="auto"/>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五、开启</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r/>
    </w:p>
    <w:p>
      <w:pPr>
        <w:pStyle w:val="913"/>
        <w:spacing w:line="360" w:lineRule="auto"/>
        <w:rPr>
          <w:rFonts w:ascii="宋体" w:hAnsi="宋体" w:eastAsia="宋体" w:cs="宋体"/>
          <w:bCs/>
          <w:color w:val="auto"/>
          <w:sz w:val="21"/>
          <w:szCs w:val="21"/>
          <w:highlight w:val="none"/>
        </w:rPr>
      </w:pPr>
      <w:r>
        <w:rPr>
          <w:color w:val="auto"/>
          <w:highlight w:val="none"/>
        </w:rPr>
      </w:r>
      <w:bookmarkStart w:id="21" w:name="_Toc35393634"/>
      <w:r>
        <w:rPr>
          <w:color w:val="auto"/>
          <w:highlight w:val="none"/>
        </w:rPr>
      </w:r>
      <w:bookmarkStart w:id="22" w:name="_Toc28359017"/>
      <w:r>
        <w:rPr>
          <w:color w:val="auto"/>
          <w:highlight w:val="none"/>
        </w:rPr>
      </w:r>
      <w:bookmarkStart w:id="23" w:name="_Toc28359094"/>
      <w:r>
        <w:rPr>
          <w:color w:val="auto"/>
          <w:highlight w:val="none"/>
        </w:rPr>
      </w:r>
      <w:bookmarkStart w:id="24" w:name="_Toc35393803"/>
      <w:r>
        <w:rPr>
          <w:rFonts w:hint="eastAsia" w:ascii="宋体" w:hAnsi="宋体" w:eastAsia="宋体" w:cs="宋体"/>
          <w:bCs/>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2026年</w:t>
      </w:r>
      <w:r>
        <w:rPr>
          <w:rFonts w:hint="eastAsia" w:ascii="宋体" w:hAnsi="宋体" w:eastAsia="宋体"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月</w:t>
      </w:r>
      <w:r>
        <w:rPr>
          <w:rFonts w:hint="eastAsia" w:ascii="宋体" w:hAnsi="宋体" w:eastAsia="宋体" w:cs="宋体"/>
          <w:bCs/>
          <w:color w:val="auto"/>
          <w:sz w:val="21"/>
          <w:szCs w:val="21"/>
          <w:highlight w:val="none"/>
          <w:u w:val="single"/>
          <w:lang w:val="en-US" w:eastAsia="zh-CN"/>
        </w:rPr>
        <w:t xml:space="preserve">13</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13</w:t>
      </w:r>
      <w:r>
        <w:rPr>
          <w:rFonts w:hint="eastAsia" w:ascii="宋体" w:hAnsi="宋体" w:eastAsia="宋体" w:cs="宋体"/>
          <w:bCs/>
          <w:color w:val="auto"/>
          <w:sz w:val="21"/>
          <w:szCs w:val="21"/>
          <w:highlight w:val="none"/>
          <w:u w:val="single"/>
        </w:rPr>
        <w:t xml:space="preserve">点30分</w:t>
      </w:r>
      <w:r>
        <w:rPr>
          <w:rFonts w:hint="eastAsia" w:ascii="宋体" w:hAnsi="宋体" w:eastAsia="宋体" w:cs="宋体"/>
          <w:bCs/>
          <w:color w:val="auto"/>
          <w:sz w:val="21"/>
          <w:szCs w:val="21"/>
          <w:highlight w:val="none"/>
        </w:rPr>
        <w:t xml:space="preserve">（北京时间）；</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2、地点：“苏采云”系统（网址：http://jszfcg.jsczt.cn/）</w:t>
      </w:r>
      <w:r>
        <w:rPr>
          <w:color w:val="auto"/>
          <w:highlight w:val="none"/>
        </w:rPr>
      </w:r>
      <w:r/>
    </w:p>
    <w:p>
      <w:pPr>
        <w:pStyle w:val="913"/>
        <w:spacing w:line="360" w:lineRule="auto"/>
        <w:rPr>
          <w:rFonts w:ascii="宋体" w:hAnsi="宋体" w:eastAsia="宋体"/>
          <w:b/>
          <w:color w:val="auto"/>
          <w:sz w:val="21"/>
          <w:szCs w:val="21"/>
          <w:highlight w:val="none"/>
        </w:rPr>
      </w:pPr>
      <w:r>
        <w:rPr>
          <w:rFonts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本项目为不见面磋商项目，</w:t>
      </w:r>
      <w:r>
        <w:rPr>
          <w:rFonts w:hint="eastAsia" w:ascii="宋体" w:hAnsi="宋体" w:eastAsia="宋体"/>
          <w:b/>
          <w:color w:val="auto"/>
          <w:sz w:val="21"/>
          <w:szCs w:val="21"/>
          <w:highlight w:val="none"/>
        </w:rPr>
        <w:t xml:space="preserve">开启阶段供应商在【供应商解密】环节必须使用 CA证书解密电子响应文件，如在系统规定的解密时间(响应文件提交截止时间后30分钟)内未能完成解密的视为放弃参与本项目。</w:t>
      </w:r>
      <w:r>
        <w:rPr>
          <w:color w:val="auto"/>
          <w:highlight w:val="none"/>
        </w:rPr>
      </w:r>
      <w:r/>
    </w:p>
    <w:p>
      <w:pPr>
        <w:pStyle w:val="91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请供应商确保电脑、系统及其他设备（视频输入输出设备等）无误，且开启直至项目结束始终保持系统在线状态。</w:t>
      </w:r>
      <w:r>
        <w:rPr>
          <w:color w:val="auto"/>
          <w:highlight w:val="none"/>
        </w:rPr>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六、公告期限</w:t>
      </w:r>
      <w:bookmarkEnd w:id="21"/>
      <w:r>
        <w:rPr>
          <w:color w:val="auto"/>
          <w:highlight w:val="none"/>
        </w:rPr>
      </w:r>
      <w:bookmarkEnd w:id="22"/>
      <w:r>
        <w:rPr>
          <w:color w:val="auto"/>
          <w:highlight w:val="none"/>
        </w:rPr>
      </w:r>
      <w:bookmarkEnd w:id="23"/>
      <w:r>
        <w:rPr>
          <w:color w:val="auto"/>
          <w:highlight w:val="none"/>
        </w:rPr>
      </w:r>
      <w:bookmarkEnd w:id="24"/>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rPr>
          <w:color w:val="auto"/>
          <w:highlight w:val="none"/>
        </w:rPr>
      </w:r>
      <w:r/>
    </w:p>
    <w:p>
      <w:pPr>
        <w:spacing w:line="360" w:lineRule="auto"/>
        <w:rPr>
          <w:rFonts w:ascii="宋体" w:hAnsi="宋体" w:eastAsia="宋体" w:cs="宋体"/>
          <w:b/>
          <w:color w:val="auto"/>
          <w:sz w:val="21"/>
          <w:szCs w:val="21"/>
          <w:highlight w:val="none"/>
        </w:rPr>
      </w:pPr>
      <w:r>
        <w:rPr>
          <w:color w:val="auto"/>
          <w:highlight w:val="none"/>
        </w:rPr>
      </w:r>
      <w:bookmarkStart w:id="25" w:name="_Toc35393635"/>
      <w:r>
        <w:rPr>
          <w:color w:val="auto"/>
          <w:highlight w:val="none"/>
        </w:rPr>
      </w:r>
      <w:bookmarkStart w:id="26" w:name="_Toc35393804"/>
      <w:r>
        <w:rPr>
          <w:rFonts w:hint="eastAsia" w:ascii="宋体" w:hAnsi="宋体" w:eastAsia="宋体" w:cs="宋体"/>
          <w:b/>
          <w:color w:val="auto"/>
          <w:sz w:val="21"/>
          <w:szCs w:val="21"/>
          <w:highlight w:val="none"/>
        </w:rPr>
        <w:t xml:space="preserve">七、其他补充事宜</w:t>
      </w:r>
      <w:bookmarkEnd w:id="25"/>
      <w:r>
        <w:rPr>
          <w:color w:val="auto"/>
          <w:highlight w:val="none"/>
        </w:rPr>
      </w:r>
      <w:bookmarkEnd w:id="26"/>
      <w:r>
        <w:rPr>
          <w:color w:val="auto"/>
          <w:highlight w:val="none"/>
        </w:rPr>
      </w:r>
      <w:r/>
    </w:p>
    <w:p>
      <w:pPr>
        <w:ind w:firstLine="420"/>
        <w:spacing w:line="360" w:lineRule="auto"/>
        <w:rPr>
          <w:rFonts w:ascii="宋体" w:hAnsi="宋体" w:eastAsia="宋体" w:cs="宋体"/>
          <w:color w:val="auto"/>
          <w:sz w:val="21"/>
          <w:szCs w:val="21"/>
          <w:highlight w:val="none"/>
        </w:rPr>
      </w:pPr>
      <w:r>
        <w:rPr>
          <w:color w:val="auto"/>
          <w:highlight w:val="none"/>
        </w:rPr>
      </w:r>
      <w:bookmarkStart w:id="27" w:name="_Toc28359018"/>
      <w:r>
        <w:rPr>
          <w:color w:val="auto"/>
          <w:highlight w:val="none"/>
        </w:rPr>
      </w:r>
      <w:bookmarkStart w:id="28" w:name="_Toc35393636"/>
      <w:r>
        <w:rPr>
          <w:color w:val="auto"/>
          <w:highlight w:val="none"/>
        </w:rPr>
      </w:r>
      <w:bookmarkStart w:id="29" w:name="_Toc35393805"/>
      <w:r>
        <w:rPr>
          <w:color w:val="auto"/>
          <w:highlight w:val="none"/>
        </w:rPr>
      </w:r>
      <w:bookmarkStart w:id="30" w:name="_Toc28359095"/>
      <w:r>
        <w:rPr>
          <w:rFonts w:hint="eastAsia" w:ascii="宋体" w:hAnsi="宋体" w:eastAsia="宋体" w:cs="宋体"/>
          <w:color w:val="auto"/>
          <w:sz w:val="21"/>
          <w:szCs w:val="21"/>
          <w:highlight w:val="none"/>
        </w:rPr>
        <w:t xml:space="preserve">1.本项目获取采购文件截止日期之后仍可以下载采购文件，但截止日期之后下载的采购文件，视为非有效方式且不作为供应商权益受到损害的证明材料和依据。</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2.本次采购的有关信息将同时在苏州市政府采购网、江苏政府采购网上发布，敬请留意。</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政府采购监督管理部门监督电话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0512-67591005、0512-67591006</w:t>
      </w:r>
      <w:r>
        <w:rPr>
          <w:rFonts w:hint="eastAsia" w:ascii="宋体" w:hAnsi="宋体" w:eastAsia="宋体" w:cs="宋体"/>
          <w:color w:val="auto"/>
          <w:sz w:val="21"/>
          <w:szCs w:val="21"/>
          <w:highlight w:val="none"/>
        </w:rPr>
        <w:t xml:space="preserve">。</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4.本项目支持政府采购合同信用融资。</w:t>
      </w:r>
      <w:r>
        <w:rPr>
          <w:color w:val="auto"/>
          <w:highlight w:val="none"/>
        </w:rPr>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八、凡对本次采购提出询问，请按</w:t>
      </w:r>
      <w:r>
        <w:rPr>
          <w:rFonts w:ascii="宋体" w:hAnsi="宋体" w:eastAsia="宋体" w:cs="宋体"/>
          <w:b/>
          <w:color w:val="auto"/>
          <w:sz w:val="21"/>
          <w:szCs w:val="21"/>
          <w:highlight w:val="none"/>
        </w:rPr>
        <w:t xml:space="preserve">以下方式</w:t>
      </w:r>
      <w:r>
        <w:rPr>
          <w:rFonts w:hint="eastAsia" w:ascii="宋体" w:hAnsi="宋体" w:eastAsia="宋体" w:cs="宋体"/>
          <w:b/>
          <w:color w:val="auto"/>
          <w:sz w:val="21"/>
          <w:szCs w:val="21"/>
          <w:highlight w:val="none"/>
        </w:rPr>
        <w:t xml:space="preserve">联系。</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color w:val="auto"/>
          <w:highlight w:val="none"/>
        </w:rPr>
      </w:r>
      <w:bookmarkStart w:id="31" w:name="_Toc28358998"/>
      <w:r>
        <w:rPr>
          <w:color w:val="auto"/>
          <w:highlight w:val="none"/>
        </w:rPr>
      </w:r>
      <w:bookmarkStart w:id="32" w:name="_Toc35393786"/>
      <w:r>
        <w:rPr>
          <w:color w:val="auto"/>
          <w:highlight w:val="none"/>
        </w:rPr>
      </w:r>
      <w:bookmarkStart w:id="33" w:name="_Toc35393617"/>
      <w:r>
        <w:rPr>
          <w:color w:val="auto"/>
          <w:highlight w:val="none"/>
        </w:rPr>
      </w:r>
      <w:bookmarkStart w:id="34" w:name="_Toc28359075"/>
      <w:r>
        <w:rPr>
          <w:rFonts w:hint="eastAsia" w:ascii="宋体" w:hAnsi="宋体" w:eastAsia="宋体" w:cs="宋体"/>
          <w:color w:val="auto"/>
          <w:sz w:val="21"/>
          <w:szCs w:val="21"/>
          <w:highlight w:val="none"/>
        </w:rPr>
        <w:t xml:space="preserve">1.采购人信息</w:t>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称：苏州市相城区望亭中学</w:t>
      </w:r>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olor w:val="auto"/>
          <w:sz w:val="21"/>
          <w:szCs w:val="21"/>
          <w:highlight w:val="none"/>
        </w:rPr>
        <w:t xml:space="preserve">‌苏州市相城区鹤溪路526号</w:t>
      </w:r>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人：张馨介</w:t>
      </w:r>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rPr>
        <w:t xml:space="preserve">13862101063</w:t>
      </w:r>
      <w:r>
        <w:rPr>
          <w:rFonts w:hint="eastAsia" w:ascii="宋体" w:hAnsi="宋体" w:eastAsia="宋体" w:cs="宋体"/>
          <w:color w:val="auto"/>
          <w:sz w:val="21"/>
          <w:szCs w:val="21"/>
          <w:highlight w:val="none"/>
        </w:rPr>
      </w:r>
      <w:r/>
      <w:r>
        <w:rPr>
          <w:rFonts w:hint="eastAsia" w:ascii="宋体" w:hAnsi="宋体" w:eastAsia="宋体" w:cs="宋体"/>
          <w:color w:val="auto"/>
          <w:sz w:val="21"/>
          <w:szCs w:val="21"/>
          <w:highlight w:val="none"/>
        </w:rPr>
      </w:r>
      <w:bookmarkEnd w:id="0"/>
      <w:r>
        <w:rPr>
          <w:color w:val="auto"/>
          <w:highlight w:val="none"/>
        </w:rPr>
      </w:r>
      <w:bookmarkEnd w:id="0"/>
      <w:r>
        <w:rPr>
          <w:color w:val="auto"/>
          <w:highlight w:val="none"/>
        </w:rPr>
      </w:r>
      <w:bookmarkEnd w:id="0"/>
      <w:r>
        <w:rPr>
          <w:color w:val="auto"/>
          <w:highlight w:val="none"/>
        </w:rPr>
      </w:r>
      <w:bookmarkEnd w:id="0"/>
      <w:r/>
      <w:r>
        <w:rPr>
          <w:rFonts w:hint="eastAsia" w:ascii="宋体" w:hAnsi="宋体" w:eastAsia="宋体" w:cs="宋体"/>
          <w:color w:val="auto"/>
          <w:sz w:val="21"/>
          <w:szCs w:val="21"/>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称：江苏正琦工程咨询有限公司</w:t>
      </w:r>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址：苏州市相城区月星环球港写字楼1812室</w:t>
      </w:r>
      <w:r>
        <w:rPr>
          <w:color w:val="auto"/>
          <w:highlight w:val="none"/>
        </w:rPr>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联系方式：0512-66836556</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rPr>
          <w:color w:val="auto"/>
          <w:highlight w:val="none"/>
        </w:rPr>
      </w:r>
      <w:r/>
    </w:p>
    <w:p>
      <w:pPr>
        <w:ind w:firstLine="420"/>
        <w:spacing w:line="360" w:lineRule="auto"/>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rPr>
        <w:t xml:space="preserve">吴晴叶、储海童</w:t>
      </w:r>
      <w:r>
        <w:rPr>
          <w:color w:val="auto"/>
          <w:highlight w:val="none"/>
        </w:rPr>
      </w:r>
      <w:r/>
    </w:p>
    <w:p>
      <w:pPr>
        <w:ind w:firstLine="420"/>
        <w:jc w:val="left"/>
        <w:spacing w:line="360" w:lineRule="auto"/>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电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话：</w:t>
      </w:r>
      <w:r>
        <w:rPr>
          <w:rFonts w:hint="eastAsia" w:ascii="宋体" w:hAnsi="宋体" w:eastAsia="宋体"/>
          <w:color w:val="auto"/>
          <w:sz w:val="21"/>
          <w:szCs w:val="21"/>
          <w:highlight w:val="none"/>
        </w:rPr>
        <w:t xml:space="preserve">0512-66836556</w:t>
      </w:r>
      <w:r>
        <w:rPr>
          <w:rFonts w:ascii="宋体" w:hAnsi="宋体" w:eastAsia="宋体"/>
          <w:color w:val="auto"/>
          <w:sz w:val="24"/>
          <w:szCs w:val="24"/>
          <w:highlight w:val="none"/>
        </w:rPr>
        <w:br w:type="page" w:clear="all"/>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897"/>
        <w:jc w:val="center"/>
        <w:spacing w:line="360" w:lineRule="auto"/>
        <w:rPr>
          <w:rFonts w:ascii="宋体" w:hAnsi="宋体" w:eastAsia="宋体"/>
          <w:b w:val="0"/>
          <w:color w:val="auto"/>
          <w:sz w:val="52"/>
          <w:szCs w:val="52"/>
          <w:highlight w:val="none"/>
        </w:rPr>
      </w:pPr>
      <w:r>
        <w:rPr>
          <w:color w:val="auto"/>
          <w:highlight w:val="none"/>
        </w:rPr>
      </w:r>
      <w:bookmarkStart w:id="39" w:name="_Toc24033"/>
      <w:r>
        <w:rPr>
          <w:rFonts w:hint="eastAsia" w:ascii="宋体" w:hAnsi="宋体" w:eastAsia="宋体"/>
          <w:color w:val="auto"/>
          <w:sz w:val="52"/>
          <w:szCs w:val="52"/>
          <w:highlight w:val="none"/>
        </w:rPr>
        <w:t xml:space="preserve">第二章 磋商响应文件格式</w:t>
      </w:r>
      <w:bookmarkEnd w:id="39"/>
      <w:r>
        <w:rPr>
          <w:color w:val="auto"/>
          <w:highlight w:val="none"/>
        </w:rPr>
      </w:r>
      <w:r/>
    </w:p>
    <w:p>
      <w:pPr>
        <w:pStyle w:val="913"/>
        <w:ind w:firstLine="0"/>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说明：</w:t>
      </w:r>
      <w:r>
        <w:rPr>
          <w:color w:val="auto"/>
          <w:highlight w:val="none"/>
        </w:rPr>
      </w:r>
      <w:r/>
    </w:p>
    <w:p>
      <w:pPr>
        <w:pStyle w:val="913"/>
        <w:ind w:firstLine="482"/>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对本章所有的格式，磋商供应商可根据自身情况进行补充和修改，但补充和修改不得造成与本格式内容有实质性的违背。</w:t>
      </w:r>
      <w:r>
        <w:rPr>
          <w:color w:val="auto"/>
          <w:highlight w:val="none"/>
        </w:rPr>
      </w:r>
      <w:r/>
    </w:p>
    <w:p>
      <w:pPr>
        <w:pStyle w:val="91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color w:val="auto"/>
          <w:szCs w:val="24"/>
          <w:highlight w:val="none"/>
        </w:rPr>
        <w:t xml:space="preserve">1</w:t>
      </w:r>
      <w:r>
        <w:rPr>
          <w:rFonts w:hint="eastAsia" w:ascii="宋体" w:hAnsi="宋体" w:eastAsia="宋体"/>
          <w:b/>
          <w:color w:val="auto"/>
          <w:szCs w:val="24"/>
          <w:highlight w:val="none"/>
        </w:rPr>
        <w:t xml:space="preserve">、（供应方）法定代表人授权委托书</w:t>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授权委托书</w:t>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系</w:t>
      </w:r>
      <w:r>
        <w:rPr>
          <w:rFonts w:hint="eastAsia" w:ascii="宋体" w:hAnsi="宋体" w:eastAsia="宋体"/>
          <w:color w:val="auto"/>
          <w:sz w:val="24"/>
          <w:szCs w:val="24"/>
          <w:highlight w:val="none"/>
          <w:u w:val="single"/>
        </w:rPr>
        <w:t xml:space="preserve">（供应单位名称）            </w:t>
      </w:r>
      <w:r>
        <w:rPr>
          <w:rFonts w:hint="eastAsia" w:ascii="宋体" w:hAnsi="宋体" w:eastAsia="宋体"/>
          <w:color w:val="auto"/>
          <w:sz w:val="24"/>
          <w:szCs w:val="24"/>
          <w:highlight w:val="none"/>
        </w:rPr>
        <w:t xml:space="preserve">的法定代表人，现授权委托</w:t>
      </w:r>
      <w:r>
        <w:rPr>
          <w:rFonts w:hint="eastAsia" w:ascii="宋体" w:hAnsi="宋体" w:eastAsia="宋体"/>
          <w:color w:val="auto"/>
          <w:sz w:val="24"/>
          <w:szCs w:val="24"/>
          <w:highlight w:val="none"/>
          <w:u w:val="single"/>
        </w:rPr>
        <w:t xml:space="preserve">（单位名称）          </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为我单位代理人，以本单位的名义参加</w:t>
      </w:r>
      <w:r>
        <w:rPr>
          <w:rFonts w:hint="eastAsia" w:ascii="宋体" w:hAnsi="宋体" w:eastAsia="宋体"/>
          <w:color w:val="auto"/>
          <w:sz w:val="24"/>
          <w:szCs w:val="24"/>
          <w:highlight w:val="none"/>
          <w:lang w:eastAsia="zh-CN"/>
        </w:rPr>
        <w:t xml:space="preserve">江苏正琦工程咨询有限公司</w:t>
      </w:r>
      <w:r>
        <w:rPr>
          <w:rFonts w:hint="eastAsia" w:ascii="宋体" w:hAnsi="宋体" w:eastAsia="宋体"/>
          <w:color w:val="auto"/>
          <w:sz w:val="24"/>
          <w:szCs w:val="24"/>
          <w:highlight w:val="none"/>
        </w:rPr>
        <w:t xml:space="preserve">组织实施的编号为</w:t>
      </w:r>
      <w:r>
        <w:rPr>
          <w:rFonts w:hint="eastAsia" w:ascii="宋体" w:hAnsi="宋体" w:eastAsia="宋体"/>
          <w:color w:val="auto"/>
          <w:sz w:val="24"/>
          <w:szCs w:val="24"/>
          <w:highlight w:val="none"/>
          <w:u w:val="single"/>
        </w:rPr>
        <w:t xml:space="preserve">               号</w:t>
      </w:r>
      <w:r>
        <w:rPr>
          <w:rFonts w:hint="eastAsia" w:ascii="宋体" w:hAnsi="宋体" w:eastAsia="宋体"/>
          <w:color w:val="auto"/>
          <w:sz w:val="24"/>
          <w:szCs w:val="24"/>
          <w:highlight w:val="none"/>
        </w:rPr>
        <w:t xml:space="preserve">的竞争性磋商活动。代理人在磋商活动过程中所签署的一切文件和处理与这有关的一切事务，我均予以承认。</w:t>
      </w:r>
      <w:r>
        <w:rPr>
          <w:color w:val="auto"/>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auto"/>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rPr>
          <w:color w:val="auto"/>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rPr>
          <w:color w:val="auto"/>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w:t>
      </w:r>
      <w:r>
        <w:rPr>
          <w:color w:val="auto"/>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代理人：（签字或盖章）</w:t>
      </w:r>
      <w:r>
        <w:rPr>
          <w:color w:val="auto"/>
          <w:highlight w:val="none"/>
        </w:rPr>
      </w:r>
      <w:r/>
    </w:p>
    <w:p>
      <w:pPr>
        <w:ind w:firstLine="480"/>
        <w:spacing w:line="360" w:lineRule="auto"/>
        <w:rPr>
          <w:rFonts w:ascii="宋体" w:hAnsi="宋体" w:eastAsia="宋体"/>
          <w:color w:val="auto"/>
          <w:szCs w:val="24"/>
          <w:highlight w:val="none"/>
        </w:rPr>
      </w:pPr>
      <w:r>
        <w:rPr>
          <w:rFonts w:hint="eastAsia" w:ascii="宋体" w:hAnsi="宋体" w:eastAsia="宋体"/>
          <w:color w:val="auto"/>
          <w:sz w:val="24"/>
          <w:szCs w:val="24"/>
          <w:highlight w:val="none"/>
        </w:rPr>
        <w:t xml:space="preserve">日期：</w:t>
      </w:r>
      <w:r>
        <w:rPr>
          <w:rFonts w:hint="eastAsia" w:ascii="宋体" w:hAnsi="宋体" w:eastAsia="宋体"/>
          <w:color w:val="auto"/>
          <w:szCs w:val="24"/>
          <w:highlight w:val="none"/>
        </w:rPr>
        <w:t xml:space="preserve">　　　　　年　　  月　　  日</w:t>
      </w:r>
      <w:r>
        <w:rPr>
          <w:color w:val="auto"/>
          <w:highlight w:val="none"/>
        </w:rPr>
      </w:r>
      <w:r/>
    </w:p>
    <w:p>
      <w:pPr>
        <w:pStyle w:val="913"/>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both"/>
        <w:spacing w:line="360" w:lineRule="auto"/>
        <w:rPr>
          <w:rFonts w:ascii="宋体" w:hAnsi="宋体" w:eastAsia="宋体"/>
          <w:b/>
          <w:color w:val="auto"/>
          <w:szCs w:val="24"/>
          <w:highlight w:val="none"/>
        </w:rPr>
        <w:outlineLvl w:val="1"/>
      </w:pPr>
      <w:r>
        <w:rPr>
          <w:rFonts w:ascii="宋体" w:hAnsi="宋体" w:eastAsia="宋体"/>
          <w:color w:val="auto"/>
          <w:szCs w:val="24"/>
          <w:highlight w:val="none"/>
        </w:rPr>
        <w:br w:type="page" w:clear="all"/>
      </w:r>
      <w:r>
        <w:rPr>
          <w:rFonts w:hint="eastAsia" w:ascii="宋体" w:hAnsi="宋体" w:eastAsia="宋体"/>
          <w:b/>
          <w:color w:val="auto"/>
          <w:szCs w:val="24"/>
          <w:highlight w:val="none"/>
        </w:rPr>
        <w:t xml:space="preserve">2、磋商响应函</w:t>
      </w:r>
      <w:r>
        <w:rPr>
          <w:color w:val="auto"/>
          <w:highlight w:val="none"/>
        </w:rPr>
      </w:r>
      <w:r/>
    </w:p>
    <w:p>
      <w:pPr>
        <w:pStyle w:val="924"/>
        <w:jc w:val="center"/>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磋商响应函</w:t>
      </w:r>
      <w:r>
        <w:rPr>
          <w:color w:val="auto"/>
          <w:highlight w:val="none"/>
        </w:rPr>
      </w:r>
      <w:r/>
    </w:p>
    <w:p>
      <w:pPr>
        <w:pStyle w:val="924"/>
        <w:spacing w:line="276" w:lineRule="auto"/>
        <w:rPr>
          <w:rFonts w:hAnsi="宋体" w:eastAsia="宋体"/>
          <w:color w:val="auto"/>
          <w:sz w:val="24"/>
          <w:szCs w:val="24"/>
          <w:highlight w:val="none"/>
        </w:rPr>
      </w:pPr>
      <w:r>
        <w:rPr>
          <w:rFonts w:hint="eastAsia" w:hAnsi="宋体" w:eastAsia="宋体"/>
          <w:color w:val="auto"/>
          <w:sz w:val="24"/>
          <w:szCs w:val="24"/>
          <w:highlight w:val="none"/>
          <w:u w:val="single"/>
        </w:rPr>
        <w:t xml:space="preserve">江苏正琦工程咨询有限公司</w:t>
      </w:r>
      <w:r>
        <w:rPr>
          <w:rFonts w:hint="eastAsia" w:hAnsi="宋体" w:eastAsia="宋体"/>
          <w:color w:val="auto"/>
          <w:sz w:val="24"/>
          <w:szCs w:val="24"/>
          <w:highlight w:val="none"/>
        </w:rPr>
        <w:t xml:space="preserve">：</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我们收到贵单位</w:t>
      </w:r>
      <w:r>
        <w:rPr>
          <w:rFonts w:hint="eastAsia" w:hAnsi="宋体" w:eastAsia="宋体"/>
          <w:color w:val="auto"/>
          <w:sz w:val="24"/>
          <w:szCs w:val="24"/>
          <w:highlight w:val="none"/>
          <w:u w:val="single"/>
        </w:rPr>
        <w:t xml:space="preserve">              号</w:t>
      </w:r>
      <w:r>
        <w:rPr>
          <w:rFonts w:hint="eastAsia" w:hAnsi="宋体" w:eastAsia="宋体"/>
          <w:color w:val="auto"/>
          <w:sz w:val="24"/>
          <w:szCs w:val="24"/>
          <w:highlight w:val="none"/>
        </w:rPr>
        <w:t xml:space="preserve">采购文件，经仔细阅读和研究，我们决定参加磋商活动。</w:t>
      </w:r>
      <w:r>
        <w:rPr>
          <w:color w:val="auto"/>
          <w:highlight w:val="none"/>
        </w:rPr>
      </w:r>
      <w:r/>
    </w:p>
    <w:p>
      <w:pPr>
        <w:pStyle w:val="1002"/>
        <w:ind w:firstLine="480"/>
        <w:rPr>
          <w:rFonts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、我们愿意按照采购文件的一切要求，提供完成该项目的全部内容，我们的报价包括服务期限内完成望亭中学基础教育内涵建设项目所需的所有费用，包括：</w:t>
      </w:r>
      <w:r>
        <w:rPr>
          <w:rFonts w:hint="eastAsia" w:hAnsi="宋体" w:eastAsia="宋体" w:cs="宋体"/>
          <w:color w:val="auto"/>
          <w:sz w:val="24"/>
          <w:szCs w:val="24"/>
          <w:highlight w:val="none"/>
        </w:rPr>
        <w:t xml:space="preserve">货物及其备品、备件和专用工具费用、税费及包装、运至最终目的地的运输、保险、现场吊装、临时工程、安装调试、技术支持与培训、售后服务与维保及相关劳务支出、水电费等完成本项目所发生的全部费用以及乙方企业利润、税金和政策性文件规定及合同包含的所有风险、责任等各项应有费用</w:t>
      </w:r>
      <w:r>
        <w:rPr>
          <w:rFonts w:hint="eastAsia" w:hAnsi="宋体" w:eastAsia="宋体"/>
          <w:color w:val="auto"/>
          <w:sz w:val="24"/>
          <w:szCs w:val="24"/>
          <w:highlight w:val="none"/>
        </w:rPr>
        <w:t xml:space="preserve">。</w:t>
      </w:r>
      <w:r>
        <w:rPr>
          <w:color w:val="auto"/>
          <w:highlight w:val="none"/>
        </w:rPr>
      </w:r>
      <w:r/>
    </w:p>
    <w:p>
      <w:pPr>
        <w:pStyle w:val="1002"/>
        <w:ind w:firstLine="480"/>
        <w:rPr>
          <w:rFonts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、如果我们的磋商响应文件被接受，我们将严格履行采购文件中规定的每一项要求，按期、按质、按量履行合同的义务。</w:t>
      </w:r>
      <w:r>
        <w:rPr>
          <w:color w:val="auto"/>
          <w:highlight w:val="none"/>
        </w:rPr>
      </w:r>
      <w:r/>
    </w:p>
    <w:p>
      <w:pPr>
        <w:pStyle w:val="1002"/>
        <w:ind w:firstLine="480"/>
        <w:spacing w:line="276" w:lineRule="auto"/>
        <w:rPr>
          <w:rFonts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w:t>
      </w:r>
      <w:r>
        <w:rPr>
          <w:rFonts w:hint="eastAsia" w:hAnsi="宋体" w:eastAsia="宋体"/>
          <w:color w:val="auto"/>
          <w:sz w:val="24"/>
          <w:szCs w:val="24"/>
          <w:highlight w:val="none"/>
        </w:rPr>
        <w:t xml:space="preserve">采购</w:t>
      </w:r>
      <w:r>
        <w:rPr>
          <w:rFonts w:hAnsi="宋体" w:eastAsia="宋体"/>
          <w:color w:val="auto"/>
          <w:sz w:val="24"/>
          <w:szCs w:val="24"/>
          <w:highlight w:val="none"/>
        </w:rPr>
        <w:t xml:space="preserve">文件，包括</w:t>
      </w:r>
      <w:r>
        <w:rPr>
          <w:rFonts w:hint="eastAsia" w:hAnsi="宋体" w:eastAsia="宋体"/>
          <w:color w:val="auto"/>
          <w:sz w:val="24"/>
          <w:szCs w:val="24"/>
          <w:highlight w:val="none"/>
        </w:rPr>
        <w:t xml:space="preserve">补充文件</w:t>
      </w:r>
      <w:r>
        <w:rPr>
          <w:rFonts w:hAnsi="宋体" w:eastAsia="宋体"/>
          <w:color w:val="auto"/>
          <w:sz w:val="24"/>
          <w:szCs w:val="24"/>
          <w:highlight w:val="none"/>
        </w:rPr>
        <w:t xml:space="preserve">(如</w:t>
      </w:r>
      <w:r>
        <w:rPr>
          <w:rFonts w:hint="eastAsia" w:hAnsi="宋体" w:eastAsia="宋体"/>
          <w:color w:val="auto"/>
          <w:sz w:val="24"/>
          <w:szCs w:val="24"/>
          <w:highlight w:val="none"/>
        </w:rPr>
        <w:t xml:space="preserve">有</w:t>
      </w:r>
      <w:r>
        <w:rPr>
          <w:rFonts w:hAnsi="宋体" w:eastAsia="宋体"/>
          <w:color w:val="auto"/>
          <w:sz w:val="24"/>
          <w:szCs w:val="24"/>
          <w:highlight w:val="none"/>
        </w:rPr>
        <w:t xml:space="preserve">)。我们完全理解并同意放弃对这方面有不明及误解的权力。</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4、我们同意按采购文件中的规定，本磋商响应文件的有效期限为响应文件提交截止之日起</w:t>
      </w:r>
      <w:r>
        <w:rPr>
          <w:rFonts w:hint="eastAsia" w:hAnsi="宋体" w:eastAsia="宋体"/>
          <w:color w:val="auto"/>
          <w:sz w:val="24"/>
          <w:szCs w:val="24"/>
          <w:highlight w:val="none"/>
          <w:u w:val="single"/>
        </w:rPr>
        <w:t xml:space="preserve">  6</w:t>
      </w:r>
      <w:r>
        <w:rPr>
          <w:rFonts w:hAnsi="宋体" w:eastAsia="宋体"/>
          <w:color w:val="auto"/>
          <w:sz w:val="24"/>
          <w:szCs w:val="24"/>
          <w:highlight w:val="none"/>
          <w:u w:val="single"/>
        </w:rPr>
        <w:t xml:space="preserve">0</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天。</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5、我们愿意提供磋商采购单位在采购文件中要求的所有资料。</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6、我们愿意遵守采购文件中所列的收费标准。</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7、我们承诺该磋商响应文件在磋商开始后的全过程中保持有效，不作任何更改和变动。</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8、我们承诺我单位符合采购文件中“合格磋商供应商的一般条件和特殊条件”的要求，若与真实情况不符，本单位愿意承担由此而产生的一切后果。</w:t>
      </w:r>
      <w:r>
        <w:rPr>
          <w:color w:val="auto"/>
          <w:highlight w:val="none"/>
        </w:rPr>
      </w:r>
      <w:r/>
    </w:p>
    <w:p>
      <w:pPr>
        <w:pStyle w:val="1002"/>
        <w:ind w:firstLine="480"/>
        <w:spacing w:line="276" w:lineRule="auto"/>
        <w:rPr>
          <w:rFonts w:hAnsi="宋体" w:eastAsia="宋体"/>
          <w:color w:val="auto"/>
          <w:sz w:val="24"/>
          <w:szCs w:val="24"/>
          <w:highlight w:val="none"/>
        </w:rPr>
      </w:pPr>
      <w:r>
        <w:rPr>
          <w:rFonts w:hAnsi="宋体" w:eastAsia="宋体"/>
          <w:color w:val="auto"/>
          <w:sz w:val="24"/>
          <w:szCs w:val="24"/>
          <w:highlight w:val="none"/>
        </w:rPr>
        <w:t xml:space="preserve">9、</w:t>
      </w:r>
      <w:r>
        <w:rPr>
          <w:rFonts w:hint="eastAsia" w:hAnsi="宋体" w:eastAsia="宋体"/>
          <w:color w:val="auto"/>
          <w:sz w:val="24"/>
          <w:szCs w:val="24"/>
          <w:highlight w:val="none"/>
        </w:rPr>
        <w:t xml:space="preserve">我们声明：我们在参加本次政府采购活动前</w:t>
      </w:r>
      <w:r>
        <w:rPr>
          <w:rFonts w:hAnsi="宋体" w:eastAsia="宋体"/>
          <w:color w:val="auto"/>
          <w:sz w:val="24"/>
          <w:szCs w:val="24"/>
          <w:highlight w:val="none"/>
        </w:rPr>
        <w:t xml:space="preserve">3年内在经营活动中没有重大违法记录。</w:t>
      </w:r>
      <w:r>
        <w:rPr>
          <w:color w:val="auto"/>
          <w:highlight w:val="none"/>
        </w:rPr>
      </w:r>
      <w:r/>
    </w:p>
    <w:p>
      <w:pPr>
        <w:pStyle w:val="1002"/>
        <w:ind w:firstLine="480"/>
        <w:spacing w:line="276" w:lineRule="auto"/>
        <w:rPr>
          <w:rFonts w:hAnsi="宋体" w:eastAsia="宋体"/>
          <w:color w:val="auto"/>
          <w:sz w:val="24"/>
          <w:szCs w:val="24"/>
          <w:highlight w:val="none"/>
        </w:rPr>
      </w:pPr>
      <w:r>
        <w:rPr>
          <w:rFonts w:hAnsi="宋体" w:eastAsia="宋体"/>
          <w:color w:val="auto"/>
          <w:sz w:val="24"/>
          <w:szCs w:val="24"/>
          <w:highlight w:val="none"/>
        </w:rPr>
        <w:t xml:space="preserve">10</w:t>
      </w:r>
      <w:r>
        <w:rPr>
          <w:rFonts w:hint="eastAsia" w:hAnsi="宋体" w:eastAsia="宋体"/>
          <w:color w:val="auto"/>
          <w:sz w:val="24"/>
          <w:szCs w:val="24"/>
          <w:highlight w:val="none"/>
        </w:rPr>
        <w:t xml:space="preserve">、我们愿意按采购文件的规定交纳磋商保证金，并</w:t>
      </w:r>
      <w:r>
        <w:rPr>
          <w:rFonts w:hAnsi="宋体" w:eastAsia="宋体"/>
          <w:color w:val="auto"/>
          <w:sz w:val="24"/>
          <w:szCs w:val="24"/>
          <w:highlight w:val="none"/>
        </w:rPr>
        <w:t xml:space="preserve">同意</w:t>
      </w:r>
      <w:r>
        <w:rPr>
          <w:rFonts w:hint="eastAsia" w:hAnsi="宋体" w:eastAsia="宋体"/>
          <w:color w:val="auto"/>
          <w:sz w:val="24"/>
          <w:szCs w:val="24"/>
          <w:highlight w:val="none"/>
        </w:rPr>
        <w:t xml:space="preserve">采购文件</w:t>
      </w:r>
      <w:r>
        <w:rPr>
          <w:rFonts w:hAnsi="宋体" w:eastAsia="宋体"/>
          <w:color w:val="auto"/>
          <w:sz w:val="24"/>
          <w:szCs w:val="24"/>
          <w:highlight w:val="none"/>
        </w:rPr>
        <w:t xml:space="preserve">中关于</w:t>
      </w:r>
      <w:r>
        <w:rPr>
          <w:rFonts w:hint="eastAsia" w:hAnsi="宋体" w:eastAsia="宋体"/>
          <w:color w:val="auto"/>
          <w:sz w:val="24"/>
          <w:szCs w:val="24"/>
          <w:highlight w:val="none"/>
        </w:rPr>
        <w:t xml:space="preserve">不予退还磋商</w:t>
      </w:r>
      <w:r>
        <w:rPr>
          <w:rFonts w:hAnsi="宋体" w:eastAsia="宋体"/>
          <w:color w:val="auto"/>
          <w:sz w:val="24"/>
          <w:szCs w:val="24"/>
          <w:highlight w:val="none"/>
        </w:rPr>
        <w:t xml:space="preserve">保证金的规定。</w:t>
      </w:r>
      <w:r>
        <w:rPr>
          <w:color w:val="auto"/>
          <w:highlight w:val="none"/>
        </w:rPr>
      </w:r>
      <w:r/>
      <w:r>
        <w:rPr>
          <w:rFonts w:hAnsi="宋体" w:eastAsia="宋体"/>
          <w:color w:val="auto"/>
          <w:sz w:val="24"/>
          <w:szCs w:val="24"/>
          <w:highlight w:val="none"/>
        </w:rPr>
      </w:r>
      <w:r>
        <w:rPr>
          <w:color w:val="auto"/>
          <w:highlight w:val="none"/>
        </w:rPr>
      </w:r>
      <w:r/>
      <w:r>
        <w:rPr>
          <w:rFonts w:hAnsi="宋体" w:eastAsia="宋体"/>
          <w:color w:val="auto"/>
          <w:sz w:val="24"/>
          <w:szCs w:val="24"/>
          <w:highlight w:val="none"/>
        </w:rPr>
      </w:r>
    </w:p>
    <w:p>
      <w:pPr>
        <w:pStyle w:val="1002"/>
        <w:ind w:firstLine="480"/>
        <w:spacing w:line="276" w:lineRule="auto"/>
        <w:rPr>
          <w:rFonts w:hAnsi="宋体" w:eastAsia="宋体"/>
          <w:color w:val="auto"/>
          <w:sz w:val="24"/>
          <w:szCs w:val="24"/>
          <w:highlight w:val="none"/>
        </w:rPr>
      </w:pPr>
      <w:r>
        <w:rPr>
          <w:rFonts w:hAnsi="宋体" w:eastAsia="宋体"/>
          <w:color w:val="auto"/>
          <w:sz w:val="24"/>
          <w:szCs w:val="24"/>
          <w:highlight w:val="none"/>
        </w:rPr>
        <w:t xml:space="preserve">11</w:t>
      </w:r>
      <w:r>
        <w:rPr>
          <w:rFonts w:hint="eastAsia" w:hAnsi="宋体" w:eastAsia="宋体"/>
          <w:color w:val="auto"/>
          <w:sz w:val="24"/>
          <w:szCs w:val="24"/>
          <w:highlight w:val="none"/>
        </w:rPr>
        <w:t xml:space="preserve">、综合说明：</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）对采购文件有不同意见的偏离说明；（</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）其它说明。</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所有有关磋商响应文件的函电，请按下列地址联系：</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单位：                             联系人：</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地址：                             邮政编码：</w:t>
      </w:r>
      <w:r>
        <w:rPr>
          <w:color w:val="auto"/>
          <w:highlight w:val="none"/>
        </w:rPr>
      </w:r>
      <w:r/>
    </w:p>
    <w:p>
      <w:pPr>
        <w:pStyle w:val="1002"/>
        <w:ind w:firstLine="480"/>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联系电话：                         传真：</w:t>
      </w:r>
      <w:r>
        <w:rPr>
          <w:color w:val="auto"/>
          <w:highlight w:val="none"/>
        </w:rPr>
      </w:r>
      <w:r/>
    </w:p>
    <w:p>
      <w:pPr>
        <w:pStyle w:val="1002"/>
        <w:ind w:firstLine="480"/>
        <w:spacing w:line="276" w:lineRule="auto"/>
        <w:rPr>
          <w:rFonts w:hAnsi="宋体" w:eastAsia="宋体"/>
          <w:color w:val="auto"/>
          <w:sz w:val="24"/>
          <w:szCs w:val="24"/>
          <w:highlight w:val="none"/>
        </w:rPr>
      </w:pPr>
      <w:r>
        <w:rPr>
          <w:rFonts w:hAnsi="宋体" w:eastAsia="宋体"/>
          <w:color w:val="auto"/>
          <w:sz w:val="24"/>
          <w:szCs w:val="24"/>
          <w:highlight w:val="none"/>
        </w:rPr>
      </w:r>
      <w:r>
        <w:rPr>
          <w:color w:val="auto"/>
          <w:highlight w:val="none"/>
        </w:rPr>
      </w:r>
      <w:r/>
    </w:p>
    <w:p>
      <w:pPr>
        <w:pStyle w:val="1002"/>
        <w:ind w:left="3400" w:firstLine="425"/>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供应商：（单位盖章）</w:t>
      </w:r>
      <w:r>
        <w:rPr>
          <w:color w:val="auto"/>
          <w:highlight w:val="none"/>
        </w:rPr>
      </w:r>
      <w:r/>
    </w:p>
    <w:p>
      <w:pPr>
        <w:pStyle w:val="1002"/>
        <w:ind w:left="3825"/>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rPr>
          <w:color w:val="auto"/>
          <w:highlight w:val="none"/>
        </w:rPr>
      </w:r>
      <w:r/>
    </w:p>
    <w:p>
      <w:pPr>
        <w:pStyle w:val="1002"/>
        <w:ind w:left="3400" w:firstLine="425"/>
        <w:spacing w:line="276" w:lineRule="auto"/>
        <w:rPr>
          <w:rFonts w:hAnsi="宋体" w:eastAsia="宋体"/>
          <w:color w:val="auto"/>
          <w:sz w:val="24"/>
          <w:szCs w:val="24"/>
          <w:highlight w:val="none"/>
        </w:rPr>
      </w:pPr>
      <w:r>
        <w:rPr>
          <w:rFonts w:hint="eastAsia" w:hAnsi="宋体" w:eastAsia="宋体"/>
          <w:color w:val="auto"/>
          <w:sz w:val="24"/>
          <w:szCs w:val="24"/>
          <w:highlight w:val="none"/>
        </w:rPr>
        <w:t xml:space="preserve">日期：         年   月   日</w:t>
      </w:r>
      <w:r>
        <w:rPr>
          <w:color w:val="auto"/>
          <w:highlight w:val="none"/>
        </w:rPr>
      </w:r>
      <w:r/>
    </w:p>
    <w:p>
      <w:pPr>
        <w:pStyle w:val="913"/>
        <w:ind w:firstLine="0"/>
        <w:jc w:val="both"/>
        <w:spacing w:line="360" w:lineRule="auto"/>
        <w:rPr>
          <w:rFonts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color w:val="auto"/>
          <w:szCs w:val="24"/>
          <w:highlight w:val="none"/>
        </w:rPr>
        <w:t xml:space="preserve">3</w:t>
      </w:r>
      <w:r>
        <w:rPr>
          <w:rFonts w:hint="eastAsia" w:ascii="宋体" w:hAnsi="宋体" w:eastAsia="宋体"/>
          <w:b/>
          <w:color w:val="auto"/>
          <w:szCs w:val="24"/>
          <w:highlight w:val="none"/>
        </w:rPr>
        <w:t xml:space="preserve">、开标一览表</w:t>
      </w:r>
      <w:r>
        <w:rPr>
          <w:color w:val="auto"/>
          <w:highlight w:val="none"/>
        </w:rPr>
      </w:r>
      <w:r/>
    </w:p>
    <w:p>
      <w:pPr>
        <w:pStyle w:val="924"/>
        <w:jc w:val="center"/>
        <w:spacing w:line="360" w:lineRule="auto"/>
        <w:rPr>
          <w:rFonts w:hAnsi="宋体" w:eastAsia="宋体"/>
          <w:b/>
          <w:color w:val="auto"/>
          <w:sz w:val="24"/>
          <w:szCs w:val="24"/>
          <w:highlight w:val="none"/>
        </w:rPr>
      </w:pPr>
      <w:r>
        <w:rPr>
          <w:rFonts w:hAnsi="宋体" w:eastAsia="宋体"/>
          <w:b/>
          <w:color w:val="auto"/>
          <w:sz w:val="24"/>
          <w:szCs w:val="24"/>
          <w:highlight w:val="none"/>
        </w:rPr>
      </w:r>
      <w:r>
        <w:rPr>
          <w:color w:val="auto"/>
          <w:highlight w:val="none"/>
        </w:rPr>
      </w:r>
      <w:r/>
    </w:p>
    <w:p>
      <w:pPr>
        <w:jc w:val="cente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开标一览表（总报价）</w:t>
      </w:r>
      <w:r>
        <w:rPr>
          <w:color w:val="auto"/>
          <w:highlight w:val="none"/>
        </w:rPr>
      </w:r>
      <w:r/>
      <w:r>
        <w:rPr>
          <w:color w:val="auto"/>
          <w:highlight w:val="none"/>
        </w:rPr>
      </w:r>
      <w:r/>
      <w:r>
        <w:rPr>
          <w:rFonts w:ascii="宋体" w:hAnsi="宋体" w:eastAsia="宋体"/>
          <w:b/>
          <w:color w:val="auto"/>
          <w:sz w:val="24"/>
          <w:szCs w:val="24"/>
          <w:highlight w:val="none"/>
        </w:rPr>
      </w:r>
    </w:p>
    <w:p>
      <w:pPr>
        <w:pStyle w:val="1049"/>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rPr>
          <w:color w:val="auto"/>
          <w:highlight w:val="none"/>
        </w:rPr>
      </w:r>
      <w:r/>
    </w:p>
    <w:tbl>
      <w:tblPr>
        <w:tblStyle w:val="724"/>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6"/>
        <w:gridCol w:w="2976"/>
        <w:gridCol w:w="2638"/>
      </w:tblGrid>
      <w:tr>
        <w:trPr>
          <w:cantSplit/>
          <w:trHeight w:val="1098"/>
        </w:trPr>
        <w:tc>
          <w:tcPr>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jc w:val="center"/>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项目名称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投标总报价（</w:t>
            </w:r>
            <w:r>
              <w:rPr>
                <w:rFonts w:ascii="宋体" w:hAnsi="宋体" w:eastAsia="宋体"/>
                <w:color w:val="auto"/>
                <w:sz w:val="24"/>
                <w:szCs w:val="24"/>
                <w:highlight w:val="none"/>
              </w:rPr>
              <w:t xml:space="preserve">元）</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服务期限</w:t>
            </w:r>
            <w:r>
              <w:rPr>
                <w:rFonts w:ascii="宋体" w:hAnsi="宋体" w:eastAsia="宋体"/>
                <w:color w:val="auto"/>
                <w:sz w:val="24"/>
                <w:szCs w:val="24"/>
                <w:highlight w:val="none"/>
              </w:rPr>
            </w:r>
            <w:r>
              <w:rPr>
                <w:rFonts w:ascii="宋体" w:hAnsi="宋体" w:eastAsia="宋体"/>
                <w:color w:val="auto"/>
                <w:sz w:val="24"/>
                <w:szCs w:val="24"/>
                <w:highlight w:val="none"/>
              </w:rPr>
            </w:r>
          </w:p>
        </w:tc>
      </w:tr>
      <w:tr>
        <w:trPr>
          <w:cantSplit/>
          <w:trHeight w:val="1697"/>
        </w:trPr>
        <w:tc>
          <w:tcPr>
            <w:tcBorders>
              <w:top w:val="single" w:color="000000" w:sz="4" w:space="0"/>
              <w:left w:val="single" w:color="000000" w:sz="4" w:space="0"/>
              <w:bottom w:val="single" w:color="000000" w:sz="4" w:space="0"/>
              <w:right w:val="single" w:color="000000" w:sz="4" w:space="0"/>
            </w:tcBorders>
            <w:tcW w:w="3316" w:type="dxa"/>
            <w:vAlign w:val="center"/>
            <w:textDirection w:val="lrTb"/>
            <w:noWrap w:val="false"/>
          </w:tcPr>
          <w:p>
            <w:pPr>
              <w:jc w:val="center"/>
              <w:widowControl/>
              <w:rPr>
                <w:rFonts w:ascii="宋体" w:hAnsi="宋体" w:eastAsia="宋体"/>
                <w:color w:val="auto"/>
                <w:sz w:val="24"/>
                <w:szCs w:val="24"/>
                <w:highlight w:val="none"/>
              </w:rPr>
            </w:pPr>
            <w:r>
              <w:rPr>
                <w:color w:val="auto"/>
                <w:highlight w:val="none"/>
              </w:rPr>
            </w:r>
            <w:bookmarkStart w:id="40" w:name="XMMC"/>
            <w:r>
              <w:rPr>
                <w:color w:val="auto"/>
                <w:highlight w:val="none"/>
              </w:rPr>
            </w:r>
            <w:bookmarkEnd w:id="40"/>
            <w:r>
              <w:rPr>
                <w:color w:val="auto"/>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r>
            <w:r>
              <w:rPr>
                <w:rFonts w:ascii="宋体" w:hAnsi="宋体" w:eastAsia="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rPr>
                <w:rFonts w:ascii="宋体" w:hAnsi="宋体" w:eastAsia="宋体"/>
                <w:color w:val="auto"/>
                <w:sz w:val="24"/>
                <w:szCs w:val="24"/>
                <w:highlight w:val="none"/>
              </w:rPr>
            </w:pPr>
            <w:r>
              <w:rPr>
                <w:rFonts w:ascii="宋体" w:hAnsi="宋体" w:eastAsia="宋体"/>
                <w:color w:val="auto"/>
                <w:sz w:val="24"/>
                <w:szCs w:val="24"/>
                <w:highlight w:val="none"/>
              </w:rPr>
            </w:r>
            <w:r>
              <w:rPr>
                <w:rFonts w:ascii="宋体" w:hAnsi="宋体" w:eastAsia="宋体"/>
                <w:color w:val="auto"/>
                <w:sz w:val="24"/>
                <w:szCs w:val="24"/>
                <w:highlight w:val="none"/>
              </w:rPr>
            </w:r>
          </w:p>
        </w:tc>
      </w:tr>
      <w:tr>
        <w:trPr>
          <w:cantSplit/>
          <w:trHeight w:val="1361"/>
        </w:trPr>
        <w:tc>
          <w:tcPr>
            <w:gridSpan w:val="3"/>
            <w:tcBorders>
              <w:top w:val="single" w:color="000000" w:sz="4" w:space="0"/>
              <w:left w:val="single" w:color="000000" w:sz="4" w:space="0"/>
              <w:bottom w:val="single" w:color="000000" w:sz="4" w:space="0"/>
              <w:right w:val="single" w:color="000000" w:sz="4" w:space="0"/>
            </w:tcBorders>
            <w:tcW w:w="8930" w:type="dxa"/>
            <w:vAlign w:val="center"/>
            <w:textDirection w:val="lrTb"/>
            <w:noWrap w:val="false"/>
          </w:tcPr>
          <w:p>
            <w:pPr>
              <w:jc w:val="left"/>
              <w:spacing w:line="60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r>
            <w:r>
              <w:rPr>
                <w:rFonts w:ascii="宋体" w:hAnsi="宋体" w:eastAsia="宋体"/>
                <w:color w:val="auto"/>
                <w:sz w:val="24"/>
                <w:szCs w:val="24"/>
                <w:highlight w:val="none"/>
              </w:rPr>
              <w:t xml:space="preserve">投标报价（人民币大写）</w:t>
            </w:r>
            <w:r>
              <w:rPr>
                <w:rFonts w:ascii="宋体" w:hAnsi="宋体" w:eastAsia="宋体"/>
                <w:color w:val="auto"/>
                <w:sz w:val="24"/>
                <w:szCs w:val="24"/>
                <w:highlight w:val="none"/>
              </w:rPr>
            </w:r>
            <w:r/>
            <w:r>
              <w:rPr>
                <w:color w:val="auto"/>
                <w:highlight w:val="none"/>
              </w:rPr>
            </w:r>
            <w:bookmarkStart w:id="42" w:name="JEDX"/>
            <w:r>
              <w:rPr>
                <w:color w:val="auto"/>
                <w:highlight w:val="none"/>
              </w:rPr>
            </w:r>
            <w:bookmarkEnd w:id="42"/>
            <w:r>
              <w:rPr>
                <w:color w:val="auto"/>
                <w:highlight w:val="none"/>
              </w:rPr>
              <w:t xml:space="preserve">：                </w:t>
            </w:r>
            <w:r>
              <w:rPr>
                <w:rFonts w:ascii="KaiTi" w:hAnsi="KaiTi" w:eastAsia="KaiTi" w:cs="KaiTi"/>
                <w:color w:val="000000"/>
                <w:sz w:val="24"/>
              </w:rPr>
              <w:t xml:space="preserve">          </w:t>
            </w:r>
            <w:r>
              <w:rPr>
                <w:rFonts w:ascii="SimSun" w:hAnsi="SimSun" w:eastAsia="SimSun" w:cs="SimSun"/>
                <w:color w:val="000000"/>
                <w:sz w:val="24"/>
              </w:rPr>
              <w:t xml:space="preserve">¥</w:t>
            </w:r>
            <w:r>
              <w:rPr>
                <w:rFonts w:ascii="KaiTi" w:hAnsi="KaiTi" w:eastAsia="KaiTi" w:cs="KaiTi"/>
                <w:color w:val="000000"/>
                <w:sz w:val="24"/>
              </w:rPr>
              <w:t xml:space="preserve">：</w:t>
            </w:r>
            <w:r>
              <w:rPr>
                <w:color w:val="auto"/>
                <w:highlight w:val="none"/>
              </w:rPr>
            </w:r>
            <w:r/>
            <w:r>
              <w:rPr>
                <w:rFonts w:ascii="宋体" w:hAnsi="宋体" w:eastAsia="宋体"/>
                <w:color w:val="auto"/>
                <w:sz w:val="24"/>
                <w:szCs w:val="24"/>
                <w:highlight w:val="none"/>
              </w:rPr>
            </w:r>
          </w:p>
          <w:p>
            <w:pPr>
              <w:rPr>
                <w:color w:val="auto"/>
                <w:highlight w:val="none"/>
              </w:rPr>
            </w:pPr>
            <w:r>
              <w:rPr>
                <w:color w:val="auto"/>
                <w:highlight w:val="none"/>
              </w:rPr>
            </w:r>
            <w:r>
              <w:rPr>
                <w:color w:val="auto"/>
                <w:highlight w:val="none"/>
              </w:rPr>
            </w:r>
          </w:p>
        </w:tc>
      </w:tr>
    </w:tbl>
    <w:p>
      <w:pPr>
        <w:jc w:val="cente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pStyle w:val="1002"/>
        <w:ind w:firstLine="480"/>
        <w:spacing w:line="360" w:lineRule="auto"/>
      </w:pPr>
      <w:r>
        <w:rPr>
          <w:rFonts w:hint="eastAsia" w:hAnsi="宋体" w:eastAsia="宋体"/>
          <w:color w:val="auto"/>
          <w:sz w:val="24"/>
          <w:szCs w:val="24"/>
          <w:highlight w:val="none"/>
        </w:rPr>
        <w:t xml:space="preserve">供应商：（公章）</w:t>
      </w:r>
      <w:r>
        <w:rPr>
          <w:rFonts w:hAnsi="宋体" w:eastAsia="宋体"/>
          <w:color w:val="auto"/>
          <w:sz w:val="24"/>
          <w:szCs w:val="24"/>
          <w:highlight w:val="none"/>
        </w:rPr>
      </w:r>
      <w:r/>
    </w:p>
    <w:p>
      <w:pPr>
        <w:pStyle w:val="1002"/>
        <w:ind w:firstLine="480"/>
        <w:spacing w:line="360" w:lineRule="auto"/>
      </w:pPr>
      <w:r>
        <w:rPr>
          <w:rFonts w:hint="eastAsia" w:hAnsi="宋体" w:eastAsia="宋体"/>
          <w:color w:val="auto"/>
          <w:sz w:val="24"/>
          <w:szCs w:val="24"/>
          <w:highlight w:val="none"/>
        </w:rPr>
        <w:t xml:space="preserve">法定代表人或代理人：（签字或盖章）</w:t>
      </w:r>
      <w:r>
        <w:rPr>
          <w:rFonts w:hAnsi="宋体" w:eastAsia="宋体"/>
          <w:color w:val="auto"/>
          <w:sz w:val="24"/>
          <w:szCs w:val="24"/>
          <w:highlight w:val="none"/>
        </w:rPr>
      </w:r>
      <w:r/>
    </w:p>
    <w:p>
      <w:pPr>
        <w:ind w:right="960"/>
        <w:spacing w:line="440" w:lineRule="exact"/>
        <w:widowControl/>
        <w:rPr>
          <w:rFonts w:ascii="宋体" w:hAnsi="宋体" w:eastAsia="宋体" w:cs="宋体"/>
          <w:color w:val="auto"/>
          <w:sz w:val="24"/>
          <w:szCs w:val="24"/>
          <w:highlight w:val="none"/>
          <w:u w:val="single"/>
        </w:rPr>
      </w:pPr>
      <w:r>
        <w:rPr>
          <w:rFonts w:hint="eastAsia" w:hAnsi="宋体" w:eastAsia="宋体"/>
          <w:color w:val="auto"/>
          <w:sz w:val="24"/>
          <w:szCs w:val="24"/>
          <w:highlight w:val="none"/>
        </w:rPr>
        <w:t xml:space="preserve">    日期：   年   月   日</w:t>
      </w:r>
      <w:r/>
      <w:r/>
      <w:r>
        <w:rPr>
          <w:rFonts w:ascii="宋体" w:hAnsi="宋体" w:eastAsia="宋体" w:cs="宋体"/>
          <w:color w:val="auto"/>
          <w:sz w:val="24"/>
          <w:szCs w:val="24"/>
          <w:highlight w:val="none"/>
          <w:u w:val="single"/>
        </w:rPr>
      </w:r>
      <w:r/>
    </w:p>
    <w:p>
      <w:pPr>
        <w:pStyle w:val="908"/>
        <w:rPr>
          <w:color w:val="auto"/>
          <w:highlight w:val="none"/>
        </w:rPr>
      </w:pPr>
      <w:r>
        <w:rPr>
          <w:color w:val="auto"/>
          <w:highlight w:val="none"/>
        </w:rPr>
      </w:r>
      <w:r>
        <w:rPr>
          <w:color w:val="auto"/>
          <w:highlight w:val="none"/>
        </w:rPr>
      </w:r>
      <w:r/>
    </w:p>
    <w:p>
      <w:pPr>
        <w:pStyle w:val="913"/>
        <w:ind w:firstLine="0"/>
        <w:jc w:val="both"/>
        <w:spacing w:line="360" w:lineRule="auto"/>
        <w:rPr>
          <w:rFonts w:ascii="宋体" w:hAnsi="宋体" w:eastAsia="宋体"/>
          <w:b/>
          <w:color w:val="auto"/>
          <w:szCs w:val="24"/>
          <w:highlight w:val="none"/>
        </w:rPr>
        <w:outlineLvl w:val="1"/>
      </w:pPr>
      <w:r>
        <w:rPr>
          <w:rFonts w:hint="eastAsia" w:ascii="宋体" w:hAnsi="宋体" w:eastAsia="宋体"/>
          <w:color w:val="auto"/>
          <w:szCs w:val="24"/>
          <w:highlight w:val="none"/>
        </w:rPr>
        <w:br w:type="page" w:clear="all"/>
      </w:r>
      <w:r>
        <w:rPr>
          <w:rFonts w:hint="eastAsia" w:ascii="宋体" w:hAnsi="宋体" w:eastAsia="宋体"/>
          <w:b/>
          <w:color w:val="auto"/>
          <w:szCs w:val="24"/>
          <w:highlight w:val="none"/>
        </w:rPr>
        <w:t xml:space="preserve">4、磋商报价分析表</w:t>
      </w:r>
      <w:r>
        <w:rPr>
          <w:color w:val="auto"/>
          <w:highlight w:val="none"/>
        </w:rPr>
      </w:r>
      <w:r/>
    </w:p>
    <w:p>
      <w:pPr>
        <w:pStyle w:val="987"/>
        <w:ind w:firstLine="0"/>
        <w:jc w:val="center"/>
        <w:rPr>
          <w:b/>
          <w:color w:val="auto"/>
          <w:highlight w:val="none"/>
        </w:rPr>
      </w:pPr>
      <w:r>
        <w:rPr>
          <w:rFonts w:hint="eastAsia"/>
          <w:b/>
          <w:color w:val="auto"/>
          <w:highlight w:val="none"/>
        </w:rPr>
        <w:t xml:space="preserve">磋商报价分析表</w:t>
      </w:r>
      <w:r>
        <w:rPr>
          <w:color w:val="auto"/>
          <w:highlight w:val="none"/>
        </w:rPr>
      </w:r>
      <w:r/>
    </w:p>
    <w:tbl>
      <w:tblPr>
        <w:tblStyle w:val="724"/>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费用项目</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单位</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数量</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单价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总价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备注</w:t>
            </w:r>
            <w:r>
              <w:rPr>
                <w:color w:val="auto"/>
                <w:highlight w:val="none"/>
              </w:rPr>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4</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5</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6</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09" w:type="dxa"/>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cantSplit/>
          <w:jc w:val="center"/>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合计总报价</w:t>
            </w:r>
            <w:r>
              <w:rPr>
                <w:color w:val="auto"/>
                <w:highlight w:val="none"/>
              </w:rPr>
            </w:r>
            <w:r/>
          </w:p>
        </w:tc>
        <w:tc>
          <w:tcPr>
            <w:gridSpan w:val="4"/>
            <w:tcBorders>
              <w:top w:val="single" w:color="000000" w:sz="4" w:space="0"/>
              <w:left w:val="single" w:color="000000" w:sz="4" w:space="0"/>
              <w:bottom w:val="single" w:color="000000" w:sz="4" w:space="0"/>
              <w:right w:val="single" w:color="000000" w:sz="4" w:space="0"/>
            </w:tcBorders>
            <w:tcW w:w="6592" w:type="dxa"/>
            <w:textDirection w:val="lrTb"/>
            <w:noWrap w:val="false"/>
          </w:tcPr>
          <w:p>
            <w:pP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人民币（小写）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元</w:t>
            </w:r>
            <w:r>
              <w:rPr>
                <w:color w:val="auto"/>
                <w:highlight w:val="none"/>
              </w:rPr>
            </w:r>
            <w:r/>
          </w:p>
        </w:tc>
      </w:tr>
      <w:tr>
        <w:trPr>
          <w:cantSplit/>
          <w:jc w:val="center"/>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spacing w:line="4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服务期限</w:t>
            </w:r>
            <w:r>
              <w:rPr>
                <w:color w:val="auto"/>
                <w:highlight w:val="none"/>
              </w:rPr>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spacing w:line="400" w:lineRule="exact"/>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bl>
    <w:p>
      <w:pPr>
        <w:ind w:firstLine="480"/>
        <w:spacing w:line="560" w:lineRule="exact"/>
        <w:shd w:val="clear" w:color="auto" w:fill="ffffff"/>
        <w:widowControl/>
        <w:tabs>
          <w:tab w:val="left" w:pos="315"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rPr>
          <w:color w:val="auto"/>
          <w:highlight w:val="none"/>
        </w:rPr>
      </w:r>
      <w:r/>
    </w:p>
    <w:p>
      <w:pPr>
        <w:ind w:firstLine="480"/>
        <w:spacing w:line="560" w:lineRule="exact"/>
        <w:shd w:val="clear" w:color="auto" w:fill="ffffff"/>
        <w:widowControl/>
        <w:tabs>
          <w:tab w:val="left" w:pos="315"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注：磋商响应报价明细表包含响应单位各项成本核算和投入的成本明细，合计金额应与开标一览表金额一致；否则，以开标一览表为准。</w:t>
      </w:r>
      <w:r>
        <w:rPr>
          <w:color w:val="auto"/>
          <w:highlight w:val="none"/>
        </w:rPr>
      </w:r>
      <w:r/>
    </w:p>
    <w:p>
      <w:pPr>
        <w:pStyle w:val="992"/>
        <w:rPr>
          <w:rFonts w:ascii="宋体" w:hAnsi="宋体"/>
          <w:color w:val="auto"/>
          <w:highlight w:val="none"/>
        </w:rPr>
      </w:pPr>
      <w:r>
        <w:rPr>
          <w:rFonts w:ascii="宋体" w:hAnsi="宋体"/>
          <w:color w:val="auto"/>
          <w:highlight w:val="none"/>
        </w:rPr>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供应商：（公章）</w:t>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日期：   年   月   日</w:t>
      </w:r>
      <w:r>
        <w:rPr>
          <w:color w:val="auto"/>
          <w:highlight w:val="none"/>
        </w:rPr>
      </w:r>
      <w:r/>
    </w:p>
    <w:p>
      <w:pPr>
        <w:pStyle w:val="953"/>
        <w:ind w:left="0" w:firstLine="482"/>
        <w:spacing w:line="240" w:lineRule="auto"/>
        <w:rPr>
          <w:rFonts w:ascii="宋体" w:hAnsi="宋体" w:eastAsia="宋体" w:cs="宋体"/>
          <w:b/>
          <w:bCs/>
          <w:color w:val="auto"/>
          <w:highlight w:val="none"/>
        </w:rPr>
      </w:pPr>
      <w:r>
        <w:rPr>
          <w:rFonts w:ascii="宋体" w:hAnsi="宋体" w:eastAsia="宋体" w:cs="宋体"/>
          <w:b/>
          <w:bCs/>
          <w:color w:val="auto"/>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913"/>
        <w:ind w:firstLine="0"/>
        <w:jc w:val="both"/>
        <w:spacing w:line="360" w:lineRule="auto"/>
        <w:rPr>
          <w:rFonts w:ascii="宋体" w:hAnsi="宋体" w:eastAsia="宋体"/>
          <w:b/>
          <w:color w:val="auto"/>
          <w:szCs w:val="24"/>
          <w:highlight w:val="none"/>
        </w:rPr>
        <w:outlineLvl w:val="1"/>
      </w:pPr>
      <w:r>
        <w:rPr>
          <w:rFonts w:ascii="宋体" w:hAnsi="宋体" w:eastAsia="宋体"/>
          <w:color w:val="auto"/>
          <w:szCs w:val="24"/>
          <w:highlight w:val="none"/>
          <w:lang w:val="zh-CN"/>
        </w:rPr>
        <w:br w:type="page" w:clear="all"/>
      </w:r>
      <w:r>
        <w:rPr>
          <w:rFonts w:hint="eastAsia" w:ascii="宋体" w:hAnsi="宋体" w:eastAsia="宋体"/>
          <w:b/>
          <w:color w:val="auto"/>
          <w:szCs w:val="24"/>
          <w:highlight w:val="none"/>
        </w:rPr>
        <w:t xml:space="preserve">5、商务条款偏离表</w:t>
      </w:r>
      <w:r>
        <w:rPr>
          <w:color w:val="auto"/>
          <w:highlight w:val="none"/>
        </w:rPr>
      </w:r>
      <w:r/>
    </w:p>
    <w:p>
      <w:pPr>
        <w:pStyle w:val="913"/>
        <w:ind w:firstLine="0"/>
        <w:jc w:val="center"/>
        <w:spacing w:line="360" w:lineRule="auto"/>
        <w:rPr>
          <w:rFonts w:ascii="宋体" w:hAnsi="宋体" w:eastAsia="宋体"/>
          <w:b/>
          <w:color w:val="auto"/>
          <w:szCs w:val="24"/>
          <w:highlight w:val="none"/>
        </w:rPr>
      </w:pPr>
      <w:r>
        <w:rPr>
          <w:rFonts w:hint="eastAsia" w:ascii="宋体" w:hAnsi="宋体" w:eastAsia="宋体"/>
          <w:b/>
          <w:color w:val="auto"/>
          <w:szCs w:val="24"/>
          <w:highlight w:val="none"/>
        </w:rPr>
        <w:t xml:space="preserve">商务条款偏离表</w:t>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bl>
      <w:tblPr>
        <w:tblStyle w:val="72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jc w:val="center"/>
          <w:trHeight w:val="915"/>
        </w:trPr>
        <w:tc>
          <w:tcPr>
            <w:tcW w:w="796" w:type="dxa"/>
            <w:textDirection w:val="lrTb"/>
            <w:noWrap w:val="false"/>
          </w:tcPr>
          <w:p>
            <w:pPr>
              <w:jc w:val="center"/>
              <w:spacing w:before="240" w:after="24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rPr>
                <w:color w:val="auto"/>
                <w:highlight w:val="none"/>
              </w:rPr>
            </w:r>
            <w:r/>
          </w:p>
        </w:tc>
        <w:tc>
          <w:tcPr>
            <w:tcW w:w="2159" w:type="dxa"/>
            <w:textDirection w:val="lrTb"/>
            <w:noWrap w:val="false"/>
          </w:tcPr>
          <w:p>
            <w:pPr>
              <w:jc w:val="center"/>
              <w:spacing w:before="240" w:after="24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采购文件条目号</w:t>
            </w:r>
            <w:r>
              <w:rPr>
                <w:color w:val="auto"/>
                <w:highlight w:val="none"/>
              </w:rPr>
            </w:r>
            <w:r/>
          </w:p>
        </w:tc>
        <w:tc>
          <w:tcPr>
            <w:tcW w:w="2699" w:type="dxa"/>
            <w:textDirection w:val="lrTb"/>
            <w:noWrap w:val="false"/>
          </w:tcPr>
          <w:p>
            <w:pPr>
              <w:jc w:val="center"/>
              <w:spacing w:before="240" w:after="24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采购文件的商务条款</w:t>
            </w:r>
            <w:r>
              <w:rPr>
                <w:color w:val="auto"/>
                <w:highlight w:val="none"/>
              </w:rPr>
            </w:r>
            <w:r/>
          </w:p>
        </w:tc>
        <w:tc>
          <w:tcPr>
            <w:tcW w:w="2699" w:type="dxa"/>
            <w:textDirection w:val="lrTb"/>
            <w:noWrap w:val="false"/>
          </w:tcPr>
          <w:p>
            <w:pPr>
              <w:jc w:val="center"/>
              <w:spacing w:before="240" w:after="24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响应文件的商务条款</w:t>
            </w:r>
            <w:r>
              <w:rPr>
                <w:color w:val="auto"/>
                <w:highlight w:val="none"/>
              </w:rPr>
            </w:r>
            <w:r/>
          </w:p>
        </w:tc>
        <w:tc>
          <w:tcPr>
            <w:tcW w:w="1233" w:type="dxa"/>
            <w:textDirection w:val="lrTb"/>
            <w:noWrap w:val="false"/>
          </w:tcPr>
          <w:p>
            <w:pPr>
              <w:jc w:val="center"/>
              <w:spacing w:before="240" w:after="24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rPr>
                <w:color w:val="auto"/>
                <w:highlight w:val="none"/>
              </w:rPr>
            </w:r>
            <w:r/>
          </w:p>
        </w:tc>
      </w:tr>
      <w:tr>
        <w:trPr>
          <w:jc w:val="center"/>
          <w:trHeight w:val="915"/>
        </w:trPr>
        <w:tc>
          <w:tcPr>
            <w:tcW w:w="796"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15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233"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Height w:val="915"/>
        </w:trPr>
        <w:tc>
          <w:tcPr>
            <w:tcW w:w="796"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15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233"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Height w:val="915"/>
        </w:trPr>
        <w:tc>
          <w:tcPr>
            <w:tcW w:w="796"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15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233"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Height w:val="901"/>
        </w:trPr>
        <w:tc>
          <w:tcPr>
            <w:tcW w:w="796"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15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233"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Height w:val="915"/>
        </w:trPr>
        <w:tc>
          <w:tcPr>
            <w:tcW w:w="796"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15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233"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Height w:val="915"/>
        </w:trPr>
        <w:tc>
          <w:tcPr>
            <w:tcW w:w="796"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15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2699"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233"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bl>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rPr>
          <w:color w:val="auto"/>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rPr>
          <w:color w:val="auto"/>
          <w:highlight w:val="none"/>
        </w:rPr>
      </w:r>
      <w:r/>
    </w:p>
    <w:p>
      <w:pPr>
        <w:pStyle w:val="913"/>
        <w:ind w:firstLine="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    年    月    日</w:t>
      </w:r>
      <w:r>
        <w:rPr>
          <w:color w:val="auto"/>
          <w:highlight w:val="none"/>
        </w:rPr>
      </w:r>
      <w:r/>
    </w:p>
    <w:p>
      <w:pPr>
        <w:pStyle w:val="913"/>
        <w:ind w:firstLine="0"/>
        <w:rPr>
          <w:rFonts w:ascii="宋体" w:hAnsi="宋体" w:eastAsia="宋体"/>
          <w:b/>
          <w:color w:val="auto"/>
          <w:highlight w:val="none"/>
        </w:rPr>
        <w:outlineLvl w:val="1"/>
      </w:pPr>
      <w:r>
        <w:rPr>
          <w:rFonts w:ascii="宋体" w:hAnsi="宋体" w:eastAsia="宋体"/>
          <w:color w:val="auto"/>
          <w:szCs w:val="24"/>
          <w:highlight w:val="none"/>
        </w:rPr>
        <w:br w:type="page" w:clear="all"/>
      </w:r>
      <w:r>
        <w:rPr>
          <w:rFonts w:hint="eastAsia" w:ascii="宋体" w:hAnsi="宋体" w:eastAsia="宋体"/>
          <w:b/>
          <w:color w:val="auto"/>
          <w:highlight w:val="none"/>
        </w:rPr>
        <w:t xml:space="preserve">6、服务要求偏离表</w:t>
      </w:r>
      <w:r>
        <w:rPr>
          <w:color w:val="auto"/>
          <w:highlight w:val="none"/>
        </w:rPr>
      </w:r>
      <w:r/>
    </w:p>
    <w:p>
      <w:pPr>
        <w:jc w:val="cente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服务要求偏离表</w:t>
      </w:r>
      <w:r>
        <w:rPr>
          <w:color w:val="auto"/>
          <w:highlight w:val="none"/>
        </w:rPr>
      </w:r>
      <w:r/>
    </w:p>
    <w:tbl>
      <w:tblPr>
        <w:tblStyle w:val="72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rPr>
                <w:color w:val="auto"/>
                <w:highlight w:val="none"/>
              </w:rPr>
            </w:r>
            <w:r/>
          </w:p>
        </w:tc>
        <w:tc>
          <w:tcPr>
            <w:tcW w:w="1800"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采购内容</w:t>
            </w:r>
            <w:r>
              <w:rPr>
                <w:color w:val="auto"/>
                <w:highlight w:val="none"/>
              </w:rPr>
            </w:r>
            <w:r/>
          </w:p>
        </w:tc>
        <w:tc>
          <w:tcPr>
            <w:tcW w:w="1620"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采购要求</w:t>
            </w:r>
            <w:r>
              <w:rPr>
                <w:color w:val="auto"/>
                <w:highlight w:val="none"/>
              </w:rPr>
            </w:r>
            <w:r/>
          </w:p>
        </w:tc>
        <w:tc>
          <w:tcPr>
            <w:tcW w:w="1440"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响应要求</w:t>
            </w:r>
            <w:r>
              <w:rPr>
                <w:color w:val="auto"/>
                <w:highlight w:val="none"/>
              </w:rPr>
            </w:r>
            <w:r/>
          </w:p>
        </w:tc>
        <w:tc>
          <w:tcPr>
            <w:tcW w:w="1699"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偏离/响应</w:t>
            </w:r>
            <w:r>
              <w:rPr>
                <w:color w:val="auto"/>
                <w:highlight w:val="none"/>
              </w:rPr>
            </w:r>
            <w:r/>
          </w:p>
        </w:tc>
        <w:tc>
          <w:tcPr>
            <w:tcW w:w="1757"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rPr>
                <w:color w:val="auto"/>
                <w:highlight w:val="none"/>
              </w:rPr>
            </w:r>
            <w:r/>
          </w:p>
        </w:tc>
      </w:tr>
      <w:tr>
        <w:trPr>
          <w:jc w:val="center"/>
        </w:trPr>
        <w:tc>
          <w:tcPr>
            <w:tcW w:w="828"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80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2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44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99"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757"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Pr>
        <w:tc>
          <w:tcPr>
            <w:tcW w:w="828"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80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2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44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99"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757"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Pr>
        <w:tc>
          <w:tcPr>
            <w:tcW w:w="828"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80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2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44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99"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757"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Pr>
        <w:tc>
          <w:tcPr>
            <w:tcW w:w="828"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80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2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44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99"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757"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r>
        <w:trPr>
          <w:jc w:val="center"/>
        </w:trPr>
        <w:tc>
          <w:tcPr>
            <w:tcW w:w="828" w:type="dxa"/>
            <w:textDirection w:val="lrTb"/>
            <w:noWrap w:val="false"/>
          </w:tcPr>
          <w:p>
            <w:pPr>
              <w:spacing w:before="240" w:after="24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80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2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440"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699"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c>
          <w:tcPr>
            <w:tcW w:w="1757" w:type="dxa"/>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tc>
      </w:tr>
    </w:tbl>
    <w:p>
      <w:pPr>
        <w:pStyle w:val="992"/>
        <w:rPr>
          <w:rFonts w:ascii="宋体" w:hAnsi="宋体"/>
          <w:color w:val="auto"/>
          <w:highlight w:val="none"/>
        </w:rPr>
      </w:pPr>
      <w:r>
        <w:rPr>
          <w:rFonts w:hint="eastAsia" w:ascii="宋体" w:hAnsi="宋体"/>
          <w:color w:val="auto"/>
          <w:highlight w:val="none"/>
        </w:rPr>
        <w:t xml:space="preserve">注：1、响应人应对照采购文件服务要求等要求，所投标的物与采购文件的规定有偏离的，应在此表中申明与设计要求条文的偏差和例外。</w:t>
      </w:r>
      <w:r>
        <w:rPr>
          <w:color w:val="auto"/>
          <w:highlight w:val="none"/>
        </w:rPr>
      </w:r>
      <w:r/>
    </w:p>
    <w:p>
      <w:pPr>
        <w:pStyle w:val="992"/>
        <w:rPr>
          <w:rFonts w:ascii="宋体" w:hAnsi="宋体"/>
          <w:color w:val="auto"/>
          <w:highlight w:val="none"/>
        </w:rPr>
      </w:pPr>
      <w:r>
        <w:rPr>
          <w:rFonts w:hint="eastAsia" w:ascii="宋体" w:hAnsi="宋体"/>
          <w:color w:val="auto"/>
          <w:highlight w:val="none"/>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供应商：（公章）</w:t>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rPr>
          <w:color w:val="auto"/>
          <w:highlight w:val="none"/>
        </w:rPr>
      </w:r>
      <w:r/>
    </w:p>
    <w:p>
      <w:pPr>
        <w:pStyle w:val="1002"/>
        <w:ind w:firstLine="480"/>
        <w:spacing w:line="360" w:lineRule="auto"/>
        <w:rPr>
          <w:rFonts w:hAnsi="宋体" w:eastAsia="宋体"/>
          <w:b/>
          <w:color w:val="auto"/>
          <w:sz w:val="24"/>
          <w:szCs w:val="24"/>
          <w:highlight w:val="none"/>
        </w:rPr>
      </w:pPr>
      <w:r>
        <w:rPr>
          <w:rFonts w:hint="eastAsia" w:hAnsi="宋体" w:eastAsia="宋体"/>
          <w:color w:val="auto"/>
          <w:sz w:val="24"/>
          <w:szCs w:val="24"/>
          <w:highlight w:val="none"/>
        </w:rPr>
        <w:t xml:space="preserve">日期：   年   月   日</w:t>
      </w:r>
      <w:r>
        <w:rPr>
          <w:color w:val="auto"/>
          <w:highlight w:val="none"/>
        </w:rPr>
      </w:r>
      <w:r/>
    </w:p>
    <w:p>
      <w:pPr>
        <w:pStyle w:val="913"/>
        <w:ind w:firstLine="0"/>
        <w:jc w:val="both"/>
        <w:spacing w:line="360" w:lineRule="auto"/>
        <w:rPr>
          <w:rFonts w:ascii="宋体" w:hAnsi="宋体" w:eastAsia="宋体"/>
          <w:b/>
          <w:bCs/>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bCs/>
          <w:color w:val="auto"/>
          <w:szCs w:val="24"/>
          <w:highlight w:val="none"/>
        </w:rPr>
        <w:t xml:space="preserve">7</w:t>
      </w:r>
      <w:r>
        <w:rPr>
          <w:rFonts w:hint="eastAsia" w:ascii="宋体" w:hAnsi="宋体" w:eastAsia="宋体"/>
          <w:b/>
          <w:bCs/>
          <w:color w:val="auto"/>
          <w:szCs w:val="24"/>
          <w:highlight w:val="none"/>
        </w:rPr>
        <w:t xml:space="preserve">、</w:t>
      </w:r>
      <w:r>
        <w:rPr>
          <w:rFonts w:hint="eastAsia" w:ascii="宋体" w:hAnsi="宋体" w:eastAsia="宋体"/>
          <w:b/>
          <w:color w:val="auto"/>
          <w:szCs w:val="24"/>
          <w:highlight w:val="none"/>
        </w:rPr>
        <w:t xml:space="preserve">配备人员一览表</w:t>
      </w:r>
      <w:r>
        <w:rPr>
          <w:color w:val="auto"/>
          <w:highlight w:val="none"/>
        </w:rPr>
      </w:r>
      <w:r/>
    </w:p>
    <w:p>
      <w:pPr>
        <w:pStyle w:val="924"/>
        <w:jc w:val="center"/>
        <w:spacing w:line="360" w:lineRule="auto"/>
        <w:rPr>
          <w:rFonts w:hAnsi="宋体" w:eastAsia="宋体"/>
          <w:b/>
          <w:color w:val="auto"/>
          <w:sz w:val="24"/>
          <w:szCs w:val="24"/>
          <w:highlight w:val="none"/>
        </w:rPr>
      </w:pPr>
      <w:r>
        <w:rPr>
          <w:rFonts w:hint="eastAsia" w:hAnsi="宋体" w:eastAsia="宋体"/>
          <w:b/>
          <w:color w:val="auto"/>
          <w:sz w:val="24"/>
          <w:szCs w:val="24"/>
          <w:highlight w:val="none"/>
        </w:rPr>
        <w:t xml:space="preserve">配备人员一览表</w:t>
      </w:r>
      <w:r>
        <w:rPr>
          <w:color w:val="auto"/>
          <w:highlight w:val="none"/>
        </w:rPr>
      </w:r>
      <w:r/>
    </w:p>
    <w:tbl>
      <w:tblPr>
        <w:tblStyle w:val="724"/>
        <w:tblW w:w="98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20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rPr>
                <w:color w:val="auto"/>
                <w:highlight w:val="none"/>
              </w:rPr>
            </w:r>
            <w:r/>
          </w:p>
        </w:tc>
        <w:tc>
          <w:tcPr>
            <w:tcW w:w="155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color w:val="auto"/>
                <w:highlight w:val="none"/>
              </w:rPr>
            </w:r>
            <w:r/>
          </w:p>
        </w:tc>
        <w:tc>
          <w:tcPr>
            <w:tcW w:w="113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rPr>
                <w:color w:val="auto"/>
                <w:highlight w:val="none"/>
              </w:rPr>
            </w:r>
            <w:r/>
          </w:p>
        </w:tc>
        <w:tc>
          <w:tcPr>
            <w:tcW w:w="113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rPr>
                <w:color w:val="auto"/>
                <w:highlight w:val="none"/>
              </w:rPr>
            </w:r>
            <w:r/>
          </w:p>
        </w:tc>
        <w:tc>
          <w:tcPr>
            <w:tcW w:w="127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rPr>
                <w:color w:val="auto"/>
                <w:highlight w:val="none"/>
              </w:rPr>
            </w:r>
            <w:r/>
          </w:p>
        </w:tc>
        <w:tc>
          <w:tcPr>
            <w:tcW w:w="99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rPr>
                <w:color w:val="auto"/>
                <w:highlight w:val="none"/>
              </w:rPr>
            </w:r>
            <w:r/>
          </w:p>
        </w:tc>
        <w:tc>
          <w:tcPr>
            <w:tcW w:w="99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jc w:val="center"/>
          <w:trHeight w:val="495"/>
        </w:trPr>
        <w:tc>
          <w:tcPr>
            <w:tcW w:w="7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color w:val="auto"/>
                <w:highlight w:val="none"/>
              </w:rPr>
            </w:r>
            <w:r/>
          </w:p>
        </w:tc>
        <w:tc>
          <w:tcPr>
            <w:tcW w:w="208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55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13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27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992" w:type="dxa"/>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bl>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1002"/>
        <w:ind w:firstLine="2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供应商：（单位盖章）</w:t>
      </w:r>
      <w:r>
        <w:rPr>
          <w:color w:val="auto"/>
          <w:highlight w:val="none"/>
        </w:rPr>
      </w:r>
      <w:r/>
    </w:p>
    <w:p>
      <w:pPr>
        <w:pStyle w:val="1002"/>
        <w:ind w:firstLine="2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rPr>
          <w:color w:val="auto"/>
          <w:highlight w:val="none"/>
        </w:rPr>
      </w:r>
      <w:r/>
    </w:p>
    <w:p>
      <w:pPr>
        <w:pStyle w:val="1002"/>
        <w:ind w:firstLine="2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日期：         年         月       日</w:t>
      </w:r>
      <w:r>
        <w:rPr>
          <w:color w:val="auto"/>
          <w:highlight w:val="none"/>
        </w:rPr>
      </w:r>
      <w:r/>
    </w:p>
    <w:p>
      <w:pPr>
        <w:pStyle w:val="908"/>
        <w:rPr>
          <w:color w:val="auto"/>
          <w:highlight w:val="none"/>
        </w:rPr>
      </w:pPr>
      <w:r>
        <w:rPr>
          <w:color w:val="auto"/>
          <w:highlight w:val="none"/>
        </w:rPr>
      </w:r>
      <w:r>
        <w:rPr>
          <w:color w:val="auto"/>
          <w:highlight w:val="none"/>
        </w:rPr>
      </w:r>
      <w:r/>
    </w:p>
    <w:p>
      <w:pPr>
        <w:pStyle w:val="898"/>
        <w:rPr>
          <w:rFonts w:eastAsia="宋体"/>
          <w:bCs/>
          <w:color w:val="auto"/>
          <w:sz w:val="24"/>
          <w:szCs w:val="24"/>
          <w:highlight w:val="none"/>
        </w:rPr>
      </w:pPr>
      <w:r>
        <w:rPr>
          <w:rFonts w:hint="eastAsia" w:eastAsia="宋体"/>
          <w:bCs/>
          <w:color w:val="auto"/>
          <w:sz w:val="24"/>
          <w:szCs w:val="24"/>
          <w:highlight w:val="none"/>
        </w:rPr>
        <w:br w:type="page" w:clear="all"/>
      </w:r>
      <w:r>
        <w:rPr>
          <w:rFonts w:hint="eastAsia" w:eastAsia="宋体"/>
          <w:bCs/>
          <w:color w:val="auto"/>
          <w:sz w:val="24"/>
          <w:szCs w:val="24"/>
          <w:highlight w:val="none"/>
        </w:rPr>
        <w:t xml:space="preserve">8、类似项目业绩一览表</w:t>
      </w:r>
      <w:r>
        <w:rPr>
          <w:color w:val="auto"/>
          <w:highlight w:val="none"/>
        </w:rPr>
      </w:r>
      <w:r/>
    </w:p>
    <w:p>
      <w:pPr>
        <w:jc w:val="cente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类似项目业绩一览表</w:t>
      </w:r>
      <w:r>
        <w:rPr>
          <w:color w:val="auto"/>
          <w:highlight w:val="none"/>
        </w:rPr>
      </w:r>
      <w:r/>
    </w:p>
    <w:tbl>
      <w:tblPr>
        <w:tblStyle w:val="724"/>
        <w:tblW w:w="91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采购单位</w:t>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签订时间</w:t>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合同金额（万元）</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p>
        </w:tc>
      </w:tr>
    </w:tbl>
    <w:p>
      <w:pPr>
        <w:spacing w:line="560" w:lineRule="exact"/>
        <w:shd w:val="clear" w:color="auto" w:fill="ffffff"/>
        <w:widowControl/>
        <w:tabs>
          <w:tab w:val="left" w:pos="315"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rPr>
          <w:color w:val="auto"/>
          <w:highlight w:val="none"/>
        </w:rPr>
      </w:r>
      <w:r/>
    </w:p>
    <w:p>
      <w:pPr>
        <w:spacing w:line="560" w:lineRule="exact"/>
        <w:shd w:val="clear" w:color="auto" w:fill="ffffff"/>
        <w:widowControl/>
        <w:tabs>
          <w:tab w:val="left" w:pos="315"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注：响应单位应提供合同复印件在表后。</w:t>
      </w:r>
      <w:r>
        <w:rPr>
          <w:color w:val="auto"/>
          <w:highlight w:val="none"/>
        </w:rPr>
      </w:r>
      <w:r/>
    </w:p>
    <w:p>
      <w:pPr>
        <w:spacing w:before="120"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供应商：（公章）</w:t>
      </w:r>
      <w:r>
        <w:rPr>
          <w:color w:val="auto"/>
          <w:highlight w:val="none"/>
        </w:rPr>
      </w:r>
      <w:r/>
    </w:p>
    <w:p>
      <w:pPr>
        <w:pStyle w:val="1002"/>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rPr>
          <w:color w:val="auto"/>
          <w:highlight w:val="none"/>
        </w:rPr>
      </w:r>
      <w:r/>
    </w:p>
    <w:p>
      <w:pPr>
        <w:pStyle w:val="1002"/>
        <w:ind w:firstLine="480"/>
        <w:spacing w:line="360" w:lineRule="auto"/>
        <w:rPr>
          <w:rFonts w:hAnsi="宋体" w:eastAsia="宋体"/>
          <w:b/>
          <w:color w:val="auto"/>
          <w:sz w:val="24"/>
          <w:szCs w:val="24"/>
          <w:highlight w:val="none"/>
        </w:rPr>
      </w:pPr>
      <w:r>
        <w:rPr>
          <w:rFonts w:hint="eastAsia" w:hAnsi="宋体" w:eastAsia="宋体"/>
          <w:color w:val="auto"/>
          <w:sz w:val="24"/>
          <w:szCs w:val="24"/>
          <w:highlight w:val="none"/>
        </w:rPr>
        <w:t xml:space="preserve">日期：   年   月   日</w:t>
      </w:r>
      <w:r>
        <w:rPr>
          <w:color w:val="auto"/>
          <w:highlight w:val="none"/>
        </w:rPr>
      </w:r>
      <w:r/>
    </w:p>
    <w:p>
      <w:pPr>
        <w:pStyle w:val="898"/>
        <w:rPr>
          <w:rFonts w:eastAsia="宋体"/>
          <w:bCs/>
          <w:color w:val="auto"/>
          <w:szCs w:val="24"/>
          <w:highlight w:val="none"/>
        </w:rPr>
      </w:pPr>
      <w:r>
        <w:rPr>
          <w:rFonts w:eastAsia="宋体"/>
          <w:b w:val="0"/>
          <w:color w:val="auto"/>
          <w:szCs w:val="24"/>
          <w:highlight w:val="none"/>
        </w:rPr>
        <w:br w:type="page" w:clear="all"/>
      </w:r>
      <w:r>
        <w:rPr>
          <w:rFonts w:hint="eastAsia" w:eastAsia="宋体"/>
          <w:bCs/>
          <w:color w:val="auto"/>
          <w:sz w:val="24"/>
          <w:szCs w:val="22"/>
          <w:highlight w:val="none"/>
        </w:rPr>
        <w:t xml:space="preserve">9、资格证明文件</w:t>
      </w:r>
      <w:r>
        <w:rPr>
          <w:color w:val="auto"/>
          <w:highlight w:val="none"/>
        </w:rPr>
      </w:r>
      <w:r/>
    </w:p>
    <w:p>
      <w:pPr>
        <w:pStyle w:val="913"/>
        <w:ind w:firstLine="0"/>
        <w:jc w:val="both"/>
        <w:spacing w:line="360" w:lineRule="auto"/>
        <w:rPr>
          <w:rFonts w:ascii="宋体" w:hAnsi="宋体" w:eastAsia="宋体"/>
          <w:b/>
          <w:color w:val="auto"/>
          <w:szCs w:val="24"/>
          <w:highlight w:val="none"/>
        </w:rPr>
      </w:pPr>
      <w:r>
        <w:rPr>
          <w:rFonts w:ascii="宋体" w:hAnsi="宋体" w:eastAsia="宋体"/>
          <w:b/>
          <w:color w:val="auto"/>
          <w:szCs w:val="24"/>
          <w:highlight w:val="none"/>
        </w:rPr>
      </w:r>
      <w:r>
        <w:rPr>
          <w:color w:val="auto"/>
          <w:highlight w:val="none"/>
        </w:rPr>
      </w:r>
      <w:r/>
    </w:p>
    <w:p>
      <w:pPr>
        <w:pStyle w:val="913"/>
        <w:ind w:firstLine="0"/>
        <w:jc w:val="both"/>
        <w:spacing w:line="360" w:lineRule="auto"/>
        <w:rPr>
          <w:rFonts w:ascii="宋体" w:hAnsi="宋体" w:eastAsia="宋体"/>
          <w:b/>
          <w:color w:val="auto"/>
          <w:szCs w:val="24"/>
          <w:highlight w:val="none"/>
        </w:rPr>
        <w:outlineLvl w:val="2"/>
      </w:pPr>
      <w:r>
        <w:rPr>
          <w:rFonts w:hint="eastAsia" w:ascii="宋体" w:hAnsi="宋体" w:eastAsia="宋体"/>
          <w:b/>
          <w:color w:val="auto"/>
          <w:szCs w:val="24"/>
          <w:highlight w:val="none"/>
        </w:rPr>
        <w:t xml:space="preserve">(1)关于资格文件的声明函</w:t>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关于资格文件的声明函</w:t>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both"/>
        <w:spacing w:line="360" w:lineRule="auto"/>
        <w:rPr>
          <w:rFonts w:ascii="宋体" w:hAnsi="宋体" w:eastAsia="宋体"/>
          <w:color w:val="auto"/>
          <w:szCs w:val="24"/>
          <w:highlight w:val="none"/>
          <w:u w:val="single"/>
        </w:rPr>
      </w:pPr>
      <w:r>
        <w:rPr>
          <w:rFonts w:hint="eastAsia" w:ascii="宋体" w:hAnsi="宋体" w:eastAsia="宋体"/>
          <w:color w:val="auto"/>
          <w:szCs w:val="24"/>
          <w:highlight w:val="none"/>
          <w:u w:val="single"/>
        </w:rPr>
        <w:t xml:space="preserve">江苏正琦工程咨询有限公司</w:t>
      </w:r>
      <w:r>
        <w:rPr>
          <w:rFonts w:hint="eastAsia" w:ascii="宋体" w:hAnsi="宋体" w:eastAsia="宋体"/>
          <w:color w:val="auto"/>
          <w:szCs w:val="24"/>
          <w:highlight w:val="none"/>
        </w:rPr>
        <w:t xml:space="preserve">：</w:t>
      </w:r>
      <w:r>
        <w:rPr>
          <w:color w:val="auto"/>
          <w:highlight w:val="none"/>
        </w:rPr>
      </w:r>
      <w:r/>
    </w:p>
    <w:p>
      <w:pPr>
        <w:pStyle w:val="913"/>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本单位愿就由贵单位组织实施的编号为</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号的磋商采购活动进行响应。本单位所提交的响应文件中所有关于磋商资格的文件、证明和陈述均是真实的、准确的。若与真实情况不符，本单位愿意承担由此而产生的一切后果。</w:t>
      </w:r>
      <w:r>
        <w:rPr>
          <w:color w:val="auto"/>
          <w:highlight w:val="none"/>
        </w:rPr>
      </w:r>
      <w:r/>
    </w:p>
    <w:p>
      <w:pPr>
        <w:pStyle w:val="913"/>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1002"/>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供应商：（单位盖章）</w:t>
      </w:r>
      <w:r>
        <w:rPr>
          <w:color w:val="auto"/>
          <w:highlight w:val="none"/>
        </w:rPr>
      </w:r>
      <w:r/>
    </w:p>
    <w:p>
      <w:pPr>
        <w:pStyle w:val="1002"/>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法定代表人或代理人：（签字或盖章）</w:t>
      </w:r>
      <w:r>
        <w:rPr>
          <w:color w:val="auto"/>
          <w:highlight w:val="none"/>
        </w:rPr>
      </w:r>
      <w:r/>
    </w:p>
    <w:p>
      <w:pPr>
        <w:pStyle w:val="1002"/>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日期：   年   月    日</w:t>
      </w:r>
      <w:r>
        <w:rPr>
          <w:color w:val="auto"/>
          <w:highlight w:val="none"/>
        </w:rPr>
      </w:r>
      <w:r/>
    </w:p>
    <w:p>
      <w:pPr>
        <w:pStyle w:val="913"/>
        <w:ind w:left="3507" w:firstLine="1145"/>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both"/>
        <w:spacing w:line="360" w:lineRule="auto"/>
        <w:rPr>
          <w:rFonts w:ascii="宋体" w:hAnsi="宋体" w:eastAsia="宋体"/>
          <w:b/>
          <w:color w:val="auto"/>
          <w:szCs w:val="24"/>
          <w:highlight w:val="none"/>
        </w:rPr>
        <w:outlineLvl w:val="2"/>
      </w:pPr>
      <w:r>
        <w:rPr>
          <w:rFonts w:ascii="宋体" w:hAnsi="宋体" w:eastAsia="宋体"/>
          <w:color w:val="auto"/>
          <w:szCs w:val="24"/>
          <w:highlight w:val="none"/>
        </w:rPr>
        <w:br w:type="page" w:clear="all"/>
      </w:r>
      <w:r>
        <w:rPr>
          <w:rFonts w:hint="eastAsia" w:ascii="宋体" w:hAnsi="宋体" w:eastAsia="宋体"/>
          <w:b/>
          <w:color w:val="auto"/>
          <w:szCs w:val="24"/>
          <w:highlight w:val="none"/>
        </w:rPr>
        <w:t xml:space="preserve">(2)磋商响应单位情况表</w:t>
      </w:r>
      <w:r>
        <w:rPr>
          <w:color w:val="auto"/>
          <w:highlight w:val="none"/>
        </w:rPr>
      </w:r>
      <w:r/>
    </w:p>
    <w:p>
      <w:pPr>
        <w:pStyle w:val="913"/>
        <w:ind w:firstLine="0"/>
        <w:jc w:val="center"/>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磋商响应单位情况表</w:t>
      </w:r>
      <w:r>
        <w:rPr>
          <w:color w:val="auto"/>
          <w:highlight w:val="none"/>
        </w:rPr>
      </w:r>
      <w:r/>
    </w:p>
    <w:p>
      <w:pPr>
        <w:pStyle w:val="913"/>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单位名称（盖章）</w:t>
      </w:r>
      <w:r>
        <w:rPr>
          <w:color w:val="auto"/>
          <w:highlight w:val="none"/>
        </w:rPr>
      </w:r>
      <w:r/>
    </w:p>
    <w:tbl>
      <w:tblPr>
        <w:tblStyle w:val="72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法定代表人</w:t>
            </w:r>
            <w:r>
              <w:rPr>
                <w:color w:val="auto"/>
                <w:highlight w:val="none"/>
              </w:rPr>
            </w:r>
            <w:r/>
          </w:p>
        </w:tc>
        <w:tc>
          <w:tcPr>
            <w:tcW w:w="2005"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c>
          <w:tcPr>
            <w:tcW w:w="1461"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成立日期</w:t>
            </w:r>
            <w:r>
              <w:rPr>
                <w:color w:val="auto"/>
                <w:highlight w:val="none"/>
              </w:rPr>
            </w:r>
            <w:r/>
          </w:p>
        </w:tc>
        <w:tc>
          <w:tcPr>
            <w:gridSpan w:val="2"/>
            <w:tcW w:w="3292"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单位地址</w:t>
            </w:r>
            <w:r>
              <w:rPr>
                <w:color w:val="auto"/>
                <w:highlight w:val="none"/>
              </w:rPr>
            </w:r>
            <w:r/>
          </w:p>
        </w:tc>
        <w:tc>
          <w:tcPr>
            <w:tcW w:w="2005"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c>
          <w:tcPr>
            <w:tcW w:w="1461"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注册资本</w:t>
            </w:r>
            <w:r>
              <w:rPr>
                <w:color w:val="auto"/>
                <w:highlight w:val="none"/>
              </w:rPr>
            </w:r>
            <w:r/>
          </w:p>
        </w:tc>
        <w:tc>
          <w:tcPr>
            <w:gridSpan w:val="2"/>
            <w:tcW w:w="3292" w:type="dxa"/>
            <w:textDirection w:val="lrTb"/>
            <w:noWrap w:val="false"/>
          </w:tcPr>
          <w:p>
            <w:pPr>
              <w:pStyle w:val="913"/>
              <w:ind w:firstLine="2160"/>
              <w:rPr>
                <w:rFonts w:ascii="宋体" w:hAnsi="宋体" w:eastAsia="宋体"/>
                <w:color w:val="auto"/>
                <w:szCs w:val="24"/>
                <w:highlight w:val="none"/>
              </w:rPr>
            </w:pPr>
            <w:r>
              <w:rPr>
                <w:rFonts w:hint="eastAsia" w:ascii="宋体" w:hAnsi="宋体" w:eastAsia="宋体"/>
                <w:color w:val="auto"/>
                <w:szCs w:val="24"/>
                <w:highlight w:val="none"/>
              </w:rPr>
              <w:t xml:space="preserve">万元</w:t>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经营范围</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职工人数</w:t>
            </w:r>
            <w:r>
              <w:rPr>
                <w:color w:val="auto"/>
                <w:highlight w:val="none"/>
              </w:rPr>
            </w:r>
            <w:r/>
          </w:p>
        </w:tc>
        <w:tc>
          <w:tcPr>
            <w:tcW w:w="2005"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c>
          <w:tcPr>
            <w:gridSpan w:val="2"/>
            <w:tcW w:w="3517"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其中：有中高级以上职称的人数</w:t>
            </w:r>
            <w:r>
              <w:rPr>
                <w:color w:val="auto"/>
                <w:highlight w:val="none"/>
              </w:rPr>
            </w:r>
            <w:r/>
          </w:p>
        </w:tc>
        <w:tc>
          <w:tcPr>
            <w:tcW w:w="1236"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vAlign w:val="center"/>
            <w:textDirection w:val="lrTb"/>
            <w:noWrap w:val="false"/>
          </w:tcPr>
          <w:p>
            <w:pPr>
              <w:pStyle w:val="913"/>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资产总计</w:t>
            </w:r>
            <w:r>
              <w:rPr>
                <w:color w:val="auto"/>
                <w:highlight w:val="none"/>
              </w:rPr>
            </w:r>
            <w:r/>
          </w:p>
        </w:tc>
        <w:tc>
          <w:tcPr>
            <w:tcW w:w="2005" w:type="dxa"/>
            <w:vAlign w:val="center"/>
            <w:textDirection w:val="lrTb"/>
            <w:noWrap w:val="false"/>
          </w:tcPr>
          <w:p>
            <w:pPr>
              <w:pStyle w:val="913"/>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         万元</w:t>
            </w:r>
            <w:r>
              <w:rPr>
                <w:color w:val="auto"/>
                <w:highlight w:val="none"/>
              </w:rPr>
            </w:r>
            <w:r/>
          </w:p>
        </w:tc>
        <w:tc>
          <w:tcPr>
            <w:tcW w:w="1461" w:type="dxa"/>
            <w:vAlign w:val="center"/>
            <w:textDirection w:val="lrTb"/>
            <w:noWrap w:val="false"/>
          </w:tcPr>
          <w:p>
            <w:pPr>
              <w:pStyle w:val="913"/>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净资产</w:t>
            </w:r>
            <w:r>
              <w:rPr>
                <w:color w:val="auto"/>
                <w:highlight w:val="none"/>
              </w:rPr>
            </w:r>
            <w:r/>
          </w:p>
        </w:tc>
        <w:tc>
          <w:tcPr>
            <w:gridSpan w:val="2"/>
            <w:tcW w:w="3292" w:type="dxa"/>
            <w:vAlign w:val="center"/>
            <w:textDirection w:val="lrTb"/>
            <w:noWrap w:val="false"/>
          </w:tcPr>
          <w:p>
            <w:pPr>
              <w:pStyle w:val="913"/>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                万元</w:t>
            </w:r>
            <w:r>
              <w:rPr>
                <w:color w:val="auto"/>
                <w:highlight w:val="none"/>
              </w:rPr>
            </w:r>
            <w:r/>
          </w:p>
        </w:tc>
      </w:tr>
      <w:tr>
        <w:trPr>
          <w:cantSplit/>
          <w:jc w:val="center"/>
        </w:trPr>
        <w:tc>
          <w:tcPr>
            <w:tcW w:w="2510" w:type="dxa"/>
            <w:vAlign w:val="center"/>
            <w:textDirection w:val="lrTb"/>
            <w:noWrap w:val="false"/>
          </w:tcPr>
          <w:p>
            <w:pPr>
              <w:pStyle w:val="913"/>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股东权益</w:t>
            </w:r>
            <w:r>
              <w:rPr>
                <w:color w:val="auto"/>
                <w:highlight w:val="none"/>
              </w:rPr>
            </w:r>
            <w:r/>
          </w:p>
        </w:tc>
        <w:tc>
          <w:tcPr>
            <w:tcW w:w="2005" w:type="dxa"/>
            <w:vAlign w:val="center"/>
            <w:textDirection w:val="lrTb"/>
            <w:noWrap w:val="false"/>
          </w:tcPr>
          <w:p>
            <w:pPr>
              <w:pStyle w:val="913"/>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         万元</w:t>
            </w:r>
            <w:r>
              <w:rPr>
                <w:color w:val="auto"/>
                <w:highlight w:val="none"/>
              </w:rPr>
            </w:r>
            <w:r/>
          </w:p>
        </w:tc>
        <w:tc>
          <w:tcPr>
            <w:tcW w:w="1461" w:type="dxa"/>
            <w:vAlign w:val="center"/>
            <w:textDirection w:val="lrTb"/>
            <w:noWrap w:val="false"/>
          </w:tcPr>
          <w:p>
            <w:pPr>
              <w:pStyle w:val="913"/>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销售收入</w:t>
            </w:r>
            <w:r>
              <w:rPr>
                <w:color w:val="auto"/>
                <w:highlight w:val="none"/>
              </w:rPr>
            </w:r>
            <w:r/>
          </w:p>
        </w:tc>
        <w:tc>
          <w:tcPr>
            <w:gridSpan w:val="2"/>
            <w:tcW w:w="3292" w:type="dxa"/>
            <w:vAlign w:val="center"/>
            <w:textDirection w:val="lrTb"/>
            <w:noWrap w:val="false"/>
          </w:tcPr>
          <w:p>
            <w:pPr>
              <w:pStyle w:val="913"/>
              <w:ind w:firstLine="0"/>
              <w:jc w:val="center"/>
              <w:rPr>
                <w:rFonts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5年         万元</w:t>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实现利润</w:t>
            </w:r>
            <w:r>
              <w:rPr>
                <w:color w:val="auto"/>
                <w:highlight w:val="none"/>
              </w:rPr>
            </w:r>
            <w:r/>
          </w:p>
        </w:tc>
        <w:tc>
          <w:tcPr>
            <w:tcW w:w="2005"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20</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5年   万元</w:t>
            </w:r>
            <w:r>
              <w:rPr>
                <w:color w:val="auto"/>
                <w:highlight w:val="none"/>
              </w:rPr>
            </w:r>
            <w:r/>
          </w:p>
        </w:tc>
        <w:tc>
          <w:tcPr>
            <w:tcW w:w="1461"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c>
          <w:tcPr>
            <w:gridSpan w:val="2"/>
            <w:tcW w:w="3292"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rPr>
                <w:color w:val="auto"/>
                <w:highlight w:val="none"/>
              </w:rPr>
            </w:r>
            <w:r/>
          </w:p>
        </w:tc>
        <w:tc>
          <w:tcPr>
            <w:tcW w:w="2005" w:type="dxa"/>
            <w:vAlign w:val="center"/>
            <w:textDirection w:val="lrTb"/>
            <w:noWrap w:val="false"/>
          </w:tcPr>
          <w:p>
            <w:pPr>
              <w:pStyle w:val="913"/>
              <w:ind w:firstLine="0"/>
              <w:jc w:val="both"/>
              <w:rPr>
                <w:rFonts w:ascii="宋体" w:hAnsi="宋体" w:eastAsia="宋体"/>
                <w:color w:val="auto"/>
                <w:szCs w:val="24"/>
                <w:highlight w:val="none"/>
              </w:rPr>
            </w:pPr>
            <w:r>
              <w:rPr>
                <w:rFonts w:hint="eastAsia" w:ascii="宋体" w:hAnsi="宋体" w:eastAsia="宋体"/>
                <w:color w:val="auto"/>
                <w:szCs w:val="24"/>
                <w:highlight w:val="none"/>
              </w:rPr>
              <w:t xml:space="preserve">        平方米</w:t>
            </w:r>
            <w:r>
              <w:rPr>
                <w:color w:val="auto"/>
                <w:highlight w:val="none"/>
              </w:rPr>
            </w:r>
            <w:r/>
          </w:p>
        </w:tc>
        <w:tc>
          <w:tcPr>
            <w:tcW w:w="1461"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其中：</w:t>
            </w:r>
            <w:r>
              <w:rPr>
                <w:color w:val="auto"/>
                <w:highlight w:val="none"/>
              </w:rPr>
            </w:r>
            <w:r/>
          </w:p>
        </w:tc>
        <w:tc>
          <w:tcPr>
            <w:gridSpan w:val="2"/>
            <w:tcW w:w="3292"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自有面积        平方米</w:t>
            </w:r>
            <w:r>
              <w:rPr>
                <w:color w:val="auto"/>
                <w:highlight w:val="none"/>
              </w:rPr>
            </w:r>
            <w:r/>
          </w:p>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承租面积        平方米</w:t>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rPr>
                <w:color w:val="auto"/>
                <w:highlight w:val="none"/>
              </w:rPr>
            </w:r>
            <w:r/>
          </w:p>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单位优势及特长</w:t>
            </w:r>
            <w:r>
              <w:rPr>
                <w:color w:val="auto"/>
                <w:highlight w:val="none"/>
              </w:rPr>
            </w:r>
            <w:r/>
          </w:p>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近三年来完成或正在履行的重大合同情况</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最近3年内在经营过程中受到何种奖励或处分（包括情况和结果）</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年内有无因售假、售劣或是其他原因被消费者投诉或起诉的情况及说明（包括解决方式和结果）</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最近</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年内主要负责人有无因经济犯罪被司法机关追究的情况及说明</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获得技术认证的工程师及简介</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r>
        <w:trPr>
          <w:cantSplit/>
          <w:jc w:val="center"/>
          <w:trHeight w:val="560"/>
        </w:trPr>
        <w:tc>
          <w:tcPr>
            <w:tcW w:w="2510" w:type="dxa"/>
            <w:textDirection w:val="lrTb"/>
            <w:noWrap w:val="false"/>
          </w:tcPr>
          <w:p>
            <w:pPr>
              <w:pStyle w:val="913"/>
              <w:ind w:firstLine="0"/>
              <w:rPr>
                <w:rFonts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rPr>
                <w:color w:val="auto"/>
                <w:highlight w:val="none"/>
              </w:rPr>
            </w:r>
            <w:r/>
          </w:p>
        </w:tc>
        <w:tc>
          <w:tcPr>
            <w:gridSpan w:val="4"/>
            <w:tcW w:w="6758" w:type="dxa"/>
            <w:textDirection w:val="lrTb"/>
            <w:noWrap w:val="false"/>
          </w:tcPr>
          <w:p>
            <w:pPr>
              <w:pStyle w:val="913"/>
              <w:ind w:firstLine="0"/>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tc>
      </w:tr>
    </w:tbl>
    <w:p>
      <w:pPr>
        <w:pStyle w:val="913"/>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spacing w:line="360" w:lineRule="auto"/>
        <w:rPr>
          <w:rFonts w:ascii="宋体" w:hAnsi="宋体" w:eastAsia="宋体"/>
          <w:color w:val="auto"/>
          <w:szCs w:val="24"/>
          <w:highlight w:val="none"/>
        </w:rPr>
      </w:pPr>
      <w:r>
        <w:rPr>
          <w:rFonts w:ascii="宋体" w:hAnsi="宋体" w:eastAsia="宋体"/>
          <w:color w:val="auto"/>
          <w:szCs w:val="24"/>
          <w:highlight w:val="none"/>
        </w:rPr>
      </w:r>
      <w:r>
        <w:rPr>
          <w:color w:val="auto"/>
          <w:highlight w:val="none"/>
        </w:rPr>
      </w:r>
      <w:r/>
    </w:p>
    <w:p>
      <w:pPr>
        <w:pStyle w:val="913"/>
        <w:ind w:firstLine="0"/>
        <w:jc w:val="both"/>
        <w:spacing w:line="360" w:lineRule="auto"/>
        <w:rPr>
          <w:rFonts w:ascii="宋体" w:hAnsi="宋体" w:eastAsia="宋体"/>
          <w:b/>
          <w:color w:val="auto"/>
          <w:szCs w:val="24"/>
          <w:highlight w:val="none"/>
        </w:rPr>
        <w:outlineLvl w:val="2"/>
      </w:pPr>
      <w:r>
        <w:rPr>
          <w:rFonts w:ascii="宋体" w:hAnsi="宋体" w:eastAsia="宋体"/>
          <w:color w:val="auto"/>
          <w:szCs w:val="24"/>
          <w:highlight w:val="none"/>
        </w:rPr>
        <w:br w:type="page" w:clear="all"/>
      </w:r>
      <w:r>
        <w:rPr>
          <w:rFonts w:hint="eastAsia" w:ascii="宋体" w:hAnsi="宋体" w:eastAsia="宋体"/>
          <w:b/>
          <w:color w:val="auto"/>
          <w:szCs w:val="24"/>
          <w:highlight w:val="none"/>
        </w:rPr>
        <w:t xml:space="preserve">(3)中小企业声明函</w:t>
      </w:r>
      <w:r>
        <w:rPr>
          <w:color w:val="auto"/>
          <w:highlight w:val="none"/>
        </w:rPr>
      </w:r>
      <w:r/>
    </w:p>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zh-CN"/>
        </w:rPr>
      </w:r>
      <w:r>
        <w:rPr>
          <w:color w:val="auto"/>
          <w:highlight w:val="none"/>
        </w:rPr>
      </w:r>
      <w:r/>
    </w:p>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中小企业声明函</w:t>
      </w:r>
      <w:r>
        <w:rPr>
          <w:color w:val="auto"/>
          <w:highlight w:val="none"/>
        </w:rPr>
      </w:r>
      <w:r/>
    </w:p>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zh-CN"/>
        </w:rPr>
      </w:r>
      <w:r>
        <w:rPr>
          <w:color w:val="auto"/>
          <w:highlight w:val="none"/>
        </w:rPr>
      </w:r>
      <w:r/>
    </w:p>
    <w:p>
      <w:pPr>
        <w:pStyle w:val="1024"/>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u w:val="single"/>
          <w:lang w:val="zh-CN"/>
        </w:rPr>
        <w:t xml:space="preserve">江苏正琦工程咨询有限公司 </w:t>
      </w:r>
      <w:r>
        <w:rPr>
          <w:rFonts w:hAnsi="宋体" w:eastAsia="宋体" w:cs="宋体"/>
          <w:color w:val="auto"/>
          <w:sz w:val="24"/>
          <w:szCs w:val="24"/>
          <w:highlight w:val="none"/>
          <w:lang w:val="zh-CN"/>
        </w:rPr>
        <w:t xml:space="preserve">：</w:t>
      </w:r>
      <w:r>
        <w:rPr>
          <w:color w:val="auto"/>
          <w:highlight w:val="none"/>
        </w:rPr>
      </w:r>
      <w:r/>
    </w:p>
    <w:p>
      <w:pPr>
        <w:pStyle w:val="1024"/>
        <w:spacing w:line="360" w:lineRule="auto"/>
        <w:rPr>
          <w:rFonts w:hAnsi="宋体" w:eastAsia="宋体" w:cs="宋体"/>
          <w:color w:val="auto"/>
          <w:sz w:val="24"/>
          <w:szCs w:val="24"/>
          <w:highlight w:val="none"/>
        </w:rPr>
      </w:pPr>
      <w:r>
        <w:rPr>
          <w:rFonts w:hAnsi="宋体" w:eastAsia="宋体" w:cs="宋体"/>
          <w:color w:val="auto"/>
          <w:sz w:val="24"/>
          <w:szCs w:val="24"/>
          <w:highlight w:val="none"/>
          <w:lang w:val="zh-CN"/>
        </w:rPr>
      </w:r>
      <w:r>
        <w:rPr>
          <w:color w:val="auto"/>
          <w:highlight w:val="none"/>
        </w:rPr>
      </w:r>
      <w:r/>
    </w:p>
    <w:p>
      <w:pPr>
        <w:pStyle w:val="102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lang w:val="zh-CN"/>
        </w:rPr>
        <w:t xml:space="preserve">本公司（联合体）郑重声明，根据《政府采购促进中小企业发展管理办法》（财库[2020]46号）的规定，本公司（联合体）参加</w:t>
      </w:r>
      <w:r>
        <w:rPr>
          <w:rFonts w:hint="eastAsia" w:hAnsi="宋体" w:eastAsia="宋体" w:cs="宋体"/>
          <w:color w:val="auto"/>
          <w:sz w:val="24"/>
          <w:szCs w:val="24"/>
          <w:highlight w:val="none"/>
          <w:u w:val="single"/>
          <w:lang w:val="zh-CN"/>
        </w:rPr>
        <w:t xml:space="preserve">（单位名称）</w:t>
      </w:r>
      <w:r>
        <w:rPr>
          <w:rFonts w:hint="eastAsia" w:hAnsi="宋体" w:eastAsia="宋体" w:cs="宋体"/>
          <w:color w:val="auto"/>
          <w:sz w:val="24"/>
          <w:szCs w:val="24"/>
          <w:highlight w:val="none"/>
          <w:lang w:val="zh-CN"/>
        </w:rPr>
        <w:t xml:space="preserve">的</w:t>
      </w:r>
      <w:r>
        <w:rPr>
          <w:rFonts w:hint="eastAsia" w:hAnsi="宋体" w:eastAsia="宋体" w:cs="宋体"/>
          <w:color w:val="auto"/>
          <w:sz w:val="24"/>
          <w:szCs w:val="24"/>
          <w:highlight w:val="none"/>
          <w:u w:val="single"/>
          <w:lang w:val="zh-CN"/>
        </w:rPr>
        <w:t xml:space="preserve">（项目名称）</w:t>
      </w:r>
      <w:r>
        <w:rPr>
          <w:rFonts w:hint="eastAsia"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rPr>
          <w:color w:val="auto"/>
          <w:highlight w:val="none"/>
        </w:rPr>
      </w:r>
      <w:r/>
    </w:p>
    <w:p>
      <w:pPr>
        <w:pStyle w:val="102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lang w:val="zh-CN"/>
        </w:rPr>
        <w:t xml:space="preserve">1、</w:t>
      </w:r>
      <w:r>
        <w:rPr>
          <w:rFonts w:hint="eastAsia" w:hAnsi="宋体" w:eastAsia="宋体" w:cs="宋体"/>
          <w:color w:val="auto"/>
          <w:sz w:val="24"/>
          <w:szCs w:val="24"/>
          <w:highlight w:val="none"/>
          <w:u w:val="single"/>
          <w:lang w:val="zh-CN"/>
        </w:rPr>
        <w:t xml:space="preserve">（项目名称）</w:t>
      </w:r>
      <w:r>
        <w:rPr>
          <w:rFonts w:hint="eastAsia" w:hAnsi="宋体" w:eastAsia="宋体" w:cs="宋体"/>
          <w:color w:val="auto"/>
          <w:sz w:val="24"/>
          <w:szCs w:val="24"/>
          <w:highlight w:val="none"/>
          <w:lang w:val="zh-CN"/>
        </w:rPr>
        <w:t xml:space="preserve">，属于</w:t>
      </w:r>
      <w:r>
        <w:rPr>
          <w:rFonts w:hint="eastAsia" w:hAnsi="宋体" w:eastAsia="宋体" w:cs="宋体"/>
          <w:color w:val="auto"/>
          <w:sz w:val="24"/>
          <w:szCs w:val="24"/>
          <w:highlight w:val="none"/>
          <w:u w:val="single"/>
          <w:lang w:val="zh-CN"/>
        </w:rPr>
        <w:t xml:space="preserve"> 其他未列明 </w:t>
      </w:r>
      <w:r>
        <w:rPr>
          <w:rFonts w:hint="eastAsia" w:hAnsi="宋体" w:eastAsia="宋体" w:cs="宋体"/>
          <w:color w:val="auto"/>
          <w:sz w:val="24"/>
          <w:szCs w:val="24"/>
          <w:highlight w:val="none"/>
          <w:lang w:val="zh-CN"/>
        </w:rPr>
        <w:t xml:space="preserve">行业；承接企业为</w:t>
      </w:r>
      <w:r>
        <w:rPr>
          <w:rFonts w:hint="eastAsia" w:hAnsi="宋体" w:eastAsia="宋体" w:cs="宋体"/>
          <w:color w:val="auto"/>
          <w:sz w:val="24"/>
          <w:szCs w:val="24"/>
          <w:highlight w:val="none"/>
          <w:u w:val="single"/>
          <w:lang w:val="zh-CN"/>
        </w:rPr>
        <w:t xml:space="preserve">（企业名称）</w:t>
      </w:r>
      <w:r>
        <w:rPr>
          <w:rFonts w:hint="eastAsia" w:hAnsi="宋体" w:eastAsia="宋体" w:cs="宋体"/>
          <w:color w:val="auto"/>
          <w:sz w:val="24"/>
          <w:szCs w:val="24"/>
          <w:highlight w:val="none"/>
          <w:lang w:val="zh-CN"/>
        </w:rPr>
        <w:t xml:space="preserve">，从业人员</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人，营业收入为</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万元，资产总额为</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万元，属于</w:t>
      </w:r>
      <w:r>
        <w:rPr>
          <w:rFonts w:hint="eastAsia" w:hAnsi="宋体" w:eastAsia="宋体" w:cs="宋体"/>
          <w:color w:val="auto"/>
          <w:sz w:val="24"/>
          <w:szCs w:val="24"/>
          <w:highlight w:val="none"/>
          <w:u w:val="single"/>
          <w:lang w:val="zh-CN"/>
        </w:rPr>
        <w:t xml:space="preserve">     （中型企业、小型企业、微型企业）</w:t>
      </w:r>
      <w:r>
        <w:rPr>
          <w:rFonts w:hint="eastAsia" w:hAnsi="宋体" w:eastAsia="宋体" w:cs="宋体"/>
          <w:color w:val="auto"/>
          <w:sz w:val="24"/>
          <w:szCs w:val="24"/>
          <w:highlight w:val="none"/>
          <w:lang w:val="zh-CN"/>
        </w:rPr>
        <w:t xml:space="preserve">；</w:t>
      </w:r>
      <w:r>
        <w:rPr>
          <w:color w:val="auto"/>
          <w:highlight w:val="none"/>
        </w:rPr>
      </w:r>
      <w:r/>
    </w:p>
    <w:p>
      <w:pPr>
        <w:pStyle w:val="102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lang w:val="zh-CN"/>
        </w:rPr>
        <w:t xml:space="preserve">2、</w:t>
      </w:r>
      <w:r>
        <w:rPr>
          <w:rFonts w:hint="eastAsia" w:hAnsi="宋体" w:eastAsia="宋体" w:cs="宋体"/>
          <w:color w:val="auto"/>
          <w:sz w:val="24"/>
          <w:szCs w:val="24"/>
          <w:highlight w:val="none"/>
          <w:u w:val="single"/>
          <w:lang w:val="zh-CN"/>
        </w:rPr>
        <w:t xml:space="preserve">（项目名称）</w:t>
      </w:r>
      <w:r>
        <w:rPr>
          <w:rFonts w:hint="eastAsia" w:hAnsi="宋体" w:eastAsia="宋体" w:cs="宋体"/>
          <w:color w:val="auto"/>
          <w:sz w:val="24"/>
          <w:szCs w:val="24"/>
          <w:highlight w:val="none"/>
          <w:lang w:val="zh-CN"/>
        </w:rPr>
        <w:t xml:space="preserve">，属于</w:t>
      </w:r>
      <w:r>
        <w:rPr>
          <w:rFonts w:hint="eastAsia" w:hAnsi="宋体" w:eastAsia="宋体" w:cs="宋体"/>
          <w:color w:val="auto"/>
          <w:sz w:val="24"/>
          <w:szCs w:val="24"/>
          <w:highlight w:val="none"/>
          <w:u w:val="single"/>
          <w:lang w:val="zh-CN"/>
        </w:rPr>
        <w:t xml:space="preserve"> 其他未列明 </w:t>
      </w:r>
      <w:r>
        <w:rPr>
          <w:rFonts w:hint="eastAsia" w:hAnsi="宋体" w:eastAsia="宋体" w:cs="宋体"/>
          <w:color w:val="auto"/>
          <w:sz w:val="24"/>
          <w:szCs w:val="24"/>
          <w:highlight w:val="none"/>
          <w:lang w:val="zh-CN"/>
        </w:rPr>
        <w:t xml:space="preserve">行业；承接企业为</w:t>
      </w:r>
      <w:r>
        <w:rPr>
          <w:rFonts w:hint="eastAsia" w:hAnsi="宋体" w:eastAsia="宋体" w:cs="宋体"/>
          <w:color w:val="auto"/>
          <w:sz w:val="24"/>
          <w:szCs w:val="24"/>
          <w:highlight w:val="none"/>
          <w:u w:val="single"/>
          <w:lang w:val="zh-CN"/>
        </w:rPr>
        <w:t xml:space="preserve">（企业名称）</w:t>
      </w:r>
      <w:r>
        <w:rPr>
          <w:rFonts w:hint="eastAsia" w:hAnsi="宋体" w:eastAsia="宋体" w:cs="宋体"/>
          <w:color w:val="auto"/>
          <w:sz w:val="24"/>
          <w:szCs w:val="24"/>
          <w:highlight w:val="none"/>
          <w:lang w:val="zh-CN"/>
        </w:rPr>
        <w:t xml:space="preserve">，从业人员</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人，营业收入为</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万元，资产总额为</w:t>
      </w:r>
      <w:r>
        <w:rPr>
          <w:rFonts w:hint="eastAsia" w:hAnsi="宋体" w:eastAsia="宋体" w:cs="宋体"/>
          <w:color w:val="auto"/>
          <w:sz w:val="24"/>
          <w:szCs w:val="24"/>
          <w:highlight w:val="none"/>
          <w:u w:val="single"/>
          <w:lang w:val="zh-CN"/>
        </w:rPr>
        <w:t xml:space="preserve">      </w:t>
      </w:r>
      <w:r>
        <w:rPr>
          <w:rFonts w:hint="eastAsia" w:hAnsi="宋体" w:eastAsia="宋体" w:cs="宋体"/>
          <w:color w:val="auto"/>
          <w:sz w:val="24"/>
          <w:szCs w:val="24"/>
          <w:highlight w:val="none"/>
          <w:lang w:val="zh-CN"/>
        </w:rPr>
        <w:t xml:space="preserve">万元，属于</w:t>
      </w:r>
      <w:r>
        <w:rPr>
          <w:rFonts w:hint="eastAsia" w:hAnsi="宋体" w:eastAsia="宋体" w:cs="宋体"/>
          <w:color w:val="auto"/>
          <w:sz w:val="24"/>
          <w:szCs w:val="24"/>
          <w:highlight w:val="none"/>
          <w:u w:val="single"/>
          <w:lang w:val="zh-CN"/>
        </w:rPr>
        <w:t xml:space="preserve">     （中型企业、小型企业、微型企业）</w:t>
      </w:r>
      <w:r>
        <w:rPr>
          <w:rFonts w:hint="eastAsia" w:hAnsi="宋体" w:eastAsia="宋体" w:cs="宋体"/>
          <w:color w:val="auto"/>
          <w:sz w:val="24"/>
          <w:szCs w:val="24"/>
          <w:highlight w:val="none"/>
          <w:lang w:val="zh-CN"/>
        </w:rPr>
        <w:t xml:space="preserve">；</w:t>
      </w:r>
      <w:r>
        <w:rPr>
          <w:color w:val="auto"/>
          <w:highlight w:val="none"/>
        </w:rPr>
      </w:r>
      <w:r/>
    </w:p>
    <w:p>
      <w:pPr>
        <w:pStyle w:val="102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lang w:val="zh-CN"/>
        </w:rPr>
        <w:t xml:space="preserve">……</w:t>
      </w:r>
      <w:r>
        <w:rPr>
          <w:color w:val="auto"/>
          <w:highlight w:val="none"/>
        </w:rPr>
      </w:r>
      <w:r/>
    </w:p>
    <w:p>
      <w:pPr>
        <w:pStyle w:val="102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rPr>
          <w:color w:val="auto"/>
          <w:highlight w:val="none"/>
        </w:rPr>
      </w:r>
      <w:r/>
    </w:p>
    <w:p>
      <w:pPr>
        <w:pStyle w:val="1024"/>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lang w:val="zh-CN"/>
        </w:rPr>
        <w:t xml:space="preserve">本企业对上述声明内容的真实性负责。如有虚假，将依法承担相应责任。</w:t>
      </w:r>
      <w:r>
        <w:rPr>
          <w:color w:val="auto"/>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zh-CN"/>
        </w:rPr>
      </w:r>
      <w:r>
        <w:rPr>
          <w:color w:val="auto"/>
          <w:highlight w:val="none"/>
        </w:rPr>
      </w:r>
      <w:r/>
    </w:p>
    <w:p>
      <w:pPr>
        <w:pStyle w:val="1024"/>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w:t>
      </w:r>
      <w:r>
        <w:rPr>
          <w:rFonts w:hAnsi="宋体" w:eastAsia="宋体"/>
          <w:color w:val="auto"/>
          <w:sz w:val="24"/>
          <w:szCs w:val="24"/>
          <w:highlight w:val="none"/>
        </w:rPr>
        <w:t xml:space="preserve">：（盖章）</w:t>
      </w:r>
      <w:r>
        <w:rPr>
          <w:color w:val="auto"/>
          <w:highlight w:val="none"/>
        </w:rPr>
      </w:r>
      <w:r/>
    </w:p>
    <w:p>
      <w:pPr>
        <w:pStyle w:val="1024"/>
        <w:spacing w:line="360" w:lineRule="auto"/>
        <w:rPr>
          <w:rFonts w:hAnsi="宋体" w:eastAsia="宋体"/>
          <w:color w:val="auto"/>
          <w:sz w:val="24"/>
          <w:szCs w:val="24"/>
          <w:highlight w:val="none"/>
        </w:rPr>
      </w:pPr>
      <w:r>
        <w:rPr>
          <w:rFonts w:hAnsi="宋体" w:eastAsia="宋体"/>
          <w:color w:val="auto"/>
          <w:sz w:val="24"/>
          <w:szCs w:val="24"/>
          <w:highlight w:val="none"/>
        </w:rPr>
        <w:t xml:space="preserve">法定代表人或代理人：（签字或盖章）</w:t>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日期：      年    月    日</w:t>
      </w:r>
      <w:r>
        <w:rPr>
          <w:color w:val="auto"/>
          <w:highlight w:val="none"/>
        </w:rPr>
      </w:r>
      <w:r/>
    </w:p>
    <w:p>
      <w:pPr>
        <w:pStyle w:val="899"/>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color w:val="auto"/>
          <w:sz w:val="24"/>
          <w:szCs w:val="24"/>
          <w:highlight w:val="none"/>
        </w:rPr>
        <w:t xml:space="preserve">(4)残疾人福利性单位声明函</w:t>
      </w:r>
      <w:r>
        <w:rPr>
          <w:color w:val="auto"/>
          <w:highlight w:val="none"/>
        </w:rPr>
      </w:r>
      <w:r/>
    </w:p>
    <w:p>
      <w:pPr>
        <w:spacing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rPr>
          <w:color w:val="auto"/>
          <w:highlight w:val="none"/>
        </w:rPr>
      </w:r>
      <w:r/>
    </w:p>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残疾人福利性单位声明函</w:t>
      </w:r>
      <w:r>
        <w:rPr>
          <w:color w:val="auto"/>
          <w:highlight w:val="none"/>
        </w:rPr>
      </w:r>
      <w:r/>
    </w:p>
    <w:p>
      <w:pPr>
        <w:pStyle w:val="947"/>
        <w:ind w:firstLine="480"/>
        <w:spacing w:before="0" w:beforeAutospacing="0" w:after="0" w:afterAutospacing="0" w:line="360" w:lineRule="auto"/>
        <w:rPr>
          <w:color w:val="auto"/>
          <w:highlight w:val="none"/>
        </w:rPr>
      </w:pPr>
      <w:r>
        <w:rPr>
          <w:color w:val="auto"/>
          <w:highlight w:val="none"/>
        </w:rPr>
      </w:r>
      <w:r>
        <w:rPr>
          <w:color w:val="auto"/>
          <w:highlight w:val="none"/>
        </w:rPr>
      </w:r>
      <w:r/>
    </w:p>
    <w:p>
      <w:pPr>
        <w:pStyle w:val="947"/>
        <w:ind w:firstLine="480"/>
        <w:spacing w:before="0" w:beforeAutospacing="0" w:after="0" w:afterAutospacing="0" w:line="360" w:lineRule="auto"/>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pStyle w:val="947"/>
        <w:ind w:firstLine="480"/>
        <w:spacing w:before="0" w:beforeAutospacing="0" w:after="0" w:afterAutospacing="0" w:line="360" w:lineRule="auto"/>
        <w:rPr>
          <w:color w:val="auto"/>
          <w:highlight w:val="none"/>
        </w:rPr>
      </w:pPr>
      <w:r>
        <w:rPr>
          <w:rFonts w:hint="eastAsia"/>
          <w:color w:val="auto"/>
          <w:highlight w:val="none"/>
        </w:rPr>
        <w:t xml:space="preserve">本单位对上述声明的真实性负责。如有虚假，将依法承担相应责任。</w:t>
      </w:r>
      <w:r>
        <w:rPr>
          <w:color w:val="auto"/>
          <w:highlight w:val="none"/>
        </w:rPr>
      </w:r>
      <w:r/>
    </w:p>
    <w:p>
      <w:pPr>
        <w:pStyle w:val="947"/>
        <w:ind w:firstLine="480"/>
        <w:spacing w:before="0" w:beforeAutospacing="0" w:after="0" w:afterAutospacing="0" w:line="360" w:lineRule="auto"/>
        <w:rPr>
          <w:color w:val="auto"/>
          <w:highlight w:val="none"/>
        </w:rPr>
      </w:pPr>
      <w:r>
        <w:rPr>
          <w:color w:val="auto"/>
          <w:highlight w:val="none"/>
        </w:rPr>
      </w:r>
      <w:r>
        <w:rPr>
          <w:color w:val="auto"/>
          <w:highlight w:val="none"/>
        </w:rPr>
      </w:r>
      <w:r/>
    </w:p>
    <w:p>
      <w:pPr>
        <w:pStyle w:val="947"/>
        <w:ind w:firstLine="480"/>
        <w:spacing w:before="0" w:beforeAutospacing="0" w:after="0" w:afterAutospacing="0" w:line="360" w:lineRule="auto"/>
        <w:rPr>
          <w:color w:val="auto"/>
          <w:highlight w:val="none"/>
        </w:rPr>
      </w:pPr>
      <w:r>
        <w:rPr>
          <w:color w:val="auto"/>
          <w:highlight w:val="none"/>
        </w:rPr>
      </w:r>
      <w:r>
        <w:rPr>
          <w:color w:val="auto"/>
          <w:highlight w:val="none"/>
        </w:rPr>
      </w:r>
      <w:r/>
    </w:p>
    <w:p>
      <w:pPr>
        <w:pStyle w:val="947"/>
        <w:ind w:firstLine="480"/>
        <w:spacing w:before="0" w:beforeAutospacing="0" w:after="0" w:afterAutospacing="0" w:line="360" w:lineRule="auto"/>
        <w:rPr>
          <w:color w:val="auto"/>
          <w:highlight w:val="none"/>
        </w:rPr>
      </w:pPr>
      <w:r>
        <w:rPr>
          <w:rFonts w:hint="eastAsia"/>
          <w:color w:val="auto"/>
          <w:highlight w:val="none"/>
        </w:rPr>
        <w:t xml:space="preserve">单位名称（盖章）：</w:t>
      </w:r>
      <w:r>
        <w:rPr>
          <w:color w:val="auto"/>
          <w:highlight w:val="none"/>
        </w:rPr>
      </w:r>
      <w:r/>
    </w:p>
    <w:p>
      <w:pPr>
        <w:pStyle w:val="947"/>
        <w:ind w:firstLine="480"/>
        <w:spacing w:before="0" w:beforeAutospacing="0" w:after="0" w:afterAutospacing="0" w:line="360" w:lineRule="auto"/>
        <w:rPr>
          <w:color w:val="auto"/>
          <w:highlight w:val="none"/>
        </w:rPr>
      </w:pPr>
      <w:r>
        <w:rPr>
          <w:rFonts w:hint="eastAsia"/>
          <w:color w:val="auto"/>
          <w:highlight w:val="none"/>
        </w:rPr>
        <w:t xml:space="preserve">日期：</w:t>
      </w:r>
      <w:r>
        <w:rPr>
          <w:color w:val="auto"/>
          <w:highlight w:val="none"/>
        </w:rPr>
      </w:r>
      <w:r/>
    </w:p>
    <w:p>
      <w:pPr>
        <w:pStyle w:val="947"/>
        <w:ind w:firstLine="480"/>
        <w:spacing w:before="0" w:beforeAutospacing="0" w:after="0" w:afterAutospacing="0" w:line="360" w:lineRule="auto"/>
        <w:rPr>
          <w:color w:val="auto"/>
          <w:highlight w:val="none"/>
        </w:rPr>
      </w:pPr>
      <w:r>
        <w:rPr>
          <w:color w:val="auto"/>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898"/>
        <w:rPr>
          <w:rFonts w:eastAsia="宋体"/>
          <w:b w:val="0"/>
          <w:color w:val="auto"/>
          <w:sz w:val="24"/>
          <w:szCs w:val="24"/>
          <w:highlight w:val="none"/>
        </w:rPr>
      </w:pPr>
      <w:r>
        <w:rPr>
          <w:rFonts w:hint="eastAsia" w:eastAsia="宋体"/>
          <w:color w:val="auto"/>
          <w:sz w:val="24"/>
          <w:szCs w:val="24"/>
          <w:highlight w:val="none"/>
        </w:rPr>
        <w:br w:type="page" w:clear="all"/>
      </w:r>
      <w:r>
        <w:rPr>
          <w:rFonts w:hint="eastAsia" w:eastAsia="宋体"/>
          <w:color w:val="auto"/>
          <w:sz w:val="24"/>
          <w:szCs w:val="24"/>
          <w:highlight w:val="none"/>
        </w:rPr>
        <w:t xml:space="preserve">10、</w:t>
      </w:r>
      <w:r>
        <w:rPr>
          <w:rFonts w:eastAsia="宋体"/>
          <w:color w:val="auto"/>
          <w:sz w:val="24"/>
          <w:szCs w:val="24"/>
          <w:highlight w:val="none"/>
        </w:rPr>
        <w:t xml:space="preserve">关于</w:t>
      </w:r>
      <w:r>
        <w:rPr>
          <w:rFonts w:hint="eastAsia" w:eastAsia="宋体"/>
          <w:color w:val="auto"/>
          <w:sz w:val="24"/>
          <w:szCs w:val="24"/>
          <w:highlight w:val="none"/>
        </w:rPr>
        <w:t xml:space="preserve">响应报价合理性</w:t>
      </w:r>
      <w:r>
        <w:rPr>
          <w:rFonts w:eastAsia="宋体"/>
          <w:color w:val="auto"/>
          <w:sz w:val="24"/>
          <w:szCs w:val="24"/>
          <w:highlight w:val="none"/>
        </w:rPr>
        <w:t xml:space="preserve">的</w:t>
      </w:r>
      <w:r>
        <w:rPr>
          <w:rFonts w:hint="eastAsia" w:eastAsia="宋体"/>
          <w:color w:val="auto"/>
          <w:sz w:val="24"/>
          <w:szCs w:val="24"/>
          <w:highlight w:val="none"/>
        </w:rPr>
        <w:t xml:space="preserve">澄清说明</w:t>
      </w:r>
      <w:r>
        <w:rPr>
          <w:color w:val="auto"/>
          <w:highlight w:val="none"/>
        </w:rPr>
      </w:r>
      <w:r/>
    </w:p>
    <w:p>
      <w:pPr>
        <w:ind w:firstLine="420"/>
        <w:jc w:val="center"/>
        <w:rPr>
          <w:rFonts w:ascii="宋体" w:hAnsi="宋体" w:eastAsia="宋体"/>
          <w:b/>
          <w:color w:val="auto"/>
          <w:sz w:val="24"/>
          <w:szCs w:val="24"/>
          <w:highlight w:val="none"/>
        </w:rPr>
      </w:pPr>
      <w:r>
        <w:rPr>
          <w:rFonts w:ascii="宋体" w:hAnsi="宋体" w:eastAsia="宋体"/>
          <w:b/>
          <w:color w:val="auto"/>
          <w:sz w:val="24"/>
          <w:szCs w:val="24"/>
          <w:highlight w:val="none"/>
        </w:rPr>
      </w:r>
      <w:r>
        <w:rPr>
          <w:color w:val="auto"/>
          <w:highlight w:val="none"/>
        </w:rPr>
      </w:r>
      <w:r/>
    </w:p>
    <w:p>
      <w:pPr>
        <w:jc w:val="center"/>
        <w:rPr>
          <w:rFonts w:ascii="宋体" w:hAnsi="宋体" w:eastAsia="宋体"/>
          <w:b/>
          <w:color w:val="auto"/>
          <w:sz w:val="24"/>
          <w:szCs w:val="24"/>
          <w:highlight w:val="none"/>
        </w:rPr>
      </w:pPr>
      <w:r>
        <w:rPr>
          <w:rFonts w:ascii="宋体" w:hAnsi="宋体" w:eastAsia="宋体"/>
          <w:b/>
          <w:color w:val="auto"/>
          <w:sz w:val="24"/>
          <w:szCs w:val="24"/>
          <w:highlight w:val="none"/>
        </w:rPr>
        <w:t xml:space="preserve">关于</w:t>
      </w:r>
      <w:r>
        <w:rPr>
          <w:rFonts w:hint="eastAsia" w:ascii="宋体" w:hAnsi="宋体" w:eastAsia="宋体"/>
          <w:b/>
          <w:color w:val="auto"/>
          <w:sz w:val="24"/>
          <w:szCs w:val="24"/>
          <w:highlight w:val="none"/>
        </w:rPr>
        <w:t xml:space="preserve">响应报价合理性</w:t>
      </w:r>
      <w:r>
        <w:rPr>
          <w:rFonts w:ascii="宋体" w:hAnsi="宋体" w:eastAsia="宋体"/>
          <w:b/>
          <w:color w:val="auto"/>
          <w:sz w:val="24"/>
          <w:szCs w:val="24"/>
          <w:highlight w:val="none"/>
        </w:rPr>
        <w:t xml:space="preserve">的</w:t>
      </w:r>
      <w:r>
        <w:rPr>
          <w:rFonts w:hint="eastAsia" w:ascii="宋体" w:hAnsi="宋体" w:eastAsia="宋体"/>
          <w:b/>
          <w:color w:val="auto"/>
          <w:sz w:val="24"/>
          <w:szCs w:val="24"/>
          <w:highlight w:val="none"/>
        </w:rPr>
        <w:t xml:space="preserve">澄清说明</w:t>
      </w:r>
      <w:r>
        <w:rPr>
          <w:color w:val="auto"/>
          <w:highlight w:val="none"/>
        </w:rPr>
      </w:r>
      <w:r/>
    </w:p>
    <w:p>
      <w:pPr>
        <w:jc w:val="left"/>
        <w:spacing w:line="360" w:lineRule="auto"/>
        <w:rPr>
          <w:rFonts w:ascii="宋体" w:hAnsi="宋体" w:eastAsia="宋体"/>
          <w:color w:val="auto"/>
          <w:sz w:val="24"/>
          <w:szCs w:val="24"/>
          <w:highlight w:val="none"/>
          <w:u w:val="single"/>
        </w:rPr>
      </w:pPr>
      <w:r>
        <w:rPr>
          <w:rFonts w:ascii="宋体" w:hAnsi="宋体" w:eastAsia="宋体"/>
          <w:color w:val="auto"/>
          <w:sz w:val="24"/>
          <w:szCs w:val="24"/>
          <w:highlight w:val="none"/>
          <w:u w:val="single"/>
        </w:rPr>
      </w:r>
      <w:r>
        <w:rPr>
          <w:color w:val="auto"/>
          <w:highlight w:val="none"/>
        </w:rPr>
      </w:r>
      <w:r/>
    </w:p>
    <w:p>
      <w:pPr>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江苏正琦工程咨询有限公司</w:t>
      </w:r>
      <w:r>
        <w:rPr>
          <w:rFonts w:ascii="宋体" w:hAnsi="宋体" w:eastAsia="宋体"/>
          <w:color w:val="auto"/>
          <w:sz w:val="24"/>
          <w:szCs w:val="24"/>
          <w:highlight w:val="none"/>
        </w:rPr>
        <w:t xml:space="preserve">：</w:t>
      </w:r>
      <w:r>
        <w:rPr>
          <w:color w:val="auto"/>
          <w:highlight w:val="none"/>
        </w:rPr>
      </w:r>
      <w:r/>
    </w:p>
    <w:p>
      <w:pPr>
        <w:ind w:firstLine="420"/>
        <w:jc w:val="left"/>
        <w:spacing w:line="360" w:lineRule="auto"/>
        <w:rPr>
          <w:rFonts w:ascii="宋体" w:hAnsi="宋体" w:eastAsia="宋体" w:cs="宋体"/>
          <w:color w:val="auto"/>
          <w:sz w:val="24"/>
          <w:szCs w:val="24"/>
          <w:highlight w:val="none"/>
        </w:rPr>
      </w:pPr>
      <w:r>
        <w:rPr>
          <w:rFonts w:ascii="宋体" w:hAnsi="宋体" w:eastAsia="宋体"/>
          <w:color w:val="auto"/>
          <w:sz w:val="24"/>
          <w:szCs w:val="24"/>
          <w:highlight w:val="none"/>
        </w:rPr>
        <w:t xml:space="preserve">本公司愿就由贵</w:t>
      </w:r>
      <w:r>
        <w:rPr>
          <w:rFonts w:hint="eastAsia" w:ascii="宋体" w:hAnsi="宋体" w:eastAsia="宋体"/>
          <w:color w:val="auto"/>
          <w:sz w:val="24"/>
          <w:szCs w:val="24"/>
          <w:highlight w:val="none"/>
        </w:rPr>
        <w:t xml:space="preserve">公司</w:t>
      </w:r>
      <w:r>
        <w:rPr>
          <w:rFonts w:ascii="宋体" w:hAnsi="宋体" w:eastAsia="宋体"/>
          <w:color w:val="auto"/>
          <w:sz w:val="24"/>
          <w:szCs w:val="24"/>
          <w:highlight w:val="none"/>
        </w:rPr>
        <w:t xml:space="preserve">组织实施的编号为</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号（</w:t>
      </w:r>
      <w:r>
        <w:rPr>
          <w:rFonts w:hint="eastAsia" w:ascii="宋体" w:hAnsi="宋体" w:eastAsia="宋体"/>
          <w:color w:val="auto"/>
          <w:sz w:val="24"/>
          <w:szCs w:val="24"/>
          <w:highlight w:val="none"/>
        </w:rPr>
        <w:t xml:space="preserve">项目</w:t>
      </w:r>
      <w:r>
        <w:rPr>
          <w:rFonts w:ascii="宋体" w:hAnsi="宋体" w:eastAsia="宋体"/>
          <w:color w:val="auto"/>
          <w:sz w:val="24"/>
          <w:szCs w:val="24"/>
          <w:highlight w:val="none"/>
        </w:rPr>
        <w:t xml:space="preserve">编号）的</w:t>
      </w:r>
      <w:r>
        <w:rPr>
          <w:rFonts w:hint="eastAsia" w:ascii="宋体" w:hAnsi="宋体" w:eastAsia="宋体"/>
          <w:color w:val="auto"/>
          <w:sz w:val="24"/>
          <w:szCs w:val="24"/>
          <w:highlight w:val="none"/>
        </w:rPr>
        <w:t xml:space="preserve">采购</w:t>
      </w:r>
      <w:r>
        <w:rPr>
          <w:rFonts w:ascii="宋体" w:hAnsi="宋体" w:eastAsia="宋体"/>
          <w:color w:val="auto"/>
          <w:sz w:val="24"/>
          <w:szCs w:val="24"/>
          <w:highlight w:val="none"/>
        </w:rPr>
        <w:t xml:space="preserve">活动进行</w:t>
      </w:r>
      <w:r>
        <w:rPr>
          <w:rFonts w:hint="eastAsia" w:ascii="宋体" w:hAnsi="宋体" w:eastAsia="宋体"/>
          <w:color w:val="auto"/>
          <w:sz w:val="24"/>
          <w:szCs w:val="24"/>
          <w:highlight w:val="none"/>
        </w:rPr>
        <w:t xml:space="preserve">响应，对于本公司的响应报价合理性作出说明如下：</w:t>
      </w:r>
      <w:r>
        <w:rPr>
          <w:color w:val="auto"/>
          <w:highlight w:val="none"/>
        </w:rPr>
      </w:r>
      <w:r/>
    </w:p>
    <w:tbl>
      <w:tblPr>
        <w:tblStyle w:val="724"/>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eastAsia="宋体"/>
                <w:b/>
                <w:color w:val="auto"/>
                <w:sz w:val="24"/>
                <w:szCs w:val="24"/>
                <w:highlight w:val="none"/>
                <w:shd w:val="pct10" w:color="auto" w:fill="ffffff"/>
              </w:rPr>
            </w:pPr>
            <w:r>
              <w:rPr>
                <w:rFonts w:hint="eastAsia" w:ascii="宋体" w:hAnsi="宋体" w:eastAsia="宋体"/>
                <w:b/>
                <w:color w:val="auto"/>
                <w:sz w:val="24"/>
                <w:szCs w:val="24"/>
                <w:highlight w:val="none"/>
              </w:rPr>
              <w:t xml:space="preserve">供应商应当根据实际情况自拟答复并根据磋商小组关于澄清的要求提供相关证明材料作为附件。</w:t>
            </w:r>
            <w:r>
              <w:rPr>
                <w:color w:val="auto"/>
                <w:highlight w:val="none"/>
              </w:rPr>
            </w:r>
            <w:r/>
          </w:p>
        </w:tc>
      </w:tr>
    </w:tbl>
    <w:p>
      <w:pPr>
        <w:ind w:firstLine="422"/>
        <w:spacing w:line="360" w:lineRule="auto"/>
        <w:rPr>
          <w:rFonts w:ascii="宋体" w:hAnsi="宋体" w:eastAsia="宋体"/>
          <w:b/>
          <w:color w:val="auto"/>
          <w:sz w:val="24"/>
          <w:szCs w:val="24"/>
          <w:highlight w:val="none"/>
        </w:rPr>
      </w:pPr>
      <w:r>
        <w:rPr>
          <w:color w:val="auto"/>
          <w:highlight w:val="none"/>
        </w:rPr>
      </w:r>
      <w:bookmarkStart w:id="43" w:name="OLE_LINK21"/>
      <w:r>
        <w:rPr>
          <w:color w:val="auto"/>
          <w:highlight w:val="none"/>
        </w:rPr>
      </w:r>
      <w:bookmarkStart w:id="44" w:name="OLE_LINK30"/>
      <w:r>
        <w:rPr>
          <w:color w:val="auto"/>
          <w:highlight w:val="none"/>
        </w:rPr>
      </w:r>
      <w:bookmarkStart w:id="45" w:name="OLE_LINK29"/>
      <w:r>
        <w:rPr>
          <w:color w:val="auto"/>
          <w:highlight w:val="none"/>
        </w:rPr>
      </w:r>
      <w:bookmarkStart w:id="46" w:name="OLE_LINK24"/>
      <w:r>
        <w:rPr>
          <w:color w:val="auto"/>
          <w:highlight w:val="none"/>
        </w:rPr>
      </w:r>
      <w:bookmarkStart w:id="47" w:name="OLE_LINK26"/>
      <w:r>
        <w:rPr>
          <w:color w:val="auto"/>
          <w:highlight w:val="none"/>
        </w:rPr>
      </w:r>
      <w:bookmarkStart w:id="48" w:name="OLE_LINK23"/>
      <w:r>
        <w:rPr>
          <w:rFonts w:hint="eastAsia" w:ascii="宋体" w:hAnsi="宋体" w:eastAsia="宋体"/>
          <w:b/>
          <w:color w:val="auto"/>
          <w:sz w:val="24"/>
          <w:szCs w:val="24"/>
          <w:highlight w:val="none"/>
          <w:lang w:val="zh-CN"/>
        </w:rPr>
        <w:t xml:space="preserve">备注:</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rFonts w:hint="eastAsia"/>
          <w:color w:val="auto"/>
          <w:highlight w:val="none"/>
        </w:rPr>
        <w:t xml:space="preserve"> </w:t>
      </w:r>
      <w:r>
        <w:rPr>
          <w:rFonts w:hint="eastAsia" w:ascii="宋体" w:hAnsi="宋体" w:eastAsia="宋体"/>
          <w:b/>
          <w:color w:val="auto"/>
          <w:sz w:val="24"/>
          <w:szCs w:val="24"/>
          <w:highlight w:val="none"/>
          <w:lang w:val="zh-CN"/>
        </w:rPr>
        <w:t xml:space="preserve">根据采购文件第三章要求，当政府采购评审中出现供应商“响应报价低于全部通过符合性审查供应商响应报价平均值50%的”</w:t>
      </w:r>
      <w:r>
        <w:rPr>
          <w:rFonts w:hint="eastAsia" w:ascii="宋体" w:hAnsi="宋体" w:eastAsia="宋体"/>
          <w:b/>
          <w:color w:val="auto"/>
          <w:sz w:val="24"/>
          <w:szCs w:val="24"/>
          <w:highlight w:val="none"/>
          <w:lang w:val="zh-CN"/>
        </w:rPr>
        <w:t xml:space="preserve">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color w:val="auto"/>
          <w:highlight w:val="none"/>
        </w:rPr>
      </w:r>
      <w:r/>
    </w:p>
    <w:p>
      <w:pPr>
        <w:ind w:firstLine="483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ind w:firstLine="483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1024"/>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供应商</w:t>
      </w:r>
      <w:r>
        <w:rPr>
          <w:rFonts w:hAnsi="宋体" w:eastAsia="宋体"/>
          <w:color w:val="auto"/>
          <w:sz w:val="24"/>
          <w:szCs w:val="24"/>
          <w:highlight w:val="none"/>
        </w:rPr>
        <w:t xml:space="preserve">：（盖章）</w:t>
      </w:r>
      <w:r>
        <w:rPr>
          <w:color w:val="auto"/>
          <w:highlight w:val="none"/>
        </w:rPr>
      </w:r>
      <w:r/>
    </w:p>
    <w:p>
      <w:pPr>
        <w:pStyle w:val="1024"/>
        <w:spacing w:line="360" w:lineRule="auto"/>
        <w:rPr>
          <w:rFonts w:hAnsi="宋体" w:eastAsia="宋体"/>
          <w:color w:val="auto"/>
          <w:sz w:val="24"/>
          <w:szCs w:val="24"/>
          <w:highlight w:val="none"/>
        </w:rPr>
      </w:pPr>
      <w:r>
        <w:rPr>
          <w:rFonts w:hAnsi="宋体" w:eastAsia="宋体"/>
          <w:color w:val="auto"/>
          <w:sz w:val="24"/>
          <w:szCs w:val="24"/>
          <w:highlight w:val="none"/>
        </w:rPr>
        <w:t xml:space="preserve">法定代表人或代理人：（签字或盖章）</w:t>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日期：      年    月    日</w:t>
      </w:r>
      <w:r>
        <w:rPr>
          <w:color w:val="auto"/>
          <w:highlight w:val="none"/>
        </w:rPr>
      </w:r>
      <w:r/>
    </w:p>
    <w:p>
      <w:pPr>
        <w:ind w:right="-200"/>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rPr>
          <w:color w:val="auto"/>
          <w:highlight w:val="none"/>
        </w:rPr>
      </w:r>
      <w:r/>
    </w:p>
    <w:p>
      <w:pPr>
        <w:pStyle w:val="897"/>
        <w:jc w:val="center"/>
        <w:spacing w:line="360" w:lineRule="auto"/>
        <w:rPr>
          <w:rFonts w:ascii="宋体" w:hAnsi="宋体" w:eastAsia="宋体"/>
          <w:color w:val="auto"/>
          <w:sz w:val="52"/>
          <w:szCs w:val="52"/>
          <w:highlight w:val="none"/>
        </w:rPr>
      </w:pPr>
      <w:r>
        <w:rPr>
          <w:color w:val="auto"/>
          <w:highlight w:val="none"/>
        </w:rPr>
      </w:r>
      <w:bookmarkStart w:id="49" w:name="_Toc13642115"/>
      <w:r>
        <w:rPr>
          <w:color w:val="auto"/>
          <w:highlight w:val="none"/>
        </w:rPr>
      </w:r>
      <w:bookmarkStart w:id="50" w:name="_Toc4590"/>
      <w:r>
        <w:rPr>
          <w:rFonts w:hint="eastAsia" w:ascii="宋体" w:hAnsi="宋体" w:eastAsia="宋体"/>
          <w:color w:val="auto"/>
          <w:sz w:val="52"/>
          <w:szCs w:val="52"/>
          <w:highlight w:val="none"/>
        </w:rPr>
        <w:t xml:space="preserve">第三章 </w:t>
      </w:r>
      <w:bookmarkEnd w:id="49"/>
      <w:r>
        <w:rPr>
          <w:rFonts w:hint="eastAsia" w:ascii="宋体" w:hAnsi="宋体" w:eastAsia="宋体"/>
          <w:color w:val="auto"/>
          <w:sz w:val="52"/>
          <w:szCs w:val="52"/>
          <w:highlight w:val="none"/>
        </w:rPr>
        <w:t xml:space="preserve">采购内容</w:t>
      </w:r>
      <w:bookmarkEnd w:id="50"/>
      <w:r>
        <w:rPr>
          <w:color w:val="auto"/>
          <w:highlight w:val="none"/>
        </w:rPr>
      </w:r>
      <w:r/>
    </w:p>
    <w:p>
      <w:pPr>
        <w:jc w:val="center"/>
        <w:spacing w:line="360" w:lineRule="auto"/>
        <w:widowControl/>
        <w:rPr>
          <w:rFonts w:ascii="宋体" w:hAnsi="宋体" w:eastAsia="宋体" w:cs="宋体"/>
          <w:color w:val="auto"/>
          <w:sz w:val="36"/>
          <w:szCs w:val="36"/>
          <w:highlight w:val="none"/>
        </w:rPr>
      </w:pPr>
      <w:r>
        <w:rPr>
          <w:rFonts w:ascii="宋体" w:hAnsi="宋体" w:eastAsia="宋体" w:cs="宋体"/>
          <w:color w:val="auto"/>
          <w:szCs w:val="24"/>
          <w:highlight w:val="none"/>
        </w:rPr>
        <w:br w:type="page" w:clear="all"/>
      </w:r>
      <w:r>
        <w:rPr>
          <w:rFonts w:hint="eastAsia" w:ascii="宋体" w:hAnsi="宋体" w:eastAsia="宋体" w:cs="宋体"/>
          <w:color w:val="auto"/>
          <w:sz w:val="36"/>
          <w:szCs w:val="36"/>
          <w:highlight w:val="none"/>
        </w:rPr>
        <w:t xml:space="preserve">采购内容</w:t>
      </w:r>
      <w:r>
        <w:rPr>
          <w:color w:val="auto"/>
          <w:highlight w:val="none"/>
        </w:rPr>
      </w:r>
      <w:r/>
    </w:p>
    <w:p>
      <w:pPr>
        <w:ind w:firstLine="420"/>
        <w:jc w:val="left"/>
        <w:spacing w:line="360" w:lineRule="auto"/>
        <w:tabs>
          <w:tab w:val="left" w:pos="988"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江苏正琦工程咨询有限公司受苏州市相城区望亭中学的委托，就其所需的望亭中学基础教育内涵建设项目采用竞争性磋商方式进行采购，欢迎有资格的供应商前来参加本次磋商采购活动。</w:t>
      </w:r>
      <w:r>
        <w:rPr>
          <w:color w:val="auto"/>
          <w:highlight w:val="none"/>
        </w:rPr>
      </w:r>
      <w:r/>
    </w:p>
    <w:p>
      <w:pPr>
        <w:ind w:firstLine="422"/>
        <w:spacing w:line="360" w:lineRule="auto"/>
        <w:tabs>
          <w:tab w:val="left" w:pos="753" w:leader="none"/>
        </w:tabs>
        <w:rPr>
          <w:rFonts w:hint="eastAsia" w:ascii="宋体" w:hAnsi="宋体" w:eastAsia="宋体"/>
          <w:b/>
          <w:color w:val="auto"/>
          <w:sz w:val="21"/>
          <w:szCs w:val="21"/>
          <w:highlight w:val="none"/>
        </w:rPr>
        <w:outlineLvl w:val="1"/>
      </w:pPr>
      <w:r>
        <w:rPr>
          <w:rFonts w:hint="eastAsia" w:ascii="宋体" w:hAnsi="宋体" w:eastAsia="宋体"/>
          <w:b/>
          <w:color w:val="auto"/>
          <w:sz w:val="21"/>
          <w:szCs w:val="21"/>
          <w:highlight w:val="none"/>
        </w:rPr>
        <w:t xml:space="preserve">一、采购编号：</w:t>
      </w:r>
      <w:r>
        <w:rPr>
          <w:rFonts w:hint="eastAsia" w:ascii="宋体" w:hAnsi="宋体" w:eastAsia="宋体"/>
          <w:b/>
          <w:color w:val="auto"/>
          <w:sz w:val="21"/>
          <w:szCs w:val="21"/>
          <w:highlight w:val="none"/>
          <w:lang w:eastAsia="zh-CN"/>
        </w:rPr>
        <w:t xml:space="preserve">JSZC-320507-JSZQ-C2026-0005</w:t>
      </w:r>
      <w:r>
        <w:rPr>
          <w:color w:val="auto"/>
          <w:highlight w:val="none"/>
        </w:rPr>
      </w:r>
      <w:r/>
    </w:p>
    <w:p>
      <w:pPr>
        <w:ind w:firstLine="422"/>
        <w:spacing w:line="360" w:lineRule="auto"/>
        <w:tabs>
          <w:tab w:val="left" w:pos="753" w:leader="none"/>
        </w:tabs>
        <w:rPr>
          <w:rFonts w:ascii="宋体" w:hAnsi="宋体" w:eastAsia="宋体"/>
          <w:b/>
          <w:color w:val="auto"/>
          <w:sz w:val="21"/>
          <w:szCs w:val="21"/>
          <w:highlight w:val="none"/>
        </w:rPr>
        <w:outlineLvl w:val="1"/>
      </w:pPr>
      <w:r>
        <w:rPr>
          <w:color w:val="auto"/>
          <w:highlight w:val="none"/>
        </w:rPr>
      </w:r>
      <w:bookmarkStart w:id="51" w:name="_Toc13642116"/>
      <w:r>
        <w:rPr>
          <w:rFonts w:hint="eastAsia" w:ascii="宋体" w:hAnsi="宋体" w:eastAsia="宋体"/>
          <w:b/>
          <w:color w:val="auto"/>
          <w:sz w:val="21"/>
          <w:szCs w:val="21"/>
          <w:highlight w:val="none"/>
        </w:rPr>
        <w:t xml:space="preserve">二、项目名称：望亭中学基础教育内涵建设项目</w:t>
      </w:r>
      <w:r>
        <w:rPr>
          <w:color w:val="auto"/>
          <w:highlight w:val="none"/>
        </w:rPr>
      </w:r>
      <w:r/>
    </w:p>
    <w:p>
      <w:pPr>
        <w:ind w:firstLine="422"/>
        <w:spacing w:line="360" w:lineRule="auto"/>
        <w:tabs>
          <w:tab w:val="left" w:pos="753" w:leader="none"/>
        </w:tabs>
        <w:rPr>
          <w:rFonts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三、采购需求：</w:t>
      </w:r>
      <w:r>
        <w:rPr>
          <w:color w:val="auto"/>
          <w:highlight w:val="none"/>
        </w:rPr>
      </w:r>
      <w:r/>
    </w:p>
    <w:p>
      <w:pPr>
        <w:ind w:firstLine="411"/>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（一）项目概况</w:t>
      </w:r>
      <w:r>
        <w:rPr>
          <w:color w:val="auto"/>
          <w:highlight w:val="none"/>
        </w:rPr>
      </w:r>
      <w:r/>
    </w:p>
    <w:p>
      <w:pPr>
        <w:ind w:firstLine="411"/>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highlight w:val="none"/>
        </w:rPr>
        <w:t xml:space="preserve">望亭中学基础教育内涵建设项目，本次采购</w:t>
      </w:r>
      <w:r>
        <w:rPr>
          <w:rFonts w:hint="eastAsia" w:ascii="宋体" w:hAnsi="宋体" w:eastAsia="宋体" w:cs="宋体"/>
          <w:color w:val="auto"/>
          <w:sz w:val="22"/>
          <w:szCs w:val="22"/>
          <w:highlight w:val="none"/>
        </w:rPr>
        <w:t xml:space="preserve">为望亭中学基础教育内涵服务采购，项目致力于培养“乡村振兴”未来时代新人。主要包含空间建设、设施设备、教师培训管理、课程开发、学生活动、成果提炼与推广等内容</w:t>
      </w:r>
      <w:r>
        <w:rPr>
          <w:rFonts w:hint="eastAsia" w:ascii="宋体" w:hAnsi="宋体" w:eastAsia="宋体" w:cs="宋体"/>
          <w:bCs/>
          <w:color w:val="auto"/>
          <w:sz w:val="21"/>
          <w:szCs w:val="21"/>
          <w:highlight w:val="none"/>
        </w:rPr>
        <w:t xml:space="preserve">。</w:t>
      </w:r>
      <w:r>
        <w:rPr>
          <w:color w:val="auto"/>
          <w:highlight w:val="none"/>
        </w:rPr>
      </w:r>
      <w:r/>
    </w:p>
    <w:p>
      <w:pPr>
        <w:ind w:firstLine="411"/>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（二）采购清单及技术要求</w:t>
      </w:r>
      <w:r>
        <w:rPr>
          <w:color w:val="auto"/>
          <w:highlight w:val="none"/>
        </w:rPr>
      </w:r>
      <w:r/>
    </w:p>
    <w:tbl>
      <w:tblPr>
        <w:tblStyle w:val="724"/>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96"/>
        <w:gridCol w:w="1390"/>
        <w:gridCol w:w="5163"/>
        <w:gridCol w:w="2008"/>
        <w:gridCol w:w="496"/>
        <w:gridCol w:w="496"/>
      </w:tblGrid>
      <w:tr>
        <w:trPr>
          <w:trHeight w:val="86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名称及位置</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文化创意策划、设计理念及说明</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文化建设内容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rPr>
                <w:color w:val="auto"/>
                <w:highlight w:val="none"/>
              </w:rPr>
            </w:r>
            <w:r/>
          </w:p>
        </w:tc>
      </w:tr>
      <w:tr>
        <w:trPr>
          <w:trHeight w:val="86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一、省级课程基地文化长廊板块</w:t>
            </w:r>
            <w:r>
              <w:rPr>
                <w:color w:val="auto"/>
                <w:highlight w:val="none"/>
              </w:rPr>
            </w:r>
            <w:r/>
          </w:p>
        </w:tc>
      </w:tr>
      <w:tr>
        <w:trPr>
          <w:trHeight w:val="186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设计理念：通过空间聚焦与形象统领，强化项目识别与价值传达。合理组织信息层级，营造入口仪式感与归属感，实现艺术表现力与文化理解力的协同提升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1、教学：支撑主题导入与价值传达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2、创作：预预留内容更新与形象再造空间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3、展示：强化项目识别与仪式感营造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4、互动：专业设计师设计，效果图绘制，主材运输，人工及辅材安装，垃圾清运等综合考虑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96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项目总览</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设计理念：通过空间聚焦与形象统领，强化项目识别与价值传达，以乡土润心，以实践育人，以教育反哺乡村育人，目标：培养有根、有识、有为、有爱的新时代 “风华” 少年。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1、教学：支撑主题导入与价值传达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2、展示：强化项目识别、基地全景图、项目开幕视频演讲等内容展示等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4、互动：专业设计师设计，效果图绘制，主材运输，人工及辅材安装，垃圾清运等综合考虑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文化设计、窗户及墙面处理、主标题字、顶面处理、图文展板等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时代使命板块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设计理念：采用递进式叙事结构，实现宏观背景与在地实践的有机融合。通过图文搭配与节奏控制，训练逻辑建构与信息关联能力。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1、教学：支撑背景讲解与逻辑梳理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2、创作：容纳信息整合与图文再编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3、展示：呈现政策脉络与在地资源、课程预览、成果点播、各年级课程查阅、电子作品展览、项目学习案例展示等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课程体系板块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设计理念：运用层级化视觉语言，实现课程结构的空间转译。通过造型变化隐喻成长逻辑，训练结构思维与系统建模能力。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1、教学：支撑课程结构与进阶逻辑讲解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2、创作：预留活动记录与案例更新空间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3、展示：呈现课程层级与实践成果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825"/>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实践平台板块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设计理念：采用辐射式空间布局，统筹校内外实践资源。通过中心与周边的关联设计，训练空间转换与全域统筹思维。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1、教学：支撑资源网络与空间布局讲解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2、创作：容纳实践路线与足迹标注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3、展示：呈现校内外平台与协同关系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1115"/>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导师团队板块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设计理念：运用对称与网格化布局，构建信任感与示范性。通过模块化设计实现灵活扩展，训练比例感知与信息编排能力。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1、教学：支撑师资构成与专业领域讲解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2、创作：预留人物补充与形象更新空间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3、展示：呈现导师阵容与团队风采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1465"/>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育人路径板块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设计理念：：采用复合图形融合多维要素，实现成长路径的可视化表达。通过空间造型转化抽象概念，训练工程思维与路径设计能力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1、教学：支撑师资构成与专业领域讲解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2、创作：容纳行为记录与成果生成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3、展示：AI互动屏幕展示，乡村振兴AI问答、闯关等内容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文化设计、墙面处理、主标题字、顶面处理、图文展板、AI内容展示等</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1465"/>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育人成果板块</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设计理念：综合运用多种展示媒介，实现成果的立体化呈现。通过分层叙事与空间组织，训练艺术表现力与成果传达能力。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1、教学：支撑案例分析与经验分享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2、创作：容纳成果上传与内容更新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 呈现师生发展与物化成果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文化设计、窗户及墙面处理、主标题字、顶面处理、图文展板等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1465"/>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望亭中学基础教育内涵建设</w:t>
            </w:r>
            <w:r>
              <w:rPr>
                <w:color w:val="auto"/>
                <w:highlight w:val="none"/>
              </w:rPr>
            </w:r>
            <w:r/>
          </w:p>
        </w:tc>
        <w:tc>
          <w:tcPr>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设计理念：围绕综合实践 + 艺术特色 + 劳动育人 + 品格涵养四大方向，省市区三级立项联动，以风华、稻香两大特色 IP 贯穿育人全过程，锚定乡村振兴下高中育人改革落地。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1、教学：支撑总结升华与愿景传达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2、创作：容纳提案提交与内容共创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3、专业设计师设计，效果图绘制，主材运输，人工及辅材安装，垃圾清运等综合考虑</w:t>
            </w:r>
            <w:r>
              <w:rPr>
                <w:color w:val="auto"/>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left"/>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文化设计、墙面处理、主标题字、顶面处理、图文展板等</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82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二、省级课程基地内容建设板块</w:t>
            </w:r>
            <w:r>
              <w:rPr>
                <w:color w:val="auto"/>
                <w:highlight w:val="none"/>
              </w:rPr>
            </w:r>
            <w:r/>
          </w:p>
        </w:tc>
      </w:tr>
      <w:tr>
        <w:trPr>
          <w:trHeight w:val="101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校本教材：课程基地</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171"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校本教材编制、排版</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rPr>
                <w:color w:val="auto"/>
                <w:highlight w:val="none"/>
              </w:rPr>
            </w:r>
            <w:r/>
          </w:p>
        </w:tc>
      </w:tr>
      <w:tr>
        <w:trPr>
          <w:trHeight w:val="103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论文指导、协助发表</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171"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论文指导、协助发表，不少于5篇</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rPr>
                <w:color w:val="auto"/>
                <w:highlight w:val="none"/>
              </w:rPr>
            </w:r>
            <w:r/>
          </w:p>
        </w:tc>
      </w:tr>
      <w:tr>
        <w:trPr>
          <w:trHeight w:val="76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课程专家论证</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171"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专家指导、论证</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895"/>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省级课程基地学习</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171"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省级课程基地项目现场学习</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100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课程基地前期方案申报及指导</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171"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高品质特色高中项目前期方案申报及指导，不少于3次</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r>
        <w:trPr>
          <w:trHeight w:val="1090"/>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color w:val="auto"/>
                <w:highlight w:val="none"/>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课程基地中期文献论证指导</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171"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高品质特色高中项目中期文献论证指导，不少于3次</w:t>
            </w:r>
            <w:r>
              <w:rPr>
                <w:color w:val="auto"/>
                <w:highlight w:val="none"/>
              </w:rPr>
            </w:r>
            <w:r/>
          </w:p>
        </w:tc>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jc w:val="center"/>
              <w:keepLines w:val="0"/>
              <w:keepNext w:val="0"/>
              <w:widowControl/>
              <w:rPr>
                <w:rFonts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rPr>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color w:val="auto"/>
                <w:highlight w:val="none"/>
              </w:rPr>
            </w:r>
            <w:r/>
          </w:p>
        </w:tc>
      </w:tr>
    </w:tbl>
    <w:p>
      <w:pPr>
        <w:ind w:firstLine="422"/>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rPr>
          <w:color w:val="auto"/>
          <w:highlight w:val="none"/>
        </w:rPr>
      </w:r>
      <w:r/>
    </w:p>
    <w:p>
      <w:pPr>
        <w:ind w:firstLine="422"/>
        <w:spacing w:line="360" w:lineRule="auto"/>
        <w:rPr>
          <w:rFonts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、以上规格、技术参数及要求中固定尺寸及数值根据实际情况可适当调整，但不得影响采购人实际使用。</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
          <w:color w:val="auto"/>
          <w:sz w:val="21"/>
          <w:szCs w:val="21"/>
          <w:highlight w:val="none"/>
        </w:rPr>
        <w:t xml:space="preserve">（三）</w:t>
      </w:r>
      <w:r>
        <w:rPr>
          <w:rFonts w:hint="eastAsia" w:ascii="宋体" w:hAnsi="宋体" w:eastAsia="宋体" w:cs="宋体"/>
          <w:bCs/>
          <w:color w:val="auto"/>
          <w:sz w:val="21"/>
          <w:szCs w:val="21"/>
          <w:highlight w:val="none"/>
        </w:rPr>
        <w:t xml:space="preserve">相关要求：</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1、设计方案及审查要求</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1.1设计方案要求连贯、完整、美观、实用，所提供的图纸包括平面图、彩色效果图等。投标人在其投标文件中对于招标文件已提供以及未提供的货物或服务情况均须进行完整的阐述和说明，否则其投标文件将有被拒绝的可能。</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1.2细节要求：标识设计符合识别规划，标准文字设计符合识别规划的中英文专用字体设计；标准色及辅助色设计符合识别规划的准用色彩；辅助图形设计完善标识应用的整体延伸。</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1.3投标人中标后，根据采购人要求，在规定的时间内，向采购人提交优化的设计方案、图纸等内容，根据现场实际需求，设计尺寸可略作调整，经采购人批准同意后方可以组织实施。在实施期间，中标人应无条件遵守项目现场的各项规章制度。</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1.4投标人应保证所提供服务范围内货物涉及到的知识产权是合法取得，并享有完整的知识产权，不会因为采购人的使用而被责令停止使用、追偿或要求赔偿损失，如出现此情况，一切经济和法律责任均由投标人承担。</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2、质量要求</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2.1投标人应保证所提供的标的物是全新的、未使用过的，并且是非长期积压的库存商品，完全符合合同规定的质量、规格和性能的要求，应保证其提供的标的物在正确安装、正常使用和保养条件下，在其标称的使用寿命期内应具有满意的性能。在投标人承诺的质量保证期限内，应对由于设计、工艺或材料的缺陷及伴随服务而造成的任何不足或故障负责。标的物质量出现问题，投标人应负责包修、包退、包换，费用由投标人承担。</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2.2所提供服务范围内货物的生产、制造、安装等各项技术标准，应当符合国家（强制性）标准、各项规范要求；国家没有相应标准、规范的，可使用行业标准、规定；非标产品按约定的技术要求和规范。</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2.3所有材料及成果必须符合消防要求，如不满足规范要求，由投标人承担相应责任。</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2.4除特别约定外，合同条款成交的物的质量保证期均自标的物通过最终验收之日起计算。</w:t>
      </w:r>
      <w:r>
        <w:rPr>
          <w:color w:val="auto"/>
          <w:highlight w:val="none"/>
        </w:rPr>
      </w:r>
      <w:r/>
    </w:p>
    <w:p>
      <w:pPr>
        <w:ind w:firstLine="422"/>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2.5标的物应满足环保规范要求及满足校园使用规范要求。</w:t>
      </w:r>
      <w:r>
        <w:rPr>
          <w:color w:val="auto"/>
          <w:highlight w:val="none"/>
        </w:rPr>
      </w:r>
      <w:r/>
    </w:p>
    <w:p>
      <w:pPr>
        <w:numPr>
          <w:ilvl w:val="0"/>
          <w:numId w:val="3"/>
        </w:numPr>
        <w:ind w:firstLine="420"/>
        <w:spacing w:line="360" w:lineRule="auto"/>
        <w:shd w:val="clear" w:color="auto" w:fill="ffffff"/>
        <w:widowControl/>
        <w:tabs>
          <w:tab w:val="left" w:pos="315" w:leader="none"/>
          <w:tab w:val="center" w:pos="4153" w:leader="none"/>
        </w:tabs>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其他要求：现场安装涉及的水电费、设计费包含在投标报价中，采购人不再另行支付；服务完成后完成所安装区域的垃圾清洁工作。</w:t>
      </w:r>
      <w:r>
        <w:rPr>
          <w:color w:val="auto"/>
          <w:highlight w:val="none"/>
        </w:rPr>
      </w:r>
      <w:r/>
    </w:p>
    <w:p>
      <w:pPr>
        <w:ind w:firstLine="480"/>
        <w:jc w:val="left"/>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四、综合说明及其他要求：</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文件提出的是最低限度的要求，并未对一切细节作出规定，也未充分引述全部有关标准和规范的条文，供应商所提供的相关货物或服务都应符合已颁布的现行的国家标准、行业标准和地方标准，并应达到或优于招标文件要求。若招标文件中涉及品牌或品牌导向，则仅作参考。</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3、投标人应对招标文件中提出的全部要求进行响应，如果其中某些条款不响应时，应在文件中逐条列出，未列出的视</w:t>
      </w:r>
      <w:r>
        <w:rPr>
          <w:rFonts w:hint="eastAsia" w:ascii="宋体" w:hAnsi="宋体" w:eastAsia="宋体" w:cs="宋体"/>
          <w:color w:val="auto"/>
          <w:sz w:val="21"/>
          <w:szCs w:val="21"/>
          <w:highlight w:val="none"/>
        </w:rPr>
        <w:t xml:space="preserve">同响应。</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4、报价说明：投标总报价包括本项目的货物及其备品、备件和专用工具费用、税费及包装、运至最终目的地的运输、保险、现场吊装、临时工程、安装调试</w:t>
      </w:r>
      <w:r>
        <w:rPr>
          <w:rFonts w:hint="eastAsia" w:ascii="宋体" w:hAnsi="宋体" w:eastAsia="宋体" w:cs="宋体"/>
          <w:color w:val="auto"/>
          <w:sz w:val="21"/>
          <w:szCs w:val="21"/>
          <w:highlight w:val="none"/>
        </w:rPr>
        <w:t xml:space="preserve">、技术支持与培训、售后服务与维保及相关劳务支出、水电费等完成本项目所发生的全部费用以及供应商企业利润、税金和政策性文件规定及合同包含的所有风险、责任等各</w:t>
      </w:r>
      <w:r>
        <w:rPr>
          <w:rFonts w:hint="eastAsia" w:ascii="宋体" w:hAnsi="宋体" w:eastAsia="宋体" w:cs="宋体"/>
          <w:color w:val="auto"/>
          <w:sz w:val="21"/>
          <w:szCs w:val="21"/>
          <w:highlight w:val="none"/>
        </w:rPr>
        <w:t xml:space="preserve">项应有费用。同时，除非合同条款中另有规定，否则，中标人所报价格在合同实施期间不因市场变化因素而变动。</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5、服务地点：采购人指定地点。</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6、服务期限：合同签订生效后，45天（日历日）内完成基础设计建设，其他指导服务于合同签订之日起一年内完成。</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售后服务：本项目提供不低于2年的免费质保期，自整体项目验收合格之日起计算。接采购人报修后，中标人应在30分钟内响应，6小时内到达现场，24小时内完成维修要求。如不能解决问题，应免费用同样品牌、规格或更高的部件更换到位。</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8、知识产权：</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保证采购人免除且中标人承担由于采购人在使用其投标的产品或其任何一部分时而引起第三方提出的侵犯专利权、商标权或工业设计权的起诉、行动、行政程序索赔、请求等以及需方为此而产生的损失和损害、费用和支出（包括律师费）。</w:t>
      </w:r>
      <w:r>
        <w:rPr>
          <w:color w:val="auto"/>
          <w:highlight w:val="none"/>
        </w:rPr>
      </w:r>
      <w:r/>
    </w:p>
    <w:p>
      <w:pPr>
        <w:ind w:firstLine="480"/>
        <w:jc w:val="left"/>
        <w:spacing w:line="360" w:lineRule="auto"/>
        <w:tabs>
          <w:tab w:val="left" w:pos="54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9、验收要求：</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交货前，中标人应对标的物的质量、规格、性能、数量、外观、随机备件备品、装箱单、随机资料、包装等进行详细而全面的检验，并出具一份检验合格证明，合格检验证明作为采购人验收的依据，但不能作为有关标的物质量、规格、数量或性能的最终检验结果。中标人保证产品质量符合国家有关标准验收要求，如不合标准和要求，采购人有权提出返工修正，如造成采购人损失，中标人应予赔偿。</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交货时必须原包装现场拆封验收，由采购人以及中标人共同对标的物的质量、规格、性能、数量、外观、随机备件备品、装箱单、随机资料、包装等进行详细而全面的检验，并出具一份检验合格证明，合格检验证明作为采购人验收的依据，但不能作为有关标的物质量、规格、数量或性能的最终检验结果。</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采购人有权委托第三方根据招标文件要求对中标人所交货物的产品质量进行验收，第三方验收费由中标人支付，如质量不符合招标文件要求的，采购人有权要求退换与招标文件不符的产品，如对验收结果还有分歧的，则以质量监督检验所的检验结果为准，检验费由有过失的一方支付。</w:t>
      </w:r>
      <w:r>
        <w:rPr>
          <w:color w:val="auto"/>
          <w:highlight w:val="none"/>
        </w:rPr>
      </w:r>
      <w:r/>
    </w:p>
    <w:p>
      <w:pPr>
        <w:ind w:firstLine="420"/>
        <w:jc w:val="left"/>
        <w:spacing w:line="360" w:lineRule="auto"/>
        <w:tabs>
          <w:tab w:val="left" w:pos="540" w:leader="none"/>
        </w:tabs>
        <w:rPr>
          <w:color w:val="auto"/>
          <w:highlight w:val="none"/>
        </w:rPr>
      </w:pPr>
      <w:r>
        <w:rPr>
          <w:rFonts w:hint="eastAsia" w:ascii="宋体" w:hAnsi="宋体" w:eastAsia="宋体" w:cs="宋体"/>
          <w:color w:val="auto"/>
          <w:sz w:val="21"/>
          <w:szCs w:val="21"/>
          <w:highlight w:val="none"/>
        </w:rPr>
        <w:t xml:space="preserve">（3）验收期限在安装调试结束15天内进行。特殊情况需延长的，双方应特别约定。</w:t>
      </w:r>
      <w:r>
        <w:rPr>
          <w:color w:val="auto"/>
          <w:highlight w:val="none"/>
        </w:rPr>
      </w:r>
      <w:r/>
    </w:p>
    <w:p>
      <w:pPr>
        <w:ind w:firstLine="422"/>
        <w:spacing w:line="360" w:lineRule="auto"/>
        <w:tabs>
          <w:tab w:val="left" w:pos="753" w:leader="none"/>
        </w:tabs>
        <w:rPr>
          <w:rFonts w:ascii="宋体" w:hAnsi="宋体" w:eastAsia="宋体"/>
          <w:b/>
          <w:color w:val="auto"/>
          <w:sz w:val="21"/>
          <w:szCs w:val="21"/>
          <w:highlight w:val="none"/>
        </w:rPr>
        <w:outlineLvl w:val="1"/>
      </w:pPr>
      <w:r>
        <w:rPr>
          <w:rFonts w:hint="eastAsia" w:ascii="宋体" w:hAnsi="宋体" w:eastAsia="宋体"/>
          <w:b/>
          <w:color w:val="auto"/>
          <w:sz w:val="21"/>
          <w:szCs w:val="21"/>
          <w:highlight w:val="none"/>
        </w:rPr>
        <w:t xml:space="preserve">五、响应文件的组成及要求</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1、封面</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2、开标一览表</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3、资格审查响应文件</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3.1关于资格文件的声明函（格式见第二章）；</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3.2磋商响应单位情况表（格式见第二章）；</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3.3磋商响应单位法定代表人身份证复印件；</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3.4法定代表人授权委托书（如有授权，格式见第二章）；</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3.5磋商响应单位授权代理人身份证复印件（如有授权）；</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3.6合格供应商的基本条件</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3.6.1具有独立承担民事责任的能力证明。包括法人或者其他组织的营业执照等证明文件，自然人的身份证明；</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3.6.2具有良好的商业信誉和健全的财务会计制度证明</w:t>
      </w:r>
      <w:r>
        <w:rPr>
          <w:rFonts w:hint="eastAsia" w:ascii="宋体" w:hAnsi="宋体" w:eastAsia="宋体" w:cs="宋体"/>
          <w:b/>
          <w:color w:val="auto"/>
          <w:sz w:val="21"/>
          <w:szCs w:val="21"/>
          <w:highlight w:val="none"/>
        </w:rPr>
        <w:t xml:space="preserve">（包括但不限于最近一期经审计的财务报告或财务报表或其基本开户银行出具的资信证明）</w:t>
      </w:r>
      <w:r>
        <w:rPr>
          <w:rFonts w:hint="eastAsia" w:ascii="宋体" w:hAnsi="宋体" w:eastAsia="宋体" w:cs="宋体"/>
          <w:bCs/>
          <w:color w:val="auto"/>
          <w:sz w:val="21"/>
          <w:szCs w:val="21"/>
          <w:highlight w:val="none"/>
        </w:rPr>
        <w:t xml:space="preserve">；</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3.6.3履行合同所必需的设备和专业技术能力的证明材料或承诺；</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3.6.4有依法缴纳税收和社会保障资金的良好记录</w:t>
      </w:r>
      <w:r>
        <w:rPr>
          <w:rFonts w:hint="eastAsia" w:ascii="宋体" w:hAnsi="宋体" w:eastAsia="宋体"/>
          <w:b/>
          <w:color w:val="auto"/>
          <w:sz w:val="21"/>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 xml:space="preserve">；</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3.6.5参加政府采购活动前三年内在经营活动中没有重大违法记录的书面声明函；</w:t>
      </w:r>
      <w:r>
        <w:rPr>
          <w:color w:val="auto"/>
          <w:highlight w:val="none"/>
        </w:rPr>
      </w:r>
      <w:r/>
    </w:p>
    <w:p>
      <w:pPr>
        <w:pStyle w:val="913"/>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3.7其它有关资格证明的文件；</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4、符合性审查响应文件</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磋商响应函（格式见第二章）；</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4.2磋商报价分析表（格式见第二章）；</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商务条款偏离表（格式见第二章）；</w:t>
      </w:r>
      <w:r>
        <w:rPr>
          <w:color w:val="auto"/>
          <w:highlight w:val="none"/>
        </w:rPr>
      </w:r>
      <w:r/>
    </w:p>
    <w:p>
      <w:pPr>
        <w:pStyle w:val="91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服务要求偏离表（格式见第二章）；</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其他有关符合性证明的文件；</w:t>
      </w:r>
      <w:r>
        <w:rPr>
          <w:color w:val="auto"/>
          <w:highlight w:val="none"/>
        </w:rPr>
      </w:r>
      <w:r/>
    </w:p>
    <w:p>
      <w:pPr>
        <w:pStyle w:val="913"/>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5、综合评审响应文件</w:t>
      </w:r>
      <w:r>
        <w:rPr>
          <w:rFonts w:hint="eastAsia" w:ascii="宋体" w:hAnsi="宋体" w:eastAsia="宋体"/>
          <w:bCs/>
          <w:color w:val="auto"/>
          <w:sz w:val="21"/>
          <w:szCs w:val="21"/>
          <w:highlight w:val="none"/>
        </w:rPr>
        <w:t xml:space="preserve">（供应商根据评分标准制作）</w:t>
      </w:r>
      <w:r>
        <w:rPr>
          <w:color w:val="auto"/>
          <w:highlight w:val="none"/>
        </w:rPr>
      </w:r>
      <w:r/>
    </w:p>
    <w:p>
      <w:pPr>
        <w:pStyle w:val="91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6、《中小企业声明函》或《残疾人福利性单位声明函》或由省级以上监狱管理局、戒毒管理局（含新疆生产建设兵团）出具的属于监狱企业的证明文件（如有）。</w:t>
      </w:r>
      <w:r>
        <w:rPr>
          <w:color w:val="auto"/>
          <w:highlight w:val="none"/>
        </w:rPr>
      </w:r>
      <w:r/>
    </w:p>
    <w:p>
      <w:pPr>
        <w:pStyle w:val="91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7、其他可以证明投标人资质、服务质量的证书、文件等相关资料。</w:t>
      </w:r>
      <w:r>
        <w:rPr>
          <w:color w:val="auto"/>
          <w:highlight w:val="none"/>
        </w:rPr>
      </w:r>
      <w:r/>
    </w:p>
    <w:p>
      <w:pPr>
        <w:pStyle w:val="91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（1）以上3.1</w:t>
      </w:r>
      <w:r>
        <w:rPr>
          <w:rFonts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rPr>
        <w:t xml:space="preserve">3.7为资格审查要求提供的材料，是作为对供应商资格审查、质疑身份认定的依据，响应供应商必须提供并加盖电子公章。否则，磋商响应文件将被认定为不符合资格审查要求。</w:t>
      </w:r>
      <w:r>
        <w:rPr>
          <w:color w:val="auto"/>
          <w:highlight w:val="none"/>
        </w:rPr>
      </w:r>
      <w:r/>
    </w:p>
    <w:p>
      <w:pPr>
        <w:pStyle w:val="913"/>
        <w:ind w:firstLine="843"/>
        <w:spacing w:line="360" w:lineRule="auto"/>
        <w:rPr>
          <w:rFonts w:ascii="宋体" w:hAnsi="宋体" w:eastAsia="宋体"/>
          <w:color w:val="auto"/>
          <w:sz w:val="21"/>
          <w:szCs w:val="21"/>
          <w:highlight w:val="none"/>
        </w:rPr>
      </w:pPr>
      <w:r>
        <w:rPr>
          <w:rFonts w:hint="eastAsia" w:ascii="宋体" w:hAnsi="宋体" w:eastAsia="宋体" w:cs="宋体"/>
          <w:b/>
          <w:bCs/>
          <w:color w:val="auto"/>
          <w:sz w:val="21"/>
          <w:szCs w:val="21"/>
          <w:highlight w:val="none"/>
        </w:rPr>
        <w:t xml:space="preserve">（2）以上4.1-4.</w:t>
      </w:r>
      <w:r>
        <w:rPr>
          <w:rFonts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rPr>
        <w:t xml:space="preserve">为符合性审查须提供的资料，响应供应商必须提供并加盖电子公章。否则，磋商响应文件将被认定为未实质性响应。</w:t>
      </w:r>
      <w:r>
        <w:rPr>
          <w:color w:val="auto"/>
          <w:highlight w:val="none"/>
        </w:rPr>
      </w:r>
      <w:r/>
    </w:p>
    <w:p>
      <w:pPr>
        <w:pStyle w:val="913"/>
        <w:ind w:firstLine="843"/>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（3）制作电子响应文件时必须与投标文件制作软件目录一一对应，将相关资料上传至相应模块。</w:t>
      </w:r>
      <w:r>
        <w:rPr>
          <w:color w:val="auto"/>
          <w:highlight w:val="none"/>
        </w:rPr>
      </w:r>
      <w:r/>
    </w:p>
    <w:p>
      <w:pPr>
        <w:pStyle w:val="913"/>
        <w:ind w:firstLine="843"/>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pStyle w:val="913"/>
        <w:ind w:firstLine="843"/>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color w:val="auto"/>
          <w:highlight w:val="none"/>
        </w:rPr>
      </w:r>
      <w:r/>
    </w:p>
    <w:p>
      <w:pPr>
        <w:ind w:firstLine="422"/>
        <w:spacing w:line="348"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六、磋商程序</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1、采购代理机构按本须知规定的时间、地点主持磋商采购活动。</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、在磋商响应文件网上递交截止时间止成功解密的磋商供应商少于三家，则本次采购失败。</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、由磋商小组审查供应商解密的响应文件。</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6、磋商小组要求供应商澄清、说明或者更正响应文件应当以书面形式做出。供应商的澄清、说明或者更正应当由其单位加盖电子公章。</w:t>
      </w:r>
      <w:r>
        <w:rPr>
          <w:color w:val="auto"/>
          <w:highlight w:val="none"/>
        </w:rPr>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r/>
    </w:p>
    <w:p>
      <w:pPr>
        <w:pStyle w:val="913"/>
        <w:spacing w:line="360" w:lineRule="auto"/>
        <w:rPr>
          <w:rFonts w:ascii="宋体" w:hAnsi="宋体" w:eastAsia="宋体" w:cs="宋体"/>
          <w:b/>
          <w:color w:val="auto"/>
          <w:sz w:val="21"/>
          <w:szCs w:val="21"/>
          <w:highlight w:val="none"/>
        </w:rPr>
      </w:pPr>
      <w:r>
        <w:rPr>
          <w:rFonts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ascii="宋体" w:hAnsi="宋体" w:eastAsia="宋体" w:cs="宋体"/>
          <w:b/>
          <w:color w:val="auto"/>
          <w:sz w:val="21"/>
          <w:szCs w:val="21"/>
          <w:highlight w:val="none"/>
        </w:rPr>
        <w:t xml:space="preserve">0</w:t>
      </w:r>
      <w:r>
        <w:rPr>
          <w:rFonts w:hint="eastAsia" w:ascii="宋体" w:hAnsi="宋体" w:eastAsia="宋体" w:cs="宋体"/>
          <w:b/>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auto"/>
          <w:sz w:val="21"/>
          <w:szCs w:val="21"/>
          <w:highlight w:val="none"/>
        </w:rPr>
        <w:t xml:space="preserve">（此处规定时间的计算以系统中的倒计时间为准，系统中的线上最后报价只有一次机会，提交后无法撤回，请供应商慎重提交）</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rPr>
          <w:color w:val="auto"/>
          <w:highlight w:val="none"/>
        </w:rPr>
      </w:r>
      <w:r/>
    </w:p>
    <w:p>
      <w:pPr>
        <w:pStyle w:val="91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rPr>
          <w:color w:val="auto"/>
          <w:highlight w:val="none"/>
        </w:rPr>
      </w:r>
      <w:r/>
    </w:p>
    <w:p>
      <w:pPr>
        <w:pStyle w:val="1058"/>
        <w:ind w:left="0" w:firstLine="422"/>
        <w:spacing w:line="360" w:lineRule="auto"/>
        <w:rPr>
          <w:rFonts w:ascii="宋体" w:hAnsi="宋体" w:cs="宋体"/>
          <w:b/>
          <w:color w:val="auto"/>
          <w:sz w:val="21"/>
          <w:szCs w:val="21"/>
          <w:highlight w:val="none"/>
        </w:rPr>
      </w:pPr>
      <w:r>
        <w:rPr>
          <w:color w:val="auto"/>
          <w:highlight w:val="none"/>
        </w:rPr>
      </w:r>
      <w:bookmarkStart w:id="52" w:name="OLE_LINK20"/>
      <w:r>
        <w:rPr>
          <w:rFonts w:ascii="宋体" w:hAnsi="宋体" w:cs="宋体"/>
          <w:b/>
          <w:color w:val="auto"/>
          <w:sz w:val="21"/>
          <w:szCs w:val="21"/>
          <w:highlight w:val="none"/>
        </w:rPr>
        <w:t xml:space="preserve">11</w:t>
      </w:r>
      <w:r>
        <w:rPr>
          <w:rFonts w:hint="eastAsia" w:ascii="宋体" w:hAnsi="宋体" w:cs="宋体"/>
          <w:b/>
          <w:color w:val="auto"/>
          <w:sz w:val="21"/>
          <w:szCs w:val="21"/>
          <w:highlight w:val="none"/>
        </w:rPr>
        <w:t xml:space="preserve">、异常低价响应审查</w:t>
      </w:r>
      <w:r>
        <w:rPr>
          <w:color w:val="auto"/>
          <w:highlight w:val="none"/>
        </w:rPr>
      </w:r>
      <w:r/>
    </w:p>
    <w:p>
      <w:pPr>
        <w:pStyle w:val="1058"/>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lang w:val="en-US"/>
        </w:rPr>
        <w:t xml:space="preserve">11.1</w:t>
      </w:r>
      <w:r>
        <w:rPr>
          <w:rFonts w:hint="eastAsia" w:ascii="宋体" w:hAnsi="宋体" w:cs="宋体"/>
          <w:b/>
          <w:color w:val="auto"/>
          <w:sz w:val="21"/>
          <w:szCs w:val="21"/>
          <w:highlight w:val="none"/>
          <w:lang w:val="en-US"/>
        </w:rPr>
        <w:t xml:space="preserve">评审过程中出现下列情形之一的，磋商小组应当启动异常低价响应审查程序：</w:t>
      </w:r>
      <w:bookmarkEnd w:id="52"/>
      <w:r>
        <w:rPr>
          <w:color w:val="auto"/>
          <w:highlight w:val="none"/>
        </w:rPr>
      </w:r>
      <w:r/>
    </w:p>
    <w:p>
      <w:pPr>
        <w:pStyle w:val="1058"/>
        <w:ind w:left="0" w:firstLine="422"/>
        <w:spacing w:line="360" w:lineRule="auto"/>
        <w:rPr>
          <w:rFonts w:ascii="宋体" w:hAnsi="宋体" w:cs="宋体"/>
          <w:b/>
          <w:color w:val="auto"/>
          <w:sz w:val="21"/>
          <w:szCs w:val="21"/>
          <w:highlight w:val="none"/>
        </w:rPr>
      </w:pPr>
      <w:r>
        <w:rPr>
          <w:color w:val="auto"/>
          <w:highlight w:val="none"/>
        </w:rPr>
      </w:r>
      <w:bookmarkStart w:id="53" w:name="OLE_LINK4"/>
      <w:r>
        <w:rPr>
          <w:color w:val="auto"/>
          <w:highlight w:val="none"/>
        </w:rPr>
      </w:r>
      <w:bookmarkStart w:id="54" w:name="OLE_LINK3"/>
      <w:r>
        <w:rPr>
          <w:rFonts w:hint="eastAsia" w:ascii="宋体" w:hAnsi="宋体" w:cs="宋体"/>
          <w:b/>
          <w:color w:val="auto"/>
          <w:sz w:val="21"/>
          <w:szCs w:val="21"/>
          <w:highlight w:val="none"/>
          <w:lang w:val="en-US"/>
        </w:rPr>
        <w:t xml:space="preserve">（1）响应报价低于全部通过符合性审查供应商响应报价平均值50%的，即响应报价&lt;全部通过符合性审查供应商响应报价平均值×50%；</w:t>
      </w:r>
      <w:r>
        <w:rPr>
          <w:color w:val="auto"/>
          <w:highlight w:val="none"/>
        </w:rPr>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（2）响应报价低于通过符合性审查的次低报价供应商响应报价50%的，即响应报价&lt;通过符合性审查的次低报价供应商响应报价×50%；</w:t>
      </w:r>
      <w:r>
        <w:rPr>
          <w:color w:val="auto"/>
          <w:highlight w:val="none"/>
        </w:rPr>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w:t>
      </w:r>
      <w:r>
        <w:rPr>
          <w:rFonts w:ascii="宋体" w:hAnsi="宋体" w:cs="宋体"/>
          <w:b/>
          <w:color w:val="auto"/>
          <w:sz w:val="21"/>
          <w:szCs w:val="21"/>
          <w:highlight w:val="none"/>
          <w:lang w:val="en-US"/>
        </w:rPr>
        <w:t xml:space="preserve">3</w:t>
      </w:r>
      <w:r>
        <w:rPr>
          <w:rFonts w:hint="eastAsia" w:ascii="宋体" w:hAnsi="宋体" w:cs="宋体"/>
          <w:b/>
          <w:color w:val="auto"/>
          <w:sz w:val="21"/>
          <w:szCs w:val="21"/>
          <w:highlight w:val="none"/>
          <w:lang w:val="en-US"/>
        </w:rPr>
        <w:t xml:space="preserve">）</w:t>
      </w:r>
      <w:bookmarkStart w:id="55" w:name="OLE_LINK27"/>
      <w:r>
        <w:rPr>
          <w:color w:val="auto"/>
          <w:highlight w:val="none"/>
        </w:rPr>
      </w:r>
      <w:bookmarkStart w:id="56" w:name="OLE_LINK28"/>
      <w:r>
        <w:rPr>
          <w:rFonts w:hint="eastAsia" w:ascii="宋体" w:hAnsi="宋体" w:cs="宋体"/>
          <w:b/>
          <w:color w:val="auto"/>
          <w:sz w:val="21"/>
          <w:szCs w:val="21"/>
          <w:highlight w:val="none"/>
          <w:lang w:val="en-US"/>
        </w:rPr>
        <w:t xml:space="preserve">响应报价</w:t>
      </w:r>
      <w:bookmarkEnd w:id="55"/>
      <w:r>
        <w:rPr>
          <w:color w:val="auto"/>
          <w:highlight w:val="none"/>
        </w:rPr>
      </w:r>
      <w:bookmarkEnd w:id="56"/>
      <w:r>
        <w:rPr>
          <w:rFonts w:hint="eastAsia" w:ascii="宋体" w:hAnsi="宋体" w:cs="宋体"/>
          <w:b/>
          <w:color w:val="auto"/>
          <w:sz w:val="21"/>
          <w:szCs w:val="21"/>
          <w:highlight w:val="none"/>
          <w:lang w:val="en-US"/>
        </w:rPr>
        <w:t xml:space="preserve">低于采购项目最高限价45%的，即响应报价&lt;采购项目最高限价×45%；</w:t>
      </w:r>
      <w:r>
        <w:rPr>
          <w:color w:val="auto"/>
          <w:highlight w:val="none"/>
        </w:rPr>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w:t>
      </w:r>
      <w:r>
        <w:rPr>
          <w:rFonts w:ascii="宋体" w:hAnsi="宋体" w:cs="宋体"/>
          <w:b/>
          <w:color w:val="auto"/>
          <w:sz w:val="21"/>
          <w:szCs w:val="21"/>
          <w:highlight w:val="none"/>
          <w:lang w:val="en-US"/>
        </w:rPr>
        <w:t xml:space="preserve">4</w:t>
      </w:r>
      <w:r>
        <w:rPr>
          <w:rFonts w:hint="eastAsia" w:ascii="宋体" w:hAnsi="宋体" w:cs="宋体"/>
          <w:b/>
          <w:color w:val="auto"/>
          <w:sz w:val="21"/>
          <w:szCs w:val="21"/>
          <w:highlight w:val="none"/>
          <w:lang w:val="en-US"/>
        </w:rPr>
        <w:t xml:space="preserve">）磋商小组基于专业判断，认为供应商报价过低，有可能影响产品质量或者不能诚信履约的其他情形。</w:t>
      </w:r>
      <w:bookmarkEnd w:id="53"/>
      <w:r>
        <w:rPr>
          <w:color w:val="auto"/>
          <w:highlight w:val="none"/>
        </w:rPr>
      </w:r>
      <w:bookmarkEnd w:id="54"/>
      <w:r>
        <w:rPr>
          <w:color w:val="auto"/>
          <w:highlight w:val="none"/>
        </w:rPr>
      </w:r>
      <w:r/>
    </w:p>
    <w:p>
      <w:pPr>
        <w:pStyle w:val="913"/>
        <w:ind w:firstLine="422"/>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lang w:val="zh-CN"/>
        </w:rPr>
        <w:t xml:space="preserve">11.2</w:t>
      </w:r>
      <w:r>
        <w:rPr>
          <w:rFonts w:hint="eastAsia" w:ascii="宋体" w:hAnsi="宋体" w:eastAsia="宋体"/>
          <w:b/>
          <w:color w:val="auto"/>
          <w:sz w:val="21"/>
          <w:szCs w:val="21"/>
          <w:highlight w:val="none"/>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auto"/>
          <w:sz w:val="21"/>
          <w:szCs w:val="21"/>
          <w:highlight w:val="none"/>
          <w:lang w:val="zh-CN"/>
        </w:rPr>
        <w:t xml:space="preserve">30</w:t>
      </w:r>
      <w:r>
        <w:rPr>
          <w:rFonts w:hint="eastAsia" w:ascii="宋体" w:hAnsi="宋体" w:eastAsia="宋体"/>
          <w:b/>
          <w:color w:val="auto"/>
          <w:sz w:val="21"/>
          <w:szCs w:val="21"/>
          <w:highlight w:val="none"/>
          <w:lang w:val="zh-CN"/>
        </w:rPr>
        <w:t xml:space="preserve">分钟。其中，属于</w:t>
      </w:r>
      <w:r>
        <w:rPr>
          <w:rFonts w:ascii="宋体" w:hAnsi="宋体" w:eastAsia="宋体"/>
          <w:b/>
          <w:color w:val="auto"/>
          <w:sz w:val="21"/>
          <w:szCs w:val="21"/>
          <w:highlight w:val="none"/>
          <w:lang w:val="zh-CN"/>
        </w:rPr>
        <w:t xml:space="preserve">11.1</w:t>
      </w:r>
      <w:r>
        <w:rPr>
          <w:rFonts w:hint="eastAsia" w:ascii="宋体" w:hAnsi="宋体" w:eastAsia="宋体"/>
          <w:b/>
          <w:color w:val="auto"/>
          <w:sz w:val="21"/>
          <w:szCs w:val="21"/>
          <w:highlight w:val="none"/>
          <w:lang w:val="zh-CN"/>
        </w:rPr>
        <w:t xml:space="preserve">第（</w:t>
      </w:r>
      <w:r>
        <w:rPr>
          <w:rFonts w:ascii="宋体" w:hAnsi="宋体" w:eastAsia="宋体"/>
          <w:b/>
          <w:color w:val="auto"/>
          <w:sz w:val="21"/>
          <w:szCs w:val="21"/>
          <w:highlight w:val="none"/>
          <w:lang w:val="zh-CN"/>
        </w:rPr>
        <w:t xml:space="preserve">3</w:t>
      </w:r>
      <w:r>
        <w:rPr>
          <w:rFonts w:hint="eastAsia" w:ascii="宋体" w:hAnsi="宋体" w:eastAsia="宋体"/>
          <w:b/>
          <w:color w:val="auto"/>
          <w:sz w:val="21"/>
          <w:szCs w:val="21"/>
          <w:highlight w:val="none"/>
          <w:lang w:val="zh-CN"/>
        </w:rPr>
        <w:t xml:space="preserve">）项情形，供应商已随响应文件一并提交相关书面说明及必要的证明材料的，在评审现场可不再重复提交。</w:t>
      </w:r>
      <w:r>
        <w:rPr>
          <w:color w:val="auto"/>
          <w:highlight w:val="none"/>
        </w:rPr>
      </w:r>
      <w:r/>
    </w:p>
    <w:p>
      <w:pPr>
        <w:pStyle w:val="913"/>
        <w:ind w:firstLine="422"/>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lang w:val="zh-CN"/>
        </w:rPr>
        <w:t xml:space="preserve">11.3</w:t>
      </w:r>
      <w:r>
        <w:rPr>
          <w:rFonts w:hint="eastAsia" w:ascii="宋体" w:hAnsi="宋体" w:eastAsia="宋体"/>
          <w:b/>
          <w:color w:val="auto"/>
          <w:sz w:val="21"/>
          <w:szCs w:val="21"/>
          <w:highlight w:val="none"/>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auto"/>
          <w:highlight w:val="none"/>
        </w:rPr>
      </w:r>
      <w:r/>
    </w:p>
    <w:p>
      <w:pPr>
        <w:pStyle w:val="913"/>
        <w:ind w:firstLine="422"/>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lang w:val="zh-CN"/>
        </w:rPr>
        <w:t xml:space="preserve">11.4</w:t>
      </w:r>
      <w:r>
        <w:rPr>
          <w:rFonts w:hint="eastAsia" w:ascii="宋体" w:hAnsi="宋体" w:eastAsia="宋体"/>
          <w:b/>
          <w:color w:val="auto"/>
          <w:sz w:val="21"/>
          <w:szCs w:val="21"/>
          <w:highlight w:val="none"/>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auto"/>
          <w:highlight w:val="none"/>
        </w:rPr>
      </w:r>
      <w:r/>
    </w:p>
    <w:p>
      <w:pPr>
        <w:pStyle w:val="913"/>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zh-CN"/>
        </w:rPr>
        <w:t xml:space="preserve">异常低价响应审查的启动原因、审查意见和审查结果应当在评审报告中记录，并随供应商提供的相关书面说明及证明材料，以及磋商小组有关互联网浏览、查询历史一并归档。</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12、经磋商确定最终采购需求和提交最后报价的供应商后，由磋商小组采用综合评分法对提交最后报价的供应商的响应文件和最后报价进行综合评分。</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13、磋商小组根据磋商成交原则确定成交供应商，并将结果通知所有参加磋商的供应商。</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14、如磋商过程中出现本采购文件未尽事宜，由磋商小组根据政府采购有关法律、法规讨论决定。</w:t>
      </w:r>
      <w:r>
        <w:rPr>
          <w:color w:val="auto"/>
          <w:highlight w:val="none"/>
        </w:rPr>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七、质疑处理</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、供应商提出质疑应当提交质疑函和必要的证明材料，质疑函应当包括下列内容：</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rPr>
          <w:color w:val="auto"/>
          <w:highlight w:val="none"/>
        </w:rPr>
      </w:r>
      <w:r/>
    </w:p>
    <w:p>
      <w:pPr>
        <w:pStyle w:val="913"/>
        <w:ind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olor w:val="auto"/>
          <w:sz w:val="21"/>
          <w:szCs w:val="21"/>
          <w:highlight w:val="none"/>
        </w:rPr>
        <w:t xml:space="preserve">。</w:t>
      </w:r>
      <w:r>
        <w:rPr>
          <w:color w:val="auto"/>
          <w:highlight w:val="none"/>
        </w:rPr>
      </w:r>
      <w:r/>
    </w:p>
    <w:p>
      <w:pPr>
        <w:pStyle w:val="913"/>
        <w:spacing w:line="360" w:lineRule="auto"/>
        <w:rPr>
          <w:rFonts w:ascii="宋体" w:hAnsi="宋体" w:eastAsia="宋体"/>
          <w:b/>
          <w:color w:val="auto"/>
          <w:sz w:val="21"/>
          <w:szCs w:val="21"/>
          <w:highlight w:val="none"/>
        </w:rPr>
      </w:pP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、根据《政府采购质疑和投诉办法》（财政部第94号令）第十一条规定，提出质疑的供应商应当是参与所质疑项目采购活动的供应商。</w:t>
      </w:r>
      <w:r>
        <w:rPr>
          <w:rFonts w:hint="eastAsia" w:ascii="宋体" w:hAnsi="宋体" w:eastAsia="宋体"/>
          <w:color w:val="auto"/>
          <w:sz w:val="21"/>
          <w:szCs w:val="21"/>
          <w:highlight w:val="none"/>
        </w:rPr>
        <w:t xml:space="preserve">因此凡是对采购文件提出质疑的供应商，必须是依法获取采购文件，请将合法获取采购文件的证明材料（即</w:t>
      </w:r>
      <w:r>
        <w:rPr>
          <w:rFonts w:hint="eastAsia" w:ascii="宋体" w:hAnsi="宋体" w:eastAsia="宋体"/>
          <w:b/>
          <w:color w:val="auto"/>
          <w:sz w:val="21"/>
          <w:szCs w:val="21"/>
          <w:highlight w:val="none"/>
        </w:rPr>
        <w:t xml:space="preserve">《投标供应商确认函》</w:t>
      </w:r>
      <w:r>
        <w:rPr>
          <w:rFonts w:hint="eastAsia" w:ascii="宋体" w:hAnsi="宋体" w:eastAsia="宋体"/>
          <w:color w:val="auto"/>
          <w:sz w:val="21"/>
          <w:szCs w:val="21"/>
          <w:highlight w:val="none"/>
        </w:rPr>
        <w:t xml:space="preserve">）与质疑函一起递交，否则不予受理。</w:t>
      </w:r>
      <w:r>
        <w:rPr>
          <w:color w:val="auto"/>
          <w:highlight w:val="none"/>
        </w:rPr>
      </w:r>
      <w:r/>
    </w:p>
    <w:p>
      <w:pPr>
        <w:pStyle w:val="91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、接收质疑函的方式：书面形式（当场送达或邮寄方式）</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质疑联系人：吴晴叶</w:t>
      </w:r>
      <w:r>
        <w:rPr>
          <w:color w:val="auto"/>
          <w:highlight w:val="none"/>
        </w:rPr>
      </w:r>
      <w:r/>
    </w:p>
    <w:p>
      <w:pPr>
        <w:pStyle w:val="91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olor w:val="auto"/>
          <w:sz w:val="21"/>
          <w:szCs w:val="21"/>
          <w:highlight w:val="none"/>
        </w:rPr>
        <w:t xml:space="preserve">0512-66836556</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现场递交地址：</w:t>
      </w:r>
      <w:r>
        <w:rPr>
          <w:rFonts w:hint="eastAsia" w:ascii="宋体" w:hAnsi="宋体" w:eastAsia="宋体" w:cs="宋体"/>
          <w:color w:val="auto"/>
          <w:sz w:val="21"/>
          <w:szCs w:val="21"/>
          <w:highlight w:val="none"/>
        </w:rPr>
        <w:t xml:space="preserve">苏州市相城区月星环球港写字楼1812室</w:t>
      </w:r>
      <w:r>
        <w:rPr>
          <w:color w:val="auto"/>
          <w:highlight w:val="none"/>
        </w:rPr>
      </w:r>
      <w:r/>
    </w:p>
    <w:p>
      <w:pPr>
        <w:pStyle w:val="91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邮寄收取地址：</w:t>
      </w:r>
      <w:r>
        <w:rPr>
          <w:rFonts w:hint="eastAsia" w:ascii="宋体" w:hAnsi="宋体" w:eastAsia="宋体" w:cs="宋体"/>
          <w:color w:val="auto"/>
          <w:sz w:val="21"/>
          <w:szCs w:val="21"/>
          <w:highlight w:val="none"/>
        </w:rPr>
        <w:t xml:space="preserve">苏州市相城区月星环球港写字楼1812室</w:t>
      </w:r>
      <w:r>
        <w:rPr>
          <w:color w:val="auto"/>
          <w:highlight w:val="none"/>
        </w:rPr>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八</w:t>
      </w:r>
      <w:r>
        <w:rPr>
          <w:rFonts w:ascii="宋体" w:hAnsi="宋体" w:eastAsia="宋体"/>
          <w:b/>
          <w:bCs/>
          <w:color w:val="auto"/>
          <w:sz w:val="21"/>
          <w:szCs w:val="21"/>
          <w:highlight w:val="none"/>
        </w:rPr>
        <w:t xml:space="preserve">、项目的终止</w:t>
      </w:r>
      <w:r>
        <w:rPr>
          <w:color w:val="auto"/>
          <w:highlight w:val="none"/>
        </w:rPr>
      </w:r>
      <w:r/>
    </w:p>
    <w:p>
      <w:pPr>
        <w:ind w:firstLine="420"/>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出现下列情形之一的，将终止竞争性磋商采购活动：</w:t>
      </w:r>
      <w:r>
        <w:rPr>
          <w:color w:val="auto"/>
          <w:highlight w:val="none"/>
        </w:rPr>
      </w:r>
      <w:r/>
    </w:p>
    <w:p>
      <w:pPr>
        <w:ind w:firstLine="420"/>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1、因情况变化，不再符合规定的竞争性磋商采购方式适用情形的；</w:t>
      </w:r>
      <w:r>
        <w:rPr>
          <w:color w:val="auto"/>
          <w:highlight w:val="none"/>
        </w:rPr>
      </w:r>
      <w:r/>
    </w:p>
    <w:p>
      <w:pPr>
        <w:ind w:firstLine="420"/>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2、出现影响采购公正的违法、违规行为的；</w:t>
      </w:r>
      <w:r>
        <w:rPr>
          <w:color w:val="auto"/>
          <w:highlight w:val="none"/>
        </w:rPr>
      </w:r>
      <w:r/>
    </w:p>
    <w:p>
      <w:pPr>
        <w:ind w:firstLine="420"/>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3、在采购过程中符合要求的供应商或者报价未超过采购预算的供应商不足3家的；</w:t>
      </w:r>
      <w:r>
        <w:rPr>
          <w:color w:val="auto"/>
          <w:highlight w:val="none"/>
        </w:rPr>
      </w:r>
      <w:r/>
    </w:p>
    <w:p>
      <w:pPr>
        <w:ind w:firstLine="420"/>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4、在采购活动中因重大变故，采购任务取消的。</w:t>
      </w:r>
      <w:r>
        <w:rPr>
          <w:color w:val="auto"/>
          <w:highlight w:val="none"/>
        </w:rPr>
      </w:r>
      <w:r/>
    </w:p>
    <w:p>
      <w:pPr>
        <w:ind w:firstLine="422"/>
        <w:spacing w:line="360" w:lineRule="auto"/>
        <w:tabs>
          <w:tab w:val="left" w:pos="753"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注：符合市场竞争不充分的科研项目，以及需要扶持的科技成果转化项目情形的，在提交最后报价的供应商可以为2家。</w:t>
      </w:r>
      <w:r>
        <w:rPr>
          <w:color w:val="auto"/>
          <w:highlight w:val="none"/>
        </w:rPr>
      </w:r>
      <w:r/>
    </w:p>
    <w:p>
      <w:pPr>
        <w:ind w:firstLine="422"/>
        <w:spacing w:line="360" w:lineRule="auto"/>
        <w:tabs>
          <w:tab w:val="left" w:pos="753" w:leader="none"/>
        </w:tabs>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九、综合说明及其它要求：</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s="宋体"/>
          <w:color w:val="auto"/>
          <w:sz w:val="21"/>
          <w:szCs w:val="21"/>
          <w:highlight w:val="none"/>
        </w:rPr>
        <w:t xml:space="preserve">磋商供应商提供的服务能够至少达到以上要求，同时明确详细的服务方案。</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2、磋商供应商必须承诺文件中提出的全部要求，如果其中某些条款不响应时，应在文件中逐条列出，未列出的视同响应。</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磋商说明：</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）不符合供应商资格要求的响应文件将被认定为无效响应；</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）最终报价超过采购预算或最高限价的不能成交；</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）不实质性响应采购文件的不能成交。</w:t>
      </w:r>
      <w:r>
        <w:rPr>
          <w:color w:val="auto"/>
          <w:highlight w:val="none"/>
        </w:rPr>
      </w:r>
      <w:r/>
    </w:p>
    <w:p>
      <w:pPr>
        <w:ind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4</w:t>
      </w:r>
      <w:r>
        <w:rPr>
          <w:rFonts w:hint="eastAsia" w:ascii="宋体" w:hAnsi="宋体" w:eastAsia="宋体"/>
          <w:b/>
          <w:bCs/>
          <w:color w:val="auto"/>
          <w:sz w:val="21"/>
          <w:szCs w:val="21"/>
          <w:highlight w:val="none"/>
        </w:rPr>
        <w:t xml:space="preserve">）在机器码检查中，出现不同供应商响应文件机器码一致情形的，响应文件将被认定为无效响应。</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4、磋商供应商应对所投项目的全部内容进行报价，只投其中部分内容者，其响应文件将被拒绝。成交单位对服务缺陷不予更正，采购方有权另请其他单位更正，所发生的费用由成交单位承担。</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5、磋商供应商必须遵守中华人民共和国《劳动法》的规定，为采购人提供的服务人员如遇到工资纠纷问题由磋商响应单位自行解决。</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6、投报总价包括包括服务期限内完成</w:t>
      </w:r>
      <w:r>
        <w:rPr>
          <w:rFonts w:hint="eastAsia" w:ascii="宋体" w:hAnsi="宋体" w:eastAsia="宋体"/>
          <w:color w:val="auto"/>
          <w:sz w:val="21"/>
          <w:szCs w:val="21"/>
          <w:highlight w:val="none"/>
          <w:lang w:val="zh-CN"/>
        </w:rPr>
        <w:t xml:space="preserve">望亭中学基础教育内涵建设项目</w:t>
      </w:r>
      <w:r>
        <w:rPr>
          <w:rFonts w:hint="eastAsia" w:ascii="宋体" w:hAnsi="宋体" w:eastAsia="宋体"/>
          <w:color w:val="auto"/>
          <w:sz w:val="21"/>
          <w:szCs w:val="21"/>
          <w:highlight w:val="none"/>
        </w:rPr>
        <w:t xml:space="preserve">所需的所有费用，包括：</w:t>
      </w:r>
      <w:r>
        <w:rPr>
          <w:rFonts w:hint="eastAsia" w:ascii="宋体" w:hAnsi="宋体" w:eastAsia="宋体" w:cs="宋体"/>
          <w:color w:val="auto"/>
          <w:sz w:val="21"/>
          <w:szCs w:val="21"/>
          <w:highlight w:val="none"/>
        </w:rPr>
        <w:t xml:space="preserve">货物及其备品、备件和专用工具费用、税费及包装、运至最终目的地的运输、保险、现场吊装、临时工程、安装调试、技术支持与培训、售后服务与维保及相关劳务支出、水电费等完成本项目所发生的全部费用以及乙方企业利润、税金和政策性文件规定及合同包含的所有风险、责任等各项应有费用</w:t>
      </w:r>
      <w:r>
        <w:rPr>
          <w:rFonts w:hint="eastAsia" w:ascii="宋体" w:hAnsi="宋体" w:eastAsia="宋体"/>
          <w:color w:val="auto"/>
          <w:sz w:val="21"/>
          <w:szCs w:val="21"/>
          <w:highlight w:val="none"/>
        </w:rPr>
        <w:t xml:space="preserve">。</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7、凡涉及采购文件的补充说明和修改，均以苏州政府采购网最后发布的内容为准。</w:t>
      </w:r>
      <w:r>
        <w:rPr>
          <w:color w:val="auto"/>
          <w:highlight w:val="none"/>
        </w:rPr>
      </w:r>
      <w:r/>
    </w:p>
    <w:p>
      <w:pPr>
        <w:ind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十、</w:t>
      </w:r>
      <w:r>
        <w:rPr>
          <w:rFonts w:hint="eastAsia" w:ascii="宋体" w:hAnsi="宋体" w:eastAsia="宋体"/>
          <w:b/>
          <w:bCs/>
          <w:color w:val="auto"/>
          <w:sz w:val="21"/>
          <w:szCs w:val="21"/>
          <w:highlight w:val="none"/>
        </w:rPr>
        <w:t xml:space="preserve">政府采购政策</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w:t>
      </w:r>
      <w:r>
        <w:rPr>
          <w:rFonts w:hint="eastAsia" w:ascii="宋体" w:hAnsi="宋体" w:eastAsia="宋体" w:cs="宋体"/>
          <w:color w:val="auto"/>
          <w:sz w:val="21"/>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color w:val="auto"/>
          <w:highlight w:val="none"/>
        </w:rPr>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（3）促进残疾人就业政策</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根据《关于贯彻执行绿色采购、促进残疾人就业和支持监狱企业发展有关</w:t>
      </w:r>
      <w:r>
        <w:rPr>
          <w:rFonts w:hint="eastAsia" w:ascii="宋体" w:hAnsi="宋体" w:eastAsia="宋体" w:cs="宋体"/>
          <w:color w:val="auto"/>
          <w:sz w:val="21"/>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（4）支持监狱企业发展政策</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（5）针对中小微企业的评审：</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3）本项目属于专门面向中小微企业采购的项目。</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4）依据《政府采购促进中小企业发展管理办法》及本项目采购文件规定获得政府采购合同的中小微企业不得将合同分包给大型企业。 </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本项目采购标的对应的中小企业划分标准所属行业为：其他未列明行业。</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eastAsia="宋体" w:cs="宋体"/>
          <w:b/>
          <w:bCs/>
          <w:color w:val="auto"/>
          <w:sz w:val="21"/>
          <w:szCs w:val="21"/>
          <w:highlight w:val="none"/>
        </w:rPr>
        <w:t xml:space="preserve">服务类项目中供应商若使用退休人员，将不享受相关扶持政策。</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8）若供应商提供的《中小企业声明函》为虚假声明则视同提供虚假材料，按政府采购相关规定处理并报由政府监管部门给予行政处罚。</w:t>
      </w:r>
      <w:r>
        <w:rPr>
          <w:color w:val="auto"/>
          <w:highlight w:val="none"/>
        </w:rPr>
      </w:r>
      <w:r/>
    </w:p>
    <w:p>
      <w:pPr>
        <w:ind w:firstLine="422"/>
        <w:spacing w:line="360" w:lineRule="auto"/>
        <w:tabs>
          <w:tab w:val="left" w:pos="753" w:leader="none"/>
        </w:tabs>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十一、信用记录</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、采购代理机构会在接收响应文件截止时间后，登录信用中国网站（</w:t>
      </w:r>
      <w:r>
        <w:rPr>
          <w:rFonts w:ascii="宋体" w:hAnsi="宋体" w:eastAsia="宋体"/>
          <w:color w:val="auto"/>
          <w:sz w:val="21"/>
          <w:szCs w:val="21"/>
          <w:highlight w:val="none"/>
        </w:rPr>
        <w:t xml:space="preserve">www.creditchina.gov.cn/</w:t>
      </w:r>
      <w:r>
        <w:rPr>
          <w:rFonts w:hint="eastAsia" w:ascii="宋体" w:hAnsi="宋体" w:eastAsia="宋体"/>
          <w:color w:val="auto"/>
          <w:sz w:val="21"/>
          <w:szCs w:val="21"/>
          <w:highlight w:val="none"/>
        </w:rPr>
        <w:t xml:space="preserve">）和中国政府采购网（</w:t>
      </w:r>
      <w:r>
        <w:rPr>
          <w:rFonts w:ascii="宋体" w:hAnsi="宋体" w:eastAsia="宋体"/>
          <w:color w:val="auto"/>
          <w:sz w:val="21"/>
          <w:szCs w:val="21"/>
          <w:highlight w:val="none"/>
        </w:rPr>
        <w:t xml:space="preserve">www.ccgp.gov.cn/</w:t>
      </w:r>
      <w:r>
        <w:rPr>
          <w:rFonts w:hint="eastAsia" w:ascii="宋体" w:hAnsi="宋体" w:eastAsia="宋体"/>
          <w:color w:val="auto"/>
          <w:sz w:val="21"/>
          <w:szCs w:val="21"/>
          <w:highlight w:val="none"/>
        </w:rPr>
        <w:t xml:space="preserve">）查询供应商的信用记录，并将查询结果递交评审小组。</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、对存在失信信息的供应商，由失信供应商进行确认。同时，采购代理机构工作人员应根据评审小组确认的失信信息，登录到相关来源网站页面进行复核并打印，作为证据留存。</w:t>
      </w:r>
      <w:r>
        <w:rPr>
          <w:color w:val="auto"/>
          <w:highlight w:val="none"/>
        </w:rPr>
      </w:r>
      <w:r/>
    </w:p>
    <w:p>
      <w:pPr>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十二、成交通知书</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1、确定出成交单位后，采购代理机构在法定时间内向成交单位发出成交通知书。</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2、成交通知书将成为合同的组成部分。</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3、采购人或采购代理机构对未成交单位不承担解释未成交原因的义务。</w:t>
      </w:r>
      <w:r>
        <w:rPr>
          <w:color w:val="auto"/>
          <w:highlight w:val="none"/>
        </w:rPr>
      </w:r>
      <w:r/>
    </w:p>
    <w:p>
      <w:pPr>
        <w:ind w:firstLine="420"/>
        <w:spacing w:line="360" w:lineRule="auto"/>
        <w:rPr>
          <w:color w:val="auto"/>
          <w:highlight w:val="none"/>
        </w:rPr>
      </w:pPr>
      <w:r>
        <w:rPr>
          <w:rFonts w:hint="eastAsia" w:ascii="宋体" w:hAnsi="宋体" w:eastAsia="宋体" w:cs="宋体"/>
          <w:color w:val="auto"/>
          <w:sz w:val="21"/>
          <w:szCs w:val="21"/>
          <w:highlight w:val="none"/>
          <w:lang w:val="zh-CN"/>
        </w:rPr>
        <w:t xml:space="preserve">4、请成交单位在成交结果公告届满之日起</w:t>
      </w:r>
      <w:r>
        <w:rPr>
          <w:rFonts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lang w:val="zh-CN"/>
        </w:rPr>
        <w:t xml:space="preserve">日内</w:t>
      </w:r>
      <w:r>
        <w:rPr>
          <w:rFonts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使用</w:t>
      </w:r>
      <w:r>
        <w:rPr>
          <w:rFonts w:ascii="宋体" w:hAnsi="宋体" w:eastAsia="宋体" w:cs="宋体"/>
          <w:color w:val="auto"/>
          <w:sz w:val="21"/>
          <w:szCs w:val="21"/>
          <w:highlight w:val="none"/>
          <w:lang w:val="zh-CN"/>
        </w:rPr>
        <w:t xml:space="preserve">CA</w:t>
      </w:r>
      <w:r>
        <w:rPr>
          <w:rFonts w:hint="eastAsia" w:ascii="宋体" w:hAnsi="宋体" w:eastAsia="宋体" w:cs="宋体"/>
          <w:color w:val="auto"/>
          <w:sz w:val="21"/>
          <w:szCs w:val="21"/>
          <w:highlight w:val="none"/>
          <w:lang w:val="zh-CN"/>
        </w:rPr>
        <w:t xml:space="preserve">证书登录</w:t>
      </w:r>
      <w:r>
        <w:rPr>
          <w:rFonts w:hint="cs" w:ascii="宋体" w:hAnsi="宋体" w:eastAsia="宋体" w:cs="宋体"/>
          <w:color w:val="auto"/>
          <w:sz w:val="21"/>
          <w:szCs w:val="21"/>
          <w:highlight w:val="none"/>
          <w:cs/>
          <w:lang w:val="zh-CN"/>
        </w:rPr>
        <w:t xml:space="preserve">“</w:t>
      </w:r>
      <w:r>
        <w:rPr>
          <w:rFonts w:hint="eastAsia" w:ascii="宋体" w:hAnsi="宋体" w:eastAsia="宋体" w:cs="宋体"/>
          <w:color w:val="auto"/>
          <w:sz w:val="21"/>
          <w:szCs w:val="21"/>
          <w:highlight w:val="none"/>
          <w:lang w:val="zh-CN"/>
        </w:rPr>
        <w:t xml:space="preserve">苏采云</w:t>
      </w:r>
      <w:r>
        <w:rPr>
          <w:rFonts w:hint="cs" w:ascii="宋体" w:hAnsi="宋体" w:eastAsia="宋体" w:cs="宋体"/>
          <w:color w:val="auto"/>
          <w:sz w:val="21"/>
          <w:szCs w:val="21"/>
          <w:highlight w:val="none"/>
          <w:cs/>
          <w:lang w:val="zh-CN"/>
        </w:rPr>
        <w:t xml:space="preserve">”</w:t>
      </w:r>
      <w:r>
        <w:rPr>
          <w:rFonts w:hint="eastAsia" w:ascii="宋体" w:hAnsi="宋体" w:eastAsia="宋体" w:cs="宋体"/>
          <w:color w:val="auto"/>
          <w:sz w:val="21"/>
          <w:szCs w:val="21"/>
          <w:highlight w:val="none"/>
          <w:lang w:val="zh-CN"/>
        </w:rPr>
        <w:t xml:space="preserve">系统及时下载成交通知书。因系统存储空间有限，自成交结果公告届满之日起</w:t>
      </w:r>
      <w:r>
        <w:rPr>
          <w:rFonts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lang w:val="zh-CN"/>
        </w:rPr>
        <w:t xml:space="preserve">日后，</w:t>
      </w:r>
      <w:r>
        <w:rPr>
          <w:rFonts w:hint="cs" w:ascii="宋体" w:hAnsi="宋体" w:eastAsia="宋体" w:cs="宋体"/>
          <w:color w:val="auto"/>
          <w:sz w:val="21"/>
          <w:szCs w:val="21"/>
          <w:highlight w:val="none"/>
          <w:cs/>
          <w:lang w:val="zh-CN"/>
        </w:rPr>
        <w:t xml:space="preserve">“</w:t>
      </w:r>
      <w:r>
        <w:rPr>
          <w:rFonts w:hint="eastAsia" w:ascii="宋体" w:hAnsi="宋体" w:eastAsia="宋体" w:cs="宋体"/>
          <w:color w:val="auto"/>
          <w:sz w:val="21"/>
          <w:szCs w:val="21"/>
          <w:highlight w:val="none"/>
          <w:lang w:val="zh-CN"/>
        </w:rPr>
        <w:t xml:space="preserve">苏采云</w:t>
      </w:r>
      <w:r>
        <w:rPr>
          <w:rFonts w:hint="cs" w:ascii="宋体" w:hAnsi="宋体" w:eastAsia="宋体" w:cs="宋体"/>
          <w:color w:val="auto"/>
          <w:sz w:val="21"/>
          <w:szCs w:val="21"/>
          <w:highlight w:val="none"/>
          <w:cs/>
          <w:lang w:val="zh-CN"/>
        </w:rPr>
        <w:t xml:space="preserve">”</w:t>
      </w:r>
      <w:r>
        <w:rPr>
          <w:rFonts w:hint="eastAsia" w:ascii="宋体" w:hAnsi="宋体" w:eastAsia="宋体" w:cs="宋体"/>
          <w:color w:val="auto"/>
          <w:sz w:val="21"/>
          <w:szCs w:val="21"/>
          <w:highlight w:val="none"/>
          <w:lang w:val="zh-CN"/>
        </w:rPr>
        <w:t xml:space="preserve">系统不再保证提供下载成交通知书服务</w:t>
      </w:r>
      <w:r>
        <w:rPr>
          <w:rFonts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因未及时下载而造成的不利后果由成交单位自行承担。</w:t>
      </w:r>
      <w:r>
        <w:rPr>
          <w:color w:val="auto"/>
          <w:highlight w:val="none"/>
        </w:rPr>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rPr>
          <w:rFonts w:ascii="宋体" w:hAnsi="宋体" w:eastAsia="宋体"/>
          <w:color w:val="auto"/>
          <w:highlight w:val="none"/>
        </w:rPr>
      </w:pPr>
      <w:r>
        <w:rPr>
          <w:rFonts w:ascii="宋体" w:hAnsi="宋体" w:eastAsia="宋体"/>
          <w:color w:val="auto"/>
          <w:highlight w:val="none"/>
        </w:rPr>
      </w:r>
      <w:r>
        <w:rPr>
          <w:color w:val="auto"/>
          <w:highlight w:val="none"/>
        </w:rPr>
      </w:r>
      <w:r/>
    </w:p>
    <w:p>
      <w:pPr>
        <w:pStyle w:val="897"/>
        <w:jc w:val="center"/>
        <w:spacing w:line="360" w:lineRule="auto"/>
        <w:rPr>
          <w:rFonts w:ascii="宋体" w:hAnsi="宋体" w:eastAsia="宋体"/>
          <w:color w:val="auto"/>
          <w:sz w:val="52"/>
          <w:highlight w:val="none"/>
        </w:rPr>
      </w:pPr>
      <w:r>
        <w:rPr>
          <w:color w:val="auto"/>
          <w:highlight w:val="none"/>
        </w:rPr>
      </w:r>
      <w:bookmarkStart w:id="57" w:name="_Toc1784"/>
      <w:r>
        <w:rPr>
          <w:rFonts w:hint="eastAsia" w:ascii="宋体" w:hAnsi="宋体" w:eastAsia="宋体"/>
          <w:color w:val="auto"/>
          <w:sz w:val="52"/>
          <w:highlight w:val="none"/>
        </w:rPr>
        <w:t xml:space="preserve">第四章 合同主要条款</w:t>
      </w:r>
      <w:bookmarkEnd w:id="51"/>
      <w:r>
        <w:rPr>
          <w:color w:val="auto"/>
          <w:highlight w:val="none"/>
        </w:rPr>
      </w:r>
      <w:bookmarkEnd w:id="57"/>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jc w:val="center"/>
        <w:spacing w:line="360" w:lineRule="auto"/>
        <w:rPr>
          <w:rFonts w:ascii="宋体" w:hAnsi="宋体" w:eastAsia="宋体"/>
          <w:b/>
          <w:color w:val="auto"/>
          <w:sz w:val="24"/>
          <w:szCs w:val="24"/>
          <w:highlight w:val="none"/>
        </w:rPr>
      </w:pPr>
      <w:r>
        <w:rPr>
          <w:rFonts w:ascii="宋体" w:hAnsi="宋体" w:eastAsia="宋体"/>
          <w:color w:val="auto"/>
          <w:sz w:val="30"/>
          <w:szCs w:val="30"/>
          <w:highlight w:val="none"/>
        </w:rPr>
        <w:br w:type="page" w:clear="all"/>
      </w:r>
      <w:r>
        <w:rPr>
          <w:rFonts w:hint="eastAsia" w:ascii="宋体" w:hAnsi="宋体" w:eastAsia="宋体"/>
          <w:b/>
          <w:color w:val="auto"/>
          <w:sz w:val="24"/>
          <w:szCs w:val="24"/>
          <w:highlight w:val="none"/>
        </w:rPr>
        <w:t xml:space="preserve">合同主要条款</w:t>
      </w:r>
      <w:r>
        <w:rPr>
          <w:color w:val="auto"/>
          <w:highlight w:val="none"/>
        </w:rPr>
      </w:r>
      <w:r/>
    </w:p>
    <w:p>
      <w:pPr>
        <w:ind w:firstLine="4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rPr>
          <w:color w:val="auto"/>
          <w:highlight w:val="none"/>
        </w:rPr>
      </w:r>
      <w:r/>
    </w:p>
    <w:p>
      <w:pPr>
        <w:ind w:firstLine="4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color w:val="auto"/>
          <w:highlight w:val="none"/>
        </w:rPr>
      </w:r>
      <w:r/>
    </w:p>
    <w:p>
      <w:pPr>
        <w:ind w:firstLine="4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color w:val="auto"/>
          <w:highlight w:val="none"/>
        </w:rPr>
      </w:r>
      <w:r/>
    </w:p>
    <w:p>
      <w:pPr>
        <w:ind w:firstLine="426"/>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ind w:firstLine="4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乙方（成交人）：</w:t>
      </w:r>
      <w:r>
        <w:rPr>
          <w:color w:val="auto"/>
          <w:highlight w:val="none"/>
        </w:rPr>
      </w:r>
      <w:r/>
    </w:p>
    <w:p>
      <w:pPr>
        <w:ind w:firstLine="4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color w:val="auto"/>
          <w:highlight w:val="none"/>
        </w:rPr>
      </w:r>
      <w:r/>
    </w:p>
    <w:p>
      <w:pPr>
        <w:ind w:firstLine="4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color w:val="auto"/>
          <w:highlight w:val="none"/>
        </w:rPr>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根据甲方申请</w:t>
      </w:r>
      <w:r>
        <w:rPr>
          <w:rFonts w:hint="eastAsia" w:ascii="宋体" w:hAnsi="宋体" w:eastAsia="宋体" w:cs="宋体"/>
          <w:bCs/>
          <w:color w:val="auto"/>
          <w:sz w:val="21"/>
          <w:szCs w:val="21"/>
          <w:highlight w:val="none"/>
          <w:u w:val="single"/>
          <w:lang w:val="zh-CN"/>
        </w:rPr>
        <w:t xml:space="preserve">望亭中学基础教育内涵建设项目</w:t>
      </w:r>
      <w:r>
        <w:rPr>
          <w:rFonts w:hint="eastAsia" w:ascii="宋体" w:hAnsi="宋体" w:eastAsia="宋体" w:cs="宋体"/>
          <w:bCs/>
          <w:color w:val="auto"/>
          <w:sz w:val="21"/>
          <w:szCs w:val="21"/>
          <w:highlight w:val="none"/>
          <w:lang w:val="zh-CN"/>
        </w:rPr>
        <w:t xml:space="preserve">政府采购计划，并委托江苏正琦工程咨询有限公司进行本项目政府采购（</w:t>
      </w:r>
      <w:r>
        <w:rPr>
          <w:rFonts w:hint="eastAsia" w:ascii="宋体" w:hAnsi="宋体" w:eastAsia="宋体" w:cs="宋体"/>
          <w:bCs/>
          <w:color w:val="auto"/>
          <w:sz w:val="21"/>
          <w:szCs w:val="21"/>
          <w:highlight w:val="none"/>
          <w:u w:val="single"/>
          <w:lang w:val="zh-CN"/>
        </w:rPr>
        <w:t xml:space="preserve">采购编号：</w:t>
      </w:r>
      <w:r>
        <w:rPr>
          <w:rFonts w:hint="eastAsia" w:ascii="宋体" w:hAnsi="宋体" w:cs="宋体"/>
          <w:bCs/>
          <w:color w:val="auto"/>
          <w:sz w:val="21"/>
          <w:szCs w:val="21"/>
          <w:highlight w:val="none"/>
          <w:u w:val="single"/>
          <w:lang w:val="zh-CN"/>
        </w:rPr>
        <w:t xml:space="preserve">JSZC-320507-JSZQ-C2026-0005</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rPr>
        <w:t xml:space="preserve">依</w:t>
      </w:r>
      <w:r>
        <w:rPr>
          <w:rFonts w:hint="eastAsia" w:ascii="宋体" w:hAnsi="宋体" w:eastAsia="宋体" w:cs="宋体"/>
          <w:bCs/>
          <w:color w:val="auto"/>
          <w:sz w:val="21"/>
          <w:szCs w:val="21"/>
          <w:highlight w:val="none"/>
          <w:lang w:val="zh-CN"/>
        </w:rPr>
        <w:t xml:space="preserve">据本项目的采购结果确定</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lang w:val="zh-CN"/>
        </w:rPr>
        <w:t xml:space="preserve">为本</w:t>
      </w:r>
      <w:r>
        <w:rPr>
          <w:rFonts w:hint="eastAsia" w:ascii="宋体" w:hAnsi="宋体" w:eastAsia="宋体" w:cs="宋体"/>
          <w:bCs/>
          <w:color w:val="auto"/>
          <w:sz w:val="21"/>
          <w:szCs w:val="21"/>
          <w:highlight w:val="none"/>
        </w:rPr>
        <w:t xml:space="preserve">合同</w:t>
      </w:r>
      <w:r>
        <w:rPr>
          <w:rFonts w:hint="eastAsia" w:ascii="宋体" w:hAnsi="宋体" w:eastAsia="宋体" w:cs="宋体"/>
          <w:bCs/>
          <w:color w:val="auto"/>
          <w:sz w:val="21"/>
          <w:szCs w:val="21"/>
          <w:highlight w:val="none"/>
          <w:lang w:val="zh-CN"/>
        </w:rPr>
        <w:t xml:space="preserve">乙方，现依照</w:t>
      </w:r>
      <w:r>
        <w:rPr>
          <w:rFonts w:hint="eastAsia" w:ascii="宋体" w:hAnsi="宋体" w:eastAsia="宋体" w:cs="宋体"/>
          <w:bCs/>
          <w:color w:val="auto"/>
          <w:sz w:val="21"/>
          <w:szCs w:val="21"/>
          <w:highlight w:val="none"/>
        </w:rPr>
        <w:t xml:space="preserve">招标</w:t>
      </w:r>
      <w:r>
        <w:rPr>
          <w:rFonts w:hint="eastAsia" w:ascii="宋体" w:hAnsi="宋体" w:eastAsia="宋体" w:cs="宋体"/>
          <w:bCs/>
          <w:color w:val="auto"/>
          <w:sz w:val="21"/>
          <w:szCs w:val="21"/>
          <w:highlight w:val="none"/>
          <w:lang w:val="zh-CN"/>
        </w:rPr>
        <w:t xml:space="preserve">文件、乙方的</w:t>
      </w:r>
      <w:r>
        <w:rPr>
          <w:rFonts w:hint="eastAsia" w:ascii="宋体" w:hAnsi="宋体" w:eastAsia="宋体" w:cs="宋体"/>
          <w:bCs/>
          <w:color w:val="auto"/>
          <w:sz w:val="21"/>
          <w:szCs w:val="21"/>
          <w:highlight w:val="none"/>
        </w:rPr>
        <w:t xml:space="preserve">采购</w:t>
      </w:r>
      <w:r>
        <w:rPr>
          <w:rFonts w:hint="eastAsia" w:ascii="宋体" w:hAnsi="宋体" w:eastAsia="宋体" w:cs="宋体"/>
          <w:bCs/>
          <w:color w:val="auto"/>
          <w:sz w:val="21"/>
          <w:szCs w:val="21"/>
          <w:highlight w:val="none"/>
          <w:lang w:val="zh-CN"/>
        </w:rPr>
        <w:t xml:space="preserve">文件及相关文件的内容，签订本合同书。</w:t>
      </w:r>
      <w:r>
        <w:rPr>
          <w:color w:val="auto"/>
          <w:highlight w:val="none"/>
        </w:rPr>
      </w:r>
      <w:r/>
    </w:p>
    <w:p>
      <w:pPr>
        <w:pStyle w:val="1058"/>
        <w:ind w:left="0"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一、合同标的物和合同价格</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1、合同清单：</w:t>
      </w:r>
      <w:r>
        <w:rPr>
          <w:color w:val="auto"/>
          <w:highlight w:val="none"/>
        </w:rPr>
      </w:r>
      <w:r/>
    </w:p>
    <w:tbl>
      <w:tblPr>
        <w:tblStyle w:val="724"/>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2137"/>
        <w:gridCol w:w="2874"/>
        <w:gridCol w:w="890"/>
        <w:gridCol w:w="844"/>
        <w:gridCol w:w="972"/>
        <w:gridCol w:w="1299"/>
      </w:tblGrid>
      <w:tr>
        <w:trPr>
          <w:jc w:val="center"/>
          <w:trHeight w:val="652"/>
        </w:trPr>
        <w:tc>
          <w:tcPr>
            <w:tcW w:w="942"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color w:val="auto"/>
                <w:highlight w:val="none"/>
              </w:rPr>
            </w:r>
            <w:r/>
          </w:p>
        </w:tc>
        <w:tc>
          <w:tcPr>
            <w:tcW w:w="2137"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color w:val="auto"/>
                <w:highlight w:val="none"/>
              </w:rPr>
            </w:r>
            <w:r/>
          </w:p>
        </w:tc>
        <w:tc>
          <w:tcPr>
            <w:tcW w:w="287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rPr>
                <w:color w:val="auto"/>
                <w:highlight w:val="none"/>
              </w:rPr>
            </w:r>
            <w:r/>
          </w:p>
        </w:tc>
        <w:tc>
          <w:tcPr>
            <w:tcW w:w="890"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color w:val="auto"/>
                <w:highlight w:val="none"/>
              </w:rPr>
            </w:r>
            <w:r/>
          </w:p>
        </w:tc>
        <w:tc>
          <w:tcPr>
            <w:tcW w:w="844"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color w:val="auto"/>
                <w:highlight w:val="none"/>
              </w:rPr>
            </w:r>
            <w:r/>
          </w:p>
        </w:tc>
        <w:tc>
          <w:tcPr>
            <w:tcW w:w="972"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rPr>
                <w:color w:val="auto"/>
                <w:highlight w:val="none"/>
              </w:rPr>
            </w:r>
            <w:r/>
          </w:p>
        </w:tc>
        <w:tc>
          <w:tcPr>
            <w:tcW w:w="1299"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rPr>
                <w:color w:val="auto"/>
                <w:highlight w:val="none"/>
              </w:rPr>
            </w:r>
            <w:r/>
          </w:p>
        </w:tc>
      </w:tr>
      <w:tr>
        <w:trPr>
          <w:jc w:val="center"/>
          <w:trHeight w:val="494"/>
        </w:trPr>
        <w:tc>
          <w:tcPr>
            <w:tcW w:w="94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r/>
          </w:p>
        </w:tc>
        <w:tc>
          <w:tcPr>
            <w:tcW w:w="2137"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287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90"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4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97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99"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94"/>
        </w:trPr>
        <w:tc>
          <w:tcPr>
            <w:tcW w:w="94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highlight w:val="none"/>
              </w:rPr>
            </w:r>
            <w:r/>
          </w:p>
        </w:tc>
        <w:tc>
          <w:tcPr>
            <w:tcW w:w="2137"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287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90"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4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97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99"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94"/>
        </w:trPr>
        <w:tc>
          <w:tcPr>
            <w:tcW w:w="94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color w:val="auto"/>
                <w:highlight w:val="none"/>
              </w:rPr>
            </w:r>
            <w:r/>
          </w:p>
        </w:tc>
        <w:tc>
          <w:tcPr>
            <w:tcW w:w="2137"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287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90"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4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97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99"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94"/>
        </w:trPr>
        <w:tc>
          <w:tcPr>
            <w:tcW w:w="94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color w:val="auto"/>
                <w:highlight w:val="none"/>
              </w:rPr>
            </w:r>
            <w:r/>
          </w:p>
        </w:tc>
        <w:tc>
          <w:tcPr>
            <w:tcW w:w="2137"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287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90"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844"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972"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c>
          <w:tcPr>
            <w:tcW w:w="1299" w:type="dxa"/>
            <w:vAlign w:val="center"/>
            <w:textDirection w:val="lrTb"/>
            <w:noWrap w:val="false"/>
          </w:tcPr>
          <w:p>
            <w:pPr>
              <w:ind w:firstLine="42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tc>
      </w:tr>
      <w:tr>
        <w:trPr>
          <w:jc w:val="center"/>
          <w:trHeight w:val="494"/>
        </w:trPr>
        <w:tc>
          <w:tcPr>
            <w:gridSpan w:val="7"/>
            <w:tcW w:w="9958" w:type="dxa"/>
            <w:vAlign w:val="center"/>
            <w:textDirection w:val="lrTb"/>
            <w:noWrap w:val="false"/>
          </w:tcPr>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合同价格（大写）人民币</w:t>
            </w:r>
            <w:r>
              <w:rPr>
                <w:rFonts w:hint="eastAsia" w:ascii="宋体" w:hAnsi="宋体" w:eastAsia="宋体" w:cs="宋体"/>
                <w:color w:val="auto"/>
                <w:sz w:val="21"/>
                <w:szCs w:val="21"/>
                <w:highlight w:val="none"/>
                <w:u w:val="single"/>
              </w:rPr>
              <w:t xml:space="preserve">   （￥  ）</w:t>
            </w:r>
            <w:r>
              <w:rPr>
                <w:color w:val="auto"/>
                <w:highlight w:val="none"/>
              </w:rPr>
            </w:r>
            <w:r/>
          </w:p>
        </w:tc>
      </w:tr>
    </w:tbl>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2、合同金额为</w:t>
      </w:r>
      <w:r>
        <w:rPr>
          <w:rFonts w:hint="eastAsia" w:ascii="宋体" w:hAnsi="宋体" w:cs="宋体"/>
          <w:color w:val="auto"/>
          <w:sz w:val="21"/>
          <w:szCs w:val="21"/>
          <w:highlight w:val="none"/>
          <w:u w:val="single"/>
          <w:lang w:val="en-US"/>
        </w:rPr>
        <w:t xml:space="preserve">人民币    （￥    ）</w:t>
      </w:r>
      <w:r>
        <w:rPr>
          <w:rFonts w:hint="eastAsia" w:ascii="宋体" w:hAnsi="宋体" w:cs="宋体"/>
          <w:color w:val="auto"/>
          <w:sz w:val="21"/>
          <w:szCs w:val="21"/>
          <w:highlight w:val="none"/>
          <w:lang w:val="en-US"/>
        </w:rPr>
        <w:t xml:space="preserve">；包括本项目的</w:t>
      </w:r>
      <w:r>
        <w:rPr>
          <w:rFonts w:hint="eastAsia" w:ascii="宋体" w:hAnsi="宋体" w:cs="宋体"/>
          <w:color w:val="auto"/>
          <w:sz w:val="21"/>
          <w:szCs w:val="21"/>
          <w:highlight w:val="none"/>
          <w:lang w:val="en-US"/>
        </w:rPr>
        <w:t xml:space="preserve">货物及其备品、备件和专用工具费用、税费及包装、运至最终目的地的运输、保险、现场吊装、临时工程、安装调试、技术支持与培训、售后服务与维保及相关劳务支出、水电费等完成本项目所发生的全部费用以及乙方企业利润、税金和政策性文件规定及合同包含的所有风险、责任等各项应有费用。</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3、根据现行税法对甲方征收的与本合同有关的一切税费均由甲方承担；根据现行税法对乙方征收的与本合同有关的一切税费均由乙方承担。</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在合同履行过程中，甲方如对部分空间布展做出调整或要求重新设计的，乙方必须无条件按照甲方要求进行调整，并将调整后的方案及整体施工效果交由甲方审核，待通过甲方审核后方可进行施工。由此产生的一切费用由乙方承担。</w:t>
      </w:r>
      <w:r>
        <w:rPr>
          <w:color w:val="auto"/>
          <w:highlight w:val="none"/>
        </w:rPr>
      </w:r>
      <w:r/>
    </w:p>
    <w:p>
      <w:pPr>
        <w:pStyle w:val="1058"/>
        <w:ind w:left="0" w:firstLine="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lang w:val="en-US"/>
        </w:rPr>
        <w:t xml:space="preserve">、标的物交付</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1、服务期限：</w:t>
      </w:r>
      <w:r>
        <w:rPr>
          <w:rFonts w:hint="eastAsia" w:ascii="宋体" w:hAnsi="宋体" w:cs="宋体"/>
          <w:color w:val="auto"/>
          <w:sz w:val="21"/>
          <w:szCs w:val="21"/>
          <w:highlight w:val="none"/>
        </w:rPr>
        <w:t xml:space="preserve">合同签订生效后，45天（日历日）内完成基础设计建设，其他指导服务于合同签订之日起一年内完成。</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2、服务地点：甲方指</w:t>
      </w:r>
      <w:r>
        <w:rPr>
          <w:rFonts w:hint="eastAsia" w:ascii="宋体" w:hAnsi="宋体" w:cs="宋体"/>
          <w:color w:val="auto"/>
          <w:sz w:val="21"/>
          <w:szCs w:val="21"/>
          <w:highlight w:val="none"/>
          <w:lang w:val="en-US"/>
        </w:rPr>
        <w:t xml:space="preserve">定地点。</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3、标的物的所有权自标的物交付时转移。</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5、其他要求：现场安装涉及的水电费、设计费包含在响应报价中，甲方不再另行支付；服务完成后完成所安装区域的垃圾清洁工作。</w:t>
      </w:r>
      <w:r>
        <w:rPr>
          <w:color w:val="auto"/>
          <w:highlight w:val="none"/>
        </w:rPr>
      </w:r>
      <w:r/>
    </w:p>
    <w:p>
      <w:pPr>
        <w:pStyle w:val="1058"/>
        <w:ind w:left="0" w:firstLine="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三、技术规范</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1、设计方案及审查要求</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设计方案要求连贯、完整、美观、实用，能够挖掘及体现学校特有的校园文化；所提供的图纸包括平面图、彩色效果图等。乙方在其响应文件中对于招标文件已提供以及未提供的货物或服务情况均须进行完整的阐述和说明，否则其响应文件将有被拒绝的可能。</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（2）细节要求：标识设计符合识别规划，反映教学理念与价值观；标准文字设计符合识别规划的中英文专用字体设计；标准色及辅助色设计符合识别规划的准用色彩；辅助图形设计完善标识应用的整体延伸。</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成交后，根据甲方要求，在规定的时间内，向甲方提交优化的设计方案、图纸等内容，根据现场实际需求，设计尺寸可略作调整，经甲方批准同意后方可以组织实施。现场布具备施工条件的，由甲方进行协调，在实施期间，乙方应无条件的遵守项目现场的各项规章制度。</w:t>
      </w:r>
      <w:r>
        <w:rPr>
          <w:color w:val="auto"/>
          <w:highlight w:val="none"/>
        </w:rPr>
      </w:r>
      <w:r/>
    </w:p>
    <w:p>
      <w:pPr>
        <w:pStyle w:val="1058"/>
        <w:ind w:left="0" w:firstLine="420"/>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乙方应保证所提供服务范围内货物涉及到的知识产权是合法取得，并享有完整的知识产权，不会因为采购人的使用而被责令停止使用、追偿或要求赔偿损失，如出现此情况，一切经济和法律责任均由乙方承担。</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四、质量要求</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乙方应保证所提供的标的物是全新的、未使用过的，并且是非长期积压的库存商品，完全符合合同规定的质量、规格和性能的要求，应保证其提供的标的物在正确安装、正常使用和保养条件下，在其标称的使用寿命期内应具有满意的性能。在乙方承诺的质量保证期限内，应对由于设计、工艺或材料的缺陷及伴随服务而造成的任何不足或故障负责。标的物质量出现问题，乙方应负责包修、包退、包换，费用由乙方承担。</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2、所提供服务范围内货物的生产、制造、安装等各项技术标准，应当符合国家（强制性）标准、各项规范要求；国家没有相应标准、规范的，可使用行业标准、规定；非标产品按约定的技术要求和规范。</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3、所有材料及成果必须符合消防要求，如不满足规范要求，由乙方承担相应责任。</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4、除特别约定外，合同条款成交的物的质量保证期均自标的物通过最终验收之日起计算。</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5、标的物应满足环保规范要求及满足校园使用规范要求。</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五、标的物的检验及验收</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乙方保证产品质量符合国家有关标准验收要求，如不合标准和要求，甲方有权提出返工修正，如造成甲方损失，乙方应予赔偿。</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甲方有权委托第三方根据招标文件要求对乙方所交货物的产品质量进行验收，第三方验收费由乙方支付，如质量不符合招标文件要求的，甲方有权要求退换与招标文件不符的产品，如对验收结果还有分歧的，则以质量监督检验所的检验结果为准，检验费由有过失的一方支付。</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根据甲方检验的结果或当地相关单位的检验结果，或者在质量保证期内，如果标的物的数量、质量或规格与合同不符或证实标的物是具有缺陷的，包括潜在缺陷或使用不符合要求的材料等，甲方应尽快以书面形式通知乙方并提出索赔。若经检验无误后出具验收合格证明，该证明作为最终付款所需文件的组成部分。</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5、验收期限自标的物交付之日起15天内。甲方应在规定期限内完成验收，否则视为默认乙方验收完成。特殊情况需延长的，双方应特别约定。</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六、合同价格支付</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1、付款步骤：合同签订生效后，甲方须预付合同总金额的10%给乙方，</w:t>
      </w:r>
      <w:r>
        <w:rPr>
          <w:rFonts w:hint="eastAsia" w:ascii="宋体" w:hAnsi="宋体" w:cs="宋体"/>
          <w:color w:val="auto"/>
          <w:sz w:val="21"/>
          <w:szCs w:val="21"/>
          <w:highlight w:val="none"/>
        </w:rPr>
        <w:t xml:space="preserve">基础设计建设</w:t>
      </w:r>
      <w:r>
        <w:rPr>
          <w:rFonts w:hint="eastAsia" w:ascii="宋体" w:hAnsi="宋体" w:cs="宋体"/>
          <w:color w:val="auto"/>
          <w:sz w:val="21"/>
          <w:szCs w:val="21"/>
          <w:highlight w:val="none"/>
          <w:lang w:val="en-US"/>
        </w:rPr>
        <w:t xml:space="preserve">验收合格后最高支付至合同总金额的50%，余款在全部验收合格后1年内付清</w:t>
      </w:r>
      <w:r>
        <w:rPr>
          <w:rFonts w:hint="eastAsia" w:ascii="宋体" w:hAnsi="宋体" w:cs="宋体"/>
          <w:color w:val="auto"/>
          <w:sz w:val="21"/>
          <w:szCs w:val="21"/>
          <w:highlight w:val="none"/>
        </w:rPr>
        <w:t xml:space="preserve">。</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注：如在签订合同时，乙方明确表示无需预付款或者主动要求降低预付款比例的，甲方可不适用上述关于预付款的规定。</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2、申请付款应携带以下凭据：</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A、合格的发票；</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B、由甲乙双方及采购代理机构签章的《政府采购合同履行验收报告》。</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3、支付方式：</w:t>
      </w:r>
      <w:r>
        <w:rPr>
          <w:rFonts w:hint="eastAsia" w:ascii="宋体" w:hAnsi="宋体" w:cs="宋体"/>
          <w:color w:val="auto"/>
          <w:sz w:val="21"/>
          <w:szCs w:val="21"/>
          <w:highlight w:val="none"/>
          <w:lang w:val="en-US"/>
        </w:rPr>
        <w:t xml:space="preserve">银行转账。</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w:t>
      </w:r>
      <w:r>
        <w:rPr>
          <w:rFonts w:hint="eastAsia" w:ascii="宋体" w:hAnsi="宋体" w:cs="宋体"/>
          <w:color w:val="auto"/>
          <w:sz w:val="21"/>
          <w:szCs w:val="21"/>
          <w:highlight w:val="none"/>
          <w:lang w:val="zh-TW" w:eastAsia="zh-TW"/>
        </w:rPr>
        <w:t xml:space="preserve">乙方账户</w:t>
      </w:r>
      <w:r>
        <w:rPr>
          <w:rFonts w:hint="eastAsia" w:ascii="宋体" w:hAnsi="宋体" w:cs="宋体"/>
          <w:color w:val="auto"/>
          <w:sz w:val="21"/>
          <w:szCs w:val="21"/>
          <w:highlight w:val="none"/>
          <w:lang w:val="en-US"/>
        </w:rPr>
        <w:t xml:space="preserve">信息</w:t>
      </w:r>
      <w:r>
        <w:rPr>
          <w:rFonts w:hint="eastAsia" w:ascii="宋体" w:hAnsi="宋体" w:cs="宋体"/>
          <w:color w:val="auto"/>
          <w:sz w:val="21"/>
          <w:szCs w:val="21"/>
          <w:highlight w:val="none"/>
          <w:lang w:val="zh-TW" w:eastAsia="zh-TW"/>
        </w:rPr>
        <w:t xml:space="preserve">如下：</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开户名称：</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开户银行：</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七、对标的物货物提出异议的时间和办法</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1、甲方在验收过程中，应当于双方约定的检验期间内将标的物的数量或质量不符合约定的情况及处理方式以书面方式通知乙方。</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2、如果甲方在验收期满后既不出具验收合格证明又未提出书面异议的视为乙方所交标的物符合合同规定。</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3、乙方应在收到甲方书面异议后七天内负责解决问题，否则将视为默认甲方提出的异议和处理意见。</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八、售后服务</w:t>
      </w:r>
      <w:r>
        <w:rPr>
          <w:color w:val="auto"/>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1、按乙方响应文件及相关承诺中等同或优于招标文件的要求执行。</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2、其它按乙方响应文件及相关承诺中等同或优于招标文件的要求执行。</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九、违约责任</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1、甲方违约责任及违约金支付：</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（1）在合同生效后，甲方无理由要求退货的，应向乙方偿付合同总价款的5%，作为违约金，违约金不足以补偿损失的，乙方有权要求甲方补足。</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2、乙方违约责任及违约金支付：</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（1）乙方不能交货（逾期超过十五天视为不能交货），或交货不合格从而影响甲方按期正常使用的，应向甲方偿付合同总价款5%的违约金，违约金不足以补偿损失的甲方有权要求乙方补足。</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（2）乙方逾期交货的，应在发货前与甲方和政府采购管理部门协商，甲方仍需求的，乙方应立即发货并应按照逾期交货部分货款的每天万分之四支付逾期交货违约金，同时承担甲方因此遭致的损失费用。</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（3）乙方不配合对安装区域保洁的，影响项目投入使用，甲方有权请第三方单位进行保洁，相关费用由乙方承担。</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十、不可抗力</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1、因不可抗力不能履行合同的，根据不可抗力的影响，部分或者全部免除责任。但合同一方延迟履行后发生不可抗力的，不能免除责任。</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2、合同一方因不可抗力不能履行合同的，应当及时通知对方，以减轻可能给对方造成的损失，并应当在合理期限内提供证明。</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十一、索赔</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1、甲方有权根据当地产品质量检验机构或其他有权部门出具的检验证书向乙方提出索赔。</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2、在本合同规定的检验期限和质量保证期内，如果乙方对甲方提出的索赔或差异有责任，则乙方应按甲方同意的下列一种或多种方式解决索赔事宜：</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（2）根据标的物的低劣程度、损坏程度以及甲方遭受损失的数额，经双方协商确定降低标的物的价格。</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4、甲方提出索赔的书面材料应报政府采购管理部门备案；乙方同意的索赔方案应报政府采购管理部门审核。</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十二、合同修改</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甲方和乙方都不得擅自变更本合同，但合同继续履行将损害国家和社会公共利益的除外。在合同履行中，甲方可以增加原成交服务范围内货物的数量，但增加的总金额不得超过成交货物金额的10%。</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十三、转让及分包</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1、政府采购合同的部分和全部都不得转让。</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十四、合同的解除</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1、有下列情形之一，合同一方可以解除合同：</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（1）因不可抗力致使不能实现合同目的，未受不可抗力影响的一方有权解除合同；</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（2）因合同一方违约导致合同不能履行，另一方有权解除合同。</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2、有权解除合同的一方，应当在违约事实或不可抗力发生之后三十天内书面通知对方以主张解除合同，合同在书面通知到达对方时解除。</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十五、争议解决办法</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因本合同或与本合同有关的一切事项发生争议，由双方友好协商解决。协商不成的，任选择方式二解决：</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方式一：双方达成仲裁协议，向约定的仲裁委员会申请仲裁，本合同约定的仲裁委员会是合同履行地仲裁机构；</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方式二：向甲方所在地的人民法院起诉。</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十六、合同生效及其他</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w:t>
      </w:r>
      <w:r>
        <w:rPr>
          <w:rFonts w:hint="eastAsia" w:ascii="宋体" w:hAnsi="宋体" w:cs="宋体"/>
          <w:bCs/>
          <w:color w:val="auto"/>
          <w:sz w:val="21"/>
          <w:szCs w:val="21"/>
          <w:highlight w:val="none"/>
        </w:rPr>
        <w:t xml:space="preserve">本合同经双方法定（授权）代表人签字（或盖章）并加盖单位公章（合同章）后生效，由</w:t>
      </w:r>
      <w:r>
        <w:rPr>
          <w:rFonts w:hint="eastAsia" w:ascii="宋体" w:hAnsi="宋体" w:cs="宋体"/>
          <w:bCs/>
          <w:color w:val="auto"/>
          <w:sz w:val="21"/>
          <w:szCs w:val="21"/>
          <w:highlight w:val="none"/>
          <w:lang w:val="en-US"/>
        </w:rPr>
        <w:t xml:space="preserve">甲方</w:t>
      </w:r>
      <w:r>
        <w:rPr>
          <w:rFonts w:hint="eastAsia" w:ascii="宋体" w:hAnsi="宋体" w:cs="宋体"/>
          <w:bCs/>
          <w:color w:val="auto"/>
          <w:sz w:val="21"/>
          <w:szCs w:val="21"/>
          <w:highlight w:val="none"/>
        </w:rPr>
        <w:t xml:space="preserve">向财政部门申请完成备案工作。</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2、下列文件为本合同不可分割部分：</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（1）中标通知书；</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（2）乙方中标的投标书；</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（3）招标文件；</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（4）乙方在招标过程中所作的其他承诺、声明、书面澄清等。</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3、合同在执行过程中出现的未尽事宜，双方在不违背本合同和招标文件的原则下协商解决，协商结果以书面形式盖章记录在案，作为本合同的附件，与本合同具有同等效力，但需要向采购代理方提交一份备存。</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十七、未尽事宜</w:t>
      </w:r>
      <w:r>
        <w:rPr>
          <w:color w:val="auto"/>
          <w:highlight w:val="none"/>
        </w:rPr>
      </w:r>
      <w:r/>
    </w:p>
    <w:p>
      <w:pPr>
        <w:pStyle w:val="1058"/>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未尽事宜应按照《中华人民共和国民法典法》、《中华人民共和国政府采购法》等相关法律法规之规定解释。</w:t>
      </w:r>
      <w:r>
        <w:rPr>
          <w:color w:val="auto"/>
          <w:highlight w:val="none"/>
        </w:rPr>
      </w:r>
      <w:r/>
    </w:p>
    <w:p>
      <w:pPr>
        <w:pStyle w:val="1058"/>
        <w:ind w:left="0" w:firstLine="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十八、附则</w:t>
      </w:r>
      <w:r>
        <w:rPr>
          <w:color w:val="auto"/>
          <w:highlight w:val="none"/>
        </w:rPr>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本合同一式</w:t>
      </w:r>
      <w:r>
        <w:rPr>
          <w:rFonts w:hint="eastAsia" w:ascii="宋体" w:hAnsi="宋体" w:cs="宋体"/>
          <w:color w:val="auto"/>
          <w:sz w:val="21"/>
          <w:szCs w:val="21"/>
          <w:highlight w:val="none"/>
          <w:u w:val="single"/>
          <w:lang w:val="en-US"/>
        </w:rPr>
        <w:t xml:space="preserve">五</w:t>
      </w:r>
      <w:r>
        <w:rPr>
          <w:rFonts w:hint="eastAsia" w:ascii="宋体" w:hAnsi="宋体" w:cs="宋体"/>
          <w:color w:val="auto"/>
          <w:sz w:val="21"/>
          <w:szCs w:val="21"/>
          <w:highlight w:val="none"/>
          <w:lang w:val="en-US"/>
        </w:rPr>
        <w:t xml:space="preserve">份，甲方</w:t>
      </w:r>
      <w:r>
        <w:rPr>
          <w:rFonts w:hint="eastAsia" w:ascii="宋体" w:hAnsi="宋体" w:cs="宋体"/>
          <w:color w:val="auto"/>
          <w:sz w:val="21"/>
          <w:szCs w:val="21"/>
          <w:highlight w:val="none"/>
          <w:u w:val="single"/>
          <w:lang w:val="en-US"/>
        </w:rPr>
        <w:t xml:space="preserve">二</w:t>
      </w:r>
      <w:r>
        <w:rPr>
          <w:rFonts w:hint="eastAsia" w:ascii="宋体" w:hAnsi="宋体" w:cs="宋体"/>
          <w:color w:val="auto"/>
          <w:sz w:val="21"/>
          <w:szCs w:val="21"/>
          <w:highlight w:val="none"/>
          <w:lang w:val="en-US"/>
        </w:rPr>
        <w:t xml:space="preserve">份，乙方</w:t>
      </w:r>
      <w:r>
        <w:rPr>
          <w:rFonts w:hint="eastAsia" w:ascii="宋体" w:hAnsi="宋体" w:cs="宋体"/>
          <w:color w:val="auto"/>
          <w:sz w:val="21"/>
          <w:szCs w:val="21"/>
          <w:highlight w:val="none"/>
          <w:u w:val="single"/>
          <w:lang w:val="en-US"/>
        </w:rPr>
        <w:t xml:space="preserve">一</w:t>
      </w:r>
      <w:r>
        <w:rPr>
          <w:rFonts w:hint="eastAsia" w:ascii="宋体" w:hAnsi="宋体" w:cs="宋体"/>
          <w:color w:val="auto"/>
          <w:sz w:val="21"/>
          <w:szCs w:val="21"/>
          <w:highlight w:val="none"/>
          <w:lang w:val="en-US"/>
        </w:rPr>
        <w:t xml:space="preserve">份、采购代理机构、备案机构各执</w:t>
      </w:r>
      <w:r>
        <w:rPr>
          <w:rFonts w:hint="eastAsia" w:ascii="宋体" w:hAnsi="宋体" w:cs="宋体"/>
          <w:color w:val="auto"/>
          <w:sz w:val="21"/>
          <w:szCs w:val="21"/>
          <w:highlight w:val="none"/>
          <w:u w:val="single"/>
          <w:lang w:val="en-US"/>
        </w:rPr>
        <w:t xml:space="preserve">一</w:t>
      </w:r>
      <w:r>
        <w:rPr>
          <w:rFonts w:hint="eastAsia" w:ascii="宋体" w:hAnsi="宋体" w:cs="宋体"/>
          <w:color w:val="auto"/>
          <w:sz w:val="21"/>
          <w:szCs w:val="21"/>
          <w:highlight w:val="none"/>
          <w:lang w:val="en-US"/>
        </w:rPr>
        <w:t xml:space="preserve">份，各份具有同等法律效力。</w:t>
      </w:r>
      <w:r>
        <w:rPr>
          <w:color w:val="auto"/>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rPr>
          <w:color w:val="auto"/>
          <w:highlight w:val="none"/>
        </w:rPr>
      </w:r>
      <w:r/>
    </w:p>
    <w:p>
      <w:pPr>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代表人（签字）：                          代表人（签字）：</w:t>
      </w:r>
      <w:r>
        <w:rPr>
          <w:color w:val="auto"/>
          <w:highlight w:val="none"/>
        </w:rPr>
      </w:r>
      <w:r/>
    </w:p>
    <w:p>
      <w:pPr>
        <w:ind w:firstLine="42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日期：                                    日期：</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pStyle w:val="897"/>
        <w:spacing w:line="360" w:lineRule="auto"/>
        <w:rPr>
          <w:rFonts w:ascii="宋体" w:hAnsi="宋体" w:eastAsia="宋体"/>
          <w:color w:val="auto"/>
          <w:sz w:val="52"/>
          <w:highlight w:val="none"/>
        </w:rPr>
      </w:pPr>
      <w:r>
        <w:rPr>
          <w:color w:val="auto"/>
          <w:highlight w:val="none"/>
        </w:rPr>
      </w:r>
      <w:bookmarkStart w:id="58" w:name="_Toc7356"/>
      <w:r>
        <w:rPr>
          <w:color w:val="auto"/>
          <w:highlight w:val="none"/>
        </w:rPr>
      </w:r>
      <w:r/>
    </w:p>
    <w:p>
      <w:pPr>
        <w:pStyle w:val="897"/>
        <w:jc w:val="center"/>
        <w:spacing w:line="360" w:lineRule="auto"/>
        <w:rPr>
          <w:color w:val="auto"/>
          <w:highlight w:val="none"/>
        </w:rPr>
      </w:pPr>
      <w:r>
        <w:rPr>
          <w:color w:val="auto"/>
          <w:highlight w:val="none"/>
        </w:rPr>
      </w:r>
      <w:r>
        <w:rPr>
          <w:color w:val="auto"/>
          <w:highlight w:val="none"/>
        </w:rPr>
      </w:r>
    </w:p>
    <w:p>
      <w:pPr>
        <w:pStyle w:val="897"/>
        <w:jc w:val="center"/>
        <w:spacing w:line="360" w:lineRule="auto"/>
        <w:rPr>
          <w:color w:val="auto"/>
          <w:highlight w:val="none"/>
        </w:rPr>
      </w:pPr>
      <w:r>
        <w:rPr>
          <w:rFonts w:hint="eastAsia" w:ascii="宋体" w:hAnsi="宋体" w:eastAsia="宋体"/>
          <w:color w:val="auto"/>
          <w:sz w:val="52"/>
          <w:highlight w:val="none"/>
        </w:rPr>
        <w:t xml:space="preserve">第五章 评审办法</w:t>
      </w:r>
      <w:bookmarkEnd w:id="58"/>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highlight w:val="none"/>
        </w:rPr>
      </w:pPr>
      <w:r>
        <w:rPr>
          <w:rFonts w:ascii="宋体" w:hAnsi="宋体" w:eastAsia="宋体"/>
          <w:color w:val="auto"/>
          <w:highlight w:val="none"/>
        </w:rPr>
      </w:r>
      <w:r>
        <w:rPr>
          <w:color w:val="auto"/>
          <w:highlight w:val="none"/>
        </w:rPr>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color w:val="auto"/>
          <w:highlight w:val="none"/>
        </w:rPr>
      </w:r>
      <w:r/>
    </w:p>
    <w:p>
      <w:pPr>
        <w:ind w:firstLine="522"/>
        <w:spacing w:line="360" w:lineRule="auto"/>
        <w:rPr>
          <w:rFonts w:ascii="宋体" w:hAnsi="宋体" w:eastAsia="宋体"/>
          <w:b/>
          <w:color w:val="auto"/>
          <w:sz w:val="21"/>
          <w:szCs w:val="21"/>
          <w:highlight w:val="none"/>
        </w:rPr>
      </w:pPr>
      <w:r>
        <w:rPr>
          <w:rFonts w:ascii="宋体" w:hAnsi="宋体" w:eastAsia="宋体"/>
          <w:b/>
          <w:color w:val="auto"/>
          <w:highlight w:val="none"/>
        </w:rPr>
        <w:br w:type="page" w:clear="all"/>
      </w:r>
      <w:r>
        <w:rPr>
          <w:rFonts w:hint="eastAsia" w:ascii="宋体" w:hAnsi="宋体" w:eastAsia="宋体"/>
          <w:b/>
          <w:color w:val="auto"/>
          <w:sz w:val="21"/>
          <w:szCs w:val="21"/>
          <w:highlight w:val="none"/>
        </w:rPr>
        <w:t xml:space="preserve">一、评审方法</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1、本次磋商采用综合评分法，即在</w:t>
      </w:r>
      <w:r>
        <w:rPr>
          <w:rFonts w:ascii="宋体" w:hAnsi="宋体" w:eastAsia="宋体"/>
          <w:color w:val="auto"/>
          <w:sz w:val="21"/>
          <w:szCs w:val="21"/>
          <w:highlight w:val="none"/>
        </w:rPr>
        <w:t xml:space="preserve">响应文件满足</w:t>
      </w: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文件全部实质性要求且按评审因素的量化指标评审得分最高的供应商为成交候选供应商</w:t>
      </w:r>
      <w:r>
        <w:rPr>
          <w:rFonts w:hint="eastAsia" w:ascii="宋体" w:hAnsi="宋体" w:eastAsia="宋体"/>
          <w:color w:val="auto"/>
          <w:sz w:val="21"/>
          <w:szCs w:val="21"/>
          <w:highlight w:val="none"/>
        </w:rPr>
        <w:t xml:space="preserve">。采购人书面授权磋商小组直接确定成交供应商</w:t>
      </w:r>
      <w:r>
        <w:rPr>
          <w:rFonts w:ascii="宋体" w:hAnsi="宋体" w:eastAsia="宋体"/>
          <w:color w:val="auto"/>
          <w:sz w:val="21"/>
          <w:szCs w:val="21"/>
          <w:highlight w:val="none"/>
        </w:rPr>
        <w:t xml:space="preserve">。</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2、评审小组各成员独立对每个进入打分程序的有效磋商供应商的响应文件技术和资质部分以打分的形式进行评审和评价。</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3、对评委的评分（除价格分外）进行统计汇总，直接算术平均计算出每个磋商供应商的得分，加上价格得分即为每个磋商供应商的综合得分。</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、如出现评审总得分最高的磋商供应商有两个或两个以上的，以磋商报价较低者优先作为成交候选人，如果磋商报价也相同的，则由采购人组织以抽签方式确定成交候选人。</w:t>
      </w:r>
      <w:r>
        <w:rPr>
          <w:color w:val="auto"/>
          <w:highlight w:val="none"/>
        </w:rPr>
      </w:r>
      <w:r/>
    </w:p>
    <w:p>
      <w:pPr>
        <w:ind w:firstLine="422"/>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t xml:space="preserve">二、评分标准（保留两位小数）</w:t>
      </w:r>
      <w:r>
        <w:rPr>
          <w:color w:val="auto"/>
          <w:highlight w:val="none"/>
        </w:rPr>
      </w:r>
      <w:r/>
    </w:p>
    <w:p>
      <w:pPr>
        <w:ind w:firstLine="422"/>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t xml:space="preserve">（一）价格分</w:t>
      </w:r>
      <w:r>
        <w:rPr>
          <w:rFonts w:hint="eastAsia" w:ascii="宋体" w:hAnsi="宋体" w:eastAsia="宋体"/>
          <w:b/>
          <w:color w:val="auto"/>
          <w:sz w:val="21"/>
          <w:szCs w:val="21"/>
          <w:highlight w:val="none"/>
        </w:rPr>
        <w:t xml:space="preserve">：</w:t>
      </w:r>
      <w:r>
        <w:rPr>
          <w:rFonts w:ascii="宋体" w:hAnsi="宋体" w:eastAsia="宋体"/>
          <w:b/>
          <w:color w:val="auto"/>
          <w:sz w:val="21"/>
          <w:szCs w:val="21"/>
          <w:highlight w:val="none"/>
        </w:rPr>
        <w:t xml:space="preserve">20分</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总报价低于或等于采购预算价格的，为有效</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报价。超采购预算的</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报价为无效响应报价。无效响应报价的响应文件不得</w:t>
      </w:r>
      <w:r>
        <w:rPr>
          <w:rFonts w:hint="eastAsia" w:ascii="宋体" w:hAnsi="宋体" w:eastAsia="宋体"/>
          <w:color w:val="auto"/>
          <w:sz w:val="21"/>
          <w:szCs w:val="21"/>
          <w:highlight w:val="none"/>
        </w:rPr>
        <w:t xml:space="preserve">成交</w:t>
      </w:r>
      <w:r>
        <w:rPr>
          <w:rFonts w:ascii="宋体" w:hAnsi="宋体" w:eastAsia="宋体"/>
          <w:color w:val="auto"/>
          <w:sz w:val="21"/>
          <w:szCs w:val="21"/>
          <w:highlight w:val="none"/>
        </w:rPr>
        <w:t xml:space="preserve">。</w:t>
      </w:r>
      <w:r>
        <w:rPr>
          <w:color w:val="auto"/>
          <w:highlight w:val="none"/>
        </w:rPr>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价格分采用低价优先法计算，即满足</w:t>
      </w:r>
      <w:r>
        <w:rPr>
          <w:rFonts w:hint="eastAsia" w:ascii="宋体" w:hAnsi="宋体" w:eastAsia="宋体"/>
          <w:color w:val="auto"/>
          <w:sz w:val="21"/>
          <w:szCs w:val="21"/>
          <w:highlight w:val="none"/>
        </w:rPr>
        <w:t xml:space="preserve">磋商</w:t>
      </w:r>
      <w:r>
        <w:rPr>
          <w:rFonts w:ascii="宋体" w:hAnsi="宋体" w:eastAsia="宋体"/>
          <w:color w:val="auto"/>
          <w:sz w:val="21"/>
          <w:szCs w:val="21"/>
          <w:highlight w:val="none"/>
        </w:rPr>
        <w:t xml:space="preserve">文件要求且</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价格最低的</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报价为评标基准价，其价格分为满分20分。其他供应商的价格分统一按照下列公式计算：</w:t>
      </w:r>
      <w:r>
        <w:rPr>
          <w:color w:val="auto"/>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报价得分=（评标基准价/</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报价）*价格权值*100，小数点后保留两位（价格权值为20%）。</w:t>
      </w:r>
      <w:r>
        <w:rPr>
          <w:color w:val="auto"/>
          <w:highlight w:val="none"/>
        </w:rPr>
      </w:r>
      <w:r/>
    </w:p>
    <w:p>
      <w:pPr>
        <w:ind w:firstLine="422"/>
        <w:spacing w:line="360" w:lineRule="auto"/>
        <w:tabs>
          <w:tab w:val="left" w:pos="420" w:leader="none"/>
          <w:tab w:val="left" w:pos="540" w:leader="none"/>
        </w:tabs>
        <w:rPr>
          <w:rFonts w:ascii="宋体" w:hAnsi="宋体" w:eastAsia="宋体"/>
          <w:b/>
          <w:bCs/>
          <w:color w:val="auto"/>
          <w:sz w:val="21"/>
          <w:highlight w:val="none"/>
        </w:rPr>
      </w:pPr>
      <w:r>
        <w:rPr>
          <w:rFonts w:hint="eastAsia" w:ascii="宋体" w:hAnsi="宋体" w:eastAsia="宋体"/>
          <w:b/>
          <w:bCs/>
          <w:color w:val="auto"/>
          <w:sz w:val="21"/>
          <w:highlight w:val="none"/>
        </w:rPr>
        <w:t xml:space="preserve">（二）实施方案比较：</w:t>
      </w:r>
      <w:r>
        <w:rPr>
          <w:rFonts w:ascii="宋体" w:hAnsi="宋体" w:eastAsia="宋体"/>
          <w:b/>
          <w:bCs/>
          <w:color w:val="auto"/>
          <w:sz w:val="21"/>
          <w:highlight w:val="none"/>
        </w:rPr>
        <w:t xml:space="preserve">68</w:t>
      </w:r>
      <w:r>
        <w:rPr>
          <w:rFonts w:hint="eastAsia" w:ascii="宋体" w:hAnsi="宋体" w:eastAsia="宋体"/>
          <w:b/>
          <w:bCs/>
          <w:color w:val="auto"/>
          <w:sz w:val="21"/>
          <w:highlight w:val="none"/>
        </w:rPr>
        <w:t xml:space="preserve">分</w:t>
      </w:r>
      <w:r>
        <w:rPr>
          <w:color w:val="auto"/>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1、项目概况及总体策划方案比较（10分）</w:t>
      </w:r>
      <w:r>
        <w:rPr>
          <w:color w:val="auto"/>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理念的策划结合学校背景、建筑风格、教学特色、地域文化等实际情况进行策划，总体方案策划理论依据充分、理念定位准确、思路清晰、整体性强、内容丰富、符合学校实际情况的得10分；理论依据较充分、理念定位较准确、思路较清晰、整体性较强、内容较丰富、较符合学校实际情况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分；理论依据基本充分、理念定位基本准确、思路基本清晰、基本符合学校实际情况的得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分；未提供不得分。</w:t>
      </w:r>
      <w:r>
        <w:rPr>
          <w:color w:val="auto"/>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2、项目培训活动亮点体现比较（</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w:t>
      </w:r>
      <w:r>
        <w:rPr>
          <w:color w:val="auto"/>
          <w:highlight w:val="none"/>
        </w:rPr>
      </w:r>
      <w:r/>
    </w:p>
    <w:p>
      <w:pPr>
        <w:ind w:firstLine="480"/>
        <w:spacing w:line="360" w:lineRule="auto"/>
        <w:rPr>
          <w:rStyle w:val="1062"/>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课程活动围绕培训内容紧密，课程体系有完整规划的得8分；课程活动围绕培训内容较紧密，课程体系较粗略的得5分；课程活</w:t>
      </w:r>
      <w:r>
        <w:rPr>
          <w:rFonts w:hint="eastAsia" w:ascii="宋体" w:hAnsi="宋体" w:eastAsia="宋体" w:cs="宋体"/>
          <w:color w:val="auto"/>
          <w:sz w:val="21"/>
          <w:szCs w:val="21"/>
          <w:highlight w:val="none"/>
        </w:rPr>
        <w:t xml:space="preserve">动围绕培训内容紧密性较弱，课程体系较弱的得2分</w:t>
      </w:r>
      <w:r>
        <w:rPr>
          <w:rStyle w:val="1062"/>
          <w:rFonts w:hint="eastAsia" w:ascii="宋体" w:hAnsi="宋体" w:eastAsia="宋体" w:cs="宋体"/>
          <w:color w:val="auto"/>
          <w:sz w:val="21"/>
          <w:szCs w:val="21"/>
          <w:highlight w:val="none"/>
        </w:rPr>
        <w:t xml:space="preserve">；未提供不得分。</w:t>
      </w:r>
      <w:r>
        <w:rPr>
          <w:color w:val="auto"/>
          <w:highlight w:val="none"/>
        </w:rPr>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3、本项目效果图绘制比较（8分）</w:t>
      </w:r>
      <w:r>
        <w:rPr>
          <w:color w:val="auto"/>
          <w:highlight w:val="none"/>
        </w:rPr>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效果图、重要节点效果</w:t>
      </w:r>
      <w:r>
        <w:rPr>
          <w:rFonts w:hint="eastAsia" w:ascii="宋体" w:hAnsi="宋体" w:eastAsia="宋体" w:cs="宋体"/>
          <w:color w:val="auto"/>
          <w:sz w:val="21"/>
          <w:szCs w:val="21"/>
          <w:highlight w:val="none"/>
        </w:rPr>
        <w:t xml:space="preserve">图内容合理、配色协调美观、针对性强的得8分；效果图、重要节点效果图内容合理的得5分；效果图、重要节点效果图仅提供但设计内容仅涉及但不全面的得2分，未提供不得分。</w:t>
      </w:r>
      <w:r>
        <w:rPr>
          <w:color w:val="auto"/>
          <w:highlight w:val="none"/>
        </w:rPr>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4、对本项目进度计划及工期保证措施比较（8分）</w:t>
      </w:r>
      <w:r>
        <w:rPr>
          <w:color w:val="auto"/>
          <w:highlight w:val="none"/>
        </w:rPr>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对本项目进度计划及工期保证措施的科学性及合理性进行评定，方案科学合理、可操作性强的得8分；方案基本合理、可操作性一般的得5分；方案可操作性较差的得</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分；未提供的不得分。</w:t>
      </w:r>
      <w:r>
        <w:rPr>
          <w:color w:val="auto"/>
          <w:highlight w:val="none"/>
        </w:rPr>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5、项目工作质量保证的措施（8分）</w:t>
      </w:r>
      <w:r>
        <w:rPr>
          <w:color w:val="auto"/>
          <w:highlight w:val="none"/>
        </w:rPr>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切合实际，计划齐全，质量保证措施完备的得</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分；考虑较实际，计划较齐全，质量保证措施一般的得</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分；欠缺考虑，无计划，质量保证措施一般的得2分。未提供的不得分。</w:t>
      </w:r>
      <w:r>
        <w:rPr>
          <w:color w:val="auto"/>
          <w:highlight w:val="none"/>
        </w:rPr>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6、应急突发事件的应对方案（8分）</w:t>
      </w:r>
      <w:r>
        <w:rPr>
          <w:color w:val="auto"/>
          <w:highlight w:val="none"/>
        </w:rPr>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应急突发事件的应对方案科学合理、可操作性强的得</w:t>
      </w:r>
      <w:r>
        <w:rPr>
          <w:rFonts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分；基本合理、可操作性一般的最高得</w:t>
      </w:r>
      <w:r>
        <w:rPr>
          <w:rFonts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分；方案可操作性较差的得2分；未提供的不得分。</w:t>
      </w:r>
      <w:r>
        <w:rPr>
          <w:color w:val="auto"/>
          <w:highlight w:val="none"/>
        </w:rPr>
      </w:r>
      <w:r/>
    </w:p>
    <w:p>
      <w:pPr>
        <w:pStyle w:val="1016"/>
        <w:ind w:firstLine="480"/>
        <w:jc w:val="both"/>
        <w:spacing w:line="360" w:lineRule="auto"/>
        <w:rPr>
          <w:rFonts w:hAnsi="宋体"/>
          <w:color w:val="auto"/>
          <w:sz w:val="21"/>
          <w:szCs w:val="21"/>
          <w:highlight w:val="none"/>
        </w:rPr>
      </w:pPr>
      <w:r>
        <w:rPr>
          <w:rFonts w:hint="eastAsia" w:hAnsi="宋体"/>
          <w:color w:val="auto"/>
          <w:sz w:val="21"/>
          <w:szCs w:val="21"/>
          <w:highlight w:val="none"/>
        </w:rPr>
        <w:t xml:space="preserve">7、售后服务方案比较（8分）</w:t>
      </w:r>
      <w:r>
        <w:rPr>
          <w:color w:val="auto"/>
          <w:highlight w:val="none"/>
        </w:rPr>
      </w:r>
      <w:r/>
    </w:p>
    <w:p>
      <w:pPr>
        <w:pStyle w:val="1016"/>
        <w:ind w:firstLine="480"/>
        <w:jc w:val="both"/>
        <w:spacing w:line="360" w:lineRule="auto"/>
        <w:rPr>
          <w:rFonts w:hAnsi="宋体"/>
          <w:color w:val="auto"/>
          <w:sz w:val="21"/>
          <w:szCs w:val="21"/>
          <w:highlight w:val="none"/>
        </w:rPr>
      </w:pPr>
      <w:r>
        <w:rPr>
          <w:rFonts w:hint="eastAsia" w:hAnsi="宋体"/>
          <w:color w:val="auto"/>
          <w:sz w:val="21"/>
          <w:szCs w:val="21"/>
          <w:highlight w:val="none"/>
        </w:rPr>
        <w:t xml:space="preserve">根据供应商提供的针对本项目售后服务方案进行综合评分，方案包括免费质保期内的保障措施及维护计划；验收方法与步骤；售后服务具体内容方案完全包含上述内容且内容有实质性意义满足项目需求的得</w:t>
      </w:r>
      <w:r>
        <w:rPr>
          <w:rFonts w:hAnsi="宋体"/>
          <w:color w:val="auto"/>
          <w:sz w:val="21"/>
          <w:szCs w:val="21"/>
          <w:highlight w:val="none"/>
        </w:rPr>
        <w:t xml:space="preserve">8</w:t>
      </w:r>
      <w:r>
        <w:rPr>
          <w:rFonts w:hint="eastAsia" w:hAnsi="宋体"/>
          <w:color w:val="auto"/>
          <w:sz w:val="21"/>
          <w:szCs w:val="21"/>
          <w:highlight w:val="none"/>
        </w:rPr>
        <w:t xml:space="preserve">分；方案内有部分缺少或部分内容无实质性意义的得</w:t>
      </w:r>
      <w:r>
        <w:rPr>
          <w:rFonts w:hAnsi="宋体"/>
          <w:color w:val="auto"/>
          <w:sz w:val="21"/>
          <w:szCs w:val="21"/>
          <w:highlight w:val="none"/>
        </w:rPr>
        <w:t xml:space="preserve">5</w:t>
      </w:r>
      <w:r>
        <w:rPr>
          <w:rFonts w:hint="eastAsia" w:hAnsi="宋体"/>
          <w:color w:val="auto"/>
          <w:sz w:val="21"/>
          <w:szCs w:val="21"/>
          <w:highlight w:val="none"/>
        </w:rPr>
        <w:t xml:space="preserve">分；方案内有大量缺少或部分内容无实质性意义，只能满足基本要求得2分；未提供不得分。</w:t>
      </w:r>
      <w:r>
        <w:rPr>
          <w:color w:val="auto"/>
          <w:highlight w:val="none"/>
        </w:rPr>
      </w:r>
      <w:r/>
    </w:p>
    <w:p>
      <w:pPr>
        <w:pStyle w:val="1016"/>
        <w:ind w:firstLine="480"/>
        <w:jc w:val="both"/>
        <w:spacing w:line="360" w:lineRule="auto"/>
        <w:rPr>
          <w:rFonts w:hAnsi="宋体"/>
          <w:color w:val="auto"/>
          <w:sz w:val="21"/>
          <w:szCs w:val="21"/>
          <w:highlight w:val="none"/>
        </w:rPr>
      </w:pPr>
      <w:r>
        <w:rPr>
          <w:rFonts w:hAnsi="宋体"/>
          <w:color w:val="auto"/>
          <w:sz w:val="21"/>
          <w:szCs w:val="21"/>
          <w:highlight w:val="none"/>
        </w:rPr>
        <w:t xml:space="preserve">8</w:t>
      </w:r>
      <w:r>
        <w:rPr>
          <w:rFonts w:hint="eastAsia" w:hAnsi="宋体"/>
          <w:color w:val="auto"/>
          <w:sz w:val="21"/>
          <w:szCs w:val="21"/>
          <w:highlight w:val="none"/>
        </w:rPr>
        <w:t xml:space="preserve">、师资人员配备比较（</w:t>
      </w:r>
      <w:r>
        <w:rPr>
          <w:rFonts w:hAnsi="宋体"/>
          <w:color w:val="auto"/>
          <w:sz w:val="21"/>
          <w:szCs w:val="21"/>
          <w:highlight w:val="none"/>
        </w:rPr>
        <w:t xml:space="preserve">10</w:t>
      </w:r>
      <w:r>
        <w:rPr>
          <w:rFonts w:hint="eastAsia" w:hAnsi="宋体"/>
          <w:color w:val="auto"/>
          <w:sz w:val="21"/>
          <w:szCs w:val="21"/>
          <w:highlight w:val="none"/>
        </w:rPr>
        <w:t xml:space="preserve">分）</w:t>
      </w:r>
      <w:r>
        <w:rPr>
          <w:color w:val="auto"/>
          <w:highlight w:val="none"/>
        </w:rPr>
      </w:r>
      <w:r/>
    </w:p>
    <w:p>
      <w:pPr>
        <w:pStyle w:val="1016"/>
        <w:ind w:firstLine="480"/>
        <w:jc w:val="both"/>
        <w:spacing w:line="360" w:lineRule="auto"/>
        <w:rPr>
          <w:rFonts w:hint="eastAsia" w:hAnsi="宋体"/>
          <w:color w:val="auto"/>
          <w:sz w:val="21"/>
          <w:szCs w:val="21"/>
          <w:highlight w:val="none"/>
        </w:rPr>
      </w:pPr>
      <w:r>
        <w:rPr>
          <w:rFonts w:hint="eastAsia" w:hAnsi="宋体"/>
          <w:color w:val="auto"/>
          <w:sz w:val="21"/>
          <w:szCs w:val="21"/>
          <w:highlight w:val="none"/>
        </w:rPr>
        <w:t xml:space="preserve">供应商需为本项目配备深化师资人员团队，提供团队配置方案。师资人员配置科学合理、深化设计工作内容分工明确，专业能力体现充分的得</w:t>
      </w:r>
      <w:r>
        <w:rPr>
          <w:rFonts w:hAnsi="宋体"/>
          <w:color w:val="auto"/>
          <w:sz w:val="21"/>
          <w:szCs w:val="21"/>
          <w:highlight w:val="none"/>
        </w:rPr>
        <w:t xml:space="preserve">10</w:t>
      </w:r>
      <w:r>
        <w:rPr>
          <w:rFonts w:hint="eastAsia" w:hAnsi="宋体"/>
          <w:color w:val="auto"/>
          <w:sz w:val="21"/>
          <w:szCs w:val="21"/>
          <w:highlight w:val="none"/>
        </w:rPr>
        <w:t xml:space="preserve">分；师资人员配置较合理、深化设计工作内容分工较明确，能够体现专业能力的得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分；师资人员配置一般、深化设计工作内容分工一般的得</w:t>
      </w:r>
      <w:r>
        <w:rPr>
          <w:rFonts w:hAnsi="宋体"/>
          <w:color w:val="auto"/>
          <w:sz w:val="21"/>
          <w:szCs w:val="21"/>
          <w:highlight w:val="none"/>
        </w:rPr>
        <w:t xml:space="preserve">2</w:t>
      </w:r>
      <w:r>
        <w:rPr>
          <w:rFonts w:hint="eastAsia" w:hAnsi="宋体"/>
          <w:color w:val="auto"/>
          <w:sz w:val="21"/>
          <w:szCs w:val="21"/>
          <w:highlight w:val="none"/>
        </w:rPr>
        <w:t xml:space="preserve">分；未提供不得分。</w:t>
      </w:r>
      <w:r>
        <w:rPr>
          <w:color w:val="auto"/>
          <w:highlight w:val="none"/>
        </w:rPr>
      </w:r>
      <w:r/>
    </w:p>
    <w:p>
      <w:pPr>
        <w:ind w:firstLine="422"/>
        <w:spacing w:line="360" w:lineRule="auto"/>
        <w:tabs>
          <w:tab w:val="left" w:pos="420" w:leader="none"/>
          <w:tab w:val="left" w:pos="540" w:leader="none"/>
        </w:tabs>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w:t>
      </w:r>
      <w:r>
        <w:rPr>
          <w:rFonts w:hint="eastAsia" w:ascii="宋体" w:hAnsi="宋体" w:eastAsia="宋体"/>
          <w:b/>
          <w:color w:val="auto"/>
          <w:sz w:val="21"/>
          <w:szCs w:val="21"/>
          <w:highlight w:val="none"/>
        </w:rPr>
        <w:t xml:space="preserve">供应商综合实力比较</w:t>
      </w:r>
      <w:r>
        <w:rPr>
          <w:rFonts w:hint="eastAsia" w:ascii="宋体" w:hAnsi="宋体" w:eastAsia="宋体" w:cs="宋体"/>
          <w:b/>
          <w:bCs/>
          <w:color w:val="auto"/>
          <w:sz w:val="21"/>
          <w:highlight w:val="none"/>
        </w:rPr>
        <w:t xml:space="preserve">：</w:t>
      </w:r>
      <w:r>
        <w:rPr>
          <w:rFonts w:ascii="宋体" w:hAnsi="宋体" w:eastAsia="宋体" w:cs="宋体"/>
          <w:b/>
          <w:bCs/>
          <w:color w:val="auto"/>
          <w:sz w:val="21"/>
          <w:highlight w:val="none"/>
        </w:rPr>
        <w:t xml:space="preserve">12</w:t>
      </w:r>
      <w:r>
        <w:rPr>
          <w:rFonts w:hint="eastAsia" w:ascii="宋体" w:hAnsi="宋体" w:eastAsia="宋体" w:cs="宋体"/>
          <w:b/>
          <w:bCs/>
          <w:color w:val="auto"/>
          <w:sz w:val="21"/>
          <w:highlight w:val="none"/>
        </w:rPr>
        <w:t xml:space="preserve">分</w:t>
      </w:r>
      <w:r>
        <w:rPr>
          <w:color w:val="auto"/>
          <w:highlight w:val="none"/>
        </w:rPr>
      </w:r>
      <w:r/>
    </w:p>
    <w:p>
      <w:pPr>
        <w:pStyle w:val="1016"/>
        <w:ind w:firstLine="480"/>
        <w:jc w:val="both"/>
        <w:spacing w:line="360" w:lineRule="auto"/>
        <w:rPr>
          <w:rFonts w:hAnsi="宋体"/>
          <w:color w:val="auto"/>
          <w:sz w:val="21"/>
          <w:szCs w:val="21"/>
          <w:highlight w:val="none"/>
        </w:rPr>
      </w:pPr>
      <w:r>
        <w:rPr>
          <w:rFonts w:hint="eastAsia" w:hAnsi="宋体"/>
          <w:color w:val="auto"/>
          <w:sz w:val="21"/>
          <w:szCs w:val="21"/>
          <w:highlight w:val="none"/>
        </w:rPr>
        <w:t xml:space="preserve">1、拟邀请师资职称（</w:t>
      </w:r>
      <w:r>
        <w:rPr>
          <w:rFonts w:hAnsi="宋体"/>
          <w:color w:val="auto"/>
          <w:sz w:val="21"/>
          <w:szCs w:val="21"/>
          <w:highlight w:val="none"/>
        </w:rPr>
        <w:t xml:space="preserve">6</w:t>
      </w:r>
      <w:r>
        <w:rPr>
          <w:rFonts w:hint="eastAsia" w:hAnsi="宋体"/>
          <w:color w:val="auto"/>
          <w:sz w:val="21"/>
          <w:szCs w:val="21"/>
          <w:highlight w:val="none"/>
        </w:rPr>
        <w:t xml:space="preserve">分）</w:t>
      </w:r>
      <w:r>
        <w:rPr>
          <w:color w:val="auto"/>
          <w:highlight w:val="none"/>
        </w:rPr>
      </w:r>
      <w:r/>
    </w:p>
    <w:p>
      <w:pPr>
        <w:pStyle w:val="1016"/>
        <w:ind w:firstLine="480"/>
        <w:jc w:val="both"/>
        <w:spacing w:line="360" w:lineRule="auto"/>
        <w:rPr>
          <w:rFonts w:hAnsi="宋体"/>
          <w:color w:val="auto"/>
          <w:sz w:val="21"/>
          <w:szCs w:val="21"/>
          <w:highlight w:val="none"/>
        </w:rPr>
      </w:pPr>
      <w:r>
        <w:rPr>
          <w:rFonts w:hint="eastAsia" w:hAnsi="宋体"/>
          <w:color w:val="auto"/>
          <w:sz w:val="21"/>
          <w:szCs w:val="21"/>
          <w:highlight w:val="none"/>
        </w:rPr>
        <w:t xml:space="preserve">供应商为本项目配备的深化师资人员团队，具有教育类正高级职称专家得</w:t>
      </w:r>
      <w:r>
        <w:rPr>
          <w:rFonts w:hAnsi="宋体"/>
          <w:color w:val="auto"/>
          <w:sz w:val="21"/>
          <w:szCs w:val="21"/>
          <w:highlight w:val="none"/>
        </w:rPr>
        <w:t xml:space="preserve">2</w:t>
      </w:r>
      <w:r>
        <w:rPr>
          <w:rFonts w:hint="eastAsia" w:hAnsi="宋体"/>
          <w:color w:val="auto"/>
          <w:sz w:val="21"/>
          <w:szCs w:val="21"/>
          <w:highlight w:val="none"/>
        </w:rPr>
        <w:t xml:space="preserve">分；教育类高级职称专家得</w:t>
      </w:r>
      <w:r>
        <w:rPr>
          <w:rFonts w:hAnsi="宋体"/>
          <w:color w:val="auto"/>
          <w:sz w:val="21"/>
          <w:szCs w:val="21"/>
          <w:highlight w:val="none"/>
        </w:rPr>
        <w:t xml:space="preserve">1</w:t>
      </w:r>
      <w:r>
        <w:rPr>
          <w:rFonts w:hint="eastAsia" w:hAnsi="宋体"/>
          <w:color w:val="auto"/>
          <w:sz w:val="21"/>
          <w:szCs w:val="21"/>
          <w:highlight w:val="none"/>
        </w:rPr>
        <w:t xml:space="preserve">分；限评</w:t>
      </w:r>
      <w:r>
        <w:rPr>
          <w:rFonts w:hAnsi="宋体"/>
          <w:color w:val="auto"/>
          <w:sz w:val="21"/>
          <w:szCs w:val="21"/>
          <w:highlight w:val="none"/>
        </w:rPr>
        <w:t xml:space="preserve">3</w:t>
      </w:r>
      <w:r>
        <w:rPr>
          <w:rFonts w:hint="eastAsia" w:hAnsi="宋体"/>
          <w:color w:val="auto"/>
          <w:sz w:val="21"/>
          <w:szCs w:val="21"/>
          <w:highlight w:val="none"/>
        </w:rPr>
        <w:t xml:space="preserve">人，最高为6分。（投标文件中提供相关证书的扫描件，如有缺失或不符均不得分。）</w:t>
      </w:r>
      <w:r>
        <w:rPr>
          <w:color w:val="auto"/>
          <w:highlight w:val="none"/>
        </w:rPr>
      </w:r>
      <w:r/>
    </w:p>
    <w:p>
      <w:pPr>
        <w:pStyle w:val="1016"/>
        <w:ind w:firstLine="480"/>
        <w:jc w:val="both"/>
        <w:spacing w:line="360" w:lineRule="auto"/>
        <w:rPr>
          <w:rFonts w:hAnsi="宋体"/>
          <w:color w:val="auto"/>
          <w:sz w:val="21"/>
          <w:szCs w:val="21"/>
          <w:highlight w:val="none"/>
        </w:rPr>
      </w:pPr>
      <w:r>
        <w:rPr>
          <w:rFonts w:hint="eastAsia" w:hAnsi="宋体"/>
          <w:color w:val="auto"/>
          <w:sz w:val="21"/>
          <w:szCs w:val="21"/>
          <w:highlight w:val="none"/>
        </w:rPr>
        <w:t xml:space="preserve">2、类似业绩（6分）</w:t>
      </w:r>
      <w:r>
        <w:rPr>
          <w:color w:val="auto"/>
          <w:highlight w:val="none"/>
        </w:rPr>
      </w:r>
      <w:r/>
    </w:p>
    <w:p>
      <w:pPr>
        <w:ind w:firstLine="420"/>
        <w:spacing w:line="360" w:lineRule="auto"/>
        <w:tabs>
          <w:tab w:val="left" w:pos="420" w:leader="none"/>
          <w:tab w:val="left" w:pos="54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投标人自2023年1月1日至今（以合同签订时间为准），承担过的类似项目业绩，每提供一份得3分，最高为6分。（投标文件中提供相关合同的扫描件，如有缺失或不符均不得分。）</w:t>
      </w:r>
      <w:r>
        <w:rPr>
          <w:color w:val="auto"/>
          <w:highlight w:val="none"/>
        </w:rPr>
      </w:r>
      <w:r/>
    </w:p>
    <w:p>
      <w:pPr>
        <w:ind w:firstLine="420"/>
        <w:spacing w:line="360" w:lineRule="auto"/>
        <w:tabs>
          <w:tab w:val="left" w:pos="420" w:leader="none"/>
          <w:tab w:val="left" w:pos="540" w:leader="none"/>
        </w:tabs>
        <w:rPr>
          <w:rFonts w:ascii="宋体" w:hAnsi="宋体" w:eastAsia="宋体"/>
          <w:color w:val="auto"/>
          <w:sz w:val="21"/>
          <w:highlight w:val="none"/>
        </w:rPr>
      </w:pPr>
      <w:r>
        <w:rPr>
          <w:rFonts w:ascii="宋体" w:hAnsi="宋体" w:eastAsia="宋体"/>
          <w:color w:val="auto"/>
          <w:sz w:val="21"/>
          <w:highlight w:val="none"/>
        </w:rPr>
      </w:r>
      <w:r>
        <w:rPr>
          <w:color w:val="auto"/>
          <w:highlight w:val="none"/>
        </w:rPr>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rPr>
          <w:color w:val="auto"/>
          <w:highlight w:val="none"/>
        </w:rPr>
      </w:r>
      <w:r/>
    </w:p>
    <w:p>
      <w:pPr>
        <w:ind w:firstLine="422"/>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rPr>
          <w:color w:val="auto"/>
          <w:highlight w:val="none"/>
        </w:rPr>
      </w:r>
      <w:r/>
    </w:p>
    <w:p>
      <w:pPr>
        <w:ind w:firstLine="422"/>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rPr>
        <w:t xml:space="preserve">.响应文件中如出现前后不一致时，评委有权请供应商澄清说明，澄清说明事项涉及评分时，评委有权酌情扣分。</w:t>
      </w:r>
      <w:r>
        <w:rPr>
          <w:color w:val="auto"/>
          <w:highlight w:val="none"/>
        </w:rPr>
      </w:r>
      <w:r/>
    </w:p>
    <w:p>
      <w:pPr>
        <w:ind w:firstLine="422"/>
        <w:spacing w:line="360" w:lineRule="auto"/>
        <w:rPr>
          <w:rFonts w:ascii="宋体" w:hAnsi="宋体" w:eastAsia="宋体"/>
          <w:b/>
          <w:color w:val="auto"/>
          <w:sz w:val="44"/>
          <w:szCs w:val="44"/>
          <w:highlight w:val="none"/>
        </w:rPr>
      </w:pPr>
      <w:r>
        <w:rPr>
          <w:rFonts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rPr>
          <w:color w:val="auto"/>
          <w:highlight w:val="none"/>
        </w:rPr>
      </w:r>
      <w:r/>
    </w:p>
    <w:p>
      <w:pPr>
        <w:ind w:firstLine="422"/>
        <w:jc w:val="right"/>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（全文完）</w:t>
      </w:r>
      <w:r>
        <w:rPr>
          <w:color w:val="auto"/>
          <w:highlight w:val="none"/>
        </w:rPr>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KaiTi">
    <w:panose1 w:val="02010609060101010101"/>
  </w:font>
  <w:font w:name="Symbol">
    <w:panose1 w:val="05050102010706020507"/>
  </w:font>
  <w:font w:name="Wingdings">
    <w:panose1 w:val="05000000000000000000"/>
  </w:font>
  <w:font w:name="仿宋">
    <w:panose1 w:val="02010609060101010101"/>
  </w:font>
  <w:font w:name="Cambria">
    <w:panose1 w:val="02040503050406030204"/>
  </w:font>
  <w:font w:name="Times">
    <w:panose1 w:val="02020603050405020304"/>
  </w:font>
  <w:font w:name="Calibri Light">
    <w:panose1 w:val="020F03020202040302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rFonts w:hint="eastAsia"/>
        <w:lang w:val="zh-CN"/>
      </w:rPr>
      <w:t xml:space="preserve">江苏正琦工程咨询有限公司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32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tabs>
        <w:tab w:val="left" w:pos="5820" w:leader="none"/>
      </w:tabs>
      <w:rPr>
        <w:rFonts w:hint="eastAsia" w:ascii="宋体" w:hAnsi="宋体" w:eastAsia="宋体"/>
        <w:lang w:eastAsia="zh-CN"/>
      </w:rPr>
      <w:pBdr>
        <w:bottom w:val="single" w:color="000000" w:sz="6" w:space="0"/>
      </w:pBdr>
    </w:pPr>
    <w:r>
      <w:rPr>
        <w:rFonts w:hint="eastAsia" w:ascii="宋体" w:hAnsi="宋体" w:eastAsia="宋体"/>
      </w:rPr>
      <w:t xml:space="preserve">采购编号：</w:t>
    </w:r>
    <w:r>
      <w:rPr>
        <w:rFonts w:hint="eastAsia" w:ascii="宋体" w:hAnsi="宋体" w:eastAsia="宋体"/>
        <w:lang w:eastAsia="zh-CN"/>
      </w:rPr>
      <w:t xml:space="preserve">JSZC-320507-JSZQ-C2026-0005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06"/>
      <w:isLgl w:val="false"/>
      <w:suff w:val="tab"/>
      <w:lvlText w:val=""/>
      <w:lvlJc w:val="left"/>
      <w:pPr>
        <w:ind w:left="840" w:hanging="420"/>
        <w:tabs>
          <w:tab w:val="left" w:pos="840" w:leader="none"/>
        </w:tabs>
      </w:pPr>
      <w:rPr>
        <w:rFonts w:ascii="Wingdings" w:hAnsi="Wingding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pStyle w:val="1031"/>
      <w:isLgl w:val="false"/>
      <w:suff w:val="space"/>
      <w:lvlText w:val="%1"/>
      <w:lvlJc w:val="left"/>
      <w:pPr>
        <w:ind w:left="0" w:firstLine="0"/>
      </w:pPr>
      <w:rPr>
        <w:rFonts w:hint="eastAsia" w:ascii="宋体" w:hAnsi="宋体" w:eastAsia="宋体"/>
        <w:b/>
      </w:rPr>
    </w:lvl>
    <w:lvl w:ilvl="1">
      <w:start w:val="1"/>
      <w:numFmt w:val="decimal"/>
      <w:pStyle w:val="1037"/>
      <w:isLgl w:val="false"/>
      <w:suff w:val="space"/>
      <w:lvlText w:val="%1.%2"/>
      <w:lvlJc w:val="left"/>
      <w:pPr>
        <w:ind w:left="0" w:firstLine="510"/>
      </w:pPr>
      <w:rPr>
        <w:rFonts w:hint="eastAsia" w:ascii="宋体" w:hAnsi="宋体" w:eastAsia="宋体"/>
      </w:rPr>
    </w:lvl>
    <w:lvl w:ilvl="2">
      <w:start w:val="1"/>
      <w:numFmt w:val="decimal"/>
      <w:pStyle w:val="972"/>
      <w:isLgl w:val="false"/>
      <w:suff w:val="tab"/>
      <w:lvlText w:val="%1.%2.%3"/>
      <w:lvlJc w:val="left"/>
      <w:pPr>
        <w:ind w:left="0" w:firstLine="510"/>
      </w:pPr>
      <w:rPr>
        <w:rFonts w:hint="eastAsia"/>
      </w:rPr>
    </w:lvl>
    <w:lvl w:ilvl="3">
      <w:start w:val="1"/>
      <w:numFmt w:val="decimal"/>
      <w:pStyle w:val="1038"/>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2"/>
  </w:num>
  <w:num w:numId="2">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2 Char"/>
    <w:basedOn w:val="723"/>
    <w:link w:val="715"/>
    <w:uiPriority w:val="9"/>
    <w:rPr>
      <w:rFonts w:ascii="Arial" w:hAnsi="Arial" w:eastAsia="Arial" w:cs="Arial"/>
      <w:sz w:val="34"/>
    </w:rPr>
  </w:style>
  <w:style w:type="character" w:styleId="678">
    <w:name w:val="Heading 3 Char"/>
    <w:basedOn w:val="723"/>
    <w:link w:val="716"/>
    <w:uiPriority w:val="9"/>
    <w:rPr>
      <w:rFonts w:ascii="Arial" w:hAnsi="Arial" w:eastAsia="Arial" w:cs="Arial"/>
      <w:sz w:val="30"/>
      <w:szCs w:val="30"/>
    </w:rPr>
  </w:style>
  <w:style w:type="character" w:styleId="679">
    <w:name w:val="Heading 4 Char"/>
    <w:basedOn w:val="723"/>
    <w:link w:val="717"/>
    <w:uiPriority w:val="9"/>
    <w:rPr>
      <w:rFonts w:ascii="Arial" w:hAnsi="Arial" w:eastAsia="Arial" w:cs="Arial"/>
      <w:b/>
      <w:bCs/>
      <w:sz w:val="26"/>
      <w:szCs w:val="26"/>
    </w:rPr>
  </w:style>
  <w:style w:type="character" w:styleId="680">
    <w:name w:val="Heading 5 Char"/>
    <w:basedOn w:val="723"/>
    <w:link w:val="718"/>
    <w:uiPriority w:val="9"/>
    <w:rPr>
      <w:rFonts w:ascii="Arial" w:hAnsi="Arial" w:eastAsia="Arial" w:cs="Arial"/>
      <w:b/>
      <w:bCs/>
      <w:sz w:val="24"/>
      <w:szCs w:val="24"/>
    </w:rPr>
  </w:style>
  <w:style w:type="character" w:styleId="681">
    <w:name w:val="Heading 6 Char"/>
    <w:basedOn w:val="723"/>
    <w:link w:val="719"/>
    <w:uiPriority w:val="9"/>
    <w:rPr>
      <w:rFonts w:ascii="Arial" w:hAnsi="Arial" w:eastAsia="Arial" w:cs="Arial"/>
      <w:b/>
      <w:bCs/>
      <w:sz w:val="22"/>
      <w:szCs w:val="22"/>
    </w:rPr>
  </w:style>
  <w:style w:type="character" w:styleId="682">
    <w:name w:val="Heading 7 Char"/>
    <w:basedOn w:val="723"/>
    <w:link w:val="720"/>
    <w:uiPriority w:val="9"/>
    <w:rPr>
      <w:rFonts w:ascii="Arial" w:hAnsi="Arial" w:eastAsia="Arial" w:cs="Arial"/>
      <w:b/>
      <w:bCs/>
      <w:i/>
      <w:iCs/>
      <w:sz w:val="22"/>
      <w:szCs w:val="22"/>
    </w:rPr>
  </w:style>
  <w:style w:type="character" w:styleId="683">
    <w:name w:val="Heading 8 Char"/>
    <w:basedOn w:val="723"/>
    <w:link w:val="721"/>
    <w:uiPriority w:val="9"/>
    <w:rPr>
      <w:rFonts w:ascii="Arial" w:hAnsi="Arial" w:eastAsia="Arial" w:cs="Arial"/>
      <w:i/>
      <w:iCs/>
      <w:sz w:val="22"/>
      <w:szCs w:val="22"/>
    </w:rPr>
  </w:style>
  <w:style w:type="character" w:styleId="684">
    <w:name w:val="Heading 9 Char"/>
    <w:basedOn w:val="723"/>
    <w:link w:val="722"/>
    <w:uiPriority w:val="9"/>
    <w:rPr>
      <w:rFonts w:ascii="Arial" w:hAnsi="Arial" w:eastAsia="Arial" w:cs="Arial"/>
      <w:i/>
      <w:iCs/>
      <w:sz w:val="21"/>
      <w:szCs w:val="21"/>
    </w:rPr>
  </w:style>
  <w:style w:type="character" w:styleId="685">
    <w:name w:val="Title Char"/>
    <w:basedOn w:val="723"/>
    <w:link w:val="743"/>
    <w:uiPriority w:val="10"/>
    <w:rPr>
      <w:sz w:val="48"/>
      <w:szCs w:val="48"/>
    </w:rPr>
  </w:style>
  <w:style w:type="character" w:styleId="686">
    <w:name w:val="Subtitle Char"/>
    <w:basedOn w:val="723"/>
    <w:link w:val="737"/>
    <w:uiPriority w:val="11"/>
    <w:rPr>
      <w:sz w:val="24"/>
      <w:szCs w:val="24"/>
    </w:rPr>
  </w:style>
  <w:style w:type="character" w:styleId="687">
    <w:name w:val="Quote Char"/>
    <w:link w:val="762"/>
    <w:uiPriority w:val="29"/>
    <w:rPr>
      <w:i/>
    </w:rPr>
  </w:style>
  <w:style w:type="character" w:styleId="688">
    <w:name w:val="Intense Quote Char"/>
    <w:link w:val="764"/>
    <w:uiPriority w:val="30"/>
    <w:rPr>
      <w:i/>
    </w:rPr>
  </w:style>
  <w:style w:type="character" w:styleId="689">
    <w:name w:val="Header Char"/>
    <w:basedOn w:val="723"/>
    <w:link w:val="734"/>
    <w:uiPriority w:val="99"/>
  </w:style>
  <w:style w:type="character" w:styleId="690">
    <w:name w:val="Caption Char"/>
    <w:basedOn w:val="726"/>
    <w:link w:val="733"/>
    <w:uiPriority w:val="99"/>
  </w:style>
  <w:style w:type="table" w:styleId="691">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0">
    <w:name w:val="Footnote Text Char"/>
    <w:link w:val="738"/>
    <w:uiPriority w:val="99"/>
    <w:rPr>
      <w:sz w:val="18"/>
    </w:rPr>
  </w:style>
  <w:style w:type="character" w:styleId="711">
    <w:name w:val="Endnote Text Char"/>
    <w:link w:val="732"/>
    <w:uiPriority w:val="99"/>
    <w:rPr>
      <w:sz w:val="20"/>
    </w:rPr>
  </w:style>
  <w:style w:type="paragraph" w:styleId="712">
    <w:name w:val="TOC Heading"/>
    <w:uiPriority w:val="39"/>
    <w:unhideWhenUsed/>
  </w:style>
  <w:style w:type="paragraph" w:styleId="71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14">
    <w:name w:val="Heading 1"/>
    <w:basedOn w:val="713"/>
    <w:next w:val="713"/>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0"/>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1"/>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2"/>
    <w:uiPriority w:val="9"/>
    <w:unhideWhenUsed/>
    <w:qFormat/>
    <w:pPr>
      <w:keepLines/>
      <w:keepNext/>
      <w:spacing w:before="320" w:after="200"/>
      <w:outlineLvl w:val="3"/>
    </w:pPr>
    <w:rPr>
      <w:rFonts w:ascii="Arial" w:hAnsi="Arial" w:eastAsia="Arial" w:cs="Arial"/>
      <w:b/>
      <w:bCs/>
      <w:szCs w:val="26"/>
    </w:rPr>
  </w:style>
  <w:style w:type="paragraph" w:styleId="718">
    <w:name w:val="Heading 5"/>
    <w:basedOn w:val="713"/>
    <w:next w:val="713"/>
    <w:link w:val="753"/>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4"/>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6"/>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7"/>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style>
  <w:style w:type="table" w:styleId="724" w:default="1">
    <w:name w:val="Normal Table"/>
    <w:uiPriority w:val="99"/>
    <w:semiHidden/>
    <w:unhideWhenUsed/>
    <w:tblPr>
      <w:tblCellMar>
        <w:left w:w="108" w:type="dxa"/>
        <w:top w:w="0" w:type="dxa"/>
        <w:right w:w="108" w:type="dxa"/>
        <w:bottom w:w="0" w:type="dxa"/>
      </w:tblCellMar>
    </w:tblPr>
  </w:style>
  <w:style w:type="paragraph" w:styleId="725">
    <w:name w:val="toc 7"/>
    <w:basedOn w:val="713"/>
    <w:next w:val="713"/>
    <w:uiPriority w:val="0"/>
    <w:semiHidden/>
    <w:qFormat/>
    <w:pPr>
      <w:ind w:left="2520"/>
    </w:pPr>
  </w:style>
  <w:style w:type="paragraph" w:styleId="726">
    <w:name w:val="Caption"/>
    <w:basedOn w:val="713"/>
    <w:next w:val="713"/>
    <w:uiPriority w:val="35"/>
    <w:semiHidden/>
    <w:unhideWhenUsed/>
    <w:qFormat/>
    <w:pPr>
      <w:spacing w:line="276" w:lineRule="auto"/>
    </w:pPr>
    <w:rPr>
      <w:b/>
      <w:bCs/>
      <w:color w:val="4f81bd"/>
      <w:sz w:val="18"/>
      <w:szCs w:val="18"/>
    </w:rPr>
  </w:style>
  <w:style w:type="paragraph" w:styleId="727">
    <w:name w:val="annotation text"/>
    <w:basedOn w:val="713"/>
    <w:uiPriority w:val="99"/>
    <w:semiHidden/>
    <w:unhideWhenUsed/>
    <w:qFormat/>
    <w:pPr>
      <w:jc w:val="left"/>
    </w:pPr>
  </w:style>
  <w:style w:type="paragraph" w:styleId="728">
    <w:name w:val="toc 5"/>
    <w:basedOn w:val="713"/>
    <w:next w:val="713"/>
    <w:uiPriority w:val="0"/>
    <w:semiHidden/>
    <w:qFormat/>
    <w:pPr>
      <w:ind w:left="1680"/>
    </w:pPr>
  </w:style>
  <w:style w:type="paragraph" w:styleId="729">
    <w:name w:val="toc 3"/>
    <w:basedOn w:val="713"/>
    <w:next w:val="713"/>
    <w:uiPriority w:val="1"/>
    <w:qFormat/>
    <w:pPr>
      <w:ind w:left="840"/>
    </w:pPr>
  </w:style>
  <w:style w:type="paragraph" w:styleId="730">
    <w:name w:val="Plain Text"/>
    <w:basedOn w:val="713"/>
    <w:uiPriority w:val="0"/>
    <w:qFormat/>
    <w:rPr>
      <w:rFonts w:ascii="宋体" w:hAnsi="Courier New"/>
    </w:rPr>
  </w:style>
  <w:style w:type="paragraph" w:styleId="731">
    <w:name w:val="toc 8"/>
    <w:basedOn w:val="713"/>
    <w:next w:val="713"/>
    <w:uiPriority w:val="0"/>
    <w:semiHidden/>
    <w:qFormat/>
    <w:pPr>
      <w:ind w:left="2940"/>
    </w:pPr>
  </w:style>
  <w:style w:type="paragraph" w:styleId="732">
    <w:name w:val="endnote text"/>
    <w:basedOn w:val="713"/>
    <w:link w:val="895"/>
    <w:uiPriority w:val="99"/>
    <w:semiHidden/>
    <w:unhideWhenUsed/>
    <w:qFormat/>
    <w:rPr>
      <w:sz w:val="20"/>
    </w:rPr>
  </w:style>
  <w:style w:type="paragraph" w:styleId="733">
    <w:name w:val="Footer"/>
    <w:basedOn w:val="713"/>
    <w:link w:val="768"/>
    <w:uiPriority w:val="99"/>
    <w:unhideWhenUsed/>
    <w:qFormat/>
    <w:pPr>
      <w:tabs>
        <w:tab w:val="center" w:pos="7143" w:leader="none"/>
        <w:tab w:val="right" w:pos="14287" w:leader="none"/>
      </w:tabs>
    </w:pPr>
  </w:style>
  <w:style w:type="paragraph" w:styleId="734">
    <w:name w:val="Header"/>
    <w:basedOn w:val="713"/>
    <w:link w:val="766"/>
    <w:uiPriority w:val="99"/>
    <w:unhideWhenUsed/>
    <w:qFormat/>
    <w:pPr>
      <w:tabs>
        <w:tab w:val="center" w:pos="7143" w:leader="none"/>
        <w:tab w:val="right" w:pos="14287" w:leader="none"/>
      </w:tabs>
    </w:pPr>
  </w:style>
  <w:style w:type="paragraph" w:styleId="735">
    <w:name w:val="toc 1"/>
    <w:basedOn w:val="713"/>
    <w:next w:val="713"/>
    <w:uiPriority w:val="39"/>
    <w:qFormat/>
    <w:pPr>
      <w:jc w:val="left"/>
    </w:pPr>
    <w:rPr>
      <w:sz w:val="24"/>
    </w:rPr>
  </w:style>
  <w:style w:type="paragraph" w:styleId="736">
    <w:name w:val="toc 4"/>
    <w:basedOn w:val="713"/>
    <w:next w:val="713"/>
    <w:uiPriority w:val="0"/>
    <w:semiHidden/>
    <w:qFormat/>
    <w:pPr>
      <w:ind w:left="1260"/>
    </w:pPr>
  </w:style>
  <w:style w:type="paragraph" w:styleId="737">
    <w:name w:val="Subtitle"/>
    <w:basedOn w:val="713"/>
    <w:next w:val="713"/>
    <w:link w:val="761"/>
    <w:uiPriority w:val="11"/>
    <w:qFormat/>
    <w:pPr>
      <w:spacing w:before="200" w:after="200"/>
    </w:pPr>
    <w:rPr>
      <w:sz w:val="24"/>
      <w:szCs w:val="24"/>
    </w:rPr>
  </w:style>
  <w:style w:type="paragraph" w:styleId="738">
    <w:name w:val="footnote text"/>
    <w:basedOn w:val="713"/>
    <w:link w:val="894"/>
    <w:uiPriority w:val="99"/>
    <w:semiHidden/>
    <w:unhideWhenUsed/>
    <w:qFormat/>
    <w:pPr>
      <w:spacing w:after="40"/>
    </w:pPr>
    <w:rPr>
      <w:sz w:val="18"/>
    </w:rPr>
  </w:style>
  <w:style w:type="paragraph" w:styleId="739">
    <w:name w:val="toc 6"/>
    <w:basedOn w:val="713"/>
    <w:next w:val="713"/>
    <w:uiPriority w:val="0"/>
    <w:semiHidden/>
    <w:qFormat/>
    <w:pPr>
      <w:ind w:left="2100"/>
    </w:pPr>
  </w:style>
  <w:style w:type="paragraph" w:styleId="740">
    <w:name w:val="table of figures"/>
    <w:basedOn w:val="713"/>
    <w:next w:val="713"/>
    <w:uiPriority w:val="99"/>
    <w:unhideWhenUsed/>
    <w:qFormat/>
  </w:style>
  <w:style w:type="paragraph" w:styleId="741">
    <w:name w:val="toc 2"/>
    <w:basedOn w:val="713"/>
    <w:next w:val="713"/>
    <w:uiPriority w:val="1"/>
    <w:qFormat/>
    <w:pPr>
      <w:ind w:left="420"/>
    </w:pPr>
  </w:style>
  <w:style w:type="paragraph" w:styleId="742">
    <w:name w:val="toc 9"/>
    <w:basedOn w:val="713"/>
    <w:next w:val="713"/>
    <w:uiPriority w:val="0"/>
    <w:semiHidden/>
    <w:qFormat/>
    <w:pPr>
      <w:ind w:left="3360"/>
    </w:pPr>
  </w:style>
  <w:style w:type="paragraph" w:styleId="743">
    <w:name w:val="Title"/>
    <w:basedOn w:val="713"/>
    <w:next w:val="713"/>
    <w:link w:val="760"/>
    <w:uiPriority w:val="10"/>
    <w:qFormat/>
    <w:pPr>
      <w:contextualSpacing/>
      <w:spacing w:before="300" w:after="200"/>
    </w:pPr>
    <w:rPr>
      <w:sz w:val="48"/>
      <w:szCs w:val="48"/>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u w:val="single"/>
    </w:rPr>
  </w:style>
  <w:style w:type="character" w:styleId="747">
    <w:name w:val="footnote reference"/>
    <w:uiPriority w:val="99"/>
    <w:unhideWhenUsed/>
    <w:qFormat/>
    <w:rPr>
      <w:vertAlign w:val="superscript"/>
    </w:rPr>
  </w:style>
  <w:style w:type="paragraph" w:styleId="748" w:customStyle="1">
    <w:name w:val="正文文本1"/>
    <w:basedOn w:val="713"/>
    <w:next w:val="749"/>
    <w:uiPriority w:val="0"/>
    <w:qFormat/>
    <w:pPr>
      <w:spacing w:line="400" w:lineRule="exact"/>
    </w:pPr>
    <w:rPr>
      <w:rFonts w:ascii="楷体_GB2312" w:hAnsi="Calibri"/>
      <w:sz w:val="28"/>
    </w:rPr>
  </w:style>
  <w:style w:type="paragraph" w:styleId="749" w:customStyle="1">
    <w:name w:val="正文缩进11"/>
    <w:basedOn w:val="713"/>
    <w:next w:val="713"/>
    <w:uiPriority w:val="0"/>
    <w:qFormat/>
    <w:pPr>
      <w:ind w:firstLine="420"/>
    </w:pPr>
    <w:rPr>
      <w:rFonts w:ascii="Arial Unicode MS" w:hAnsi="Arial Unicode MS" w:eastAsia="Arial Unicode MS"/>
      <w:color w:val="000000"/>
    </w:rPr>
  </w:style>
  <w:style w:type="character" w:styleId="750" w:customStyle="1">
    <w:name w:val="标题 2 字符1"/>
    <w:link w:val="715"/>
    <w:uiPriority w:val="9"/>
    <w:qFormat/>
    <w:rPr>
      <w:rFonts w:ascii="Arial" w:hAnsi="Arial" w:eastAsia="Arial" w:cs="Arial"/>
      <w:sz w:val="34"/>
    </w:rPr>
  </w:style>
  <w:style w:type="character" w:styleId="751" w:customStyle="1">
    <w:name w:val="标题 3 字符"/>
    <w:link w:val="716"/>
    <w:uiPriority w:val="9"/>
    <w:qFormat/>
    <w:rPr>
      <w:rFonts w:ascii="Arial" w:hAnsi="Arial" w:eastAsia="Arial" w:cs="Arial"/>
      <w:sz w:val="30"/>
      <w:szCs w:val="30"/>
    </w:rPr>
  </w:style>
  <w:style w:type="character" w:styleId="752" w:customStyle="1">
    <w:name w:val="标题 4 字符"/>
    <w:link w:val="717"/>
    <w:uiPriority w:val="9"/>
    <w:qFormat/>
    <w:rPr>
      <w:rFonts w:ascii="Arial" w:hAnsi="Arial" w:eastAsia="Arial" w:cs="Arial"/>
      <w:b/>
      <w:bCs/>
      <w:sz w:val="26"/>
      <w:szCs w:val="26"/>
    </w:rPr>
  </w:style>
  <w:style w:type="character" w:styleId="753" w:customStyle="1">
    <w:name w:val="标题 5 字符"/>
    <w:link w:val="718"/>
    <w:uiPriority w:val="9"/>
    <w:qFormat/>
    <w:rPr>
      <w:rFonts w:ascii="Arial" w:hAnsi="Arial" w:eastAsia="Arial" w:cs="Arial"/>
      <w:b/>
      <w:bCs/>
      <w:sz w:val="24"/>
      <w:szCs w:val="24"/>
    </w:rPr>
  </w:style>
  <w:style w:type="character" w:styleId="754" w:customStyle="1">
    <w:name w:val="标题 6 字符"/>
    <w:link w:val="719"/>
    <w:uiPriority w:val="9"/>
    <w:qFormat/>
    <w:rPr>
      <w:rFonts w:ascii="Arial" w:hAnsi="Arial" w:eastAsia="Arial" w:cs="Arial"/>
      <w:b/>
      <w:bCs/>
      <w:sz w:val="22"/>
      <w:szCs w:val="22"/>
    </w:rPr>
  </w:style>
  <w:style w:type="character" w:styleId="755" w:customStyle="1">
    <w:name w:val="标题 7 字符"/>
    <w:link w:val="720"/>
    <w:uiPriority w:val="9"/>
    <w:qFormat/>
    <w:rPr>
      <w:rFonts w:ascii="Arial" w:hAnsi="Arial" w:eastAsia="Arial" w:cs="Arial"/>
      <w:b/>
      <w:bCs/>
      <w:i/>
      <w:iCs/>
      <w:sz w:val="22"/>
      <w:szCs w:val="22"/>
    </w:rPr>
  </w:style>
  <w:style w:type="character" w:styleId="756" w:customStyle="1">
    <w:name w:val="标题 8 字符"/>
    <w:link w:val="721"/>
    <w:uiPriority w:val="9"/>
    <w:qFormat/>
    <w:rPr>
      <w:rFonts w:ascii="Arial" w:hAnsi="Arial" w:eastAsia="Arial" w:cs="Arial"/>
      <w:i/>
      <w:iCs/>
      <w:sz w:val="22"/>
      <w:szCs w:val="22"/>
    </w:rPr>
  </w:style>
  <w:style w:type="character" w:styleId="757" w:customStyle="1">
    <w:name w:val="标题 9 字符"/>
    <w:link w:val="722"/>
    <w:uiPriority w:val="9"/>
    <w:qFormat/>
    <w:rPr>
      <w:rFonts w:ascii="Arial" w:hAnsi="Arial" w:eastAsia="Arial" w:cs="Arial"/>
      <w:i/>
      <w:iCs/>
      <w:sz w:val="21"/>
      <w:szCs w:val="21"/>
    </w:rPr>
  </w:style>
  <w:style w:type="paragraph" w:styleId="758">
    <w:name w:val="List Paragraph"/>
    <w:basedOn w:val="713"/>
    <w:uiPriority w:val="34"/>
    <w:qFormat/>
    <w:pPr>
      <w:contextualSpacing/>
      <w:ind w:left="720"/>
    </w:pPr>
  </w:style>
  <w:style w:type="paragraph" w:styleId="759">
    <w:name w:val="No Spacing"/>
    <w:uiPriority w:val="1"/>
    <w:qFormat/>
    <w:rPr>
      <w:rFonts w:ascii="Times New Roman" w:hAnsi="Times New Roman" w:eastAsia="宋体" w:cs="Times New Roman"/>
      <w:lang w:val="en-US" w:eastAsia="zh-CN" w:bidi="ar-SA"/>
    </w:rPr>
  </w:style>
  <w:style w:type="character" w:styleId="760" w:customStyle="1">
    <w:name w:val="标题 字符1"/>
    <w:link w:val="743"/>
    <w:uiPriority w:val="10"/>
    <w:qFormat/>
    <w:rPr>
      <w:sz w:val="48"/>
      <w:szCs w:val="48"/>
    </w:rPr>
  </w:style>
  <w:style w:type="character" w:styleId="761" w:customStyle="1">
    <w:name w:val="副标题 字符"/>
    <w:link w:val="737"/>
    <w:uiPriority w:val="11"/>
    <w:qFormat/>
    <w:rPr>
      <w:sz w:val="24"/>
      <w:szCs w:val="24"/>
    </w:rPr>
  </w:style>
  <w:style w:type="paragraph" w:styleId="762">
    <w:name w:val="Quote"/>
    <w:basedOn w:val="713"/>
    <w:next w:val="713"/>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713"/>
    <w:next w:val="713"/>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页眉 字符1"/>
    <w:link w:val="734"/>
    <w:uiPriority w:val="99"/>
    <w:qFormat/>
  </w:style>
  <w:style w:type="character" w:styleId="767" w:customStyle="1">
    <w:name w:val="Footer Char"/>
    <w:uiPriority w:val="99"/>
    <w:qFormat/>
  </w:style>
  <w:style w:type="character" w:styleId="768" w:customStyle="1">
    <w:name w:val="页脚 字符1"/>
    <w:link w:val="733"/>
    <w:uiPriority w:val="99"/>
    <w:qFormat/>
  </w:style>
  <w:style w:type="table" w:styleId="76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2" w:customStyle="1">
    <w:name w:val="无格式表格 31"/>
    <w:uiPriority w:val="99"/>
    <w:qFormat/>
    <w:tblPr>
      <w:tblCellMar>
        <w:left w:w="0" w:type="dxa"/>
        <w:top w:w="0" w:type="dxa"/>
        <w:right w:w="0" w:type="dxa"/>
        <w:bottom w:w="0" w:type="dxa"/>
      </w:tblCellMar>
    </w:tblPr>
  </w:style>
  <w:style w:type="table" w:styleId="773" w:customStyle="1">
    <w:name w:val="无格式表格 41"/>
    <w:uiPriority w:val="99"/>
    <w:qFormat/>
    <w:tblPr>
      <w:tblCellMar>
        <w:left w:w="0" w:type="dxa"/>
        <w:top w:w="0" w:type="dxa"/>
        <w:right w:w="0" w:type="dxa"/>
        <w:bottom w:w="0" w:type="dxa"/>
      </w:tblCellMar>
    </w:tblPr>
  </w:style>
  <w:style w:type="table" w:styleId="774" w:customStyle="1">
    <w:name w:val="无格式表格 51"/>
    <w:uiPriority w:val="99"/>
    <w:qFormat/>
    <w:tblPr>
      <w:tblCellMar>
        <w:left w:w="0" w:type="dxa"/>
        <w:top w:w="0" w:type="dxa"/>
        <w:right w:w="0" w:type="dxa"/>
        <w:bottom w:w="0" w:type="dxa"/>
      </w:tblCellMar>
    </w:tblPr>
  </w:style>
  <w:style w:type="table" w:styleId="77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7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4" w:customStyle="1">
    <w:name w:val="清单表 1 浅色1"/>
    <w:uiPriority w:val="99"/>
    <w:qFormat/>
    <w:tblPr>
      <w:tblCellMar>
        <w:left w:w="0" w:type="dxa"/>
        <w:top w:w="0" w:type="dxa"/>
        <w:right w:w="0" w:type="dxa"/>
        <w:bottom w:w="0" w:type="dxa"/>
      </w:tblCellMar>
    </w:tblPr>
  </w:style>
  <w:style w:type="table" w:styleId="825" w:customStyle="1">
    <w:name w:val="List Table 1 Light - Accent 1"/>
    <w:uiPriority w:val="99"/>
    <w:qFormat/>
    <w:tblPr>
      <w:tblCellMar>
        <w:left w:w="0" w:type="dxa"/>
        <w:top w:w="0" w:type="dxa"/>
        <w:right w:w="0" w:type="dxa"/>
        <w:bottom w:w="0" w:type="dxa"/>
      </w:tblCellMar>
    </w:tblPr>
  </w:style>
  <w:style w:type="table" w:styleId="826" w:customStyle="1">
    <w:name w:val="List Table 1 Light - Accent 2"/>
    <w:uiPriority w:val="99"/>
    <w:qFormat/>
    <w:tblPr>
      <w:tblCellMar>
        <w:left w:w="0" w:type="dxa"/>
        <w:top w:w="0" w:type="dxa"/>
        <w:right w:w="0" w:type="dxa"/>
        <w:bottom w:w="0" w:type="dxa"/>
      </w:tblCellMar>
    </w:tblPr>
  </w:style>
  <w:style w:type="table" w:styleId="827" w:customStyle="1">
    <w:name w:val="List Table 1 Light - Accent 3"/>
    <w:uiPriority w:val="99"/>
    <w:qFormat/>
    <w:tblPr>
      <w:tblCellMar>
        <w:left w:w="0" w:type="dxa"/>
        <w:top w:w="0" w:type="dxa"/>
        <w:right w:w="0" w:type="dxa"/>
        <w:bottom w:w="0" w:type="dxa"/>
      </w:tblCellMar>
    </w:tblPr>
  </w:style>
  <w:style w:type="table" w:styleId="828" w:customStyle="1">
    <w:name w:val="List Table 1 Light - Accent 4"/>
    <w:uiPriority w:val="99"/>
    <w:qFormat/>
    <w:tblPr>
      <w:tblCellMar>
        <w:left w:w="0" w:type="dxa"/>
        <w:top w:w="0" w:type="dxa"/>
        <w:right w:w="0" w:type="dxa"/>
        <w:bottom w:w="0" w:type="dxa"/>
      </w:tblCellMar>
    </w:tblPr>
  </w:style>
  <w:style w:type="table" w:styleId="829" w:customStyle="1">
    <w:name w:val="List Table 1 Light - Accent 5"/>
    <w:uiPriority w:val="99"/>
    <w:qFormat/>
    <w:tblPr>
      <w:tblCellMar>
        <w:left w:w="0" w:type="dxa"/>
        <w:top w:w="0" w:type="dxa"/>
        <w:right w:w="0" w:type="dxa"/>
        <w:bottom w:w="0" w:type="dxa"/>
      </w:tblCellMar>
    </w:tblPr>
  </w:style>
  <w:style w:type="table" w:styleId="830" w:customStyle="1">
    <w:name w:val="List Table 1 Light - Accent 6"/>
    <w:uiPriority w:val="99"/>
    <w:qFormat/>
    <w:tblPr>
      <w:tblCellMar>
        <w:left w:w="0" w:type="dxa"/>
        <w:top w:w="0" w:type="dxa"/>
        <w:right w:w="0" w:type="dxa"/>
        <w:bottom w:w="0" w:type="dxa"/>
      </w:tblCellMar>
    </w:tblPr>
  </w:style>
  <w:style w:type="table" w:styleId="83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6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3" w:customStyle="1">
    <w:name w:val="Lined - Accent"/>
    <w:uiPriority w:val="99"/>
    <w:qFormat/>
    <w:rPr>
      <w:color w:val="404040"/>
    </w:rPr>
    <w:tblPr>
      <w:tblCellMar>
        <w:left w:w="0" w:type="dxa"/>
        <w:top w:w="0" w:type="dxa"/>
        <w:right w:w="0" w:type="dxa"/>
        <w:bottom w:w="0" w:type="dxa"/>
      </w:tblCellMar>
    </w:tblPr>
  </w:style>
  <w:style w:type="table" w:styleId="874" w:customStyle="1">
    <w:name w:val="Lined - Accent 1"/>
    <w:uiPriority w:val="99"/>
    <w:qFormat/>
    <w:rPr>
      <w:color w:val="404040"/>
    </w:rPr>
    <w:tblPr>
      <w:tblCellMar>
        <w:left w:w="0" w:type="dxa"/>
        <w:top w:w="0" w:type="dxa"/>
        <w:right w:w="0" w:type="dxa"/>
        <w:bottom w:w="0" w:type="dxa"/>
      </w:tblCellMar>
    </w:tblPr>
  </w:style>
  <w:style w:type="table" w:styleId="875" w:customStyle="1">
    <w:name w:val="Lined - Accent 2"/>
    <w:uiPriority w:val="99"/>
    <w:qFormat/>
    <w:rPr>
      <w:color w:val="404040"/>
    </w:rPr>
    <w:tblPr>
      <w:tblCellMar>
        <w:left w:w="0" w:type="dxa"/>
        <w:top w:w="0" w:type="dxa"/>
        <w:right w:w="0" w:type="dxa"/>
        <w:bottom w:w="0" w:type="dxa"/>
      </w:tblCellMar>
    </w:tblPr>
  </w:style>
  <w:style w:type="table" w:styleId="876" w:customStyle="1">
    <w:name w:val="Lined - Accent 3"/>
    <w:uiPriority w:val="99"/>
    <w:qFormat/>
    <w:rPr>
      <w:color w:val="404040"/>
    </w:rPr>
    <w:tblPr>
      <w:tblCellMar>
        <w:left w:w="0" w:type="dxa"/>
        <w:top w:w="0" w:type="dxa"/>
        <w:right w:w="0" w:type="dxa"/>
        <w:bottom w:w="0" w:type="dxa"/>
      </w:tblCellMar>
    </w:tblPr>
  </w:style>
  <w:style w:type="table" w:styleId="877" w:customStyle="1">
    <w:name w:val="Lined - Accent 4"/>
    <w:uiPriority w:val="99"/>
    <w:qFormat/>
    <w:rPr>
      <w:color w:val="404040"/>
    </w:rPr>
    <w:tblPr>
      <w:tblCellMar>
        <w:left w:w="0" w:type="dxa"/>
        <w:top w:w="0" w:type="dxa"/>
        <w:right w:w="0" w:type="dxa"/>
        <w:bottom w:w="0" w:type="dxa"/>
      </w:tblCellMar>
    </w:tblPr>
  </w:style>
  <w:style w:type="table" w:styleId="878" w:customStyle="1">
    <w:name w:val="Lined - Accent 5"/>
    <w:uiPriority w:val="99"/>
    <w:qFormat/>
    <w:rPr>
      <w:color w:val="404040"/>
    </w:rPr>
    <w:tblPr>
      <w:tblCellMar>
        <w:left w:w="0" w:type="dxa"/>
        <w:top w:w="0" w:type="dxa"/>
        <w:right w:w="0" w:type="dxa"/>
        <w:bottom w:w="0" w:type="dxa"/>
      </w:tblCellMar>
    </w:tblPr>
  </w:style>
  <w:style w:type="table" w:styleId="879" w:customStyle="1">
    <w:name w:val="Lined - Accent 6"/>
    <w:uiPriority w:val="99"/>
    <w:qFormat/>
    <w:rPr>
      <w:color w:val="404040"/>
    </w:rPr>
    <w:tblPr>
      <w:tblCellMar>
        <w:left w:w="0" w:type="dxa"/>
        <w:top w:w="0" w:type="dxa"/>
        <w:right w:w="0" w:type="dxa"/>
        <w:bottom w:w="0" w:type="dxa"/>
      </w:tblCellMar>
    </w:tblPr>
  </w:style>
  <w:style w:type="table" w:styleId="88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8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4" w:customStyle="1">
    <w:name w:val="脚注文本 字符"/>
    <w:link w:val="738"/>
    <w:uiPriority w:val="99"/>
    <w:qFormat/>
    <w:rPr>
      <w:sz w:val="18"/>
    </w:rPr>
  </w:style>
  <w:style w:type="character" w:styleId="895" w:customStyle="1">
    <w:name w:val="尾注文本 字符"/>
    <w:link w:val="732"/>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
    <w:basedOn w:val="713"/>
    <w:next w:val="713"/>
    <w:uiPriority w:val="1"/>
    <w:qFormat/>
    <w:pPr>
      <w:keepLines/>
      <w:keepNext/>
      <w:spacing w:before="340" w:after="330" w:line="578" w:lineRule="auto"/>
      <w:outlineLvl w:val="0"/>
    </w:pPr>
    <w:rPr>
      <w:b/>
      <w:sz w:val="44"/>
    </w:rPr>
  </w:style>
  <w:style w:type="paragraph" w:styleId="898" w:customStyle="1">
    <w:name w:val="标题 21"/>
    <w:basedOn w:val="713"/>
    <w:next w:val="713"/>
    <w:link w:val="910"/>
    <w:uiPriority w:val="0"/>
    <w:qFormat/>
    <w:pPr>
      <w:jc w:val="left"/>
      <w:keepLines/>
      <w:keepNext/>
      <w:outlineLvl w:val="1"/>
    </w:pPr>
    <w:rPr>
      <w:rFonts w:ascii="宋体" w:hAnsi="宋体"/>
      <w:b/>
    </w:rPr>
  </w:style>
  <w:style w:type="paragraph" w:styleId="899" w:customStyle="1">
    <w:name w:val="标题 31"/>
    <w:basedOn w:val="713"/>
    <w:next w:val="713"/>
    <w:uiPriority w:val="1"/>
    <w:qFormat/>
    <w:pPr>
      <w:jc w:val="left"/>
      <w:keepLines/>
      <w:keepNext/>
      <w:outlineLvl w:val="2"/>
    </w:pPr>
    <w:rPr>
      <w:b/>
    </w:rPr>
  </w:style>
  <w:style w:type="paragraph" w:styleId="900" w:customStyle="1">
    <w:name w:val="标题 41"/>
    <w:basedOn w:val="713"/>
    <w:next w:val="713"/>
    <w:uiPriority w:val="1"/>
    <w:qFormat/>
    <w:pPr>
      <w:keepLines/>
      <w:keepNext/>
      <w:spacing w:before="280" w:after="290" w:line="376" w:lineRule="auto"/>
      <w:outlineLvl w:val="3"/>
    </w:pPr>
    <w:rPr>
      <w:rFonts w:ascii="Arial" w:hAnsi="Arial" w:eastAsia="黑体"/>
      <w:b/>
      <w:bCs/>
      <w:sz w:val="28"/>
      <w:szCs w:val="28"/>
    </w:rPr>
  </w:style>
  <w:style w:type="paragraph" w:styleId="901" w:customStyle="1">
    <w:name w:val="标题 51"/>
    <w:basedOn w:val="713"/>
    <w:next w:val="713"/>
    <w:uiPriority w:val="0"/>
    <w:qFormat/>
    <w:pPr>
      <w:jc w:val="left"/>
      <w:keepLines/>
      <w:keepNext/>
      <w:spacing w:before="280" w:after="290" w:line="376" w:lineRule="atLeast"/>
      <w:outlineLvl w:val="4"/>
    </w:pPr>
    <w:rPr>
      <w:rFonts w:ascii="宋体" w:hAnsi="Tms Rmn" w:eastAsia="宋体"/>
      <w:b/>
      <w:sz w:val="28"/>
    </w:rPr>
  </w:style>
  <w:style w:type="paragraph" w:styleId="902" w:customStyle="1">
    <w:name w:val="标题 61"/>
    <w:basedOn w:val="713"/>
    <w:next w:val="713"/>
    <w:uiPriority w:val="0"/>
    <w:qFormat/>
    <w:pPr>
      <w:jc w:val="left"/>
      <w:keepLines/>
      <w:keepNext/>
      <w:spacing w:before="240" w:after="64" w:line="320" w:lineRule="atLeast"/>
      <w:outlineLvl w:val="5"/>
    </w:pPr>
    <w:rPr>
      <w:rFonts w:ascii="黑体" w:hAnsi="Tms Rmn" w:eastAsia="黑体"/>
      <w:b/>
      <w:sz w:val="24"/>
    </w:rPr>
  </w:style>
  <w:style w:type="paragraph" w:styleId="903" w:customStyle="1">
    <w:name w:val="标题 71"/>
    <w:basedOn w:val="713"/>
    <w:next w:val="713"/>
    <w:uiPriority w:val="0"/>
    <w:qFormat/>
    <w:pPr>
      <w:jc w:val="left"/>
      <w:keepLines/>
      <w:keepNext/>
      <w:spacing w:before="240" w:after="64" w:line="320" w:lineRule="atLeast"/>
      <w:outlineLvl w:val="6"/>
    </w:pPr>
    <w:rPr>
      <w:rFonts w:ascii="宋体" w:hAnsi="Tms Rmn" w:eastAsia="宋体"/>
      <w:b/>
      <w:sz w:val="24"/>
    </w:rPr>
  </w:style>
  <w:style w:type="paragraph" w:styleId="904" w:customStyle="1">
    <w:name w:val="标题 81"/>
    <w:basedOn w:val="713"/>
    <w:next w:val="713"/>
    <w:uiPriority w:val="0"/>
    <w:qFormat/>
    <w:pPr>
      <w:keepLines/>
      <w:keepNext/>
      <w:spacing w:before="240" w:after="64" w:line="320" w:lineRule="auto"/>
      <w:outlineLvl w:val="7"/>
    </w:pPr>
    <w:rPr>
      <w:rFonts w:ascii="Arial" w:hAnsi="Arial" w:eastAsia="黑体"/>
      <w:sz w:val="24"/>
      <w:szCs w:val="24"/>
    </w:rPr>
  </w:style>
  <w:style w:type="paragraph" w:styleId="905" w:customStyle="1">
    <w:name w:val="标题 91"/>
    <w:basedOn w:val="713"/>
    <w:next w:val="713"/>
    <w:uiPriority w:val="0"/>
    <w:qFormat/>
    <w:pPr>
      <w:keepLines/>
      <w:keepNext/>
      <w:spacing w:before="240" w:after="64" w:line="320" w:lineRule="auto"/>
      <w:outlineLvl w:val="8"/>
    </w:pPr>
    <w:rPr>
      <w:rFonts w:ascii="Arial" w:hAnsi="Arial" w:eastAsia="黑体"/>
      <w:sz w:val="21"/>
      <w:szCs w:val="21"/>
    </w:rPr>
  </w:style>
  <w:style w:type="character" w:styleId="906" w:customStyle="1">
    <w:name w:val="默认段落字体1"/>
    <w:uiPriority w:val="1"/>
    <w:unhideWhenUsed/>
    <w:qFormat/>
  </w:style>
  <w:style w:type="table" w:styleId="907" w:customStyle="1">
    <w:name w:val="普通表格1"/>
    <w:uiPriority w:val="99"/>
    <w:unhideWhenUsed/>
    <w:qFormat/>
    <w:tblPr>
      <w:tblCellMar>
        <w:left w:w="0" w:type="dxa"/>
        <w:top w:w="0" w:type="dxa"/>
        <w:right w:w="0" w:type="dxa"/>
        <w:bottom w:w="0" w:type="dxa"/>
      </w:tblCellMar>
    </w:tblPr>
  </w:style>
  <w:style w:type="paragraph" w:styleId="908" w:customStyle="1">
    <w:name w:val="正文文本11"/>
    <w:basedOn w:val="713"/>
    <w:link w:val="909"/>
    <w:uiPriority w:val="0"/>
    <w:qFormat/>
    <w:pPr>
      <w:spacing w:line="400" w:lineRule="exact"/>
    </w:pPr>
    <w:rPr>
      <w:rFonts w:ascii="楷体_GB2312"/>
      <w:sz w:val="28"/>
    </w:rPr>
  </w:style>
  <w:style w:type="character" w:styleId="909" w:customStyle="1">
    <w:name w:val="正文文本 字符"/>
    <w:link w:val="908"/>
    <w:uiPriority w:val="0"/>
    <w:qFormat/>
    <w:rPr>
      <w:rFonts w:ascii="楷体_GB2312" w:eastAsia="楷体_GB2312"/>
      <w:sz w:val="28"/>
      <w:lang w:val="en-US" w:eastAsia="zh-CN" w:bidi="ar-SA"/>
    </w:rPr>
  </w:style>
  <w:style w:type="character" w:styleId="910" w:customStyle="1">
    <w:name w:val="标题 2 字符"/>
    <w:link w:val="898"/>
    <w:uiPriority w:val="0"/>
    <w:qFormat/>
    <w:rPr>
      <w:rFonts w:ascii="宋体" w:hAnsi="宋体" w:eastAsia="楷体_GB2312"/>
      <w:b/>
      <w:sz w:val="26"/>
    </w:rPr>
  </w:style>
  <w:style w:type="paragraph" w:styleId="911" w:customStyle="1">
    <w:name w:val="索引 81"/>
    <w:basedOn w:val="713"/>
    <w:next w:val="713"/>
    <w:uiPriority w:val="0"/>
    <w:semiHidden/>
    <w:qFormat/>
    <w:pPr>
      <w:ind w:left="2940"/>
    </w:pPr>
  </w:style>
  <w:style w:type="paragraph" w:styleId="912" w:customStyle="1">
    <w:name w:val="列表编号1"/>
    <w:basedOn w:val="713"/>
    <w:uiPriority w:val="0"/>
    <w:qFormat/>
    <w:pPr>
      <w:ind w:left="1125" w:hanging="555"/>
      <w:tabs>
        <w:tab w:val="left" w:pos="1125" w:leader="none"/>
      </w:tabs>
    </w:pPr>
    <w:rPr>
      <w:rFonts w:eastAsia="宋体"/>
      <w:sz w:val="21"/>
      <w:szCs w:val="24"/>
    </w:rPr>
  </w:style>
  <w:style w:type="paragraph" w:styleId="913" w:customStyle="1">
    <w:name w:val="正文缩进1"/>
    <w:basedOn w:val="713"/>
    <w:link w:val="914"/>
    <w:uiPriority w:val="0"/>
    <w:qFormat/>
    <w:pPr>
      <w:ind w:firstLine="420"/>
      <w:jc w:val="left"/>
    </w:pPr>
    <w:rPr>
      <w:sz w:val="24"/>
    </w:rPr>
  </w:style>
  <w:style w:type="character" w:styleId="914" w:customStyle="1">
    <w:name w:val="正文缩进 字符"/>
    <w:link w:val="913"/>
    <w:uiPriority w:val="0"/>
    <w:qFormat/>
    <w:rPr>
      <w:rFonts w:eastAsia="楷体_GB2312"/>
      <w:sz w:val="24"/>
      <w:lang w:val="en-US" w:eastAsia="zh-CN" w:bidi="ar-SA"/>
    </w:rPr>
  </w:style>
  <w:style w:type="paragraph" w:styleId="915" w:customStyle="1">
    <w:name w:val="索引 51"/>
    <w:basedOn w:val="713"/>
    <w:next w:val="713"/>
    <w:uiPriority w:val="0"/>
    <w:semiHidden/>
    <w:qFormat/>
    <w:pPr>
      <w:ind w:left="1680"/>
    </w:pPr>
  </w:style>
  <w:style w:type="paragraph" w:styleId="916" w:customStyle="1">
    <w:name w:val="文档结构图1"/>
    <w:basedOn w:val="713"/>
    <w:uiPriority w:val="0"/>
    <w:semiHidden/>
    <w:qFormat/>
    <w:pPr>
      <w:shd w:val="clear" w:color="auto" w:fill="000080"/>
    </w:pPr>
    <w:rPr>
      <w:rFonts w:eastAsia="宋体"/>
      <w:sz w:val="21"/>
    </w:rPr>
  </w:style>
  <w:style w:type="paragraph" w:styleId="917" w:customStyle="1">
    <w:name w:val="批注文字1"/>
    <w:basedOn w:val="713"/>
    <w:link w:val="918"/>
    <w:uiPriority w:val="99"/>
    <w:semiHidden/>
    <w:qFormat/>
    <w:pPr>
      <w:jc w:val="left"/>
    </w:pPr>
  </w:style>
  <w:style w:type="character" w:styleId="918" w:customStyle="1">
    <w:name w:val="批注文字 字符"/>
    <w:link w:val="917"/>
    <w:uiPriority w:val="99"/>
    <w:semiHidden/>
    <w:qFormat/>
    <w:rPr>
      <w:rFonts w:eastAsia="楷体_GB2312"/>
      <w:sz w:val="26"/>
    </w:rPr>
  </w:style>
  <w:style w:type="paragraph" w:styleId="919" w:customStyle="1">
    <w:name w:val="索引 61"/>
    <w:basedOn w:val="713"/>
    <w:next w:val="713"/>
    <w:uiPriority w:val="0"/>
    <w:semiHidden/>
    <w:qFormat/>
    <w:pPr>
      <w:ind w:left="2100"/>
    </w:pPr>
  </w:style>
  <w:style w:type="paragraph" w:styleId="920" w:customStyle="1">
    <w:name w:val="正文文本缩进1"/>
    <w:basedOn w:val="713"/>
    <w:uiPriority w:val="0"/>
    <w:qFormat/>
    <w:pPr>
      <w:ind w:left="570"/>
      <w:spacing w:line="520" w:lineRule="exact"/>
    </w:pPr>
    <w:rPr>
      <w:rFonts w:ascii="方正仿宋简体" w:hAnsi="创艺简仿宋" w:eastAsia="方正仿宋简体"/>
      <w:sz w:val="24"/>
    </w:rPr>
  </w:style>
  <w:style w:type="paragraph" w:styleId="921" w:customStyle="1">
    <w:name w:val="列表 21"/>
    <w:basedOn w:val="713"/>
    <w:uiPriority w:val="0"/>
    <w:qFormat/>
    <w:pPr>
      <w:ind w:left="840" w:hanging="420"/>
    </w:pPr>
    <w:rPr>
      <w:rFonts w:eastAsia="宋体"/>
      <w:sz w:val="21"/>
      <w:szCs w:val="24"/>
    </w:rPr>
  </w:style>
  <w:style w:type="paragraph" w:styleId="922" w:customStyle="1">
    <w:name w:val="文本块1"/>
    <w:basedOn w:val="713"/>
    <w:uiPriority w:val="0"/>
    <w:qFormat/>
    <w:pPr>
      <w:ind w:left="630" w:right="-609" w:firstLine="420"/>
      <w:spacing w:line="360" w:lineRule="auto"/>
    </w:pPr>
    <w:rPr>
      <w:rFonts w:hint="eastAsia" w:ascii="仿宋_GB2312" w:eastAsia="仿宋_GB2312"/>
      <w:sz w:val="21"/>
    </w:rPr>
  </w:style>
  <w:style w:type="paragraph" w:styleId="923" w:customStyle="1">
    <w:name w:val="索引 41"/>
    <w:basedOn w:val="713"/>
    <w:next w:val="713"/>
    <w:uiPriority w:val="0"/>
    <w:semiHidden/>
    <w:qFormat/>
    <w:pPr>
      <w:ind w:left="1260"/>
    </w:pPr>
  </w:style>
  <w:style w:type="paragraph" w:styleId="924" w:customStyle="1">
    <w:name w:val="纯文本11"/>
    <w:basedOn w:val="713"/>
    <w:link w:val="925"/>
    <w:uiPriority w:val="0"/>
    <w:qFormat/>
    <w:rPr>
      <w:rFonts w:ascii="宋体" w:hAnsi="Courier New"/>
    </w:rPr>
  </w:style>
  <w:style w:type="character" w:styleId="925" w:customStyle="1">
    <w:name w:val="纯文本 字符"/>
    <w:link w:val="924"/>
    <w:uiPriority w:val="0"/>
    <w:qFormat/>
    <w:rPr>
      <w:rFonts w:ascii="宋体" w:hAnsi="Courier New" w:eastAsia="楷体_GB2312"/>
      <w:sz w:val="26"/>
      <w:lang w:val="en-US" w:eastAsia="zh-CN" w:bidi="ar-SA"/>
    </w:rPr>
  </w:style>
  <w:style w:type="paragraph" w:styleId="926" w:customStyle="1">
    <w:name w:val="索引 31"/>
    <w:basedOn w:val="713"/>
    <w:next w:val="713"/>
    <w:uiPriority w:val="0"/>
    <w:semiHidden/>
    <w:qFormat/>
    <w:pPr>
      <w:ind w:left="840"/>
    </w:pPr>
  </w:style>
  <w:style w:type="paragraph" w:styleId="927" w:customStyle="1">
    <w:name w:val="日期1"/>
    <w:basedOn w:val="713"/>
    <w:next w:val="713"/>
    <w:link w:val="928"/>
    <w:uiPriority w:val="0"/>
    <w:qFormat/>
    <w:rPr>
      <w:rFonts w:ascii="宋体" w:hAnsi="宋体"/>
      <w:sz w:val="24"/>
    </w:rPr>
  </w:style>
  <w:style w:type="character" w:styleId="928" w:customStyle="1">
    <w:name w:val="日期 字符"/>
    <w:link w:val="927"/>
    <w:uiPriority w:val="0"/>
    <w:qFormat/>
    <w:rPr>
      <w:rFonts w:ascii="宋体" w:hAnsi="宋体" w:eastAsia="楷体_GB2312"/>
      <w:sz w:val="24"/>
    </w:rPr>
  </w:style>
  <w:style w:type="paragraph" w:styleId="929" w:customStyle="1">
    <w:name w:val="正文文本缩进 21"/>
    <w:basedOn w:val="713"/>
    <w:link w:val="930"/>
    <w:uiPriority w:val="0"/>
    <w:qFormat/>
    <w:pPr>
      <w:ind w:firstLine="502"/>
      <w:spacing w:line="360" w:lineRule="auto"/>
      <w:tabs>
        <w:tab w:val="left" w:pos="0" w:leader="none"/>
      </w:tabs>
    </w:pPr>
    <w:rPr>
      <w:rFonts w:ascii="宋体" w:eastAsia="宋体"/>
      <w:b/>
      <w:bCs/>
      <w:sz w:val="24"/>
    </w:rPr>
  </w:style>
  <w:style w:type="character" w:styleId="930" w:customStyle="1">
    <w:name w:val="正文文本缩进 2 字符"/>
    <w:link w:val="929"/>
    <w:uiPriority w:val="0"/>
    <w:qFormat/>
    <w:rPr>
      <w:rFonts w:ascii="宋体"/>
      <w:b/>
      <w:bCs/>
      <w:sz w:val="24"/>
    </w:rPr>
  </w:style>
  <w:style w:type="paragraph" w:styleId="931" w:customStyle="1">
    <w:name w:val="批注框文本1"/>
    <w:basedOn w:val="713"/>
    <w:link w:val="932"/>
    <w:uiPriority w:val="99"/>
    <w:semiHidden/>
    <w:qFormat/>
    <w:rPr>
      <w:sz w:val="18"/>
      <w:szCs w:val="18"/>
    </w:rPr>
  </w:style>
  <w:style w:type="character" w:styleId="932" w:customStyle="1">
    <w:name w:val="批注框文本 字符"/>
    <w:link w:val="931"/>
    <w:uiPriority w:val="99"/>
    <w:semiHidden/>
    <w:qFormat/>
    <w:rPr>
      <w:rFonts w:eastAsia="楷体_GB2312"/>
      <w:sz w:val="18"/>
      <w:szCs w:val="18"/>
    </w:rPr>
  </w:style>
  <w:style w:type="paragraph" w:styleId="933" w:customStyle="1">
    <w:name w:val="页脚1"/>
    <w:basedOn w:val="713"/>
    <w:link w:val="934"/>
    <w:uiPriority w:val="99"/>
    <w:qFormat/>
    <w:pPr>
      <w:jc w:val="left"/>
      <w:tabs>
        <w:tab w:val="center" w:pos="4153" w:leader="none"/>
        <w:tab w:val="right" w:pos="8306" w:leader="none"/>
      </w:tabs>
    </w:pPr>
    <w:rPr>
      <w:sz w:val="18"/>
    </w:rPr>
  </w:style>
  <w:style w:type="character" w:styleId="934" w:customStyle="1">
    <w:name w:val="页脚 字符"/>
    <w:link w:val="933"/>
    <w:uiPriority w:val="99"/>
    <w:qFormat/>
    <w:rPr>
      <w:rFonts w:eastAsia="楷体_GB2312"/>
      <w:sz w:val="18"/>
    </w:rPr>
  </w:style>
  <w:style w:type="paragraph" w:styleId="935" w:customStyle="1">
    <w:name w:val="页眉1"/>
    <w:basedOn w:val="713"/>
    <w:link w:val="936"/>
    <w:uiPriority w:val="99"/>
    <w:qFormat/>
    <w:pPr>
      <w:jc w:val="center"/>
      <w:tabs>
        <w:tab w:val="center" w:pos="4153" w:leader="none"/>
        <w:tab w:val="right" w:pos="8306" w:leader="none"/>
      </w:tabs>
      <w:pBdr>
        <w:bottom w:val="single" w:color="000000" w:sz="6" w:space="1"/>
      </w:pBdr>
    </w:pPr>
    <w:rPr>
      <w:sz w:val="18"/>
    </w:rPr>
  </w:style>
  <w:style w:type="character" w:styleId="936" w:customStyle="1">
    <w:name w:val="页眉 字符"/>
    <w:link w:val="935"/>
    <w:uiPriority w:val="99"/>
    <w:qFormat/>
    <w:rPr>
      <w:rFonts w:eastAsia="楷体_GB2312"/>
      <w:sz w:val="18"/>
    </w:rPr>
  </w:style>
  <w:style w:type="paragraph" w:styleId="937" w:customStyle="1">
    <w:name w:val="索引标题1"/>
    <w:basedOn w:val="713"/>
    <w:next w:val="938"/>
    <w:uiPriority w:val="0"/>
    <w:semiHidden/>
    <w:qFormat/>
  </w:style>
  <w:style w:type="paragraph" w:styleId="938" w:customStyle="1">
    <w:name w:val="索引 11"/>
    <w:basedOn w:val="713"/>
    <w:next w:val="713"/>
    <w:uiPriority w:val="0"/>
    <w:semiHidden/>
    <w:qFormat/>
  </w:style>
  <w:style w:type="paragraph" w:styleId="939" w:customStyle="1">
    <w:name w:val="列表1"/>
    <w:basedOn w:val="713"/>
    <w:uiPriority w:val="0"/>
    <w:qFormat/>
    <w:pPr>
      <w:ind w:left="420" w:hanging="420"/>
    </w:pPr>
    <w:rPr>
      <w:rFonts w:eastAsia="宋体"/>
      <w:sz w:val="21"/>
      <w:szCs w:val="24"/>
    </w:rPr>
  </w:style>
  <w:style w:type="paragraph" w:styleId="940" w:customStyle="1">
    <w:name w:val="脚注文本1"/>
    <w:basedOn w:val="713"/>
    <w:uiPriority w:val="0"/>
    <w:semiHidden/>
    <w:qFormat/>
    <w:pPr>
      <w:jc w:val="left"/>
    </w:pPr>
    <w:rPr>
      <w:sz w:val="18"/>
    </w:rPr>
  </w:style>
  <w:style w:type="paragraph" w:styleId="941" w:customStyle="1">
    <w:name w:val="正文文本缩进 31"/>
    <w:basedOn w:val="713"/>
    <w:uiPriority w:val="0"/>
    <w:qFormat/>
    <w:pPr>
      <w:ind w:firstLine="617"/>
      <w:spacing w:line="360" w:lineRule="auto"/>
    </w:pPr>
    <w:rPr>
      <w:rFonts w:eastAsia="宋体"/>
      <w:sz w:val="24"/>
      <w:szCs w:val="24"/>
    </w:rPr>
  </w:style>
  <w:style w:type="paragraph" w:styleId="942" w:customStyle="1">
    <w:name w:val="索引 71"/>
    <w:basedOn w:val="713"/>
    <w:next w:val="713"/>
    <w:uiPriority w:val="0"/>
    <w:semiHidden/>
    <w:qFormat/>
    <w:pPr>
      <w:ind w:left="2520"/>
    </w:pPr>
  </w:style>
  <w:style w:type="paragraph" w:styleId="943" w:customStyle="1">
    <w:name w:val="索引 91"/>
    <w:basedOn w:val="713"/>
    <w:next w:val="713"/>
    <w:uiPriority w:val="0"/>
    <w:semiHidden/>
    <w:qFormat/>
    <w:pPr>
      <w:ind w:left="3360"/>
    </w:pPr>
  </w:style>
  <w:style w:type="paragraph" w:styleId="944" w:customStyle="1">
    <w:name w:val="图表目录1"/>
    <w:basedOn w:val="713"/>
    <w:next w:val="713"/>
    <w:uiPriority w:val="0"/>
    <w:semiHidden/>
    <w:qFormat/>
    <w:pPr>
      <w:ind w:left="420" w:hanging="420"/>
      <w:jc w:val="left"/>
    </w:pPr>
    <w:rPr>
      <w:smallCaps/>
      <w:sz w:val="24"/>
    </w:rPr>
  </w:style>
  <w:style w:type="paragraph" w:styleId="945" w:customStyle="1">
    <w:name w:val="正文文本 21"/>
    <w:basedOn w:val="713"/>
    <w:uiPriority w:val="0"/>
    <w:qFormat/>
    <w:pPr>
      <w:spacing w:after="120" w:line="480" w:lineRule="auto"/>
    </w:pPr>
  </w:style>
  <w:style w:type="paragraph" w:styleId="946" w:customStyle="1">
    <w:name w:val="HTML 预设格式1"/>
    <w:basedOn w:val="7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47" w:customStyle="1">
    <w:name w:val="普通(网站)1"/>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948" w:customStyle="1">
    <w:name w:val="索引 21"/>
    <w:basedOn w:val="713"/>
    <w:next w:val="713"/>
    <w:uiPriority w:val="0"/>
    <w:semiHidden/>
    <w:qFormat/>
    <w:pPr>
      <w:ind w:left="420"/>
    </w:pPr>
  </w:style>
  <w:style w:type="paragraph" w:styleId="949" w:customStyle="1">
    <w:name w:val="标题1"/>
    <w:basedOn w:val="713"/>
    <w:next w:val="713"/>
    <w:link w:val="950"/>
    <w:uiPriority w:val="10"/>
    <w:qFormat/>
    <w:pPr>
      <w:jc w:val="center"/>
      <w:spacing w:before="240" w:after="60"/>
      <w:widowControl/>
      <w:outlineLvl w:val="0"/>
    </w:pPr>
    <w:rPr>
      <w:rFonts w:ascii="Calibri Light" w:hAnsi="Calibri Light" w:eastAsia="宋体"/>
      <w:b/>
      <w:bCs/>
      <w:sz w:val="32"/>
      <w:szCs w:val="32"/>
    </w:rPr>
  </w:style>
  <w:style w:type="character" w:styleId="950" w:customStyle="1">
    <w:name w:val="标题 字符"/>
    <w:link w:val="949"/>
    <w:uiPriority w:val="10"/>
    <w:qFormat/>
    <w:rPr>
      <w:rFonts w:ascii="Calibri Light" w:hAnsi="Calibri Light"/>
      <w:b/>
      <w:bCs/>
      <w:sz w:val="32"/>
      <w:szCs w:val="32"/>
    </w:rPr>
  </w:style>
  <w:style w:type="paragraph" w:styleId="951" w:customStyle="1">
    <w:name w:val="批注主题1"/>
    <w:basedOn w:val="917"/>
    <w:next w:val="917"/>
    <w:uiPriority w:val="0"/>
    <w:semiHidden/>
    <w:qFormat/>
    <w:rPr>
      <w:b/>
      <w:bCs/>
    </w:rPr>
  </w:style>
  <w:style w:type="paragraph" w:styleId="952" w:customStyle="1">
    <w:name w:val="正文文本首行缩进"/>
    <w:basedOn w:val="908"/>
    <w:uiPriority w:val="0"/>
    <w:qFormat/>
    <w:pPr>
      <w:ind w:firstLine="420"/>
      <w:spacing w:after="120" w:line="240" w:lineRule="auto"/>
    </w:pPr>
    <w:rPr>
      <w:rFonts w:ascii="Times New Roman"/>
      <w:sz w:val="26"/>
    </w:rPr>
  </w:style>
  <w:style w:type="paragraph" w:styleId="953" w:customStyle="1">
    <w:name w:val="正文文本首行缩进 2"/>
    <w:basedOn w:val="920"/>
    <w:uiPriority w:val="99"/>
    <w:unhideWhenUsed/>
    <w:qFormat/>
    <w:pPr>
      <w:ind w:firstLine="420"/>
    </w:pPr>
  </w:style>
  <w:style w:type="table" w:styleId="954" w:customStyle="1">
    <w:name w:val="网格型11"/>
    <w:basedOn w:val="907"/>
    <w:uiPriority w:val="0"/>
    <w:qFormat/>
    <w:rPr>
      <w:rFonts w:ascii="Calibri" w:hAnsi="Calibri"/>
      <w:sz w:val="22"/>
      <w:szCs w:val="22"/>
    </w:rPr>
    <w:tblPr>
      <w:tblCellMar>
        <w:left w:w="0" w:type="dxa"/>
        <w:top w:w="0" w:type="dxa"/>
        <w:right w:w="0" w:type="dxa"/>
        <w:bottom w:w="0" w:type="dxa"/>
      </w:tblCellMar>
    </w:tblPr>
  </w:style>
  <w:style w:type="character" w:styleId="955" w:customStyle="1">
    <w:name w:val="页码1"/>
    <w:uiPriority w:val="0"/>
    <w:qFormat/>
  </w:style>
  <w:style w:type="character" w:styleId="956" w:customStyle="1">
    <w:name w:val="访问过的超链接1"/>
    <w:uiPriority w:val="0"/>
    <w:qFormat/>
    <w:rPr>
      <w:color w:val="800080"/>
      <w:u w:val="single"/>
    </w:rPr>
  </w:style>
  <w:style w:type="character" w:styleId="957" w:customStyle="1">
    <w:name w:val="强调1"/>
    <w:uiPriority w:val="20"/>
    <w:qFormat/>
    <w:rPr>
      <w:color w:val="cc0000"/>
    </w:rPr>
  </w:style>
  <w:style w:type="character" w:styleId="958" w:customStyle="1">
    <w:name w:val="超链接1"/>
    <w:uiPriority w:val="99"/>
    <w:qFormat/>
    <w:rPr>
      <w:color w:val="0000ff"/>
      <w:u w:val="single"/>
    </w:rPr>
  </w:style>
  <w:style w:type="character" w:styleId="959" w:customStyle="1">
    <w:name w:val="批注引用1"/>
    <w:uiPriority w:val="0"/>
    <w:qFormat/>
    <w:rPr>
      <w:sz w:val="21"/>
      <w:szCs w:val="21"/>
    </w:rPr>
  </w:style>
  <w:style w:type="character" w:styleId="960" w:customStyle="1">
    <w:name w:val="脚注引用1"/>
    <w:uiPriority w:val="0"/>
    <w:semiHidden/>
    <w:qFormat/>
    <w:rPr>
      <w:vertAlign w:val="superscript"/>
    </w:rPr>
  </w:style>
  <w:style w:type="character" w:styleId="961" w:customStyle="1">
    <w:name w:val="列出段落 Char"/>
    <w:link w:val="962"/>
    <w:uiPriority w:val="0"/>
    <w:qFormat/>
    <w:rPr>
      <w:rFonts w:ascii="Times" w:hAnsi="Times"/>
      <w:sz w:val="24"/>
      <w:szCs w:val="24"/>
    </w:rPr>
  </w:style>
  <w:style w:type="paragraph" w:styleId="962" w:customStyle="1">
    <w:name w:val="列出段落2"/>
    <w:basedOn w:val="713"/>
    <w:link w:val="961"/>
    <w:uiPriority w:val="0"/>
    <w:qFormat/>
    <w:pPr>
      <w:ind w:firstLine="420"/>
      <w:jc w:val="left"/>
      <w:spacing w:line="360" w:lineRule="auto"/>
      <w:widowControl/>
    </w:pPr>
    <w:rPr>
      <w:rFonts w:ascii="Times" w:hAnsi="Times" w:eastAsia="宋体"/>
      <w:sz w:val="24"/>
      <w:szCs w:val="24"/>
    </w:rPr>
  </w:style>
  <w:style w:type="character" w:styleId="963" w:customStyle="1">
    <w:name w:val="A5 Char"/>
    <w:link w:val="964"/>
    <w:uiPriority w:val="0"/>
    <w:qFormat/>
    <w:rPr>
      <w:b/>
      <w:bCs/>
      <w:sz w:val="28"/>
      <w:szCs w:val="28"/>
    </w:rPr>
  </w:style>
  <w:style w:type="paragraph" w:styleId="964" w:customStyle="1">
    <w:name w:val="A5"/>
    <w:basedOn w:val="901"/>
    <w:link w:val="963"/>
    <w:uiPriority w:val="0"/>
    <w:qFormat/>
    <w:pPr>
      <w:ind w:left="1008" w:hanging="1008"/>
      <w:jc w:val="both"/>
      <w:spacing w:line="376" w:lineRule="auto"/>
    </w:pPr>
    <w:rPr>
      <w:rFonts w:ascii="Times New Roman" w:hAnsi="Times New Roman"/>
      <w:bCs/>
      <w:szCs w:val="28"/>
    </w:rPr>
  </w:style>
  <w:style w:type="character" w:styleId="965" w:customStyle="1">
    <w:name w:val="1招标书_正文 Char"/>
    <w:link w:val="966"/>
    <w:uiPriority w:val="0"/>
    <w:qFormat/>
    <w:rPr>
      <w:rFonts w:ascii="宋体" w:hAnsi="宋体" w:cs="宋体"/>
      <w:sz w:val="24"/>
    </w:rPr>
  </w:style>
  <w:style w:type="paragraph" w:styleId="966" w:customStyle="1">
    <w:name w:val="1招标书_正文"/>
    <w:basedOn w:val="713"/>
    <w:link w:val="965"/>
    <w:uiPriority w:val="0"/>
    <w:qFormat/>
    <w:pPr>
      <w:ind w:firstLine="480"/>
      <w:jc w:val="left"/>
      <w:spacing w:line="360" w:lineRule="auto"/>
      <w:widowControl/>
    </w:pPr>
    <w:rPr>
      <w:rFonts w:ascii="宋体" w:hAnsi="宋体" w:eastAsia="宋体"/>
      <w:sz w:val="24"/>
    </w:rPr>
  </w:style>
  <w:style w:type="character" w:styleId="967" w:customStyle="1">
    <w:name w:val="正文2 Char"/>
    <w:link w:val="968"/>
    <w:uiPriority w:val="0"/>
    <w:qFormat/>
    <w:rPr>
      <w:sz w:val="24"/>
      <w:szCs w:val="24"/>
    </w:rPr>
  </w:style>
  <w:style w:type="paragraph" w:styleId="968" w:customStyle="1">
    <w:name w:val="正文2"/>
    <w:basedOn w:val="713"/>
    <w:link w:val="967"/>
    <w:uiPriority w:val="0"/>
    <w:qFormat/>
    <w:pPr>
      <w:ind w:firstLine="420"/>
      <w:spacing w:line="360" w:lineRule="auto"/>
    </w:pPr>
    <w:rPr>
      <w:rFonts w:eastAsia="宋体"/>
      <w:sz w:val="24"/>
      <w:szCs w:val="24"/>
    </w:rPr>
  </w:style>
  <w:style w:type="character" w:styleId="969" w:customStyle="1">
    <w:name w:val="CL 正文1.5 Char"/>
    <w:link w:val="970"/>
    <w:uiPriority w:val="0"/>
    <w:qFormat/>
    <w:rPr>
      <w:rFonts w:ascii="Cambria" w:hAnsi="Cambria"/>
      <w:spacing w:val="4"/>
      <w:sz w:val="24"/>
      <w:szCs w:val="21"/>
    </w:rPr>
  </w:style>
  <w:style w:type="paragraph" w:styleId="970" w:customStyle="1">
    <w:name w:val="CL 正文1.5"/>
    <w:basedOn w:val="713"/>
    <w:link w:val="969"/>
    <w:uiPriority w:val="0"/>
    <w:qFormat/>
    <w:pPr>
      <w:ind w:firstLine="200"/>
      <w:spacing w:line="360" w:lineRule="auto"/>
    </w:pPr>
    <w:rPr>
      <w:rFonts w:ascii="Cambria" w:hAnsi="Cambria" w:eastAsia="宋体"/>
      <w:spacing w:val="4"/>
      <w:sz w:val="24"/>
      <w:szCs w:val="21"/>
    </w:rPr>
  </w:style>
  <w:style w:type="character" w:styleId="971" w:customStyle="1">
    <w:name w:val="Andy_3级 Char"/>
    <w:link w:val="972"/>
    <w:uiPriority w:val="0"/>
    <w:qFormat/>
    <w:rPr>
      <w:rFonts w:ascii="Calibri" w:hAnsi="Calibri"/>
      <w:sz w:val="24"/>
    </w:rPr>
  </w:style>
  <w:style w:type="paragraph" w:styleId="972" w:customStyle="1">
    <w:name w:val="Andy_3级"/>
    <w:basedOn w:val="713"/>
    <w:link w:val="971"/>
    <w:uiPriority w:val="0"/>
    <w:qFormat/>
    <w:pPr>
      <w:numPr>
        <w:ilvl w:val="2"/>
        <w:numId w:val="1"/>
      </w:numPr>
      <w:spacing w:line="360" w:lineRule="auto"/>
    </w:pPr>
    <w:rPr>
      <w:rFonts w:ascii="Calibri" w:hAnsi="Calibri" w:eastAsia="宋体"/>
      <w:sz w:val="24"/>
    </w:rPr>
  </w:style>
  <w:style w:type="character" w:styleId="973" w:customStyle="1">
    <w:name w:val="A3 Char"/>
    <w:link w:val="974"/>
    <w:uiPriority w:val="0"/>
    <w:qFormat/>
    <w:rPr>
      <w:b/>
      <w:bCs/>
      <w:sz w:val="24"/>
      <w:szCs w:val="32"/>
    </w:rPr>
  </w:style>
  <w:style w:type="paragraph" w:styleId="974" w:customStyle="1">
    <w:name w:val="A3"/>
    <w:basedOn w:val="899"/>
    <w:link w:val="973"/>
    <w:uiPriority w:val="0"/>
    <w:qFormat/>
    <w:pPr>
      <w:ind w:left="720" w:hanging="720"/>
      <w:jc w:val="both"/>
      <w:spacing w:before="260" w:after="260" w:line="416" w:lineRule="auto"/>
    </w:pPr>
    <w:rPr>
      <w:rFonts w:eastAsia="宋体"/>
      <w:bCs/>
      <w:sz w:val="24"/>
      <w:szCs w:val="32"/>
    </w:rPr>
  </w:style>
  <w:style w:type="character" w:styleId="975" w:customStyle="1">
    <w:name w:val="A2 Char"/>
    <w:link w:val="976"/>
    <w:uiPriority w:val="0"/>
    <w:qFormat/>
    <w:rPr>
      <w:rFonts w:ascii="Cambria" w:hAnsi="Cambria"/>
      <w:b/>
      <w:bCs/>
      <w:sz w:val="32"/>
      <w:szCs w:val="32"/>
    </w:rPr>
  </w:style>
  <w:style w:type="paragraph" w:styleId="976" w:customStyle="1">
    <w:name w:val="A2"/>
    <w:basedOn w:val="898"/>
    <w:link w:val="975"/>
    <w:uiPriority w:val="0"/>
    <w:qFormat/>
    <w:pPr>
      <w:ind w:left="576" w:hanging="576"/>
      <w:jc w:val="both"/>
      <w:spacing w:before="260" w:after="260" w:line="416" w:lineRule="auto"/>
    </w:pPr>
    <w:rPr>
      <w:rFonts w:ascii="Cambria" w:hAnsi="Cambria" w:eastAsia="宋体"/>
      <w:bCs/>
      <w:sz w:val="32"/>
      <w:szCs w:val="32"/>
    </w:rPr>
  </w:style>
  <w:style w:type="character" w:styleId="977" w:customStyle="1">
    <w:name w:val="封面：幼圆"/>
    <w:uiPriority w:val="0"/>
    <w:qFormat/>
    <w:rPr>
      <w:rFonts w:ascii="幼圆" w:hAnsi="幼圆" w:eastAsia="幼圆"/>
    </w:rPr>
  </w:style>
  <w:style w:type="character" w:styleId="978" w:customStyle="1">
    <w:name w:val="图例 Char"/>
    <w:link w:val="979"/>
    <w:uiPriority w:val="0"/>
    <w:qFormat/>
    <w:rPr>
      <w:rFonts w:ascii="仿宋" w:hAnsi="仿宋" w:eastAsia="仿宋"/>
      <w:b/>
    </w:rPr>
  </w:style>
  <w:style w:type="paragraph" w:styleId="979" w:customStyle="1">
    <w:name w:val="图例"/>
    <w:basedOn w:val="713"/>
    <w:link w:val="978"/>
    <w:uiPriority w:val="0"/>
    <w:qFormat/>
    <w:pPr>
      <w:ind w:right="74"/>
      <w:jc w:val="center"/>
      <w:spacing w:before="150" w:after="150" w:line="360" w:lineRule="auto"/>
    </w:pPr>
    <w:rPr>
      <w:rFonts w:ascii="仿宋" w:hAnsi="仿宋" w:eastAsia="仿宋"/>
      <w:b/>
      <w:sz w:val="20"/>
    </w:rPr>
  </w:style>
  <w:style w:type="character" w:styleId="980" w:customStyle="1">
    <w:name w:val="A1 Char"/>
    <w:link w:val="981"/>
    <w:uiPriority w:val="0"/>
    <w:qFormat/>
    <w:rPr>
      <w:b/>
      <w:bCs/>
      <w:sz w:val="44"/>
      <w:szCs w:val="44"/>
    </w:rPr>
  </w:style>
  <w:style w:type="paragraph" w:styleId="981" w:customStyle="1">
    <w:name w:val="A1"/>
    <w:basedOn w:val="897"/>
    <w:link w:val="980"/>
    <w:uiPriority w:val="0"/>
    <w:qFormat/>
    <w:pPr>
      <w:spacing w:line="360" w:lineRule="auto"/>
    </w:pPr>
    <w:rPr>
      <w:rFonts w:eastAsia="宋体"/>
      <w:bCs/>
      <w:szCs w:val="44"/>
    </w:rPr>
  </w:style>
  <w:style w:type="character" w:styleId="982" w:customStyle="1">
    <w:name w:val="样式 首行缩进:  2 字符 Char"/>
    <w:link w:val="983"/>
    <w:uiPriority w:val="0"/>
    <w:qFormat/>
    <w:rPr>
      <w:rFonts w:eastAsia="仿宋_GB2312"/>
      <w:sz w:val="24"/>
      <w:lang w:bidi="ar-SA"/>
    </w:rPr>
  </w:style>
  <w:style w:type="paragraph" w:styleId="983" w:customStyle="1">
    <w:name w:val="样式 首行缩进:  2 字符"/>
    <w:basedOn w:val="713"/>
    <w:link w:val="982"/>
    <w:uiPriority w:val="0"/>
    <w:qFormat/>
    <w:pPr>
      <w:ind w:firstLine="560"/>
      <w:spacing w:line="360" w:lineRule="auto"/>
    </w:pPr>
    <w:rPr>
      <w:rFonts w:eastAsia="仿宋_GB2312"/>
      <w:sz w:val="24"/>
    </w:rPr>
  </w:style>
  <w:style w:type="character" w:styleId="984" w:customStyle="1">
    <w:name w:val="功能标题 Char"/>
    <w:link w:val="985"/>
    <w:uiPriority w:val="0"/>
    <w:qFormat/>
    <w:rPr>
      <w:rFonts w:ascii="黑体" w:eastAsia="黑体"/>
      <w:sz w:val="24"/>
    </w:rPr>
  </w:style>
  <w:style w:type="paragraph" w:styleId="985" w:customStyle="1">
    <w:name w:val="功能标题"/>
    <w:basedOn w:val="713"/>
    <w:link w:val="984"/>
    <w:uiPriority w:val="0"/>
    <w:qFormat/>
    <w:pPr>
      <w:jc w:val="left"/>
      <w:spacing w:before="200" w:after="60"/>
    </w:pPr>
    <w:rPr>
      <w:rFonts w:ascii="黑体" w:eastAsia="黑体"/>
      <w:sz w:val="24"/>
    </w:rPr>
  </w:style>
  <w:style w:type="character" w:styleId="986" w:customStyle="1">
    <w:name w:val="_正文段落 Char"/>
    <w:link w:val="987"/>
    <w:uiPriority w:val="0"/>
    <w:qFormat/>
    <w:rPr>
      <w:rFonts w:ascii="宋体" w:hAnsi="宋体"/>
      <w:sz w:val="24"/>
      <w:szCs w:val="24"/>
    </w:rPr>
  </w:style>
  <w:style w:type="paragraph" w:styleId="987" w:customStyle="1">
    <w:name w:val="_正文段落"/>
    <w:basedOn w:val="713"/>
    <w:link w:val="986"/>
    <w:uiPriority w:val="0"/>
    <w:qFormat/>
    <w:pPr>
      <w:ind w:firstLine="480"/>
      <w:spacing w:line="360" w:lineRule="auto"/>
    </w:pPr>
    <w:rPr>
      <w:rFonts w:ascii="宋体" w:hAnsi="宋体" w:eastAsia="宋体"/>
      <w:sz w:val="24"/>
      <w:szCs w:val="24"/>
    </w:rPr>
  </w:style>
  <w:style w:type="character" w:styleId="988" w:customStyle="1">
    <w:name w:val="ca-221"/>
    <w:uiPriority w:val="0"/>
    <w:qFormat/>
    <w:rPr>
      <w:rFonts w:hint="eastAsia" w:ascii="宋体" w:hAnsi="宋体" w:eastAsia="宋体"/>
      <w:color w:val="ff0000"/>
      <w:sz w:val="24"/>
      <w:szCs w:val="24"/>
    </w:rPr>
  </w:style>
  <w:style w:type="character" w:styleId="989" w:customStyle="1">
    <w:name w:val="正文首行缩进 Char Char"/>
    <w:link w:val="990"/>
    <w:uiPriority w:val="0"/>
    <w:qFormat/>
    <w:rPr>
      <w:szCs w:val="24"/>
      <w:lang w:bidi="ar-SA"/>
    </w:rPr>
  </w:style>
  <w:style w:type="paragraph" w:styleId="990" w:customStyle="1">
    <w:name w:val="正文首行缩进1"/>
    <w:basedOn w:val="908"/>
    <w:link w:val="989"/>
    <w:uiPriority w:val="0"/>
    <w:qFormat/>
    <w:pPr>
      <w:ind w:firstLine="420"/>
      <w:spacing w:after="120" w:line="240" w:lineRule="auto"/>
    </w:pPr>
    <w:rPr>
      <w:rFonts w:ascii="Times New Roman" w:eastAsia="宋体"/>
      <w:sz w:val="20"/>
      <w:szCs w:val="24"/>
    </w:rPr>
  </w:style>
  <w:style w:type="character" w:styleId="991" w:customStyle="1">
    <w:name w:val="Andy_正文 Char"/>
    <w:link w:val="992"/>
    <w:uiPriority w:val="0"/>
    <w:qFormat/>
    <w:rPr>
      <w:rFonts w:ascii="Calibri" w:hAnsi="Calibri" w:cs="Calibri"/>
      <w:sz w:val="24"/>
      <w:szCs w:val="24"/>
    </w:rPr>
  </w:style>
  <w:style w:type="paragraph" w:styleId="992" w:customStyle="1">
    <w:name w:val="Andy_正文"/>
    <w:basedOn w:val="713"/>
    <w:link w:val="991"/>
    <w:uiPriority w:val="0"/>
    <w:qFormat/>
    <w:pPr>
      <w:ind w:firstLine="480"/>
      <w:spacing w:line="360" w:lineRule="auto"/>
    </w:pPr>
    <w:rPr>
      <w:rFonts w:ascii="Calibri" w:hAnsi="Calibri" w:eastAsia="宋体"/>
      <w:sz w:val="24"/>
      <w:szCs w:val="24"/>
    </w:rPr>
  </w:style>
  <w:style w:type="character" w:styleId="993" w:customStyle="1">
    <w:name w:val="普通文字 Char Char"/>
    <w:uiPriority w:val="0"/>
    <w:qFormat/>
    <w:rPr>
      <w:rFonts w:ascii="宋体" w:hAnsi="Courier New" w:eastAsia="楷体_GB2312"/>
      <w:sz w:val="26"/>
      <w:lang w:val="en-US" w:eastAsia="zh-CN" w:bidi="ar-SA"/>
    </w:rPr>
  </w:style>
  <w:style w:type="character" w:styleId="994" w:customStyle="1">
    <w:name w:val="标准正文 Char"/>
    <w:link w:val="995"/>
    <w:uiPriority w:val="0"/>
    <w:qFormat/>
    <w:rPr>
      <w:rFonts w:cs="宋体"/>
      <w:sz w:val="24"/>
    </w:rPr>
  </w:style>
  <w:style w:type="paragraph" w:styleId="995" w:customStyle="1">
    <w:name w:val="标准正文"/>
    <w:basedOn w:val="713"/>
    <w:link w:val="994"/>
    <w:uiPriority w:val="0"/>
    <w:qFormat/>
    <w:pPr>
      <w:ind w:left="840" w:firstLine="480"/>
      <w:spacing w:line="360" w:lineRule="auto"/>
    </w:pPr>
    <w:rPr>
      <w:rFonts w:eastAsia="宋体"/>
      <w:sz w:val="24"/>
    </w:rPr>
  </w:style>
  <w:style w:type="character" w:styleId="996" w:customStyle="1">
    <w:name w:val="未处理的提及"/>
    <w:uiPriority w:val="99"/>
    <w:unhideWhenUsed/>
    <w:qFormat/>
    <w:rPr>
      <w:color w:val="605e5c"/>
      <w:shd w:val="clear" w:color="auto" w:fill="e1dfdd"/>
    </w:rPr>
  </w:style>
  <w:style w:type="character" w:styleId="997" w:customStyle="1">
    <w:name w:val="A4 Char"/>
    <w:link w:val="998"/>
    <w:uiPriority w:val="0"/>
    <w:qFormat/>
    <w:rPr>
      <w:rFonts w:ascii="Cambria" w:hAnsi="Cambria"/>
      <w:b/>
      <w:bCs/>
      <w:sz w:val="24"/>
      <w:szCs w:val="28"/>
    </w:rPr>
  </w:style>
  <w:style w:type="paragraph" w:styleId="998" w:customStyle="1">
    <w:name w:val="A4"/>
    <w:basedOn w:val="900"/>
    <w:link w:val="997"/>
    <w:uiPriority w:val="0"/>
    <w:qFormat/>
    <w:pPr>
      <w:ind w:left="1148" w:hanging="864"/>
    </w:pPr>
    <w:rPr>
      <w:rFonts w:ascii="Cambria" w:hAnsi="Cambria" w:eastAsia="宋体"/>
      <w:sz w:val="24"/>
    </w:rPr>
  </w:style>
  <w:style w:type="paragraph" w:styleId="999" w:customStyle="1">
    <w:name w:val="xl5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0" w:customStyle="1">
    <w:name w:val="xl53"/>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1" w:customStyle="1">
    <w:name w:val="列出段落1"/>
    <w:basedOn w:val="713"/>
    <w:uiPriority w:val="0"/>
    <w:qFormat/>
    <w:pPr>
      <w:ind w:firstLine="420"/>
      <w:jc w:val="left"/>
      <w:spacing w:line="360" w:lineRule="auto"/>
    </w:pPr>
    <w:rPr>
      <w:rFonts w:eastAsia="宋体"/>
      <w:sz w:val="21"/>
      <w:szCs w:val="24"/>
    </w:rPr>
  </w:style>
  <w:style w:type="paragraph" w:styleId="1002" w:customStyle="1">
    <w:name w:val="Plain Text1"/>
    <w:basedOn w:val="713"/>
    <w:uiPriority w:val="0"/>
    <w:qFormat/>
    <w:rPr>
      <w:rFonts w:ascii="宋体" w:hAnsi="Courier New"/>
    </w:rPr>
  </w:style>
  <w:style w:type="paragraph" w:styleId="1003" w:customStyle="1">
    <w:name w:val="大标题"/>
    <w:basedOn w:val="713"/>
    <w:uiPriority w:val="0"/>
    <w:qFormat/>
    <w:pPr>
      <w:jc w:val="center"/>
    </w:pPr>
    <w:rPr>
      <w:rFonts w:eastAsia="黑体" w:cs="宋体"/>
      <w:sz w:val="44"/>
    </w:rPr>
  </w:style>
  <w:style w:type="paragraph" w:styleId="1004" w:customStyle="1">
    <w:name w:val="xl6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5" w:customStyle="1">
    <w:name w:val="xl6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06" w:customStyle="1">
    <w:name w:val="列表内容"/>
    <w:basedOn w:val="713"/>
    <w:next w:val="713"/>
    <w:uiPriority w:val="0"/>
    <w:qFormat/>
    <w:pPr>
      <w:numPr>
        <w:ilvl w:val="0"/>
        <w:numId w:val="2"/>
      </w:numPr>
      <w:jc w:val="left"/>
      <w:widowControl/>
    </w:pPr>
    <w:rPr>
      <w:rFonts w:eastAsia="宋体"/>
      <w:sz w:val="18"/>
      <w:szCs w:val="24"/>
    </w:rPr>
  </w:style>
  <w:style w:type="paragraph" w:styleId="1007" w:customStyle="1">
    <w:name w:val="Char Char Char"/>
    <w:basedOn w:val="713"/>
    <w:uiPriority w:val="0"/>
    <w:qFormat/>
    <w:rPr>
      <w:rFonts w:ascii="Tahoma" w:hAnsi="Tahoma" w:eastAsia="宋体"/>
      <w:sz w:val="24"/>
    </w:rPr>
  </w:style>
  <w:style w:type="paragraph" w:styleId="1008" w:customStyle="1">
    <w:name w:val="xl50"/>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09" w:customStyle="1">
    <w:name w:val="xl65"/>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0" w:customStyle="1">
    <w:name w:val="xl47"/>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1" w:customStyle="1">
    <w:name w:val="xl62"/>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12" w:customStyle="1">
    <w:name w:val="小四 段落 宋体 Char Char Char Char Char Char"/>
    <w:basedOn w:val="1013"/>
    <w:uiPriority w:val="0"/>
    <w:qFormat/>
    <w:pPr>
      <w:ind w:firstLine="480"/>
    </w:pPr>
    <w:rPr>
      <w:rFonts w:ascii="宋体" w:hAnsi="宋体"/>
    </w:rPr>
  </w:style>
  <w:style w:type="paragraph" w:styleId="1013" w:customStyle="1">
    <w:name w:val="小四 段落 宋体 Char Char Char Char Char Char Char"/>
    <w:basedOn w:val="912"/>
    <w:uiPriority w:val="0"/>
    <w:semiHidden/>
    <w:qFormat/>
    <w:pPr>
      <w:ind w:left="0" w:right="-33" w:firstLine="545"/>
      <w:jc w:val="left"/>
      <w:spacing w:line="360" w:lineRule="auto"/>
      <w:tabs>
        <w:tab w:val="clear" w:pos="1125" w:leader="none"/>
      </w:tabs>
    </w:pPr>
    <w:rPr>
      <w:sz w:val="24"/>
    </w:rPr>
  </w:style>
  <w:style w:type="paragraph" w:styleId="1014" w:customStyle="1">
    <w:name w:val="font7"/>
    <w:basedOn w:val="713"/>
    <w:uiPriority w:val="0"/>
    <w:qFormat/>
    <w:pPr>
      <w:jc w:val="left"/>
      <w:spacing w:before="100" w:beforeAutospacing="1" w:after="100" w:afterAutospacing="1"/>
      <w:widowControl/>
    </w:pPr>
    <w:rPr>
      <w:rFonts w:eastAsia="宋体"/>
      <w:sz w:val="20"/>
    </w:rPr>
  </w:style>
  <w:style w:type="paragraph" w:styleId="1015" w:customStyle="1">
    <w:name w:val="纯文本4"/>
    <w:basedOn w:val="713"/>
    <w:uiPriority w:val="0"/>
    <w:qFormat/>
    <w:rPr>
      <w:rFonts w:ascii="宋体" w:hAnsi="Courier New"/>
    </w:rPr>
  </w:style>
  <w:style w:type="paragraph" w:styleId="101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7" w:customStyle="1">
    <w:name w:val="xl55"/>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8" w:customStyle="1">
    <w:name w:val="Table Paragraph"/>
    <w:basedOn w:val="713"/>
    <w:uiPriority w:val="1"/>
    <w:qFormat/>
    <w:pPr>
      <w:jc w:val="left"/>
    </w:pPr>
    <w:rPr>
      <w:rFonts w:ascii="Calibri" w:hAnsi="Calibri" w:eastAsia="宋体"/>
      <w:sz w:val="22"/>
      <w:szCs w:val="22"/>
      <w:lang w:eastAsia="en-US"/>
    </w:rPr>
  </w:style>
  <w:style w:type="paragraph" w:styleId="1019" w:customStyle="1">
    <w:name w:val="Default Paragraph Font Para Char"/>
    <w:basedOn w:val="713"/>
    <w:uiPriority w:val="0"/>
    <w:semiHidden/>
    <w:qFormat/>
    <w:pPr>
      <w:jc w:val="left"/>
      <w:spacing w:after="160" w:line="240" w:lineRule="exact"/>
      <w:widowControl/>
    </w:pPr>
    <w:rPr>
      <w:rFonts w:ascii="Verdana" w:hAnsi="Verdana" w:eastAsia="宋体"/>
      <w:sz w:val="20"/>
      <w:lang w:eastAsia="en-US"/>
    </w:rPr>
  </w:style>
  <w:style w:type="paragraph" w:styleId="1020" w:customStyle="1">
    <w:name w:val="xl5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1" w:customStyle="1">
    <w:name w:val="xl60"/>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2" w:customStyle="1">
    <w:name w:val="xl46"/>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3" w:customStyle="1">
    <w:name w:val="xl5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24" w:customStyle="1">
    <w:name w:val="纯文本2"/>
    <w:basedOn w:val="713"/>
    <w:uiPriority w:val="0"/>
    <w:qFormat/>
    <w:rPr>
      <w:rFonts w:ascii="宋体" w:hAnsi="Courier New"/>
    </w:rPr>
  </w:style>
  <w:style w:type="paragraph" w:styleId="1025" w:customStyle="1">
    <w:name w:val="Char"/>
    <w:basedOn w:val="713"/>
    <w:uiPriority w:val="0"/>
    <w:qFormat/>
    <w:pPr>
      <w:jc w:val="left"/>
      <w:spacing w:after="160" w:line="240" w:lineRule="exact"/>
      <w:widowControl/>
    </w:pPr>
    <w:rPr>
      <w:rFonts w:ascii="Verdana" w:hAnsi="Verdana" w:eastAsia="仿宋_GB2312"/>
      <w:sz w:val="24"/>
      <w:lang w:eastAsia="en-US"/>
    </w:rPr>
  </w:style>
  <w:style w:type="paragraph" w:styleId="1026" w:customStyle="1">
    <w:name w:val="Char1"/>
    <w:basedOn w:val="713"/>
    <w:uiPriority w:val="0"/>
    <w:qFormat/>
    <w:rPr>
      <w:rFonts w:ascii="Tahoma" w:hAnsi="Tahoma" w:eastAsia="宋体"/>
      <w:sz w:val="24"/>
    </w:rPr>
  </w:style>
  <w:style w:type="paragraph" w:styleId="1027" w:customStyle="1">
    <w:name w:val="列出段落3"/>
    <w:basedOn w:val="713"/>
    <w:uiPriority w:val="99"/>
    <w:unhideWhenUsed/>
    <w:qFormat/>
    <w:pPr>
      <w:ind w:firstLine="420"/>
    </w:pPr>
  </w:style>
  <w:style w:type="paragraph" w:styleId="1028" w:customStyle="1">
    <w:name w:val="Char Char3 Char Char Char Char Char Char Char Char Char Char Char Char Char Char Char Char"/>
    <w:basedOn w:val="713"/>
    <w:uiPriority w:val="0"/>
    <w:qFormat/>
    <w:pPr>
      <w:ind w:firstLine="200"/>
      <w:jc w:val="left"/>
      <w:spacing w:after="160" w:line="360" w:lineRule="auto"/>
      <w:widowControl/>
    </w:pPr>
    <w:rPr>
      <w:rFonts w:ascii="宋体" w:hAnsi="宋体" w:eastAsia="宋体"/>
      <w:sz w:val="24"/>
    </w:rPr>
  </w:style>
  <w:style w:type="paragraph" w:styleId="1029" w:customStyle="1">
    <w:name w:val="xl5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0" w:customStyle="1">
    <w:name w:val="tytytyty"/>
    <w:basedOn w:val="713"/>
    <w:uiPriority w:val="0"/>
    <w:qFormat/>
    <w:pPr>
      <w:ind w:left="359" w:firstLine="480"/>
      <w:spacing w:line="360" w:lineRule="auto"/>
    </w:pPr>
    <w:rPr>
      <w:rFonts w:eastAsia="宋体"/>
      <w:sz w:val="24"/>
      <w:szCs w:val="24"/>
    </w:rPr>
  </w:style>
  <w:style w:type="paragraph" w:styleId="1031" w:customStyle="1">
    <w:name w:val="Andy_一级"/>
    <w:basedOn w:val="1027"/>
    <w:uiPriority w:val="0"/>
    <w:qFormat/>
    <w:pPr>
      <w:numPr>
        <w:ilvl w:val="0"/>
        <w:numId w:val="1"/>
      </w:numPr>
      <w:keepNext/>
      <w:spacing w:line="360" w:lineRule="auto"/>
    </w:pPr>
    <w:rPr>
      <w:rFonts w:ascii="Calibri" w:hAnsi="Calibri" w:eastAsia="宋体"/>
      <w:b/>
      <w:sz w:val="24"/>
      <w:szCs w:val="22"/>
    </w:rPr>
  </w:style>
  <w:style w:type="paragraph" w:styleId="1032" w:customStyle="1">
    <w:name w:val="xl52"/>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3" w:customStyle="1">
    <w:name w:val="xl51"/>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34" w:customStyle="1">
    <w:name w:val="Char Char"/>
    <w:basedOn w:val="713"/>
    <w:uiPriority w:val="0"/>
    <w:qFormat/>
    <w:rPr>
      <w:rFonts w:eastAsia="宋体"/>
      <w:sz w:val="21"/>
      <w:szCs w:val="24"/>
    </w:rPr>
  </w:style>
  <w:style w:type="paragraph" w:styleId="1035" w:customStyle="1">
    <w:name w:val="xl63"/>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36" w:customStyle="1">
    <w:name w:val="cardlist-value"/>
    <w:basedOn w:val="713"/>
    <w:uiPriority w:val="0"/>
    <w:qFormat/>
    <w:pPr>
      <w:jc w:val="left"/>
      <w:spacing w:before="100" w:beforeAutospacing="1" w:after="100" w:afterAutospacing="1"/>
      <w:widowControl/>
    </w:pPr>
    <w:rPr>
      <w:rFonts w:ascii="宋体" w:hAnsi="宋体" w:eastAsia="宋体" w:cs="宋体"/>
      <w:sz w:val="24"/>
      <w:szCs w:val="24"/>
    </w:rPr>
  </w:style>
  <w:style w:type="paragraph" w:styleId="1037" w:customStyle="1">
    <w:name w:val="Andy_二级"/>
    <w:basedOn w:val="1027"/>
    <w:uiPriority w:val="0"/>
    <w:qFormat/>
    <w:pPr>
      <w:numPr>
        <w:ilvl w:val="1"/>
        <w:numId w:val="1"/>
      </w:numPr>
      <w:ind w:firstLine="0"/>
      <w:spacing w:line="360" w:lineRule="auto"/>
    </w:pPr>
    <w:rPr>
      <w:rFonts w:ascii="Calibri" w:hAnsi="Calibri" w:eastAsia="宋体"/>
      <w:sz w:val="24"/>
      <w:szCs w:val="22"/>
    </w:rPr>
  </w:style>
  <w:style w:type="paragraph" w:styleId="1038" w:customStyle="1">
    <w:name w:val="Andy_4级"/>
    <w:basedOn w:val="1027"/>
    <w:uiPriority w:val="0"/>
    <w:qFormat/>
    <w:pPr>
      <w:numPr>
        <w:ilvl w:val="3"/>
        <w:numId w:val="1"/>
      </w:numPr>
      <w:ind w:firstLine="510"/>
      <w:spacing w:line="360" w:lineRule="auto"/>
    </w:pPr>
    <w:rPr>
      <w:rFonts w:ascii="Calibri" w:hAnsi="Calibri" w:eastAsia="宋体"/>
      <w:sz w:val="24"/>
    </w:rPr>
  </w:style>
  <w:style w:type="paragraph" w:styleId="1039" w:customStyle="1">
    <w:name w:val="xl61"/>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40" w:customStyle="1">
    <w:name w:val="段"/>
    <w:next w:val="713"/>
    <w:uiPriority w:val="0"/>
    <w:qFormat/>
    <w:pPr>
      <w:ind w:firstLine="200"/>
      <w:jc w:val="both"/>
    </w:pPr>
    <w:rPr>
      <w:rFonts w:ascii="宋体" w:hAnsi="Calibri" w:eastAsia="宋体" w:cs="Times New Roman"/>
      <w:sz w:val="21"/>
      <w:lang w:val="en-US" w:eastAsia="zh-CN" w:bidi="ar-SA"/>
    </w:rPr>
  </w:style>
  <w:style w:type="paragraph" w:styleId="1041" w:customStyle="1">
    <w:name w:val="font6"/>
    <w:basedOn w:val="713"/>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42" w:customStyle="1">
    <w:name w:val="正文首行缩进2"/>
    <w:basedOn w:val="713"/>
    <w:uiPriority w:val="0"/>
    <w:qFormat/>
    <w:pPr>
      <w:ind w:firstLine="200"/>
      <w:spacing w:line="360" w:lineRule="auto"/>
    </w:pPr>
    <w:rPr>
      <w:rFonts w:ascii="Arial" w:hAnsi="Arial" w:eastAsia="宋体" w:cs="宋体"/>
      <w:sz w:val="24"/>
    </w:rPr>
  </w:style>
  <w:style w:type="paragraph" w:styleId="1043" w:customStyle="1">
    <w:name w:val="纯文本1"/>
    <w:basedOn w:val="713"/>
    <w:link w:val="1044"/>
    <w:uiPriority w:val="0"/>
    <w:qFormat/>
    <w:rPr>
      <w:rFonts w:ascii="宋体" w:hAnsi="Courier New"/>
    </w:rPr>
  </w:style>
  <w:style w:type="character" w:styleId="1044" w:customStyle="1">
    <w:name w:val="Plain Text Char"/>
    <w:link w:val="1043"/>
    <w:uiPriority w:val="0"/>
    <w:qFormat/>
    <w:rPr>
      <w:rFonts w:ascii="宋体" w:hAnsi="Courier New" w:eastAsia="楷体_GB2312"/>
      <w:sz w:val="26"/>
    </w:rPr>
  </w:style>
  <w:style w:type="paragraph" w:styleId="1045" w:customStyle="1">
    <w:name w:val="小四 段落 宋体 Char"/>
    <w:basedOn w:val="912"/>
    <w:uiPriority w:val="0"/>
    <w:qFormat/>
    <w:pPr>
      <w:ind w:left="0" w:right="-33" w:firstLine="480"/>
      <w:jc w:val="left"/>
      <w:spacing w:line="360" w:lineRule="auto"/>
      <w:tabs>
        <w:tab w:val="clear" w:pos="1125" w:leader="none"/>
      </w:tabs>
    </w:pPr>
    <w:rPr>
      <w:sz w:val="24"/>
    </w:rPr>
  </w:style>
  <w:style w:type="paragraph" w:styleId="1046" w:customStyle="1">
    <w:name w:val="p0"/>
    <w:basedOn w:val="713"/>
    <w:uiPriority w:val="0"/>
    <w:qFormat/>
    <w:pPr>
      <w:jc w:val="left"/>
      <w:spacing w:before="100" w:beforeAutospacing="1" w:after="100" w:afterAutospacing="1"/>
      <w:widowControl/>
    </w:pPr>
    <w:rPr>
      <w:rFonts w:ascii="宋体" w:hAnsi="宋体" w:eastAsia="宋体" w:cs="宋体"/>
      <w:sz w:val="24"/>
      <w:szCs w:val="24"/>
    </w:rPr>
  </w:style>
  <w:style w:type="paragraph" w:styleId="1047" w:customStyle="1">
    <w:name w:val="font5"/>
    <w:basedOn w:val="713"/>
    <w:uiPriority w:val="0"/>
    <w:qFormat/>
    <w:pPr>
      <w:jc w:val="left"/>
      <w:spacing w:before="100" w:beforeAutospacing="1" w:after="100" w:afterAutospacing="1"/>
      <w:widowControl/>
    </w:pPr>
    <w:rPr>
      <w:rFonts w:hint="eastAsia" w:ascii="宋体" w:hAnsi="宋体" w:eastAsia="宋体"/>
      <w:sz w:val="18"/>
      <w:szCs w:val="18"/>
    </w:rPr>
  </w:style>
  <w:style w:type="paragraph" w:styleId="1048" w:customStyle="1">
    <w:name w:val="xl57"/>
    <w:basedOn w:val="7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9" w:customStyle="1">
    <w:name w:val="列表段落"/>
    <w:basedOn w:val="713"/>
    <w:uiPriority w:val="99"/>
    <w:qFormat/>
    <w:pPr>
      <w:ind w:firstLine="420"/>
    </w:pPr>
  </w:style>
  <w:style w:type="paragraph" w:styleId="1050" w:customStyle="1">
    <w:name w:val="Char Char Char1 Char Char Char Char"/>
    <w:basedOn w:val="713"/>
    <w:uiPriority w:val="0"/>
    <w:qFormat/>
    <w:pPr>
      <w:jc w:val="left"/>
      <w:spacing w:after="160" w:line="240" w:lineRule="exact"/>
      <w:widowControl/>
    </w:pPr>
    <w:rPr>
      <w:rFonts w:eastAsia="宋体"/>
      <w:sz w:val="24"/>
      <w:szCs w:val="24"/>
    </w:rPr>
  </w:style>
  <w:style w:type="paragraph" w:styleId="1051" w:customStyle="1">
    <w:name w:val="xl4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52" w:customStyle="1">
    <w:name w:val="xl4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3" w:customStyle="1">
    <w:name w:val="xl49"/>
    <w:basedOn w:val="71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054" w:customStyle="1">
    <w:name w:val="网格型1"/>
    <w:basedOn w:val="907"/>
    <w:uiPriority w:val="59"/>
    <w:qFormat/>
    <w:rPr>
      <w:rFonts w:ascii="Calibri" w:hAnsi="Calibri"/>
    </w:rPr>
    <w:tblPr>
      <w:tblCellMar>
        <w:left w:w="0" w:type="dxa"/>
        <w:top w:w="0" w:type="dxa"/>
        <w:right w:w="0" w:type="dxa"/>
        <w:bottom w:w="0" w:type="dxa"/>
      </w:tblCellMar>
    </w:tblPr>
  </w:style>
  <w:style w:type="paragraph" w:styleId="1055" w:customStyle="1">
    <w:name w:val="纯文本3"/>
    <w:basedOn w:val="713"/>
    <w:uiPriority w:val="0"/>
    <w:qFormat/>
    <w:pPr>
      <w:jc w:val="left"/>
      <w:widowControl/>
    </w:pPr>
    <w:rPr>
      <w:rFonts w:ascii="宋体" w:hAnsi="Courier New"/>
    </w:rPr>
  </w:style>
  <w:style w:type="character" w:styleId="1056" w:customStyle="1">
    <w:name w:val="Heading 1 Char"/>
    <w:uiPriority w:val="9"/>
    <w:qFormat/>
    <w:rPr>
      <w:rFonts w:ascii="Arial" w:hAnsi="Arial" w:eastAsia="Arial" w:cs="Arial"/>
      <w:sz w:val="40"/>
      <w:szCs w:val="40"/>
    </w:rPr>
  </w:style>
  <w:style w:type="paragraph" w:styleId="1057" w:customStyle="1">
    <w:name w:val="样式 标题 2 + Times New Roman 四号 非加粗 段前: 5 磅 段后: 0 磅 行距: 固定值 20..."/>
    <w:basedOn w:val="898"/>
    <w:uiPriority w:val="0"/>
    <w:qFormat/>
    <w:pPr>
      <w:jc w:val="both"/>
      <w:spacing w:before="100" w:line="400" w:lineRule="exact"/>
    </w:pPr>
    <w:rPr>
      <w:rFonts w:ascii="Times New Roman" w:hAnsi="Times New Roman" w:eastAsia="黑体" w:cs="宋体"/>
      <w:b w:val="0"/>
      <w:sz w:val="28"/>
    </w:rPr>
  </w:style>
  <w:style w:type="paragraph" w:styleId="1058" w:customStyle="1">
    <w:name w:val="首行缩进"/>
    <w:basedOn w:val="713"/>
    <w:uiPriority w:val="0"/>
    <w:qFormat/>
    <w:pPr>
      <w:ind w:left="1024" w:firstLine="480"/>
      <w:widowControl/>
    </w:pPr>
    <w:rPr>
      <w:rFonts w:ascii="Calibri" w:hAnsi="Calibri" w:eastAsia="宋体"/>
      <w:sz w:val="20"/>
      <w:lang w:val="zh-CN"/>
    </w:rPr>
  </w:style>
  <w:style w:type="paragraph" w:styleId="1059" w:customStyle="1">
    <w:name w:val="列表段落11"/>
    <w:basedOn w:val="713"/>
    <w:uiPriority w:val="0"/>
    <w:qFormat/>
    <w:pPr>
      <w:ind w:firstLine="420"/>
    </w:pPr>
    <w:rPr>
      <w:rFonts w:ascii="Calibri" w:hAnsi="Calibri" w:eastAsia="宋体"/>
      <w:sz w:val="21"/>
      <w:szCs w:val="22"/>
    </w:rPr>
  </w:style>
  <w:style w:type="paragraph" w:styleId="1060" w:customStyle="1">
    <w:name w:val="纯文本5"/>
    <w:basedOn w:val="713"/>
    <w:uiPriority w:val="0"/>
    <w:qFormat/>
    <w:rPr>
      <w:rFonts w:ascii="宋体" w:hAnsi="Courier New" w:eastAsia="宋体"/>
      <w:sz w:val="21"/>
      <w:szCs w:val="24"/>
    </w:rPr>
  </w:style>
  <w:style w:type="paragraph" w:styleId="1061" w:customStyle="1">
    <w:name w:val="修订1"/>
    <w:uiPriority w:val="99"/>
    <w:unhideWhenUsed/>
    <w:qFormat/>
    <w:rPr>
      <w:rFonts w:ascii="Times New Roman" w:hAnsi="Times New Roman" w:eastAsia="楷体_GB2312" w:cs="Times New Roman"/>
      <w:sz w:val="26"/>
      <w:lang w:val="en-US" w:eastAsia="zh-CN" w:bidi="ar-SA"/>
    </w:rPr>
  </w:style>
  <w:style w:type="character" w:styleId="1062" w:customStyle="1">
    <w:name w:val="NormalCharacter"/>
    <w:uiPriority w:val="0"/>
    <w:semiHidden/>
    <w:qFormat/>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邹晓程</cp:lastModifiedBy>
  <cp:revision>18</cp:revision>
  <dcterms:created xsi:type="dcterms:W3CDTF">2025-05-13T06:56:00Z</dcterms:created>
  <dcterms:modified xsi:type="dcterms:W3CDTF">2026-07-01T08:46:48Z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eyJoZGlkIjoiMmM1ZjU4YjExZjMyZDg3MzMzNTFmNGU0YWQ1MjVjODkiLCJ1c2VySWQiOiIyNTgyMTYyMDYifQ==</vt:lpwstr>
  </property>
  <property fmtid="{D5CDD505-2E9C-101B-9397-08002B2CF9AE}" pid="3" name="KSOProductBuildVer">
    <vt:lpwstr>2052-12.1.0.26895</vt:lpwstr>
  </property>
  <property fmtid="{D5CDD505-2E9C-101B-9397-08002B2CF9AE}" pid="4" name="ICV">
    <vt:lpwstr>77438269AB6242C0AB6E00C6366AA834_13</vt:lpwstr>
  </property>
</Properties>
</file>