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79"/>
        <w:ind w:firstLine="300"/>
        <w:spacing w:line="360" w:lineRule="auto"/>
        <w:rPr>
          <w:sz w:val="60"/>
          <w:szCs w:val="60"/>
        </w:rPr>
      </w:pPr>
      <w:r>
        <w:rPr>
          <w:sz w:val="60"/>
          <w:szCs w:val="60"/>
        </w:rPr>
      </w:r>
      <w:r/>
    </w:p>
    <w:p>
      <w:pPr>
        <w:pStyle w:val="779"/>
        <w:jc w:val="center"/>
        <w:rPr>
          <w:b/>
          <w:bCs/>
          <w:sz w:val="60"/>
          <w:szCs w:val="60"/>
        </w:rPr>
      </w:pPr>
      <w:r>
        <w:rPr>
          <w:b/>
          <w:bCs/>
          <w:sz w:val="60"/>
          <w:szCs w:val="60"/>
        </w:rPr>
        <w:t xml:space="preserve">单一来源采购文件</w:t>
      </w:r>
      <w:r>
        <w:rPr>
          <w:b/>
          <w:bCs/>
          <w:sz w:val="60"/>
          <w:szCs w:val="60"/>
        </w:rPr>
      </w:r>
      <w:r/>
    </w:p>
    <w:p>
      <w:pPr>
        <w:pStyle w:val="779"/>
        <w:jc w:val="center"/>
        <w:rPr>
          <w:b/>
          <w:bCs/>
          <w:sz w:val="60"/>
          <w:szCs w:val="60"/>
        </w:rPr>
      </w:pPr>
      <w:r>
        <w:rPr>
          <w:b/>
          <w:bCs/>
          <w:sz w:val="60"/>
          <w:szCs w:val="60"/>
        </w:rPr>
      </w:r>
      <w:r/>
    </w:p>
    <w:p>
      <w:pPr>
        <w:pStyle w:val="779"/>
        <w:jc w:val="center"/>
        <w:rPr>
          <w:b/>
          <w:bCs/>
          <w:sz w:val="60"/>
          <w:szCs w:val="60"/>
        </w:rPr>
      </w:pPr>
      <w:r>
        <w:rPr>
          <w:b/>
          <w:bCs/>
          <w:sz w:val="60"/>
          <w:szCs w:val="60"/>
        </w:rPr>
      </w:r>
      <w:r/>
    </w:p>
    <w:p>
      <w:pPr>
        <w:pStyle w:val="779"/>
        <w:spacing w:line="360" w:lineRule="auto"/>
        <w:rPr>
          <w:sz w:val="60"/>
          <w:szCs w:val="60"/>
        </w:rPr>
      </w:pPr>
      <w:r>
        <w:rPr>
          <w:sz w:val="60"/>
          <w:szCs w:val="60"/>
        </w:rPr>
      </w:r>
      <w:r/>
    </w:p>
    <w:p>
      <w:pPr>
        <w:pStyle w:val="779"/>
        <w:ind w:firstLine="108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常州市公安局114客服电话</w:t>
      </w:r>
      <w:r>
        <w:rPr>
          <w:rFonts w:hint="eastAsia"/>
          <w:bCs/>
          <w:sz w:val="36"/>
          <w:szCs w:val="36"/>
          <w:lang w:eastAsia="zh-CN"/>
        </w:rPr>
      </w:r>
      <w:r/>
    </w:p>
    <w:p>
      <w:pPr>
        <w:pStyle w:val="779"/>
        <w:ind w:firstLine="288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lang w:eastAsia="zh-CN"/>
        </w:rPr>
        <w:t xml:space="preserve">移车服务采购项目</w:t>
      </w:r>
      <w:r>
        <w:rPr>
          <w:rFonts w:hint="eastAsia" w:eastAsia="宋体"/>
          <w:bCs/>
          <w:sz w:val="36"/>
          <w:szCs w:val="36"/>
          <w:lang w:eastAsia="zh-CN"/>
        </w:rPr>
      </w:r>
      <w:r/>
    </w:p>
    <w:p>
      <w:pPr>
        <w:pStyle w:val="779"/>
        <w:ind w:firstLine="108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Times New Roman" w:hAnsi="Times New Roman" w:eastAsia="宋体" w:cs="Times New Roman"/>
          <w:bCs/>
          <w:sz w:val="36"/>
          <w:szCs w:val="36"/>
          <w:lang w:eastAsia="zh-CN"/>
        </w:rPr>
        <w:t xml:space="preserve">JSZC-320400-CZZH-D2026-0038</w:t>
      </w:r>
      <w:r>
        <w:rPr>
          <w:bCs/>
          <w:sz w:val="36"/>
          <w:szCs w:val="36"/>
        </w:rPr>
      </w:r>
      <w:r/>
    </w:p>
    <w:p>
      <w:pPr>
        <w:pStyle w:val="779"/>
        <w:ind w:firstLine="108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常州市公安局</w:t>
      </w:r>
      <w:r>
        <w:rPr>
          <w:bCs/>
          <w:sz w:val="36"/>
          <w:szCs w:val="36"/>
        </w:rPr>
      </w:r>
      <w:r/>
    </w:p>
    <w:p>
      <w:pPr>
        <w:pStyle w:val="779"/>
        <w:ind w:firstLine="1080"/>
        <w:spacing w:line="360" w:lineRule="auto"/>
        <w:tabs>
          <w:tab w:val="left" w:pos="2700" w:leader="none"/>
          <w:tab w:val="left" w:pos="3584"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常州正衡招投标有限公司</w:t>
      </w:r>
      <w:r>
        <w:rPr>
          <w:bCs/>
          <w:sz w:val="36"/>
          <w:szCs w:val="36"/>
        </w:rPr>
        <w:t xml:space="preserve"> </w:t>
      </w:r>
      <w:r>
        <w:rPr>
          <w:bCs/>
          <w:sz w:val="36"/>
          <w:szCs w:val="36"/>
        </w:rPr>
      </w:r>
      <w:r/>
    </w:p>
    <w:p>
      <w:pPr>
        <w:pStyle w:val="779"/>
        <w:ind w:firstLine="1080"/>
        <w:jc w:val="center"/>
        <w:spacing w:line="360" w:lineRule="auto"/>
        <w:tabs>
          <w:tab w:val="left" w:pos="2700" w:leader="none"/>
          <w:tab w:val="left" w:pos="3584" w:leader="none"/>
        </w:tabs>
        <w:rPr>
          <w:rFonts w:hint="eastAsia"/>
          <w:bCs/>
          <w:sz w:val="36"/>
          <w:szCs w:val="36"/>
        </w:rPr>
      </w:pPr>
      <w:r>
        <w:rPr>
          <w:rFonts w:hint="eastAsia"/>
          <w:bCs/>
          <w:sz w:val="36"/>
          <w:szCs w:val="36"/>
        </w:rPr>
      </w:r>
      <w:r/>
    </w:p>
    <w:p>
      <w:pPr>
        <w:pStyle w:val="779"/>
        <w:ind w:firstLine="2880"/>
        <w:jc w:val="left"/>
        <w:spacing w:line="360" w:lineRule="auto"/>
        <w:tabs>
          <w:tab w:val="left" w:pos="2700" w:leader="none"/>
          <w:tab w:val="left" w:pos="3584" w:leader="none"/>
        </w:tabs>
        <w:rPr>
          <w:b/>
          <w:bCs/>
          <w:sz w:val="44"/>
        </w:rPr>
      </w:pPr>
      <w:r>
        <w:rPr>
          <w:rFonts w:hint="eastAsia"/>
          <w:bCs/>
          <w:sz w:val="36"/>
          <w:szCs w:val="36"/>
        </w:rPr>
        <w:t xml:space="preserve">二零二六年六月</w:t>
      </w:r>
      <w:r>
        <w:rPr>
          <w:b/>
          <w:bCs/>
          <w:sz w:val="44"/>
        </w:rPr>
        <w:br w:type="page" w:clear="all"/>
      </w:r>
      <w:bookmarkStart w:id="0" w:name="_Toc99301278"/>
      <w:r>
        <w:rPr>
          <w:b/>
          <w:bCs/>
          <w:sz w:val="44"/>
        </w:rPr>
      </w:r>
      <w:r/>
    </w:p>
    <w:p>
      <w:pPr>
        <w:pStyle w:val="779"/>
        <w:ind w:firstLine="1084"/>
        <w:jc w:val="center"/>
        <w:spacing w:line="360" w:lineRule="auto"/>
        <w:tabs>
          <w:tab w:val="left" w:pos="2700" w:leader="none"/>
          <w:tab w:val="left" w:pos="3584" w:leader="none"/>
        </w:tabs>
        <w:rPr>
          <w:b/>
          <w:sz w:val="36"/>
          <w:szCs w:val="36"/>
        </w:rPr>
      </w:pPr>
      <w:r>
        <w:rPr>
          <w:b/>
          <w:sz w:val="36"/>
          <w:szCs w:val="36"/>
        </w:rPr>
        <w:t xml:space="preserve">目      录</w:t>
      </w:r>
      <w:bookmarkEnd w:id="0"/>
      <w:r>
        <w:rPr>
          <w:b/>
          <w:sz w:val="36"/>
          <w:szCs w:val="36"/>
        </w:rPr>
      </w:r>
      <w:r/>
    </w:p>
    <w:p>
      <w:pPr>
        <w:pStyle w:val="779"/>
      </w:pPr>
      <w:r/>
      <w:r/>
    </w:p>
    <w:p>
      <w:pPr>
        <w:pStyle w:val="779"/>
      </w:pPr>
      <w:r/>
      <w:r/>
    </w:p>
    <w:p>
      <w:pPr>
        <w:pStyle w:val="779"/>
      </w:pPr>
      <w:r/>
      <w:r/>
    </w:p>
    <w:p>
      <w:pPr>
        <w:pStyle w:val="832"/>
        <w:spacing w:line="360" w:lineRule="auto"/>
        <w:tabs>
          <w:tab w:val="left" w:pos="1050" w:leader="none"/>
          <w:tab w:val="right" w:pos="8937" w:leader="dot"/>
        </w:tabs>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"_Toc99301279" </w:instrText>
      </w:r>
      <w:r>
        <w:fldChar w:fldCharType="separate"/>
      </w:r>
      <w:r>
        <w:rPr>
          <w:rStyle w:val="855"/>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"_Toc99301280" </w:instrText>
      </w:r>
      <w:r>
        <w:fldChar w:fldCharType="separate"/>
      </w:r>
      <w:r>
        <w:rPr>
          <w:rStyle w:val="855"/>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"_Toc99301281" </w:instrText>
      </w:r>
      <w:r>
        <w:fldChar w:fldCharType="separate"/>
      </w:r>
      <w:r>
        <w:rPr>
          <w:rStyle w:val="855"/>
          <w:rFonts w:ascii="Times New Roman" w:hAnsi="Times New Roman"/>
        </w:rPr>
        <w:t xml:space="preserve">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"_Toc99301282" </w:instrText>
      </w:r>
      <w:r>
        <w:fldChar w:fldCharType="separate"/>
      </w:r>
      <w:r>
        <w:rPr>
          <w:rStyle w:val="855"/>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"_Toc99301283" </w:instrText>
      </w:r>
      <w:r>
        <w:fldChar w:fldCharType="separate"/>
      </w:r>
      <w:r>
        <w:rPr>
          <w:rStyle w:val="855"/>
          <w:rFonts w:ascii="Times New Roman" w:hAnsi="Times New Roman"/>
        </w:rPr>
        <w:t xml:space="preserve">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"_Toc99301284" </w:instrText>
      </w:r>
      <w:r>
        <w:fldChar w:fldCharType="separate"/>
      </w:r>
      <w:r>
        <w:rPr>
          <w:rStyle w:val="855"/>
          <w:rFonts w:ascii="Times New Roman" w:hAnsi="Times New Roman"/>
        </w:rPr>
        <w:t xml:space="preserve">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3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79"/>
        <w:jc w:val="left"/>
        <w:widowControl/>
        <w:rPr>
          <w:b/>
          <w:sz w:val="36"/>
          <w:szCs w:val="36"/>
        </w:rPr>
      </w:pPr>
      <w:r>
        <w:rPr>
          <w:b/>
          <w:sz w:val="36"/>
          <w:szCs w:val="36"/>
        </w:rPr>
        <w:br w:type="page" w:clear="all"/>
      </w:r>
      <w:r>
        <w:rPr>
          <w:b/>
          <w:sz w:val="36"/>
          <w:szCs w:val="36"/>
        </w:rPr>
      </w:r>
      <w:r/>
    </w:p>
    <w:p>
      <w:pPr>
        <w:pStyle w:val="779"/>
        <w:jc w:val="center"/>
        <w:spacing w:line="360" w:lineRule="auto"/>
        <w:rPr>
          <w:b/>
          <w:sz w:val="36"/>
          <w:szCs w:val="36"/>
        </w:rPr>
        <w:outlineLvl w:val="0"/>
      </w:pPr>
      <w:r/>
      <w:bookmarkStart w:id="1" w:name="_Toc99301279"/>
      <w:r>
        <w:rPr>
          <w:b/>
          <w:sz w:val="36"/>
          <w:szCs w:val="36"/>
        </w:rPr>
        <w:t xml:space="preserve">第一章   采购邀请</w:t>
      </w:r>
      <w:bookmarkEnd w:id="1"/>
      <w:r>
        <w:rPr>
          <w:b/>
          <w:sz w:val="36"/>
          <w:szCs w:val="36"/>
        </w:rPr>
      </w:r>
      <w:r/>
    </w:p>
    <w:p>
      <w:pPr>
        <w:pStyle w:val="779"/>
        <w:ind w:firstLine="640"/>
        <w:spacing w:line="360" w:lineRule="auto"/>
        <w:rPr>
          <w:sz w:val="32"/>
          <w:szCs w:val="32"/>
        </w:rPr>
      </w:pPr>
      <w:r>
        <w:rPr>
          <w:sz w:val="32"/>
          <w:szCs w:val="32"/>
        </w:rPr>
      </w:r>
      <w:r/>
    </w:p>
    <w:p>
      <w:pPr>
        <w:pStyle w:val="781"/>
        <w:jc w:val="left"/>
        <w:spacing w:before="0" w:line="360" w:lineRule="auto"/>
        <w:rPr>
          <w:rFonts w:ascii="Times New Roman" w:hAnsi="Times New Roman" w:eastAsia="宋体"/>
          <w:sz w:val="24"/>
          <w:szCs w:val="24"/>
        </w:rPr>
      </w:pPr>
      <w:r/>
      <w:bookmarkStart w:id="2" w:name="_Toc28359002"/>
      <w:r/>
      <w:bookmarkStart w:id="3" w:name="_Toc28359079"/>
      <w:r/>
      <w:bookmarkStart w:id="4" w:name="_Toc35393621"/>
      <w:r/>
      <w:bookmarkStart w:id="5" w:name="_Toc35393790"/>
      <w:r/>
      <w:bookmarkStart w:id="6" w:name="_Hlk24379207"/>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79"/>
        <w:ind w:firstLine="480"/>
        <w:spacing w:line="360" w:lineRule="auto"/>
        <w:rPr>
          <w:sz w:val="24"/>
          <w:u w:val="single"/>
        </w:rPr>
      </w:pPr>
      <w:r>
        <w:rPr>
          <w:sz w:val="24"/>
        </w:rPr>
        <w:t xml:space="preserve">1.项目编号：</w:t>
      </w:r>
      <w:r>
        <w:rPr>
          <w:rFonts w:hint="eastAsia" w:ascii="Times New Roman" w:hAnsi="Times New Roman" w:eastAsia="宋体" w:cs="Times New Roman"/>
          <w:sz w:val="24"/>
          <w:lang w:eastAsia="zh-CN"/>
        </w:rPr>
        <w:t xml:space="preserve">JSZC-320400-CZZH-D2026-0038</w:t>
      </w:r>
      <w:r>
        <w:rPr>
          <w:sz w:val="24"/>
          <w:u w:val="single"/>
        </w:rPr>
      </w:r>
      <w:r/>
    </w:p>
    <w:p>
      <w:pPr>
        <w:pStyle w:val="779"/>
        <w:ind w:firstLine="480"/>
        <w:spacing w:line="360" w:lineRule="auto"/>
        <w:rPr>
          <w:rFonts w:hint="eastAsia" w:eastAsia="宋体"/>
          <w:sz w:val="24"/>
          <w:lang w:eastAsia="zh-CN"/>
        </w:rPr>
      </w:pPr>
      <w:r>
        <w:rPr>
          <w:rFonts w:hint="eastAsia"/>
          <w:sz w:val="24"/>
        </w:rPr>
        <w:t xml:space="preserve">2.项目名称：</w:t>
      </w:r>
      <w:r>
        <w:rPr>
          <w:rFonts w:hint="eastAsia"/>
          <w:sz w:val="24"/>
          <w:lang w:eastAsia="zh-CN"/>
        </w:rPr>
        <w:t xml:space="preserve">常州市公安局114客服电话移车服务采购项目</w:t>
      </w:r>
      <w:r>
        <w:rPr>
          <w:rFonts w:hint="eastAsia" w:eastAsia="宋体"/>
          <w:sz w:val="24"/>
          <w:lang w:eastAsia="zh-CN"/>
        </w:rPr>
      </w:r>
      <w:r/>
    </w:p>
    <w:p>
      <w:pPr>
        <w:pStyle w:val="779"/>
        <w:ind w:firstLine="480"/>
        <w:spacing w:line="360" w:lineRule="auto"/>
        <w:rPr>
          <w:rFonts w:hint="eastAsia"/>
          <w:sz w:val="24"/>
        </w:rPr>
      </w:pPr>
      <w:r/>
      <w:bookmarkEnd w:id="6"/>
      <w:r>
        <w:rPr>
          <w:rFonts w:hint="eastAsia"/>
          <w:sz w:val="24"/>
        </w:rPr>
        <w:t xml:space="preserve">3.项目预算金额：</w:t>
      </w:r>
      <w:r>
        <w:rPr>
          <w:rFonts w:hint="eastAsia"/>
          <w:sz w:val="24"/>
          <w:lang w:val="en-US" w:eastAsia="zh-CN"/>
        </w:rPr>
        <w:t xml:space="preserve">135</w:t>
      </w:r>
      <w:r>
        <w:rPr>
          <w:rFonts w:hint="eastAsia"/>
          <w:sz w:val="24"/>
        </w:rPr>
        <w:t xml:space="preserve">万元/年</w:t>
      </w:r>
      <w:r>
        <w:rPr>
          <w:rFonts w:hint="eastAsia"/>
          <w:sz w:val="24"/>
        </w:rPr>
      </w:r>
      <w:r/>
    </w:p>
    <w:p>
      <w:pPr>
        <w:pStyle w:val="779"/>
        <w:ind w:firstLine="480"/>
        <w:spacing w:line="360" w:lineRule="auto"/>
        <w:rPr>
          <w:rFonts w:hint="eastAsia"/>
          <w:sz w:val="24"/>
        </w:rPr>
      </w:pPr>
      <w:r>
        <w:rPr>
          <w:rFonts w:hint="eastAsia"/>
          <w:sz w:val="24"/>
        </w:rPr>
        <w:t xml:space="preserve">4.项目最高限价：135万元/年</w:t>
      </w:r>
      <w:r>
        <w:rPr>
          <w:rFonts w:hint="eastAsia"/>
          <w:sz w:val="24"/>
        </w:rPr>
      </w:r>
      <w:r>
        <w:rPr>
          <w:rFonts w:ascii="SimSun" w:hAnsi="SimSun" w:eastAsia="SimSun" w:cs="SimSun"/>
          <w:color w:val="000000"/>
          <w:sz w:val="24"/>
        </w:rPr>
        <w:t xml:space="preserve">，单价限价详见采购需求。</w:t>
      </w:r>
      <w:r>
        <w:rPr>
          <w:rFonts w:hint="eastAsia"/>
          <w:sz w:val="24"/>
        </w:rPr>
      </w:r>
      <w:r/>
    </w:p>
    <w:p>
      <w:pPr>
        <w:pStyle w:val="779"/>
        <w:ind w:firstLine="480"/>
        <w:spacing w:line="360" w:lineRule="auto"/>
        <w:rPr>
          <w:sz w:val="24"/>
        </w:rPr>
      </w:pPr>
      <w:r>
        <w:rPr>
          <w:rFonts w:hint="eastAsia"/>
          <w:sz w:val="24"/>
        </w:rPr>
        <w:t xml:space="preserve">5.采购需求：</w:t>
      </w:r>
      <w:r>
        <w:rPr>
          <w:rFonts w:hint="eastAsia"/>
          <w:sz w:val="24"/>
          <w:lang w:eastAsia="zh-CN"/>
        </w:rPr>
        <w:t xml:space="preserve">常州市公安局114客服电话移车服务采购项目</w:t>
      </w:r>
      <w:r>
        <w:rPr>
          <w:rFonts w:hint="eastAsia"/>
          <w:sz w:val="24"/>
        </w:rPr>
        <w:t xml:space="preserve">，详见采购需求。</w:t>
      </w:r>
      <w:r>
        <w:rPr>
          <w:sz w:val="24"/>
        </w:rPr>
      </w:r>
      <w:r/>
    </w:p>
    <w:p>
      <w:pPr>
        <w:pStyle w:val="779"/>
        <w:ind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highlight w:val="none"/>
        </w:rPr>
      </w:pPr>
      <w:r>
        <w:rPr>
          <w:rFonts w:hint="eastAsia" w:ascii="宋体" w:hAnsi="宋体" w:cs="宋体"/>
          <w:bCs/>
          <w:sz w:val="24"/>
          <w:highlight w:val="none"/>
        </w:rPr>
        <w:t xml:space="preserve">6.合同履行期限：</w:t>
      </w:r>
      <w:r>
        <w:rPr>
          <w:rFonts w:hint="eastAsia" w:ascii="Times New Roman" w:hAnsi="Times New Roman" w:eastAsia="宋体" w:cs="Times New Roman"/>
          <w:sz w:val="24"/>
          <w:highlight w:val="none"/>
        </w:rPr>
        <w:t xml:space="preserve">一年。在本合同履行期限内，若</w:t>
      </w:r>
      <w:r>
        <w:rPr>
          <w:rFonts w:hint="eastAsia" w:ascii="Times New Roman" w:hAnsi="Times New Roman" w:eastAsia="宋体" w:cs="Times New Roman"/>
          <w:sz w:val="24"/>
          <w:highlight w:val="none"/>
          <w:lang w:eastAsia="zh-CN"/>
        </w:rPr>
        <w:t xml:space="preserve">采购</w:t>
      </w:r>
      <w:r>
        <w:rPr>
          <w:rFonts w:hint="eastAsia" w:ascii="Times New Roman" w:hAnsi="Times New Roman" w:eastAsia="宋体" w:cs="Times New Roman"/>
          <w:sz w:val="24"/>
          <w:highlight w:val="none"/>
          <w:lang w:val="en-US" w:eastAsia="zh-CN"/>
        </w:rPr>
        <w:t xml:space="preserve">人</w:t>
      </w:r>
      <w:r>
        <w:rPr>
          <w:rFonts w:hint="eastAsia" w:ascii="Times New Roman" w:hAnsi="Times New Roman" w:eastAsia="宋体" w:cs="Times New Roman"/>
          <w:sz w:val="24"/>
          <w:highlight w:val="none"/>
        </w:rPr>
        <w:t xml:space="preserve">因自身业务布局调整、项目终止、策略变更等合理实际需求，确需提前解除本合同的，</w:t>
      </w:r>
      <w:r>
        <w:rPr>
          <w:rFonts w:hint="eastAsia" w:ascii="Times New Roman" w:hAnsi="Times New Roman" w:eastAsia="宋体" w:cs="Times New Roman"/>
          <w:sz w:val="24"/>
          <w:highlight w:val="none"/>
          <w:lang w:val="en-US" w:eastAsia="zh-CN"/>
        </w:rPr>
        <w:t xml:space="preserve">采购人</w:t>
      </w:r>
      <w:r>
        <w:rPr>
          <w:rFonts w:hint="eastAsia" w:ascii="Times New Roman" w:hAnsi="Times New Roman" w:eastAsia="宋体" w:cs="Times New Roman"/>
          <w:sz w:val="24"/>
          <w:highlight w:val="none"/>
        </w:rPr>
        <w:t xml:space="preserve">有权提前</w:t>
      </w:r>
      <w:r>
        <w:rPr>
          <w:rFonts w:hint="eastAsia" w:ascii="Times New Roman" w:hAnsi="Times New Roman" w:eastAsia="宋体" w:cs="Times New Roman"/>
          <w:sz w:val="24"/>
          <w:highlight w:val="none"/>
          <w:lang w:val="en-US" w:eastAsia="zh-CN"/>
        </w:rPr>
        <w:t xml:space="preserve">15</w:t>
      </w:r>
      <w:r>
        <w:rPr>
          <w:rFonts w:hint="eastAsia" w:ascii="Times New Roman" w:hAnsi="Times New Roman" w:eastAsia="宋体" w:cs="Times New Roman"/>
          <w:sz w:val="24"/>
          <w:highlight w:val="none"/>
        </w:rPr>
        <w:t xml:space="preserve">日以书面形式向</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发出解除通知，本合同自通知载明的解除日期自动终止。</w:t>
      </w:r>
      <w:r>
        <w:rPr>
          <w:rFonts w:hint="eastAsia" w:ascii="Times New Roman" w:hAnsi="Times New Roman" w:eastAsia="宋体" w:cs="Times New Roman"/>
          <w:sz w:val="24"/>
          <w:highlight w:val="none"/>
        </w:rPr>
      </w:r>
      <w:r/>
    </w:p>
    <w:p>
      <w:pPr>
        <w:pStyle w:val="779"/>
        <w:ind w:firstLine="480"/>
        <w:spacing w:line="360" w:lineRule="auto"/>
        <w:rPr>
          <w:rFonts w:hint="eastAsia"/>
          <w:sz w:val="24"/>
        </w:rPr>
      </w:pPr>
      <w:r>
        <w:rPr>
          <w:rFonts w:hint="eastAsia"/>
          <w:sz w:val="24"/>
        </w:rPr>
        <w:t xml:space="preserve">7</w:t>
      </w:r>
      <w:r>
        <w:rPr>
          <w:sz w:val="24"/>
        </w:rPr>
        <w:t xml:space="preserve">.本项目是否接受联合体：</w:t>
      </w:r>
      <w:r>
        <w:rPr>
          <w:rFonts w:hint="eastAsia"/>
          <w:sz w:val="24"/>
        </w:rPr>
        <w:t xml:space="preserve">否</w:t>
      </w:r>
      <w:r>
        <w:rPr>
          <w:rFonts w:hint="eastAsia"/>
          <w:sz w:val="24"/>
        </w:rPr>
      </w:r>
      <w:r/>
    </w:p>
    <w:p>
      <w:pPr>
        <w:pStyle w:val="779"/>
        <w:ind w:firstLine="480"/>
        <w:spacing w:line="360" w:lineRule="auto"/>
        <w:rPr>
          <w:sz w:val="24"/>
        </w:rPr>
      </w:pPr>
      <w:r/>
      <w:bookmarkStart w:id="7" w:name="_Toc35393622"/>
      <w:r/>
      <w:bookmarkStart w:id="8" w:name="_Toc35393791"/>
      <w:r/>
      <w:bookmarkStart w:id="9" w:name="_Toc28359080"/>
      <w:r/>
      <w:bookmarkStart w:id="10" w:name="_Toc28359003"/>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78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779"/>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77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79"/>
        <w:ind w:firstLine="480"/>
        <w:spacing w:line="360" w:lineRule="auto"/>
        <w:rPr>
          <w:sz w:val="24"/>
        </w:rPr>
      </w:pPr>
      <w:r>
        <w:rPr>
          <w:sz w:val="24"/>
        </w:rPr>
        <w:t xml:space="preserve">2.落实政府采购政策需满足的资格要求：</w:t>
      </w:r>
      <w:r>
        <w:rPr>
          <w:sz w:val="24"/>
        </w:rPr>
      </w:r>
      <w:r/>
    </w:p>
    <w:p>
      <w:pPr>
        <w:pStyle w:val="779"/>
        <w:ind w:firstLine="480"/>
        <w:spacing w:line="360" w:lineRule="auto"/>
        <w:rPr>
          <w:sz w:val="24"/>
        </w:rPr>
      </w:pPr>
      <w:r>
        <w:rPr>
          <w:sz w:val="24"/>
        </w:rPr>
        <w:t xml:space="preserve">2.1 中小企业政策</w:t>
      </w:r>
      <w:r>
        <w:rPr>
          <w:sz w:val="24"/>
        </w:rPr>
      </w:r>
      <w:r/>
    </w:p>
    <w:p>
      <w:pPr>
        <w:pStyle w:val="779"/>
        <w:ind w:firstLine="480"/>
        <w:spacing w:line="360" w:lineRule="auto"/>
        <w:rPr>
          <w:sz w:val="24"/>
        </w:rPr>
      </w:pPr>
      <w:r>
        <w:rPr>
          <w:sz w:val="24"/>
        </w:rPr>
        <w:t xml:space="preserve">本项目</w:t>
      </w:r>
      <w:r>
        <w:rPr>
          <w:rFonts w:hint="eastAsia"/>
          <w:sz w:val="24"/>
          <w:highlight w:val="none"/>
        </w:rPr>
        <w:t xml:space="preserve">不</w:t>
      </w:r>
      <w:r>
        <w:rPr>
          <w:sz w:val="24"/>
          <w:highlight w:val="none"/>
        </w:rPr>
        <w:t xml:space="preserve">专门</w:t>
      </w:r>
      <w:r>
        <w:rPr>
          <w:sz w:val="24"/>
        </w:rPr>
        <w:t xml:space="preserve">面向中小企业预留采购份额</w:t>
      </w:r>
      <w:r>
        <w:rPr>
          <w:sz w:val="24"/>
        </w:rPr>
      </w:r>
      <w:r/>
    </w:p>
    <w:p>
      <w:pPr>
        <w:pStyle w:val="779"/>
        <w:ind w:firstLine="480"/>
        <w:spacing w:line="360" w:lineRule="auto"/>
        <w:rPr>
          <w:i/>
          <w:iCs/>
          <w:sz w:val="24"/>
          <w:u w:val="single"/>
        </w:rPr>
      </w:pPr>
      <w:r>
        <w:rPr>
          <w:sz w:val="24"/>
        </w:rPr>
        <w:t xml:space="preserve">3.本项目的特定资格要求：</w:t>
      </w:r>
      <w:r>
        <w:rPr>
          <w:i/>
          <w:iCs/>
          <w:sz w:val="24"/>
          <w:u w:val="single"/>
        </w:rPr>
      </w:r>
      <w:r/>
    </w:p>
    <w:p>
      <w:pPr>
        <w:pStyle w:val="779"/>
        <w:ind w:firstLine="480"/>
        <w:spacing w:line="360" w:lineRule="auto"/>
        <w:tabs>
          <w:tab w:val="left" w:pos="900" w:leader="none"/>
          <w:tab w:val="left" w:pos="1134" w:leader="none"/>
          <w:tab w:val="left" w:pos="1589" w:leader="none"/>
          <w:tab w:val="left" w:pos="5521" w:leader="none"/>
        </w:tabs>
        <w:rPr>
          <w:rFonts w:hint="eastAsia"/>
          <w:i/>
          <w:sz w:val="24"/>
        </w:rPr>
      </w:pPr>
      <w:r>
        <w:rPr>
          <w:sz w:val="24"/>
        </w:rPr>
        <w:t xml:space="preserve">3.1本项目是否接受分支机构参与：</w:t>
      </w:r>
      <w:r>
        <w:rPr>
          <w:rFonts w:hint="eastAsia"/>
          <w:sz w:val="24"/>
        </w:rPr>
        <w:t xml:space="preserve">是</w:t>
      </w:r>
      <w:r>
        <w:rPr>
          <w:rFonts w:hint="eastAsia"/>
          <w:i/>
          <w:sz w:val="24"/>
        </w:rPr>
      </w:r>
      <w:r/>
    </w:p>
    <w:p>
      <w:pPr>
        <w:pStyle w:val="779"/>
        <w:ind w:firstLine="480"/>
        <w:spacing w:line="360" w:lineRule="auto"/>
        <w:tabs>
          <w:tab w:val="left" w:pos="900" w:leader="none"/>
          <w:tab w:val="left" w:pos="1134" w:leader="none"/>
          <w:tab w:val="left" w:pos="1589" w:leader="none"/>
          <w:tab w:val="left" w:pos="5521" w:leader="none"/>
        </w:tabs>
        <w:rPr>
          <w:rFonts w:hint="eastAsia"/>
          <w:sz w:val="24"/>
        </w:rPr>
      </w:pPr>
      <w:r/>
      <w:bookmarkEnd w:id="11"/>
      <w:r/>
      <w:bookmarkEnd w:id="12"/>
      <w:r/>
      <w:bookmarkStart w:id="13" w:name="_Toc35393623"/>
      <w:r/>
      <w:bookmarkStart w:id="14" w:name="_Toc35393792"/>
      <w:r>
        <w:rPr>
          <w:rFonts w:hint="eastAsia"/>
          <w:sz w:val="24"/>
        </w:rPr>
        <w:t xml:space="preserve">3.2本项目是否属于政府购买服务：是，公益一类事业单位、使用事业编制且由财政拨款保障的群团组织，不得作为承接主体</w:t>
      </w:r>
      <w:r>
        <w:rPr>
          <w:rFonts w:hint="eastAsia"/>
          <w:sz w:val="24"/>
        </w:rPr>
      </w:r>
      <w:r/>
    </w:p>
    <w:p>
      <w:pPr>
        <w:pStyle w:val="779"/>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3.3其他特定资格要求：无</w:t>
      </w:r>
      <w:r>
        <w:rPr>
          <w:rFonts w:hint="eastAsia"/>
          <w:sz w:val="24"/>
        </w:rPr>
      </w:r>
      <w:r/>
    </w:p>
    <w:p>
      <w:pPr>
        <w:pStyle w:val="781"/>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779"/>
        <w:ind w:firstLine="480"/>
        <w:spacing w:line="360" w:lineRule="auto"/>
        <w:rPr>
          <w:rFonts w:hint="eastAsia" w:ascii="宋体" w:hAnsi="宋体" w:cs="宋体"/>
          <w:sz w:val="24"/>
        </w:rPr>
      </w:pPr>
      <w:r>
        <w:rPr>
          <w:sz w:val="24"/>
          <w:lang w:bidi="ar"/>
        </w:rPr>
        <w:t xml:space="preserve">1.获取时间：</w:t>
      </w:r>
      <w:r>
        <w:rPr>
          <w:rFonts w:hint="eastAsia"/>
          <w:sz w:val="24"/>
          <w:lang w:val="zh-CN" w:bidi="ar"/>
        </w:rPr>
        <w:t xml:space="preserve">自本公告发布之日起至</w:t>
      </w:r>
      <w:r>
        <w:rPr>
          <w:rFonts w:hint="eastAsia"/>
          <w:sz w:val="24"/>
          <w:lang w:bidi="ar"/>
        </w:rPr>
        <w:t xml:space="preserve">2026</w:t>
      </w:r>
      <w:r>
        <w:rPr>
          <w:rFonts w:hint="eastAsia"/>
          <w:sz w:val="24"/>
          <w:lang w:val="en-US" w:eastAsia="zh-CN" w:bidi="ar"/>
        </w:rPr>
        <w:t xml:space="preserve">年7</w:t>
      </w:r>
      <w:r>
        <w:rPr>
          <w:rFonts w:hint="eastAsia"/>
          <w:sz w:val="24"/>
          <w:lang w:val="zh-CN" w:bidi="ar"/>
        </w:rPr>
        <w:t xml:space="preserve">月</w:t>
      </w:r>
      <w:r>
        <w:rPr>
          <w:rFonts w:hint="eastAsia"/>
          <w:sz w:val="24"/>
          <w:lang w:val="en-US" w:eastAsia="zh-CN" w:bidi="ar"/>
        </w:rPr>
        <w:t xml:space="preserve">1</w:t>
      </w:r>
      <w:r>
        <w:rPr>
          <w:rFonts w:hint="eastAsia"/>
          <w:sz w:val="24"/>
          <w:lang w:val="zh-CN" w:bidi="ar"/>
        </w:rPr>
        <w:t xml:space="preserve">日</w:t>
      </w:r>
      <w:r>
        <w:rPr>
          <w:rFonts w:hint="eastAsia"/>
          <w:sz w:val="24"/>
          <w:lang w:val="en-US" w:eastAsia="zh-CN" w:bidi="ar"/>
        </w:rPr>
        <w:t xml:space="preserve">14:00</w:t>
      </w:r>
      <w:r>
        <w:rPr>
          <w:rFonts w:hint="eastAsia" w:ascii="宋体" w:hAnsi="宋体" w:cs="宋体"/>
          <w:sz w:val="24"/>
        </w:rPr>
        <w:t xml:space="preserve"> </w:t>
      </w:r>
      <w:r>
        <w:rPr>
          <w:rFonts w:hint="eastAsia" w:ascii="宋体" w:hAnsi="宋体" w:cs="宋体"/>
          <w:sz w:val="24"/>
        </w:rPr>
      </w:r>
      <w:r/>
    </w:p>
    <w:p>
      <w:pPr>
        <w:pStyle w:val="779"/>
        <w:ind w:firstLine="480"/>
        <w:spacing w:line="360" w:lineRule="auto"/>
        <w:rPr>
          <w:sz w:val="24"/>
        </w:rPr>
      </w:pPr>
      <w:r>
        <w:rPr>
          <w:sz w:val="24"/>
          <w:lang w:bidi="ar"/>
        </w:rPr>
        <w:t xml:space="preserve">2.获取地点：</w:t>
      </w:r>
      <w:r>
        <w:rPr>
          <w:rFonts w:hint="eastAsia"/>
          <w:sz w:val="24"/>
          <w:lang w:bidi="ar"/>
        </w:rPr>
        <w:t xml:space="preserve">“苏采云”政府采购一体化平台</w:t>
      </w:r>
      <w:r>
        <w:rPr>
          <w:sz w:val="24"/>
        </w:rPr>
      </w:r>
      <w:r/>
    </w:p>
    <w:p>
      <w:pPr>
        <w:pStyle w:val="779"/>
        <w:ind w:firstLine="480"/>
        <w:jc w:val="left"/>
        <w:spacing w:line="360" w:lineRule="auto"/>
        <w:widowControl/>
        <w:rPr>
          <w:sz w:val="24"/>
          <w:lang w:bidi="ar"/>
        </w:rPr>
      </w:pPr>
      <w:r>
        <w:rPr>
          <w:sz w:val="24"/>
          <w:lang w:bidi="ar"/>
        </w:rPr>
        <w:t xml:space="preserve">3.获取方式：供应商持CA数字认证证书登录</w:t>
      </w:r>
      <w:r>
        <w:rPr>
          <w:rFonts w:hint="eastAsia"/>
          <w:sz w:val="24"/>
          <w:lang w:bidi="ar"/>
        </w:rPr>
        <w:t xml:space="preserve">“苏采云”政府采购一体化平台（</w:t>
      </w:r>
      <w:r>
        <w:rPr>
          <w:rFonts w:hint="eastAsia" w:ascii="宋体" w:hAnsi="宋体" w:cs="宋体"/>
          <w:sz w:val="24"/>
        </w:rPr>
        <w:t xml:space="preserve">http://jszfcg.jsczt.cn/jszc/login</w:t>
      </w:r>
      <w:r>
        <w:rPr>
          <w:rFonts w:hint="eastAsia"/>
          <w:sz w:val="24"/>
          <w:lang w:bidi="ar"/>
        </w:rPr>
        <w:t xml:space="preserve">）</w:t>
      </w:r>
      <w:r>
        <w:rPr>
          <w:sz w:val="24"/>
          <w:lang w:bidi="ar"/>
        </w:rPr>
        <w:t xml:space="preserve">获取电子版采购文件。</w:t>
      </w:r>
      <w:r>
        <w:rPr>
          <w:sz w:val="24"/>
          <w:lang w:bidi="ar"/>
        </w:rPr>
      </w:r>
      <w:r/>
    </w:p>
    <w:p>
      <w:pPr>
        <w:pStyle w:val="779"/>
        <w:ind w:firstLine="480"/>
        <w:jc w:val="left"/>
        <w:spacing w:line="360" w:lineRule="auto"/>
        <w:widowControl/>
        <w:rPr>
          <w:sz w:val="24"/>
        </w:rPr>
      </w:pPr>
      <w:r>
        <w:rPr>
          <w:sz w:val="24"/>
          <w:lang w:bidi="ar"/>
        </w:rPr>
        <w:t xml:space="preserve">4.采购文件售价：0元。</w:t>
      </w:r>
      <w:r>
        <w:rPr>
          <w:sz w:val="24"/>
        </w:rPr>
      </w:r>
      <w:r/>
    </w:p>
    <w:p>
      <w:pPr>
        <w:pStyle w:val="781"/>
        <w:jc w:val="left"/>
        <w:spacing w:before="0" w:line="360" w:lineRule="auto"/>
        <w:widowControl/>
        <w:rPr>
          <w:rFonts w:ascii="Times New Roman" w:hAnsi="Times New Roman" w:eastAsia="宋体"/>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779"/>
        <w:ind w:firstLine="480"/>
        <w:spacing w:line="360" w:lineRule="auto"/>
        <w:rPr>
          <w:bCs/>
          <w:sz w:val="24"/>
          <w:u w:val="single"/>
        </w:rPr>
      </w:pPr>
      <w:r>
        <w:rPr>
          <w:sz w:val="24"/>
          <w:lang w:bidi="ar"/>
        </w:rPr>
        <w:t xml:space="preserve">截止时间：</w:t>
      </w:r>
      <w:r>
        <w:rPr>
          <w:rFonts w:hint="eastAsia"/>
          <w:sz w:val="24"/>
          <w:lang w:bidi="ar"/>
        </w:rPr>
        <w:t xml:space="preserve">2026</w:t>
      </w:r>
      <w:r>
        <w:rPr>
          <w:rFonts w:hint="eastAsia"/>
          <w:sz w:val="24"/>
          <w:lang w:val="en-US" w:eastAsia="zh-CN" w:bidi="ar"/>
        </w:rPr>
        <w:t xml:space="preserve">年7</w:t>
      </w:r>
      <w:r>
        <w:rPr>
          <w:sz w:val="24"/>
          <w:lang w:bidi="ar"/>
        </w:rPr>
        <w:t xml:space="preserve">月</w:t>
      </w:r>
      <w:r>
        <w:rPr>
          <w:rFonts w:hint="eastAsia"/>
          <w:sz w:val="24"/>
          <w:lang w:val="en-US" w:eastAsia="zh-CN" w:bidi="ar"/>
        </w:rPr>
        <w:t xml:space="preserve">1</w:t>
      </w:r>
      <w:r>
        <w:rPr>
          <w:sz w:val="24"/>
          <w:lang w:bidi="ar"/>
        </w:rPr>
        <w:t xml:space="preserve">日</w:t>
      </w:r>
      <w:r>
        <w:rPr>
          <w:rFonts w:hint="eastAsia"/>
          <w:sz w:val="24"/>
          <w:lang w:val="en-US" w:eastAsia="zh-CN" w:bidi="ar"/>
        </w:rPr>
        <w:t xml:space="preserve">14</w:t>
      </w:r>
      <w:r>
        <w:rPr>
          <w:sz w:val="24"/>
          <w:lang w:bidi="ar"/>
        </w:rPr>
        <w:t xml:space="preserve">点</w:t>
      </w:r>
      <w:r>
        <w:rPr>
          <w:rFonts w:hint="eastAsia"/>
          <w:sz w:val="24"/>
          <w:lang w:val="en-US" w:eastAsia="zh-CN" w:bidi="ar"/>
        </w:rPr>
        <w:t xml:space="preserve">00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779"/>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本项目采用不见面交易方式，无需到现场提交，供应商登录“苏采云”政府采购一体化平台供应商端，通过系统在线提交电子响应文件</w:t>
      </w:r>
      <w:r>
        <w:rPr>
          <w:rFonts w:hint="eastAsia" w:ascii="宋体" w:hAnsi="宋体"/>
          <w:sz w:val="24"/>
          <w:lang w:val="zh-TW"/>
        </w:rPr>
        <w:t xml:space="preserve">。</w:t>
      </w:r>
      <w:r>
        <w:rPr>
          <w:sz w:val="24"/>
          <w:lang w:val="zh-TW" w:bidi="ar"/>
        </w:rPr>
      </w:r>
      <w:r/>
    </w:p>
    <w:p>
      <w:pPr>
        <w:pStyle w:val="781"/>
        <w:jc w:val="left"/>
        <w:spacing w:before="0" w:line="360" w:lineRule="auto"/>
        <w:rPr>
          <w:rFonts w:ascii="Times New Roman" w:hAnsi="Times New Roman" w:eastAsia="宋体"/>
          <w:sz w:val="24"/>
          <w:szCs w:val="24"/>
        </w:rPr>
      </w:pPr>
      <w:r/>
      <w:bookmarkStart w:id="19" w:name="_Toc35393795"/>
      <w:r/>
      <w:bookmarkStart w:id="20" w:name="_Toc35393626"/>
      <w:r>
        <w:rPr>
          <w:rFonts w:ascii="Times New Roman" w:hAnsi="Times New Roman" w:eastAsia="宋体"/>
          <w:sz w:val="24"/>
          <w:szCs w:val="24"/>
        </w:rPr>
        <w:t xml:space="preserve">五、其他补充事宜</w:t>
      </w:r>
      <w:bookmarkEnd w:id="19"/>
      <w:r/>
      <w:bookmarkEnd w:id="20"/>
      <w:r>
        <w:rPr>
          <w:rFonts w:ascii="Times New Roman" w:hAnsi="Times New Roman" w:eastAsia="宋体"/>
          <w:sz w:val="24"/>
          <w:szCs w:val="24"/>
        </w:rPr>
      </w:r>
      <w:r/>
    </w:p>
    <w:p>
      <w:pPr>
        <w:pStyle w:val="779"/>
        <w:ind w:firstLine="480"/>
        <w:spacing w:line="360" w:lineRule="auto"/>
        <w:rPr>
          <w:rFonts w:hint="eastAsia"/>
          <w:sz w:val="24"/>
        </w:rPr>
      </w:pPr>
      <w:r>
        <w:rPr>
          <w:sz w:val="24"/>
        </w:rPr>
        <w:t xml:space="preserve">1.本项目需要落实的政府采购政策：</w:t>
      </w:r>
      <w:r>
        <w:rPr>
          <w:rFonts w:hint="eastAsia"/>
          <w:sz w:val="24"/>
        </w:rPr>
        <w:t xml:space="preserve">无</w:t>
      </w:r>
      <w:r>
        <w:rPr>
          <w:rFonts w:hint="eastAsia"/>
          <w:sz w:val="24"/>
        </w:rPr>
      </w:r>
      <w:r/>
    </w:p>
    <w:p>
      <w:pPr>
        <w:pStyle w:val="779"/>
        <w:ind w:firstLine="480"/>
        <w:jc w:val="left"/>
        <w:spacing w:line="360" w:lineRule="auto"/>
        <w:widowControl/>
        <w:rPr>
          <w:bCs/>
          <w:sz w:val="24"/>
          <w:lang w:bidi="ar"/>
        </w:rPr>
      </w:pPr>
      <w:r>
        <w:rPr>
          <w:rFonts w:hint="eastAsia"/>
          <w:sz w:val="24"/>
          <w:lang w:bidi="ar"/>
        </w:rPr>
        <w:t xml:space="preserve">2</w:t>
      </w:r>
      <w:r>
        <w:rPr>
          <w:sz w:val="24"/>
          <w:lang w:bidi="ar"/>
        </w:rPr>
        <w:t xml:space="preserve">.本项目采用全流程电子化采购方式，请供应商认真学习常州市政府采购业务管理平台发布的相关操作手册，办理CA认证证书、进行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779"/>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779"/>
        <w:ind w:firstLine="480"/>
        <w:spacing w:line="360" w:lineRule="auto"/>
        <w:rPr>
          <w:sz w:val="24"/>
          <w:lang w:bidi="ar"/>
        </w:rPr>
      </w:pPr>
      <w:r>
        <w:rPr>
          <w:sz w:val="24"/>
          <w:lang w:bidi="ar"/>
        </w:rPr>
        <w:t xml:space="preserve">CA认证证书</w:t>
      </w:r>
      <w:r>
        <w:rPr>
          <w:rFonts w:hint="eastAsia"/>
          <w:sz w:val="24"/>
          <w:lang w:bidi="ar"/>
        </w:rPr>
        <w:t xml:space="preserve">办理联系电话   </w:t>
      </w:r>
      <w:r>
        <w:rPr>
          <w:sz w:val="24"/>
          <w:lang w:bidi="ar"/>
        </w:rPr>
        <w:t xml:space="preserve">0519  85588120</w:t>
      </w:r>
      <w:r>
        <w:rPr>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2.1办理CA认证证书</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供应商登录常州市政府采购网“下载中心”下载并查阅 “江苏省政府采购数字证书CA及电子签章办理指南”，按照程序要求办理。</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2.2注册</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供应商登录常州市政府采购网“下载中心”-“苏采云”系统（供应商）操作手册下载相关操作手册、操作视频等，查阅后进行自助注册。</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2.3控件、客户端下载</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供应商登录常州市政府采购网“下载中心”-政府采购管理交易系统（苏采云）CA及签章控件驱动下载相关控件及客户端。</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2.4 获取电子磋商文件</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供应商持CA数字认证证书登录“苏采云”政府采购一体化平台获取电子磋商文件。未在规定期限内通过“苏采云”政府采购一体化平台获取磋商文件的响应无效。</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2.5编制电子响应文件</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2.6提交电子响应文件</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2.7电子开标</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供应商使用CA认证证书登录“苏采云”政府采购一体化平台进行电子化不见面开标。</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2.8注意事项</w:t>
      </w:r>
      <w:r>
        <w:rPr>
          <w:rFonts w:hint="eastAsia"/>
          <w:sz w:val="24"/>
          <w:lang w:bidi="ar"/>
        </w:rPr>
      </w:r>
      <w:r/>
    </w:p>
    <w:p>
      <w:pPr>
        <w:pStyle w:val="779"/>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 w:val="24"/>
          <w:lang w:bidi="ar"/>
        </w:rPr>
      </w:r>
      <w:r/>
    </w:p>
    <w:p>
      <w:pPr>
        <w:pStyle w:val="779"/>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.关于常州市中小企业政府采购信用融资：</w:t>
      </w:r>
      <w:r>
        <w:rPr>
          <w:sz w:val="24"/>
          <w:lang w:val="zh-TW" w:bidi="ar"/>
        </w:rPr>
      </w:r>
      <w:r/>
    </w:p>
    <w:p>
      <w:pPr>
        <w:pStyle w:val="779"/>
        <w:ind w:firstLine="480"/>
        <w:spacing w:line="360" w:lineRule="auto"/>
        <w:rPr>
          <w:sz w:val="24"/>
          <w:lang w:eastAsia="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eastAsia="zh-TW" w:bidi="ar"/>
        </w:rPr>
      </w:r>
      <w:r/>
    </w:p>
    <w:p>
      <w:pPr>
        <w:pStyle w:val="781"/>
        <w:jc w:val="left"/>
        <w:spacing w:before="0" w:line="360" w:lineRule="auto"/>
        <w:rPr>
          <w:rFonts w:ascii="Times New Roman" w:hAnsi="Times New Roman" w:eastAsia="宋体"/>
          <w:sz w:val="24"/>
          <w:szCs w:val="24"/>
        </w:rPr>
      </w:pPr>
      <w:r/>
      <w:bookmarkStart w:id="21" w:name="_Toc35393627"/>
      <w:r/>
      <w:bookmarkStart w:id="22" w:name="_Toc35393796"/>
      <w:r/>
      <w:bookmarkStart w:id="23" w:name="_Toc28359008"/>
      <w:r/>
      <w:bookmarkStart w:id="24" w:name="_Toc28359085"/>
      <w:r>
        <w:rPr>
          <w:rFonts w:ascii="Times New Roman" w:hAnsi="Times New Roman" w:eastAsia="宋体"/>
          <w:sz w:val="24"/>
          <w:szCs w:val="24"/>
        </w:rPr>
        <w:t xml:space="preserve">七、对本次采购提出询问，请按以下方式联系。</w:t>
      </w:r>
      <w:bookmarkEnd w:id="21"/>
      <w:r/>
      <w:bookmarkEnd w:id="22"/>
      <w:r/>
      <w:bookmarkEnd w:id="23"/>
      <w:r/>
      <w:bookmarkEnd w:id="24"/>
      <w:r>
        <w:rPr>
          <w:rFonts w:ascii="Times New Roman" w:hAnsi="Times New Roman" w:eastAsia="宋体"/>
          <w:sz w:val="24"/>
          <w:szCs w:val="24"/>
        </w:rPr>
      </w:r>
      <w:r/>
    </w:p>
    <w:p>
      <w:pPr>
        <w:pStyle w:val="779"/>
        <w:jc w:val="left"/>
        <w:spacing w:line="360" w:lineRule="auto"/>
        <w:widowControl/>
        <w:rPr>
          <w:b/>
          <w:sz w:val="24"/>
        </w:rPr>
      </w:pPr>
      <w:r>
        <w:rPr>
          <w:sz w:val="24"/>
        </w:rPr>
        <w:t xml:space="preserve">　　　</w:t>
      </w:r>
      <w:r>
        <w:rPr>
          <w:b/>
          <w:sz w:val="24"/>
        </w:rPr>
        <w:t xml:space="preserve">1.采购人信息</w:t>
      </w:r>
      <w:r>
        <w:rPr>
          <w:b/>
          <w:sz w:val="24"/>
        </w:rPr>
      </w:r>
      <w:r/>
    </w:p>
    <w:p>
      <w:pPr>
        <w:pStyle w:val="779"/>
        <w:ind w:left="1079" w:hanging="300"/>
        <w:jc w:val="left"/>
        <w:spacing w:line="360" w:lineRule="auto"/>
        <w:rPr>
          <w:rFonts w:hint="eastAsia"/>
          <w:sz w:val="24"/>
        </w:rPr>
      </w:pPr>
      <w:r/>
      <w:bookmarkStart w:id="25" w:name="_Toc28359009"/>
      <w:r/>
      <w:bookmarkStart w:id="26" w:name="_Toc28359086"/>
      <w:r>
        <w:rPr>
          <w:rFonts w:hint="eastAsia"/>
          <w:sz w:val="24"/>
        </w:rPr>
        <w:t xml:space="preserve">名   称：常州市公安局</w:t>
      </w:r>
      <w:r>
        <w:rPr>
          <w:rFonts w:hint="eastAsia"/>
          <w:sz w:val="24"/>
        </w:rPr>
      </w:r>
      <w:r/>
    </w:p>
    <w:p>
      <w:pPr>
        <w:pStyle w:val="779"/>
        <w:ind w:left="1079" w:hanging="300"/>
        <w:jc w:val="left"/>
        <w:spacing w:line="360" w:lineRule="auto"/>
        <w:rPr>
          <w:rFonts w:hint="eastAsia"/>
          <w:sz w:val="24"/>
        </w:rPr>
      </w:pPr>
      <w:r>
        <w:rPr>
          <w:rFonts w:hint="eastAsia"/>
          <w:sz w:val="24"/>
        </w:rPr>
        <w:t xml:space="preserve">地   址：常州市新北区龙锦路1588号</w:t>
      </w:r>
      <w:r>
        <w:rPr>
          <w:rFonts w:hint="eastAsia"/>
          <w:sz w:val="24"/>
        </w:rPr>
      </w:r>
      <w:r/>
    </w:p>
    <w:p>
      <w:pPr>
        <w:pStyle w:val="779"/>
        <w:ind w:left="1079" w:hanging="300"/>
        <w:jc w:val="left"/>
        <w:spacing w:line="360" w:lineRule="auto"/>
        <w:rPr>
          <w:sz w:val="24"/>
        </w:rPr>
      </w:pPr>
      <w:r>
        <w:rPr>
          <w:rFonts w:hint="eastAsia"/>
          <w:sz w:val="24"/>
        </w:rPr>
        <w:t xml:space="preserve">联 系 人：邵先生</w:t>
      </w:r>
      <w:r>
        <w:rPr>
          <w:sz w:val="24"/>
        </w:rPr>
      </w:r>
      <w:r/>
    </w:p>
    <w:p>
      <w:pPr>
        <w:pStyle w:val="779"/>
        <w:ind w:left="1079" w:hanging="300"/>
        <w:jc w:val="left"/>
        <w:spacing w:line="360" w:lineRule="auto"/>
        <w:rPr>
          <w:sz w:val="24"/>
        </w:rPr>
      </w:pPr>
      <w:r>
        <w:rPr>
          <w:rFonts w:hint="eastAsia"/>
          <w:sz w:val="24"/>
          <w:lang w:val="zh-CN"/>
        </w:rPr>
        <w:t xml:space="preserve">电　</w:t>
      </w:r>
      <w:r>
        <w:rPr>
          <w:rFonts w:hint="eastAsia"/>
          <w:sz w:val="24"/>
        </w:rPr>
        <w:t xml:space="preserve"> </w:t>
      </w:r>
      <w:r>
        <w:rPr>
          <w:rFonts w:hint="eastAsia"/>
          <w:sz w:val="24"/>
          <w:lang w:val="zh-CN"/>
        </w:rPr>
        <w:t xml:space="preserve">话：0519-81993183</w:t>
      </w:r>
      <w:r>
        <w:rPr>
          <w:sz w:val="24"/>
        </w:rPr>
      </w:r>
      <w:r/>
    </w:p>
    <w:p>
      <w:pPr>
        <w:pStyle w:val="779"/>
        <w:ind w:left="1080" w:hanging="301"/>
        <w:jc w:val="left"/>
        <w:spacing w:line="360" w:lineRule="auto"/>
        <w:rPr>
          <w:b/>
          <w:sz w:val="24"/>
        </w:rPr>
      </w:pPr>
      <w:r>
        <w:rPr>
          <w:b/>
          <w:sz w:val="24"/>
        </w:rPr>
        <w:t xml:space="preserve">2.采购代理机构信息</w:t>
      </w:r>
      <w:bookmarkEnd w:id="25"/>
      <w:r/>
      <w:bookmarkEnd w:id="26"/>
      <w:r>
        <w:rPr>
          <w:b/>
          <w:sz w:val="24"/>
        </w:rPr>
      </w:r>
      <w:r/>
    </w:p>
    <w:p>
      <w:pPr>
        <w:pStyle w:val="779"/>
        <w:ind w:left="1079" w:hanging="300"/>
        <w:jc w:val="left"/>
        <w:spacing w:line="360" w:lineRule="auto"/>
        <w:rPr>
          <w:sz w:val="24"/>
        </w:rPr>
      </w:pPr>
      <w:r/>
      <w:bookmarkStart w:id="27" w:name="_Toc28359010"/>
      <w:r/>
      <w:bookmarkStart w:id="28" w:name="_Toc28359087"/>
      <w:r>
        <w:rPr>
          <w:sz w:val="24"/>
        </w:rPr>
        <w:t xml:space="preserve">名    称：</w:t>
      </w:r>
      <w:r>
        <w:rPr>
          <w:rFonts w:hint="eastAsia"/>
          <w:sz w:val="24"/>
        </w:rPr>
        <w:t xml:space="preserve">常州正衡招投标有限公司</w:t>
      </w:r>
      <w:r>
        <w:rPr>
          <w:sz w:val="24"/>
        </w:rPr>
      </w:r>
      <w:r/>
    </w:p>
    <w:p>
      <w:pPr>
        <w:pStyle w:val="779"/>
        <w:ind w:left="1079" w:hanging="300"/>
        <w:jc w:val="left"/>
        <w:spacing w:line="360" w:lineRule="auto"/>
        <w:rPr>
          <w:sz w:val="24"/>
        </w:rPr>
      </w:pPr>
      <w:r>
        <w:rPr>
          <w:sz w:val="24"/>
        </w:rPr>
        <w:t xml:space="preserve">地    址：</w:t>
      </w:r>
      <w:r>
        <w:rPr>
          <w:rFonts w:hint="eastAsia"/>
          <w:sz w:val="24"/>
        </w:rPr>
        <w:t xml:space="preserve">常州市新北区新城府翰苑6栋9楼</w:t>
      </w:r>
      <w:r>
        <w:rPr>
          <w:sz w:val="24"/>
        </w:rPr>
      </w:r>
      <w:r/>
    </w:p>
    <w:p>
      <w:pPr>
        <w:pStyle w:val="779"/>
        <w:ind w:left="1079" w:hanging="300"/>
        <w:jc w:val="left"/>
        <w:spacing w:line="360" w:lineRule="auto"/>
        <w:rPr>
          <w:rFonts w:hint="eastAsia"/>
          <w:sz w:val="24"/>
        </w:rPr>
      </w:pPr>
      <w:r>
        <w:rPr>
          <w:sz w:val="24"/>
        </w:rPr>
        <w:t xml:space="preserve">联系方式：</w:t>
      </w:r>
      <w:r>
        <w:rPr>
          <w:rFonts w:hint="eastAsia"/>
          <w:sz w:val="24"/>
        </w:rPr>
        <w:t xml:space="preserve">0519-85510566</w:t>
      </w:r>
      <w:r>
        <w:rPr>
          <w:rFonts w:hint="eastAsia"/>
          <w:sz w:val="24"/>
        </w:rPr>
      </w:r>
      <w:r/>
    </w:p>
    <w:p>
      <w:pPr>
        <w:pStyle w:val="779"/>
        <w:ind w:left="1079" w:hanging="300"/>
        <w:jc w:val="left"/>
        <w:spacing w:line="360" w:lineRule="auto"/>
        <w:rPr>
          <w:sz w:val="24"/>
        </w:rPr>
      </w:pPr>
      <w:r>
        <w:rPr>
          <w:sz w:val="24"/>
        </w:rPr>
        <w:t xml:space="preserve">3.项目联系方式</w:t>
      </w:r>
      <w:bookmarkEnd w:id="27"/>
      <w:r/>
      <w:bookmarkEnd w:id="28"/>
      <w:r>
        <w:rPr>
          <w:sz w:val="24"/>
        </w:rPr>
      </w:r>
      <w:r/>
    </w:p>
    <w:p>
      <w:pPr>
        <w:pStyle w:val="779"/>
        <w:ind w:left="1079" w:hanging="300"/>
        <w:jc w:val="left"/>
        <w:spacing w:line="360" w:lineRule="auto"/>
        <w:rPr>
          <w:rFonts w:hint="eastAsia"/>
          <w:sz w:val="24"/>
        </w:rPr>
      </w:pPr>
      <w:r>
        <w:rPr>
          <w:sz w:val="24"/>
        </w:rPr>
        <w:t xml:space="preserve">项目联系人：</w:t>
      </w:r>
      <w:r>
        <w:rPr>
          <w:rFonts w:hint="eastAsia"/>
          <w:sz w:val="24"/>
        </w:rPr>
        <w:t xml:space="preserve">刘欢</w:t>
      </w:r>
      <w:r>
        <w:rPr>
          <w:rFonts w:hint="eastAsia"/>
          <w:sz w:val="24"/>
        </w:rPr>
      </w:r>
      <w:r/>
    </w:p>
    <w:p>
      <w:pPr>
        <w:pStyle w:val="779"/>
        <w:ind w:left="1079" w:hanging="300"/>
        <w:jc w:val="left"/>
        <w:spacing w:line="360" w:lineRule="auto"/>
        <w:rPr>
          <w:b/>
          <w:sz w:val="32"/>
          <w:szCs w:val="32"/>
        </w:rPr>
      </w:pPr>
      <w:r>
        <w:rPr>
          <w:sz w:val="24"/>
        </w:rPr>
        <w:t xml:space="preserve">电      话：</w:t>
      </w:r>
      <w:r>
        <w:rPr>
          <w:rFonts w:hint="eastAsia"/>
          <w:sz w:val="24"/>
        </w:rPr>
        <w:t xml:space="preserve">0519-85510566</w:t>
      </w:r>
      <w:r>
        <w:rPr>
          <w:sz w:val="24"/>
        </w:rPr>
        <w:br w:type="page" w:clear="all"/>
      </w:r>
      <w:bookmarkStart w:id="29" w:name="_Toc305158854"/>
      <w:r/>
      <w:bookmarkStart w:id="30" w:name="_Toc264969275"/>
      <w:r/>
      <w:bookmarkStart w:id="31" w:name="_Toc150774783"/>
      <w:r/>
      <w:bookmarkStart w:id="32" w:name="_Toc265228423"/>
      <w:r/>
      <w:bookmarkStart w:id="33" w:name="_Toc305158928"/>
      <w:r/>
      <w:bookmarkStart w:id="34" w:name="_Toc512937850"/>
      <w:r/>
      <w:bookmarkStart w:id="35" w:name="_Toc195842950"/>
      <w:r/>
      <w:bookmarkStart w:id="36" w:name="_Toc99301280"/>
      <w:r/>
      <w:bookmarkStart w:id="37" w:name="_Toc353873938"/>
      <w:r/>
      <w:bookmarkStart w:id="38" w:name="_Toc226965856"/>
      <w:r/>
      <w:bookmarkStart w:id="39" w:name="_Toc353825548"/>
      <w:r/>
      <w:bookmarkStart w:id="40" w:name="_Toc127151777"/>
      <w:r/>
      <w:bookmarkStart w:id="41" w:name="_Toc127161488"/>
      <w:r>
        <w:rPr>
          <w:rFonts w:hint="eastAsia"/>
          <w:sz w:val="24"/>
        </w:rPr>
        <w:t xml:space="preserve">             </w:t>
      </w:r>
      <w:r>
        <w:rPr>
          <w:b/>
          <w:sz w:val="36"/>
          <w:szCs w:val="36"/>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sz w:val="32"/>
          <w:szCs w:val="32"/>
        </w:rPr>
      </w:r>
      <w:r/>
    </w:p>
    <w:p>
      <w:pPr>
        <w:pStyle w:val="781"/>
        <w:spacing w:before="0" w:line="360" w:lineRule="auto"/>
        <w:tabs>
          <w:tab w:val="center" w:pos="4592" w:leader="none"/>
          <w:tab w:val="left" w:pos="7860" w:leader="none"/>
        </w:tabs>
        <w:rPr>
          <w:rFonts w:ascii="Times New Roman" w:hAnsi="Times New Roman" w:eastAsia="宋体"/>
          <w:sz w:val="28"/>
        </w:rPr>
      </w:pPr>
      <w:r/>
      <w:bookmarkStart w:id="42" w:name="_Toc164229214"/>
      <w:r/>
      <w:bookmarkStart w:id="43" w:name="_Toc149720812"/>
      <w:r/>
      <w:bookmarkStart w:id="44" w:name="_Toc150509270"/>
      <w:r/>
      <w:bookmarkStart w:id="45" w:name="_Toc151193617"/>
      <w:r/>
      <w:bookmarkStart w:id="46" w:name="_Toc142311021"/>
      <w:r/>
      <w:bookmarkStart w:id="47" w:name="_Toc164608633"/>
      <w:r/>
      <w:bookmarkStart w:id="48" w:name="_Toc164351613"/>
      <w:r/>
      <w:bookmarkStart w:id="49" w:name="_Toc226965709"/>
      <w:r/>
      <w:bookmarkStart w:id="50" w:name="_Toc226965792"/>
      <w:r/>
      <w:bookmarkStart w:id="51" w:name="_Toc127161433"/>
      <w:r/>
      <w:bookmarkStart w:id="52" w:name="_Toc151193761"/>
      <w:r/>
      <w:bookmarkStart w:id="53" w:name="_Toc151193907"/>
      <w:r/>
      <w:bookmarkStart w:id="54" w:name="_Toc127151720"/>
      <w:r/>
      <w:bookmarkStart w:id="55" w:name="_Toc226309763"/>
      <w:r/>
      <w:bookmarkStart w:id="56" w:name="_Toc151190146"/>
      <w:r/>
      <w:bookmarkStart w:id="57" w:name="_Toc150774724"/>
      <w:r/>
      <w:bookmarkStart w:id="58" w:name="_Toc164608788"/>
      <w:r/>
      <w:bookmarkStart w:id="59" w:name="_Toc150480757"/>
      <w:r/>
      <w:bookmarkStart w:id="60" w:name="_Toc226337215"/>
      <w:r/>
      <w:bookmarkStart w:id="61" w:name="_Toc520356144"/>
      <w:r/>
      <w:bookmarkStart w:id="62" w:name="_Toc150774619"/>
      <w:r/>
      <w:bookmarkStart w:id="63" w:name="_Toc151193689"/>
      <w:r/>
      <w:bookmarkStart w:id="64" w:name="_Toc127151519"/>
      <w:r/>
      <w:bookmarkStart w:id="65" w:name="_Toc164229360"/>
      <w:r/>
      <w:bookmarkStart w:id="66" w:name="_Toc195842884"/>
      <w:r/>
      <w:bookmarkStart w:id="67" w:name="_Toc151193833"/>
      <w:r>
        <w:rPr>
          <w:rFonts w:ascii="Times New Roman" w:hAnsi="Times New Roman" w:eastAsia="宋体"/>
          <w:sz w:val="28"/>
        </w:rPr>
        <w:t xml:space="preserve">供应商须知资料表</w:t>
      </w:r>
      <w:r>
        <w:rPr>
          <w:rFonts w:ascii="Times New Roman" w:hAnsi="Times New Roman" w:eastAsia="宋体"/>
          <w:sz w:val="28"/>
        </w:rPr>
      </w:r>
      <w:r/>
    </w:p>
    <w:p>
      <w:pPr>
        <w:pStyle w:val="779"/>
        <w:jc w:val="center"/>
        <w:rPr>
          <w:b/>
          <w:sz w:val="28"/>
          <w:szCs w:val="28"/>
        </w:rPr>
      </w:pPr>
      <w:r>
        <w:rPr>
          <w:b/>
          <w:sz w:val="28"/>
          <w:szCs w:val="28"/>
        </w:rPr>
      </w:r>
      <w:r/>
    </w:p>
    <w:p>
      <w:pPr>
        <w:pStyle w:val="779"/>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79"/>
              <w:jc w:val="center"/>
              <w:rPr>
                <w:b/>
                <w:bCs/>
                <w:sz w:val="24"/>
              </w:rPr>
            </w:pPr>
            <w:r>
              <w:rPr>
                <w:b/>
                <w:sz w:val="24"/>
              </w:rPr>
              <w:t xml:space="preserve">条款号</w:t>
            </w:r>
            <w:r>
              <w:rPr>
                <w:b/>
                <w:bCs/>
                <w:sz w:val="24"/>
              </w:rPr>
            </w:r>
            <w:r/>
          </w:p>
        </w:tc>
        <w:tc>
          <w:tcPr>
            <w:tcW w:w="1701" w:type="dxa"/>
            <w:vAlign w:val="center"/>
            <w:textDirection w:val="lrTb"/>
            <w:noWrap w:val="false"/>
          </w:tcPr>
          <w:p>
            <w:pPr>
              <w:pStyle w:val="779"/>
              <w:jc w:val="center"/>
              <w:rPr>
                <w:b/>
                <w:bCs/>
                <w:sz w:val="24"/>
              </w:rPr>
            </w:pPr>
            <w:r>
              <w:rPr>
                <w:b/>
                <w:bCs/>
                <w:sz w:val="24"/>
              </w:rPr>
              <w:t xml:space="preserve">条目</w:t>
            </w:r>
            <w:r>
              <w:rPr>
                <w:b/>
                <w:bCs/>
                <w:sz w:val="24"/>
              </w:rPr>
            </w:r>
            <w:r/>
          </w:p>
        </w:tc>
        <w:tc>
          <w:tcPr>
            <w:tcW w:w="7253" w:type="dxa"/>
            <w:vAlign w:val="center"/>
            <w:textDirection w:val="lrTb"/>
            <w:noWrap w:val="false"/>
          </w:tcPr>
          <w:p>
            <w:pPr>
              <w:pStyle w:val="77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科研仪器设备</w:t>
            </w:r>
            <w:r>
              <w:rPr>
                <w:sz w:val="24"/>
              </w:rPr>
            </w:r>
            <w:r/>
          </w:p>
        </w:tc>
        <w:tc>
          <w:tcPr>
            <w:tcW w:w="7253" w:type="dxa"/>
            <w:vAlign w:val="center"/>
            <w:textDirection w:val="lrTb"/>
            <w:noWrap w:val="false"/>
          </w:tcPr>
          <w:p>
            <w:pPr>
              <w:pStyle w:val="779"/>
              <w:jc w:val="left"/>
              <w:rPr>
                <w:sz w:val="24"/>
              </w:rPr>
            </w:pPr>
            <w:r>
              <w:rPr>
                <w:sz w:val="24"/>
              </w:rPr>
              <w:t xml:space="preserve">是否属于科研仪器设备采购项目：</w:t>
            </w:r>
            <w:r>
              <w:rPr>
                <w:sz w:val="24"/>
              </w:rPr>
            </w:r>
            <w:r/>
          </w:p>
          <w:p>
            <w:pPr>
              <w:pStyle w:val="779"/>
              <w:jc w:val="left"/>
              <w:rPr>
                <w:sz w:val="24"/>
              </w:rPr>
            </w:pPr>
            <w:r>
              <w:rPr>
                <w:sz w:val="24"/>
              </w:rPr>
              <w:t xml:space="preserve">□是</w:t>
            </w:r>
            <w:r>
              <w:rPr>
                <w:sz w:val="24"/>
              </w:rPr>
            </w:r>
            <w:r/>
          </w:p>
          <w:p>
            <w:pPr>
              <w:pStyle w:val="779"/>
              <w:jc w:val="left"/>
              <w:rPr>
                <w:sz w:val="24"/>
              </w:rPr>
            </w:pPr>
            <w:r>
              <w:rPr>
                <w:b/>
                <w:color w:val="000000"/>
                <w:sz w:val="24"/>
              </w:rPr>
              <w:t xml:space="preserve">■</w:t>
            </w:r>
            <w:r>
              <w:rPr>
                <w:sz w:val="24"/>
              </w:rPr>
              <w:t xml:space="preserve">否</w:t>
            </w:r>
            <w:r>
              <w:rPr>
                <w:sz w:val="24"/>
              </w:rPr>
            </w:r>
            <w:r/>
          </w:p>
        </w:tc>
      </w:tr>
      <w:tr>
        <w:trPr>
          <w:trHeight w:val="1535"/>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标的所属行业</w:t>
            </w:r>
            <w:r>
              <w:rPr>
                <w:sz w:val="24"/>
              </w:rPr>
            </w:r>
            <w:r/>
          </w:p>
        </w:tc>
        <w:tc>
          <w:tcPr>
            <w:tcW w:w="7253" w:type="dxa"/>
            <w:vAlign w:val="center"/>
            <w:textDirection w:val="lrTb"/>
            <w:noWrap w:val="false"/>
          </w:tcPr>
          <w:p>
            <w:pPr>
              <w:pStyle w:val="779"/>
              <w:jc w:val="left"/>
              <w:rPr>
                <w:rFonts w:hint="eastAsia"/>
                <w:sz w:val="24"/>
              </w:rPr>
            </w:pPr>
            <w:r>
              <w:rPr>
                <w:sz w:val="24"/>
              </w:rPr>
              <w:t xml:space="preserve">本项目采购标的对应的中小企业划分标准所属行业：</w:t>
            </w:r>
            <w:r>
              <w:rPr>
                <w:rFonts w:hint="eastAsia"/>
                <w:sz w:val="24"/>
                <w:u w:val="single"/>
              </w:rPr>
              <w:t xml:space="preserve">软件和信息技术服务业 </w:t>
            </w:r>
            <w:r>
              <w:rPr>
                <w:rFonts w:hint="eastAsia"/>
                <w:sz w:val="24"/>
              </w:rPr>
            </w:r>
            <w:r/>
          </w:p>
        </w:tc>
      </w:tr>
      <w:tr>
        <w:trPr>
          <w:trHeight w:val="721"/>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6.3</w:t>
            </w:r>
            <w:r>
              <w:rPr>
                <w:rFonts w:ascii="Times New Roman" w:hAnsi="Times New Roman"/>
                <w:sz w:val="24"/>
                <w:szCs w:val="24"/>
              </w:rPr>
            </w:r>
            <w:r/>
          </w:p>
        </w:tc>
        <w:tc>
          <w:tcPr>
            <w:tcW w:w="1701" w:type="dxa"/>
            <w:vAlign w:val="center"/>
            <w:textDirection w:val="lrTb"/>
            <w:noWrap w:val="false"/>
          </w:tcPr>
          <w:p>
            <w:pPr>
              <w:pStyle w:val="779"/>
              <w:rPr>
                <w:sz w:val="24"/>
              </w:rPr>
            </w:pPr>
            <w:r>
              <w:rPr>
                <w:sz w:val="24"/>
              </w:rPr>
              <w:t xml:space="preserve">对单一来源采购文件的澄清或修改</w:t>
            </w:r>
            <w:r>
              <w:rPr>
                <w:sz w:val="24"/>
              </w:rPr>
            </w:r>
            <w:r/>
          </w:p>
        </w:tc>
        <w:tc>
          <w:tcPr>
            <w:tcW w:w="7253" w:type="dxa"/>
            <w:vAlign w:val="center"/>
            <w:textDirection w:val="lrTb"/>
            <w:noWrap w:val="false"/>
          </w:tcPr>
          <w:p>
            <w:pPr>
              <w:pStyle w:val="779"/>
              <w:jc w:val="left"/>
              <w:rPr>
                <w:sz w:val="24"/>
              </w:rPr>
            </w:pPr>
            <w:r>
              <w:rPr>
                <w:sz w:val="24"/>
              </w:rPr>
              <w:t xml:space="preserve">提交响应文件截止之日</w:t>
            </w:r>
            <w:r>
              <w:rPr>
                <w:rFonts w:hint="eastAsia"/>
                <w:sz w:val="24"/>
                <w:u w:val="single"/>
              </w:rPr>
              <w:t xml:space="preserve">1</w:t>
            </w:r>
            <w:r>
              <w:rPr>
                <w:sz w:val="24"/>
              </w:rPr>
              <w:t xml:space="preserve">个工作日前</w:t>
            </w:r>
            <w:r>
              <w:rPr>
                <w:sz w:val="24"/>
              </w:rPr>
            </w:r>
            <w:r/>
          </w:p>
        </w:tc>
      </w:tr>
      <w:tr>
        <w:trPr>
          <w:trHeight w:val="721"/>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9.2</w:t>
            </w:r>
            <w:r>
              <w:rPr>
                <w:rFonts w:ascii="Times New Roman" w:hAnsi="Times New Roman"/>
                <w:sz w:val="24"/>
                <w:szCs w:val="24"/>
              </w:rPr>
            </w:r>
            <w:r/>
          </w:p>
        </w:tc>
        <w:tc>
          <w:tcPr>
            <w:tcW w:w="1701" w:type="dxa"/>
            <w:vAlign w:val="center"/>
            <w:textDirection w:val="lrTb"/>
            <w:noWrap w:val="false"/>
          </w:tcPr>
          <w:p>
            <w:pPr>
              <w:pStyle w:val="779"/>
              <w:ind w:firstLine="480"/>
              <w:rPr>
                <w:sz w:val="24"/>
              </w:rPr>
            </w:pPr>
            <w:r>
              <w:rPr>
                <w:sz w:val="24"/>
              </w:rPr>
              <w:t xml:space="preserve">报价</w:t>
            </w:r>
            <w:r>
              <w:rPr>
                <w:sz w:val="24"/>
              </w:rPr>
            </w:r>
            <w:r/>
          </w:p>
        </w:tc>
        <w:tc>
          <w:tcPr>
            <w:tcW w:w="7253" w:type="dxa"/>
            <w:vAlign w:val="center"/>
            <w:textDirection w:val="lrTb"/>
            <w:noWrap w:val="false"/>
          </w:tcPr>
          <w:p>
            <w:pPr>
              <w:pStyle w:val="779"/>
              <w:jc w:val="left"/>
              <w:rPr>
                <w:sz w:val="24"/>
              </w:rPr>
            </w:pPr>
            <w:r>
              <w:rPr>
                <w:sz w:val="24"/>
              </w:rPr>
              <w:t xml:space="preserve">报价的特殊规定：</w:t>
            </w:r>
            <w:r>
              <w:rPr>
                <w:sz w:val="24"/>
              </w:rPr>
            </w:r>
            <w:r/>
          </w:p>
          <w:p>
            <w:pPr>
              <w:pStyle w:val="779"/>
              <w:jc w:val="left"/>
              <w:rPr>
                <w:sz w:val="24"/>
              </w:rPr>
            </w:pPr>
            <w:r>
              <w:rPr>
                <w:b/>
                <w:color w:val="000000"/>
                <w:sz w:val="24"/>
              </w:rPr>
              <w:t xml:space="preserve">■</w:t>
            </w:r>
            <w:r>
              <w:rPr>
                <w:sz w:val="24"/>
              </w:rPr>
              <w:t xml:space="preserve">无</w:t>
            </w:r>
            <w:r>
              <w:rPr>
                <w:sz w:val="24"/>
              </w:rPr>
            </w:r>
            <w:r/>
          </w:p>
          <w:p>
            <w:pPr>
              <w:pStyle w:val="779"/>
              <w:jc w:val="left"/>
              <w:rPr>
                <w:sz w:val="24"/>
              </w:rPr>
            </w:pPr>
            <w:r>
              <w:rPr>
                <w:rFonts w:hint="eastAsia"/>
                <w:sz w:val="24"/>
                <w:lang w:eastAsia="zh-CN"/>
              </w:rPr>
              <w:t xml:space="preserve">☑</w:t>
            </w:r>
            <w:r>
              <w:rPr>
                <w:sz w:val="24"/>
              </w:rPr>
              <w:t xml:space="preserve">有，具体情形：</w:t>
            </w:r>
            <w:r>
              <w:rPr>
                <w:rFonts w:hint="eastAsia"/>
                <w:sz w:val="24"/>
                <w:highlight w:val="none"/>
                <w:u w:val="single"/>
                <w:lang w:val="en-US" w:eastAsia="zh-CN"/>
              </w:rPr>
              <w:t xml:space="preserve">本项目按单价进行报价</w:t>
            </w:r>
            <w:r>
              <w:rPr>
                <w:sz w:val="24"/>
                <w:highlight w:val="none"/>
                <w:u w:val="single"/>
              </w:rPr>
              <w:t xml:space="preserve">。</w:t>
            </w:r>
            <w:r>
              <w:rPr>
                <w:rFonts w:hint="eastAsia"/>
                <w:b/>
                <w:bCs/>
                <w:color w:val="000000"/>
                <w:sz w:val="24"/>
                <w:highlight w:val="none"/>
              </w:rPr>
              <w:t xml:space="preserve">因本次有多项报价，供应商只需在苏采云平台</w:t>
            </w:r>
            <w:r>
              <w:rPr>
                <w:rFonts w:hint="eastAsia"/>
                <w:b/>
                <w:bCs/>
                <w:color w:val="000000"/>
                <w:sz w:val="24"/>
                <w:highlight w:val="none"/>
                <w:lang w:val="en-US" w:eastAsia="zh-CN"/>
              </w:rPr>
              <w:t xml:space="preserve">报价一览表中</w:t>
            </w:r>
            <w:r>
              <w:rPr>
                <w:rFonts w:hint="eastAsia"/>
                <w:b/>
                <w:bCs/>
                <w:color w:val="000000"/>
                <w:sz w:val="24"/>
                <w:highlight w:val="none"/>
              </w:rPr>
              <w:t xml:space="preserve">填写人工话务的单价，全部的响应报价在分项报价表中体现。</w:t>
            </w:r>
            <w:r>
              <w:rPr>
                <w:sz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保证金</w:t>
            </w:r>
            <w:r>
              <w:rPr>
                <w:sz w:val="24"/>
              </w:rPr>
            </w:r>
            <w:r/>
          </w:p>
        </w:tc>
        <w:tc>
          <w:tcPr>
            <w:tcW w:w="7253" w:type="dxa"/>
            <w:vAlign w:val="center"/>
            <w:textDirection w:val="lrTb"/>
            <w:noWrap w:val="false"/>
          </w:tcPr>
          <w:p>
            <w:pPr>
              <w:pStyle w:val="818"/>
              <w:rPr>
                <w:rFonts w:ascii="Times New Roman" w:hAnsi="Times New Roman"/>
                <w:sz w:val="24"/>
                <w:szCs w:val="24"/>
              </w:rPr>
            </w:pPr>
            <w:r>
              <w:rPr>
                <w:rFonts w:ascii="Times New Roman" w:hAnsi="Times New Roman"/>
                <w:sz w:val="24"/>
                <w:szCs w:val="24"/>
              </w:rPr>
              <w:t xml:space="preserve">免收</w:t>
            </w:r>
            <w:r>
              <w:rPr>
                <w:rFonts w:ascii="Times New Roman" w:hAnsi="Times New Roman"/>
                <w:sz w:val="24"/>
                <w:szCs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响应有效期</w:t>
            </w:r>
            <w:r>
              <w:rPr>
                <w:sz w:val="24"/>
              </w:rPr>
            </w:r>
            <w:r/>
          </w:p>
        </w:tc>
        <w:tc>
          <w:tcPr>
            <w:tcW w:w="7253" w:type="dxa"/>
            <w:vAlign w:val="center"/>
            <w:textDirection w:val="lrTb"/>
            <w:noWrap w:val="false"/>
          </w:tcPr>
          <w:p>
            <w:pPr>
              <w:pStyle w:val="779"/>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543"/>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解密地点</w:t>
            </w:r>
            <w:r>
              <w:rPr>
                <w:sz w:val="24"/>
              </w:rPr>
            </w:r>
            <w:r/>
          </w:p>
        </w:tc>
        <w:tc>
          <w:tcPr>
            <w:tcW w:w="7253" w:type="dxa"/>
            <w:vAlign w:val="center"/>
            <w:textDirection w:val="lrTb"/>
            <w:noWrap w:val="false"/>
          </w:tcPr>
          <w:p>
            <w:pPr>
              <w:pStyle w:val="779"/>
              <w:jc w:val="left"/>
              <w:rPr>
                <w:sz w:val="24"/>
              </w:rPr>
            </w:pPr>
            <w:r>
              <w:rPr>
                <w:sz w:val="24"/>
              </w:rPr>
              <w:t xml:space="preserve">地点：</w:t>
            </w:r>
            <w:r>
              <w:rPr>
                <w:rFonts w:hint="eastAsia"/>
                <w:sz w:val="24"/>
              </w:rPr>
              <w:t xml:space="preserve">通过系统在线解密</w:t>
            </w:r>
            <w:r>
              <w:rPr>
                <w:sz w:val="24"/>
              </w:rPr>
              <w:t xml:space="preserve">。</w:t>
            </w:r>
            <w:r>
              <w:rPr>
                <w:sz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分包</w:t>
            </w:r>
            <w:r>
              <w:rPr>
                <w:sz w:val="24"/>
              </w:rPr>
            </w:r>
            <w:r/>
          </w:p>
        </w:tc>
        <w:tc>
          <w:tcPr>
            <w:tcW w:w="7253" w:type="dxa"/>
            <w:vAlign w:val="center"/>
            <w:textDirection w:val="lrTb"/>
            <w:noWrap w:val="false"/>
          </w:tcPr>
          <w:p>
            <w:pPr>
              <w:pStyle w:val="779"/>
              <w:jc w:val="left"/>
              <w:rPr>
                <w:sz w:val="24"/>
              </w:rPr>
            </w:pPr>
            <w:r>
              <w:rPr>
                <w:sz w:val="24"/>
              </w:rPr>
              <w:t xml:space="preserve">本项目是否允许分包： </w:t>
            </w:r>
            <w:r>
              <w:rPr>
                <w:sz w:val="24"/>
              </w:rPr>
            </w:r>
            <w:r/>
          </w:p>
          <w:p>
            <w:pPr>
              <w:pStyle w:val="779"/>
              <w:jc w:val="left"/>
              <w:rPr>
                <w:sz w:val="24"/>
              </w:rPr>
            </w:pPr>
            <w:r>
              <w:rPr>
                <w:b/>
                <w:color w:val="000000"/>
                <w:sz w:val="24"/>
              </w:rPr>
              <w:t xml:space="preserve">■</w:t>
            </w:r>
            <w:r>
              <w:rPr>
                <w:sz w:val="24"/>
              </w:rPr>
              <w:t xml:space="preserve">不允许</w:t>
            </w:r>
            <w:r>
              <w:rPr>
                <w:sz w:val="24"/>
              </w:rPr>
            </w:r>
            <w:r/>
          </w:p>
          <w:p>
            <w:pPr>
              <w:pStyle w:val="779"/>
              <w:jc w:val="left"/>
              <w:rPr>
                <w:sz w:val="24"/>
              </w:rPr>
            </w:pPr>
            <w:r>
              <w:rPr>
                <w:sz w:val="24"/>
              </w:rPr>
              <w:t xml:space="preserve">□允许，具体要求：</w:t>
            </w:r>
            <w:r>
              <w:rPr>
                <w:sz w:val="24"/>
              </w:rPr>
            </w:r>
            <w:r/>
          </w:p>
          <w:p>
            <w:pPr>
              <w:pStyle w:val="779"/>
              <w:jc w:val="left"/>
              <w:rPr>
                <w:sz w:val="24"/>
              </w:rPr>
            </w:pPr>
            <w:r>
              <w:rPr>
                <w:sz w:val="24"/>
              </w:rPr>
              <w:t xml:space="preserve">（1）可以分包履行的具体内容：__________；</w:t>
            </w:r>
            <w:r>
              <w:rPr>
                <w:sz w:val="24"/>
              </w:rPr>
            </w:r>
            <w:r/>
          </w:p>
          <w:p>
            <w:pPr>
              <w:pStyle w:val="779"/>
              <w:jc w:val="left"/>
              <w:rPr>
                <w:sz w:val="24"/>
              </w:rPr>
            </w:pPr>
            <w:r>
              <w:rPr>
                <w:sz w:val="24"/>
              </w:rPr>
              <w:t xml:space="preserve">（2）允许分包的金额或者比例：__________；</w:t>
            </w:r>
            <w:r>
              <w:rPr>
                <w:sz w:val="24"/>
              </w:rPr>
            </w:r>
            <w:r/>
          </w:p>
          <w:p>
            <w:pPr>
              <w:pStyle w:val="779"/>
              <w:jc w:val="left"/>
              <w:rPr>
                <w:sz w:val="24"/>
                <w:u w:val="single"/>
              </w:rPr>
            </w:pPr>
            <w:r>
              <w:rPr>
                <w:sz w:val="24"/>
              </w:rPr>
              <w:t xml:space="preserve">（3）其他要求：__________。</w:t>
            </w:r>
            <w:r>
              <w:rPr>
                <w:sz w:val="24"/>
                <w:u w:val="single"/>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询问</w:t>
            </w:r>
            <w:r>
              <w:rPr>
                <w:sz w:val="24"/>
              </w:rPr>
            </w:r>
            <w:r/>
          </w:p>
        </w:tc>
        <w:tc>
          <w:tcPr>
            <w:tcW w:w="7253" w:type="dxa"/>
            <w:vAlign w:val="center"/>
            <w:textDirection w:val="lrTb"/>
            <w:noWrap w:val="false"/>
          </w:tcPr>
          <w:p>
            <w:pPr>
              <w:pStyle w:val="779"/>
              <w:jc w:val="left"/>
              <w:rPr>
                <w:sz w:val="24"/>
              </w:rPr>
            </w:pPr>
            <w:r>
              <w:rPr>
                <w:sz w:val="24"/>
              </w:rPr>
              <w:t xml:space="preserve">询问送达形式：</w:t>
            </w:r>
            <w:r>
              <w:rPr>
                <w:rFonts w:hint="eastAsia"/>
                <w:sz w:val="24"/>
                <w:u w:val="single"/>
              </w:rPr>
              <w:t xml:space="preserve">书面</w:t>
            </w:r>
            <w:r>
              <w:rPr>
                <w:sz w:val="24"/>
              </w:rPr>
              <w:t xml:space="preserve">。</w:t>
            </w:r>
            <w:r>
              <w:rPr>
                <w:sz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联系方式</w:t>
            </w:r>
            <w:r>
              <w:rPr>
                <w:sz w:val="24"/>
              </w:rPr>
            </w:r>
            <w:r/>
          </w:p>
        </w:tc>
        <w:tc>
          <w:tcPr>
            <w:tcW w:w="7253" w:type="dxa"/>
            <w:vAlign w:val="center"/>
            <w:textDirection w:val="lrTb"/>
            <w:noWrap w:val="false"/>
          </w:tcPr>
          <w:p>
            <w:pPr>
              <w:pStyle w:val="779"/>
              <w:jc w:val="left"/>
              <w:rPr>
                <w:sz w:val="24"/>
              </w:rPr>
            </w:pPr>
            <w:r>
              <w:rPr>
                <w:sz w:val="24"/>
              </w:rPr>
              <w:t xml:space="preserve">接收询问和质疑的联系方式</w:t>
            </w:r>
            <w:r>
              <w:rPr>
                <w:sz w:val="24"/>
              </w:rPr>
            </w:r>
            <w:r/>
          </w:p>
          <w:p>
            <w:pPr>
              <w:pStyle w:val="779"/>
              <w:jc w:val="left"/>
              <w:rPr>
                <w:sz w:val="24"/>
              </w:rPr>
            </w:pPr>
            <w:r>
              <w:rPr>
                <w:sz w:val="24"/>
              </w:rPr>
              <w:t xml:space="preserve">1.采购人信息</w:t>
            </w:r>
            <w:r>
              <w:rPr>
                <w:sz w:val="24"/>
              </w:rPr>
            </w:r>
            <w:r/>
          </w:p>
          <w:p>
            <w:pPr>
              <w:pStyle w:val="779"/>
              <w:jc w:val="left"/>
              <w:rPr>
                <w:rFonts w:hint="eastAsia"/>
                <w:sz w:val="24"/>
              </w:rPr>
            </w:pPr>
            <w:r>
              <w:rPr>
                <w:rFonts w:hint="eastAsia"/>
                <w:sz w:val="24"/>
              </w:rPr>
              <w:t xml:space="preserve">名   称：常州市公安局</w:t>
            </w:r>
            <w:r>
              <w:rPr>
                <w:rFonts w:hint="eastAsia"/>
                <w:sz w:val="24"/>
              </w:rPr>
            </w:r>
            <w:r/>
          </w:p>
          <w:p>
            <w:pPr>
              <w:pStyle w:val="779"/>
              <w:jc w:val="left"/>
              <w:rPr>
                <w:rFonts w:hint="eastAsia"/>
                <w:sz w:val="24"/>
              </w:rPr>
            </w:pPr>
            <w:r>
              <w:rPr>
                <w:rFonts w:hint="eastAsia"/>
                <w:sz w:val="24"/>
              </w:rPr>
              <w:t xml:space="preserve">地   址：常州市新北区龙锦路1588号</w:t>
            </w:r>
            <w:r>
              <w:rPr>
                <w:rFonts w:hint="eastAsia"/>
                <w:sz w:val="24"/>
              </w:rPr>
            </w:r>
            <w:r/>
          </w:p>
          <w:p>
            <w:pPr>
              <w:pStyle w:val="779"/>
              <w:jc w:val="left"/>
              <w:rPr>
                <w:sz w:val="24"/>
              </w:rPr>
            </w:pPr>
            <w:r>
              <w:rPr>
                <w:rFonts w:hint="eastAsia"/>
                <w:sz w:val="24"/>
              </w:rPr>
              <w:t xml:space="preserve">联系人：邵先生</w:t>
            </w:r>
            <w:r>
              <w:rPr>
                <w:sz w:val="24"/>
              </w:rPr>
            </w:r>
            <w:r/>
          </w:p>
          <w:p>
            <w:pPr>
              <w:pStyle w:val="779"/>
              <w:jc w:val="left"/>
              <w:rPr>
                <w:sz w:val="24"/>
              </w:rPr>
            </w:pPr>
            <w:r>
              <w:rPr>
                <w:rFonts w:hint="eastAsia"/>
                <w:sz w:val="24"/>
                <w:lang w:val="zh-CN"/>
              </w:rPr>
              <w:t xml:space="preserve">电　</w:t>
            </w:r>
            <w:r>
              <w:rPr>
                <w:rFonts w:hint="eastAsia"/>
                <w:sz w:val="24"/>
              </w:rPr>
              <w:t xml:space="preserve"> </w:t>
            </w:r>
            <w:r>
              <w:rPr>
                <w:rFonts w:hint="eastAsia"/>
                <w:sz w:val="24"/>
                <w:lang w:val="zh-CN"/>
              </w:rPr>
              <w:t xml:space="preserve">话：0519-81993183</w:t>
            </w:r>
            <w:r>
              <w:rPr>
                <w:sz w:val="24"/>
              </w:rPr>
            </w:r>
            <w:r/>
          </w:p>
          <w:p>
            <w:pPr>
              <w:pStyle w:val="779"/>
              <w:jc w:val="left"/>
              <w:rPr>
                <w:sz w:val="24"/>
              </w:rPr>
            </w:pPr>
            <w:r>
              <w:rPr>
                <w:sz w:val="24"/>
              </w:rPr>
              <w:t xml:space="preserve">2.采购代理机构信息</w:t>
            </w:r>
            <w:r>
              <w:rPr>
                <w:sz w:val="24"/>
              </w:rPr>
            </w:r>
            <w:r/>
          </w:p>
          <w:p>
            <w:pPr>
              <w:pStyle w:val="779"/>
              <w:jc w:val="left"/>
              <w:rPr>
                <w:sz w:val="24"/>
              </w:rPr>
            </w:pPr>
            <w:r>
              <w:rPr>
                <w:sz w:val="24"/>
              </w:rPr>
              <w:t xml:space="preserve">名    称：</w:t>
            </w:r>
            <w:r>
              <w:rPr>
                <w:rFonts w:hint="eastAsia"/>
                <w:sz w:val="24"/>
              </w:rPr>
              <w:t xml:space="preserve">常州正衡招投标有限公司</w:t>
            </w:r>
            <w:r>
              <w:rPr>
                <w:sz w:val="24"/>
              </w:rPr>
            </w:r>
            <w:r/>
          </w:p>
          <w:p>
            <w:pPr>
              <w:pStyle w:val="779"/>
              <w:jc w:val="left"/>
              <w:rPr>
                <w:sz w:val="24"/>
              </w:rPr>
            </w:pPr>
            <w:r>
              <w:rPr>
                <w:sz w:val="24"/>
              </w:rPr>
              <w:t xml:space="preserve">地    址：</w:t>
            </w:r>
            <w:r>
              <w:rPr>
                <w:rFonts w:hint="eastAsia"/>
                <w:sz w:val="24"/>
              </w:rPr>
              <w:t xml:space="preserve">常州市新北区新城府翰苑6栋9楼</w:t>
            </w:r>
            <w:r>
              <w:rPr>
                <w:sz w:val="24"/>
              </w:rPr>
            </w:r>
            <w:r/>
          </w:p>
          <w:p>
            <w:pPr>
              <w:pStyle w:val="779"/>
              <w:jc w:val="left"/>
              <w:rPr>
                <w:rFonts w:hint="eastAsia"/>
                <w:sz w:val="24"/>
              </w:rPr>
            </w:pPr>
            <w:r>
              <w:rPr>
                <w:sz w:val="24"/>
              </w:rPr>
              <w:t xml:space="preserve">联系方式：</w:t>
            </w:r>
            <w:r>
              <w:rPr>
                <w:rFonts w:hint="eastAsia"/>
                <w:sz w:val="24"/>
              </w:rPr>
              <w:t xml:space="preserve">0519-85510566</w:t>
            </w:r>
            <w:r>
              <w:rPr>
                <w:rFonts w:hint="eastAsia"/>
                <w:sz w:val="24"/>
              </w:rPr>
            </w:r>
            <w:r/>
          </w:p>
          <w:p>
            <w:pPr>
              <w:pStyle w:val="779"/>
              <w:jc w:val="left"/>
              <w:rPr>
                <w:sz w:val="24"/>
              </w:rPr>
            </w:pPr>
            <w:r>
              <w:rPr>
                <w:sz w:val="24"/>
              </w:rPr>
              <w:t xml:space="preserve">3.项目联系方式</w:t>
            </w:r>
            <w:r>
              <w:rPr>
                <w:sz w:val="24"/>
              </w:rPr>
            </w:r>
            <w:r/>
          </w:p>
          <w:p>
            <w:pPr>
              <w:pStyle w:val="779"/>
              <w:jc w:val="left"/>
              <w:rPr>
                <w:rFonts w:hint="eastAsia"/>
                <w:sz w:val="24"/>
              </w:rPr>
            </w:pPr>
            <w:r>
              <w:rPr>
                <w:sz w:val="24"/>
              </w:rPr>
              <w:t xml:space="preserve">项目联系人：</w:t>
            </w:r>
            <w:r>
              <w:rPr>
                <w:rFonts w:hint="eastAsia"/>
                <w:sz w:val="24"/>
              </w:rPr>
              <w:t xml:space="preserve">刘欢</w:t>
            </w:r>
            <w:r>
              <w:rPr>
                <w:rFonts w:hint="eastAsia"/>
                <w:sz w:val="24"/>
              </w:rPr>
            </w:r>
            <w:r/>
          </w:p>
          <w:p>
            <w:pPr>
              <w:pStyle w:val="779"/>
              <w:jc w:val="left"/>
              <w:rPr>
                <w:sz w:val="24"/>
              </w:rPr>
            </w:pPr>
            <w:r>
              <w:rPr>
                <w:sz w:val="24"/>
              </w:rPr>
              <w:t xml:space="preserve">电      话：</w:t>
            </w:r>
            <w:r>
              <w:rPr>
                <w:rFonts w:hint="eastAsia"/>
                <w:sz w:val="24"/>
              </w:rPr>
              <w:t xml:space="preserve">0519-8551056</w:t>
            </w:r>
            <w:r>
              <w:rPr>
                <w:sz w:val="24"/>
              </w:rPr>
            </w:r>
            <w:r/>
          </w:p>
        </w:tc>
      </w:tr>
      <w:tr>
        <w:trPr>
          <w:trHeight w:val="20"/>
        </w:trPr>
        <w:tc>
          <w:tcPr>
            <w:tcW w:w="988" w:type="dxa"/>
            <w:vAlign w:val="center"/>
            <w:textDirection w:val="lrTb"/>
            <w:noWrap w:val="false"/>
          </w:tcPr>
          <w:p>
            <w:pPr>
              <w:pStyle w:val="818"/>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779"/>
              <w:jc w:val="center"/>
              <w:rPr>
                <w:sz w:val="24"/>
              </w:rPr>
            </w:pPr>
            <w:r>
              <w:rPr>
                <w:sz w:val="24"/>
              </w:rPr>
              <w:t xml:space="preserve">代理费</w:t>
            </w:r>
            <w:r>
              <w:rPr>
                <w:sz w:val="24"/>
              </w:rPr>
            </w:r>
            <w:r/>
          </w:p>
        </w:tc>
        <w:tc>
          <w:tcPr>
            <w:tcW w:w="7253" w:type="dxa"/>
            <w:vAlign w:val="center"/>
            <w:textDirection w:val="lrTb"/>
            <w:noWrap w:val="false"/>
          </w:tcPr>
          <w:p>
            <w:pPr>
              <w:pStyle w:val="779"/>
              <w:jc w:val="left"/>
              <w:rPr>
                <w:sz w:val="24"/>
              </w:rPr>
            </w:pPr>
            <w:r>
              <w:rPr>
                <w:sz w:val="24"/>
              </w:rPr>
              <w:t xml:space="preserve">收费对象：</w:t>
            </w:r>
            <w:r>
              <w:rPr>
                <w:sz w:val="24"/>
              </w:rPr>
            </w:r>
            <w:r/>
          </w:p>
          <w:p>
            <w:pPr>
              <w:pStyle w:val="779"/>
              <w:jc w:val="left"/>
              <w:rPr>
                <w:sz w:val="24"/>
              </w:rPr>
            </w:pPr>
            <w:r>
              <w:rPr>
                <w:sz w:val="24"/>
              </w:rPr>
              <w:t xml:space="preserve">成交供应商</w:t>
            </w:r>
            <w:r>
              <w:rPr>
                <w:sz w:val="24"/>
              </w:rPr>
            </w:r>
            <w:r/>
          </w:p>
          <w:p>
            <w:pPr>
              <w:pStyle w:val="779"/>
              <w:spacing w:line="360" w:lineRule="auto"/>
              <w:rPr>
                <w:rFonts w:ascii="宋体" w:hAnsi="宋体"/>
                <w:szCs w:val="21"/>
              </w:rPr>
            </w:pPr>
            <w:r>
              <w:rPr>
                <w:rFonts w:hint="eastAsia" w:ascii="宋体" w:hAnsi="宋体" w:cs="宋体"/>
                <w:bCs/>
                <w:color w:val="000000"/>
                <w:szCs w:val="21"/>
              </w:rPr>
              <w:t xml:space="preserve">（1）服务费</w:t>
            </w:r>
            <w:r>
              <w:rPr>
                <w:rFonts w:hint="eastAsia" w:ascii="宋体" w:hAnsi="宋体" w:cs="宋体"/>
                <w:color w:val="000000"/>
                <w:szCs w:val="21"/>
              </w:rPr>
              <w:t xml:space="preserve">按照下列标准收取并</w:t>
            </w:r>
            <w:r>
              <w:rPr>
                <w:rFonts w:ascii="宋体" w:hAnsi="宋体" w:cs="宋体"/>
                <w:color w:val="000000"/>
                <w:szCs w:val="21"/>
              </w:rPr>
              <w:t xml:space="preserve">由成交供应商承担</w:t>
            </w:r>
            <w:r>
              <w:rPr>
                <w:rFonts w:hint="eastAsia" w:ascii="宋体" w:hAnsi="宋体" w:cs="宋体"/>
                <w:color w:val="000000"/>
                <w:szCs w:val="21"/>
              </w:rPr>
              <w:t xml:space="preserve">，成交供应商应在领取成交通知书时将代理服务费付至采购代理机构收取投标保证金的帐户。</w:t>
            </w:r>
            <w:r>
              <w:rPr>
                <w:rFonts w:hint="eastAsia" w:ascii="宋体" w:hAnsi="宋体" w:cs="宋体"/>
                <w:b/>
                <w:color w:val="000000"/>
                <w:szCs w:val="21"/>
              </w:rPr>
              <w:t xml:space="preserve"> </w:t>
            </w:r>
            <w:r>
              <w:rPr>
                <w:rFonts w:hint="eastAsia" w:ascii="宋体" w:hAnsi="宋体" w:cs="宋体"/>
                <w:b/>
                <w:bCs/>
                <w:color w:val="000000"/>
                <w:szCs w:val="21"/>
              </w:rPr>
              <w:t xml:space="preserve">本项目代理服务费</w:t>
            </w:r>
            <w:r>
              <w:rPr>
                <w:rFonts w:hint="eastAsia"/>
                <w:b/>
                <w:bCs/>
              </w:rPr>
              <w:t xml:space="preserve">根据代理服务收费标准的80%收取。</w:t>
            </w:r>
            <w:r>
              <w:rPr>
                <w:rFonts w:ascii="宋体" w:hAnsi="宋体"/>
                <w:szCs w:val="21"/>
              </w:rPr>
            </w:r>
            <w:r/>
          </w:p>
          <w:p>
            <w:pPr>
              <w:pStyle w:val="779"/>
              <w:ind w:firstLine="420"/>
              <w:spacing w:line="360" w:lineRule="auto"/>
              <w:rPr>
                <w:rFonts w:ascii="宋体" w:hAnsi="宋体"/>
                <w:szCs w:val="21"/>
              </w:rPr>
            </w:pPr>
            <w:r>
              <w:rPr>
                <w:rFonts w:hint="eastAsia" w:ascii="宋体" w:hAnsi="宋体" w:cs="宋体"/>
                <w:color w:val="000000"/>
                <w:szCs w:val="21"/>
              </w:rPr>
              <w:t xml:space="preserve">（2）代理服务收费标准</w:t>
            </w:r>
            <w:r>
              <w:rPr>
                <w:rFonts w:ascii="宋体" w:hAnsi="宋体"/>
                <w:szCs w:val="21"/>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779"/>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779"/>
                    <w:ind w:firstLine="1365"/>
                    <w:rPr>
                      <w:rFonts w:ascii="宋体" w:hAnsi="宋体" w:cs="宋体"/>
                      <w:bCs/>
                      <w:szCs w:val="21"/>
                    </w:rPr>
                  </w:pPr>
                  <w:r>
                    <w:rPr>
                      <w:rFonts w:ascii="宋体" w:hAnsi="宋体" w:cs="宋体"/>
                      <w:bCs/>
                      <w:szCs w:val="21"/>
                    </w:rPr>
                  </w:r>
                  <w:r/>
                </w:p>
                <w:p>
                  <w:pPr>
                    <w:pStyle w:val="779"/>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779"/>
                    <w:ind w:firstLine="840"/>
                    <w:rPr>
                      <w:rFonts w:ascii="宋体" w:hAnsi="宋体" w:cs="宋体"/>
                      <w:bCs/>
                      <w:szCs w:val="21"/>
                    </w:rPr>
                  </w:pPr>
                  <w:r>
                    <w:rPr>
                      <w:rFonts w:ascii="宋体" w:hAnsi="宋体" w:cs="宋体"/>
                      <w:bCs/>
                      <w:szCs w:val="21"/>
                    </w:rPr>
                  </w:r>
                  <w:r/>
                </w:p>
                <w:p>
                  <w:pPr>
                    <w:pStyle w:val="779"/>
                    <w:ind w:firstLine="840"/>
                    <w:rPr>
                      <w:rFonts w:ascii="宋体" w:hAnsi="宋体" w:cs="宋体"/>
                      <w:bCs/>
                      <w:szCs w:val="21"/>
                    </w:rPr>
                  </w:pPr>
                  <w:r>
                    <w:rPr>
                      <w:rFonts w:ascii="宋体" w:hAnsi="宋体" w:cs="宋体"/>
                      <w:bCs/>
                      <w:szCs w:val="21"/>
                    </w:rPr>
                  </w:r>
                  <w:r/>
                </w:p>
                <w:p>
                  <w:pPr>
                    <w:pStyle w:val="779"/>
                    <w:rPr>
                      <w:rFonts w:ascii="宋体" w:hAnsi="宋体" w:cs="宋体"/>
                      <w:bCs/>
                      <w:szCs w:val="21"/>
                    </w:rPr>
                  </w:pPr>
                  <w:r>
                    <w:rPr>
                      <w:rFonts w:hint="eastAsia" w:ascii="宋体" w:hAnsi="宋体" w:cs="宋体"/>
                      <w:bCs/>
                      <w:szCs w:val="21"/>
                    </w:rPr>
                    <w:t xml:space="preserve">中标金额（万元）</w:t>
                  </w:r>
                  <w:r>
                    <w:rPr>
                      <w:rFonts w:ascii="宋体" w:hAnsi="宋体" w:cs="宋体"/>
                      <w:bCs/>
                      <w:szCs w:val="21"/>
                    </w:rPr>
                  </w:r>
                  <w:r/>
                </w:p>
              </w:tc>
              <w:tc>
                <w:tcPr>
                  <w:tcW w:w="1883" w:type="dxa"/>
                  <w:vAlign w:val="center"/>
                  <w:textDirection w:val="lrTb"/>
                  <w:noWrap w:val="false"/>
                </w:tcPr>
                <w:p>
                  <w:pPr>
                    <w:pStyle w:val="779"/>
                    <w:jc w:val="center"/>
                    <w:spacing w:line="440" w:lineRule="exact"/>
                    <w:rPr>
                      <w:rFonts w:ascii="宋体" w:hAnsi="宋体" w:cs="宋体"/>
                      <w:bCs/>
                      <w:szCs w:val="21"/>
                    </w:rPr>
                  </w:pPr>
                  <w:r>
                    <w:rPr>
                      <w:rFonts w:hint="eastAsia" w:ascii="宋体" w:hAnsi="宋体" w:cs="宋体"/>
                      <w:bCs/>
                      <w:szCs w:val="21"/>
                    </w:rPr>
                    <w:t xml:space="preserve">服务类</w:t>
                  </w:r>
                  <w:r>
                    <w:rPr>
                      <w:rFonts w:ascii="宋体" w:hAnsi="宋体" w:cs="宋体"/>
                      <w:bCs/>
                      <w:szCs w:val="21"/>
                    </w:rPr>
                  </w:r>
                  <w:r/>
                </w:p>
              </w:tc>
            </w:tr>
            <w:tr>
              <w:trPr/>
              <w:tc>
                <w:tcPr>
                  <w:tcW w:w="2744" w:type="dxa"/>
                  <w:vAlign w:val="top"/>
                  <w:textDirection w:val="lrTb"/>
                  <w:noWrap w:val="false"/>
                </w:tcPr>
                <w:p>
                  <w:pPr>
                    <w:pStyle w:val="779"/>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779"/>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779"/>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779"/>
                    <w:jc w:val="center"/>
                    <w:rPr>
                      <w:rFonts w:ascii="宋体" w:hAnsi="宋体" w:cs="宋体"/>
                      <w:szCs w:val="21"/>
                    </w:rPr>
                  </w:pPr>
                  <w:r>
                    <w:rPr>
                      <w:rFonts w:hint="eastAsia" w:ascii="宋体" w:hAnsi="宋体" w:cs="宋体"/>
                      <w:szCs w:val="21"/>
                    </w:rPr>
                    <w:t xml:space="preserve">0.8%</w:t>
                  </w:r>
                  <w:r>
                    <w:rPr>
                      <w:rFonts w:ascii="宋体" w:hAnsi="宋体" w:cs="宋体"/>
                      <w:szCs w:val="21"/>
                    </w:rPr>
                  </w:r>
                  <w:r/>
                </w:p>
              </w:tc>
            </w:tr>
            <w:tr>
              <w:trPr/>
              <w:tc>
                <w:tcPr>
                  <w:tcW w:w="2744" w:type="dxa"/>
                  <w:vAlign w:val="center"/>
                  <w:textDirection w:val="lrTb"/>
                  <w:noWrap w:val="false"/>
                </w:tcPr>
                <w:p>
                  <w:pPr>
                    <w:pStyle w:val="779"/>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779"/>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779"/>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779"/>
                    <w:jc w:val="center"/>
                    <w:rPr>
                      <w:rFonts w:ascii="宋体" w:hAnsi="宋体"/>
                      <w:szCs w:val="21"/>
                    </w:rPr>
                  </w:pPr>
                  <w:r>
                    <w:rPr>
                      <w:rFonts w:hint="eastAsia" w:ascii="宋体" w:hAnsi="宋体"/>
                      <w:szCs w:val="21"/>
                    </w:rPr>
                    <w:t xml:space="preserve">0.25%</w:t>
                  </w:r>
                  <w:r>
                    <w:rPr>
                      <w:rFonts w:ascii="宋体" w:hAnsi="宋体"/>
                      <w:szCs w:val="21"/>
                    </w:rPr>
                  </w:r>
                  <w:r/>
                </w:p>
              </w:tc>
            </w:tr>
            <w:tr>
              <w:trPr/>
              <w:tc>
                <w:tcPr>
                  <w:tcW w:w="2744" w:type="dxa"/>
                  <w:vAlign w:val="top"/>
                  <w:textDirection w:val="lrTb"/>
                  <w:noWrap w:val="false"/>
                </w:tcPr>
                <w:p>
                  <w:pPr>
                    <w:pStyle w:val="779"/>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779"/>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779"/>
              <w:ind w:firstLine="420"/>
              <w:spacing w:before="240" w:line="360" w:lineRule="auto"/>
              <w:rPr>
                <w:rFonts w:ascii="宋体" w:hAnsi="宋体" w:cs="宋体"/>
                <w:b/>
                <w:color w:val="000000"/>
                <w:szCs w:val="21"/>
              </w:rPr>
            </w:pPr>
            <w:r>
              <w:rPr>
                <w:rFonts w:hint="eastAsia" w:ascii="宋体" w:hAnsi="宋体" w:cs="宋体"/>
                <w:color w:val="000000"/>
                <w:szCs w:val="21"/>
              </w:rPr>
              <w:t xml:space="preserve">（3）代理服务收费按差额定率累进法计算。</w:t>
            </w:r>
            <w:r>
              <w:rPr>
                <w:rFonts w:hint="eastAsia" w:ascii="宋体" w:hAnsi="宋体" w:cs="宋体"/>
                <w:b/>
                <w:color w:val="000000"/>
                <w:szCs w:val="21"/>
              </w:rPr>
              <w:t xml:space="preserve">  </w:t>
            </w:r>
            <w:r>
              <w:rPr>
                <w:rFonts w:ascii="宋体" w:hAnsi="宋体" w:cs="宋体"/>
                <w:b/>
                <w:color w:val="000000"/>
                <w:szCs w:val="21"/>
              </w:rPr>
            </w:r>
            <w:r/>
          </w:p>
          <w:p>
            <w:pPr>
              <w:pStyle w:val="779"/>
              <w:ind w:firstLine="420"/>
              <w:spacing w:line="360" w:lineRule="auto"/>
              <w:rPr>
                <w:sz w:val="24"/>
              </w:rPr>
            </w:pPr>
            <w:r>
              <w:rPr>
                <w:rFonts w:hint="eastAsia"/>
              </w:rPr>
              <w:t xml:space="preserve">（4）服务收费按上述计算方法不足人民币3000元的，按人民币3000元收取。</w:t>
            </w:r>
            <w:r>
              <w:rPr>
                <w:sz w:val="24"/>
              </w:rPr>
              <w:t xml:space="preserve">  </w:t>
            </w:r>
            <w:r>
              <w:rPr>
                <w:sz w:val="24"/>
              </w:rPr>
            </w:r>
            <w:r/>
          </w:p>
        </w:tc>
      </w:tr>
    </w:tbl>
    <w:p>
      <w:pPr>
        <w:pStyle w:val="779"/>
        <w:jc w:val="both"/>
        <w:spacing w:line="360" w:lineRule="auto"/>
        <w:tabs>
          <w:tab w:val="left" w:pos="5580" w:leader="none"/>
        </w:tabs>
        <w:rPr>
          <w:sz w:val="24"/>
        </w:rPr>
        <w:sectPr>
          <w:headerReference w:type="default" r:id="rId9"/>
          <w:headerReference w:type="first" r:id="rId10"/>
          <w:footerReference w:type="default" r:id="rId14"/>
          <w:footerReference w:type="first" r:id="rId15"/>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779"/>
        <w:jc w:val="center"/>
        <w:spacing w:before="240" w:after="240"/>
        <w:rPr>
          <w:b/>
          <w:sz w:val="28"/>
          <w:szCs w:val="28"/>
        </w:rPr>
      </w:pPr>
      <w:r/>
      <w:bookmarkStart w:id="68" w:name="_Toc150774722"/>
      <w:r/>
      <w:bookmarkStart w:id="69" w:name="_Toc142311019"/>
      <w:r/>
      <w:bookmarkStart w:id="70" w:name="_Toc305158859"/>
      <w:r/>
      <w:bookmarkStart w:id="71" w:name="_Toc353873932"/>
      <w:r/>
      <w:bookmarkStart w:id="72" w:name="_Toc226337213"/>
      <w:r/>
      <w:bookmarkStart w:id="73" w:name="_Toc305158785"/>
      <w:r/>
      <w:bookmarkStart w:id="74" w:name="_Toc353873662"/>
      <w:r/>
      <w:bookmarkStart w:id="75" w:name="_Toc195842882"/>
      <w:r/>
      <w:bookmarkStart w:id="76" w:name="_Toc264969207"/>
      <w:r/>
      <w:bookmarkStart w:id="77" w:name="_Toc265228355"/>
      <w:r/>
      <w:bookmarkStart w:id="78" w:name="_Toc353825542"/>
      <w:r/>
      <w:bookmarkStart w:id="79" w:name="_Toc127151517"/>
      <w:r/>
      <w:bookmarkStart w:id="80" w:name="_Toc150480755"/>
      <w:r/>
      <w:bookmarkStart w:id="81" w:name="_Toc226965790"/>
      <w:r>
        <w:rPr>
          <w:b/>
          <w:sz w:val="28"/>
          <w:szCs w:val="28"/>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sz w:val="28"/>
          <w:szCs w:val="28"/>
        </w:rPr>
      </w:r>
      <w:r/>
    </w:p>
    <w:p>
      <w:pPr>
        <w:pStyle w:val="781"/>
        <w:jc w:val="left"/>
        <w:spacing w:before="0" w:line="360" w:lineRule="auto"/>
        <w:tabs>
          <w:tab w:val="center" w:pos="4592" w:leader="none"/>
          <w:tab w:val="left" w:pos="7860" w:leader="none"/>
        </w:tabs>
        <w:rPr>
          <w:rFonts w:ascii="Times New Roman" w:hAnsi="Times New Roman" w:eastAsia="宋体"/>
          <w:sz w:val="28"/>
        </w:rPr>
      </w:pPr>
      <w:r/>
      <w:bookmarkStart w:id="82" w:name="_Toc127151518"/>
      <w:r/>
      <w:bookmarkStart w:id="83" w:name="_Toc520356143"/>
      <w:r>
        <w:rPr>
          <w:rFonts w:ascii="Times New Roman" w:hAnsi="Times New Roman" w:eastAsia="宋体"/>
          <w:sz w:val="28"/>
        </w:rPr>
        <w:tab/>
      </w:r>
      <w:bookmarkStart w:id="84" w:name="_Toc226309762"/>
      <w:r/>
      <w:bookmarkStart w:id="85" w:name="_Toc305158786"/>
      <w:r/>
      <w:bookmarkStart w:id="86" w:name="_Toc151190145"/>
      <w:r/>
      <w:bookmarkStart w:id="87" w:name="_Toc142311020"/>
      <w:r/>
      <w:bookmarkStart w:id="88" w:name="_Toc226965708"/>
      <w:r/>
      <w:bookmarkStart w:id="89" w:name="_Toc150480756"/>
      <w:r/>
      <w:bookmarkStart w:id="90" w:name="_Toc150774618"/>
      <w:r/>
      <w:bookmarkStart w:id="91" w:name="_Toc150509269"/>
      <w:r/>
      <w:bookmarkStart w:id="92" w:name="_Toc151193906"/>
      <w:r/>
      <w:bookmarkStart w:id="93" w:name="_Toc151193832"/>
      <w:r/>
      <w:bookmarkStart w:id="94" w:name="_Toc151193616"/>
      <w:r/>
      <w:bookmarkStart w:id="95" w:name="_Toc226965791"/>
      <w:r/>
      <w:bookmarkStart w:id="96" w:name="_Toc195842883"/>
      <w:r/>
      <w:bookmarkStart w:id="97" w:name="_Toc150774723"/>
      <w:r/>
      <w:bookmarkStart w:id="98" w:name="_Toc151193688"/>
      <w:r/>
      <w:bookmarkStart w:id="99" w:name="_Toc264969208"/>
      <w:r/>
      <w:bookmarkStart w:id="100" w:name="_Toc305158860"/>
      <w:r/>
      <w:bookmarkStart w:id="101" w:name="_Toc226337214"/>
      <w:r/>
      <w:bookmarkStart w:id="102" w:name="_Toc265228356"/>
      <w:r/>
      <w:bookmarkStart w:id="103" w:name="_Toc151193760"/>
      <w:r>
        <w:rPr>
          <w:rFonts w:ascii="Times New Roman" w:hAnsi="Times New Roman" w:eastAsia="宋体"/>
          <w:sz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sz w:val="28"/>
        </w:rPr>
        <w:tab/>
      </w:r>
      <w:r>
        <w:rPr>
          <w:rFonts w:ascii="Times New Roman" w:hAnsi="Times New Roman" w:eastAsia="宋体"/>
          <w:sz w:val="28"/>
        </w:rPr>
      </w:r>
      <w:r/>
    </w:p>
    <w:p>
      <w:pPr>
        <w:pStyle w:val="779"/>
        <w:numPr>
          <w:ilvl w:val="0"/>
          <w:numId w:val="8"/>
        </w:numPr>
        <w:ind w:left="357" w:hanging="357"/>
        <w:spacing w:line="360" w:lineRule="auto"/>
        <w:tabs>
          <w:tab w:val="left" w:pos="360" w:leader="none"/>
        </w:tabs>
        <w:rPr>
          <w:sz w:val="24"/>
        </w:rPr>
        <w:outlineLvl w:val="1"/>
      </w:pPr>
      <w:r/>
      <w:bookmarkStart w:id="104" w:name="_Toc305158861"/>
      <w:r/>
      <w:bookmarkStart w:id="105" w:name="_Toc265228357"/>
      <w:r/>
      <w:bookmarkStart w:id="106" w:name="_Toc305158787"/>
      <w:r/>
      <w:bookmarkStart w:id="107" w:name="_Toc264969209"/>
      <w:r>
        <w:rPr>
          <w:sz w:val="24"/>
        </w:rPr>
        <w:t xml:space="preserve">采购人、采购代理机构、供应商（申请人）</w:t>
      </w:r>
      <w:bookmarkEnd w:id="104"/>
      <w:r/>
      <w:bookmarkEnd w:id="105"/>
      <w:r/>
      <w:bookmarkEnd w:id="106"/>
      <w:r/>
      <w:bookmarkEnd w:id="107"/>
      <w:r>
        <w:rPr>
          <w:sz w:val="24"/>
        </w:rPr>
        <w:t xml:space="preserve">、联合体</w:t>
      </w:r>
      <w:r>
        <w:rPr>
          <w:sz w:val="24"/>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779"/>
        <w:numPr>
          <w:ilvl w:val="0"/>
          <w:numId w:val="8"/>
        </w:numPr>
        <w:ind w:left="357" w:hanging="357"/>
        <w:spacing w:line="360" w:lineRule="auto"/>
        <w:tabs>
          <w:tab w:val="left" w:pos="360" w:leader="none"/>
        </w:tabs>
        <w:rPr>
          <w:sz w:val="24"/>
        </w:rPr>
        <w:outlineLvl w:val="1"/>
      </w:pPr>
      <w:r/>
      <w:bookmarkStart w:id="108" w:name="_Toc151190147"/>
      <w:r/>
      <w:bookmarkStart w:id="109" w:name="_Toc164229215"/>
      <w:r/>
      <w:bookmarkStart w:id="110" w:name="_Toc305158862"/>
      <w:r/>
      <w:bookmarkStart w:id="111" w:name="_Toc150509271"/>
      <w:r/>
      <w:bookmarkStart w:id="112" w:name="_Toc149720813"/>
      <w:r/>
      <w:bookmarkStart w:id="113" w:name="_Toc127161434"/>
      <w:r/>
      <w:bookmarkStart w:id="114" w:name="_Toc127151520"/>
      <w:r/>
      <w:bookmarkStart w:id="115" w:name="_Toc151193908"/>
      <w:r/>
      <w:bookmarkStart w:id="116" w:name="_Toc127151721"/>
      <w:r/>
      <w:bookmarkStart w:id="117" w:name="_Toc150774620"/>
      <w:r/>
      <w:bookmarkStart w:id="118" w:name="_Toc150774725"/>
      <w:r/>
      <w:bookmarkStart w:id="119" w:name="_Toc265228358"/>
      <w:r/>
      <w:bookmarkStart w:id="120" w:name="_Toc164608634"/>
      <w:r/>
      <w:bookmarkStart w:id="121" w:name="_Toc151193834"/>
      <w:r/>
      <w:bookmarkStart w:id="122" w:name="_Toc151193690"/>
      <w:r/>
      <w:bookmarkStart w:id="123" w:name="_Toc305158788"/>
      <w:r/>
      <w:bookmarkStart w:id="124" w:name="_Toc226309764"/>
      <w:r/>
      <w:bookmarkStart w:id="125" w:name="_Toc226965710"/>
      <w:r/>
      <w:bookmarkStart w:id="126" w:name="_Toc151193762"/>
      <w:r/>
      <w:bookmarkStart w:id="127" w:name="_Toc164351614"/>
      <w:r/>
      <w:bookmarkStart w:id="128" w:name="_Toc142311022"/>
      <w:r/>
      <w:bookmarkStart w:id="129" w:name="_Toc226337216"/>
      <w:r/>
      <w:bookmarkStart w:id="130" w:name="_Toc226965793"/>
      <w:r/>
      <w:bookmarkStart w:id="131" w:name="_Toc164608789"/>
      <w:r/>
      <w:bookmarkStart w:id="132" w:name="_Toc195842885"/>
      <w:r/>
      <w:bookmarkStart w:id="133" w:name="_Toc150480758"/>
      <w:r/>
      <w:bookmarkStart w:id="134" w:name="_Toc151193618"/>
      <w:r/>
      <w:bookmarkStart w:id="135" w:name="_Toc164229361"/>
      <w:r/>
      <w:bookmarkStart w:id="136" w:name="_Toc264969210"/>
      <w:r>
        <w:rPr>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sz w:val="24"/>
        </w:rPr>
        <w:t xml:space="preserve">、科研仪器设备采购</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779"/>
        <w:numPr>
          <w:ilvl w:val="0"/>
          <w:numId w:val="8"/>
        </w:numPr>
        <w:ind w:left="357" w:hanging="357"/>
        <w:spacing w:line="360" w:lineRule="auto"/>
        <w:tabs>
          <w:tab w:val="left" w:pos="360" w:leader="none"/>
        </w:tabs>
        <w:rPr>
          <w:sz w:val="24"/>
        </w:rPr>
        <w:outlineLvl w:val="1"/>
      </w:pPr>
      <w:r/>
      <w:bookmarkStart w:id="137" w:name="_Toc305158864"/>
      <w:r/>
      <w:bookmarkStart w:id="138" w:name="_Toc195842887"/>
      <w:r/>
      <w:bookmarkStart w:id="139" w:name="_Toc151193910"/>
      <w:r/>
      <w:bookmarkStart w:id="140" w:name="_Toc142311024"/>
      <w:r/>
      <w:bookmarkStart w:id="141" w:name="_Toc226309766"/>
      <w:r/>
      <w:bookmarkStart w:id="142" w:name="_Toc127151522"/>
      <w:r/>
      <w:bookmarkStart w:id="143" w:name="_Toc151193620"/>
      <w:r/>
      <w:bookmarkStart w:id="144" w:name="_Toc520356146"/>
      <w:r/>
      <w:bookmarkStart w:id="145" w:name="_Toc150774622"/>
      <w:r/>
      <w:bookmarkStart w:id="146" w:name="_Toc226965712"/>
      <w:r/>
      <w:bookmarkStart w:id="147" w:name="_Toc226965795"/>
      <w:r/>
      <w:bookmarkStart w:id="148" w:name="_Toc264969212"/>
      <w:r/>
      <w:bookmarkStart w:id="149" w:name="_Toc151193764"/>
      <w:r/>
      <w:bookmarkStart w:id="150" w:name="_Toc265228360"/>
      <w:r/>
      <w:bookmarkStart w:id="151" w:name="_Toc151190149"/>
      <w:r/>
      <w:bookmarkStart w:id="152" w:name="_Toc150509273"/>
      <w:r/>
      <w:bookmarkStart w:id="153" w:name="_Toc151193836"/>
      <w:r/>
      <w:bookmarkStart w:id="154" w:name="_Toc305158790"/>
      <w:r/>
      <w:bookmarkStart w:id="155" w:name="_Toc226337218"/>
      <w:r/>
      <w:bookmarkStart w:id="156" w:name="_Toc150480760"/>
      <w:r/>
      <w:bookmarkStart w:id="157" w:name="_Toc151193692"/>
      <w:r/>
      <w:bookmarkStart w:id="158" w:name="_Toc150774727"/>
      <w:r>
        <w:rPr>
          <w:sz w:val="24"/>
        </w:rPr>
        <w:t xml:space="preserve">政府采购政策（包括但不限于下列具体政策要求）</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79"/>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79"/>
        <w:numPr>
          <w:ilvl w:val="2"/>
          <w:numId w:val="8"/>
        </w:numPr>
        <w:spacing w:line="360" w:lineRule="auto"/>
        <w:tabs>
          <w:tab w:val="left" w:pos="1980" w:leader="none"/>
        </w:tabs>
        <w:rPr>
          <w:sz w:val="24"/>
        </w:rPr>
      </w:pPr>
      <w:r>
        <w:rPr>
          <w:sz w:val="24"/>
        </w:rPr>
        <w:t xml:space="preserve">中小企业定义：</w:t>
      </w:r>
      <w:r>
        <w:rPr>
          <w:sz w:val="24"/>
        </w:rPr>
      </w:r>
      <w:r/>
    </w:p>
    <w:p>
      <w:pPr>
        <w:pStyle w:val="779"/>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7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7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7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79"/>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79"/>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79"/>
        <w:numPr>
          <w:ilvl w:val="3"/>
          <w:numId w:val="10"/>
        </w:numPr>
        <w:ind w:left="2885"/>
        <w:spacing w:line="360" w:lineRule="auto"/>
        <w:tabs>
          <w:tab w:val="left" w:pos="1980" w:leader="none"/>
          <w:tab w:val="left" w:pos="2035" w:leader="none"/>
          <w:tab w:val="left" w:pos="2977" w:leader="none"/>
        </w:tabs>
        <w:rPr>
          <w:sz w:val="24"/>
        </w:rPr>
      </w:pPr>
      <w:r>
        <w:rPr>
          <w:sz w:val="24"/>
        </w:rPr>
        <w:t xml:space="preserve">安置的残疾人占本单位在职职工人数的比例不低于25%（含25%），并且安置的残疾人人数不少于10人（含10人）；</w:t>
      </w:r>
      <w:r>
        <w:rPr>
          <w:sz w:val="24"/>
        </w:rPr>
      </w:r>
      <w:r/>
    </w:p>
    <w:p>
      <w:pPr>
        <w:pStyle w:val="779"/>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79"/>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79"/>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79"/>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79"/>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79"/>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779"/>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779"/>
        <w:numPr>
          <w:ilvl w:val="2"/>
          <w:numId w:val="8"/>
        </w:numPr>
        <w:spacing w:line="360" w:lineRule="auto"/>
        <w:tabs>
          <w:tab w:val="left" w:pos="1980" w:leader="none"/>
        </w:tabs>
        <w:rPr>
          <w:sz w:val="24"/>
        </w:rPr>
      </w:pPr>
      <w:r>
        <w:rPr>
          <w:sz w:val="24"/>
        </w:rPr>
        <w:t xml:space="preserve">小微企业价格评审优惠的政策调整：不适用。</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79"/>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79"/>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79"/>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779"/>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非政府强制采购的节能产品或环境标志产品，依据品目清单和认证证书实施政府优先采购。如涉及，供应商优先提供此类产品。</w:t>
      </w:r>
      <w:r>
        <w:rPr>
          <w:rFonts w:hint="eastAsia"/>
          <w:sz w:val="24"/>
        </w:rPr>
      </w:r>
      <w:r/>
    </w:p>
    <w:p>
      <w:pPr>
        <w:pStyle w:val="779"/>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79"/>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79"/>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79"/>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79"/>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779"/>
        <w:ind w:firstLine="240"/>
        <w:spacing w:line="480" w:lineRule="exact"/>
        <w:rPr>
          <w:sz w:val="24"/>
        </w:rPr>
      </w:pPr>
      <w:r>
        <w:rPr>
          <w:rFonts w:hint="eastAsia"/>
          <w:sz w:val="24"/>
        </w:rPr>
        <w:t xml:space="preserve">3.7 绿色采购政策</w:t>
      </w:r>
      <w:r>
        <w:rPr>
          <w:sz w:val="24"/>
        </w:rPr>
      </w:r>
      <w:r/>
    </w:p>
    <w:p>
      <w:pPr>
        <w:pStyle w:val="779"/>
        <w:ind w:left="900"/>
        <w:spacing w:line="480" w:lineRule="exact"/>
        <w:rPr>
          <w:rFonts w:ascii="宋体" w:hAnsi="宋体"/>
          <w:b/>
          <w:sz w:val="24"/>
        </w:rPr>
      </w:pPr>
      <w:r>
        <w:rPr>
          <w:rFonts w:hint="eastAsia"/>
          <w:sz w:val="24"/>
        </w:rPr>
        <w:t xml:space="preserve">3.7.1  </w:t>
      </w:r>
      <w:r>
        <w:rPr>
          <w:rFonts w:hint="eastAsia" w:ascii="宋体" w:hAnsi="宋体"/>
          <w:b/>
          <w:sz w:val="24"/>
        </w:rPr>
        <w:t xml:space="preserve">绿色数据中心政策 </w:t>
      </w:r>
      <w:r>
        <w:rPr>
          <w:rFonts w:ascii="宋体" w:hAnsi="宋体"/>
          <w:b/>
          <w:sz w:val="24"/>
        </w:rPr>
      </w:r>
      <w:r/>
    </w:p>
    <w:p>
      <w:pPr>
        <w:pStyle w:val="779"/>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79"/>
        <w:ind w:left="900"/>
        <w:spacing w:line="480" w:lineRule="exact"/>
        <w:rPr>
          <w:rFonts w:ascii="宋体" w:hAnsi="宋体"/>
          <w:sz w:val="24"/>
        </w:rPr>
      </w:pPr>
      <w:r>
        <w:rPr>
          <w:rFonts w:hint="eastAsia" w:ascii="宋体" w:hAnsi="宋体"/>
          <w:sz w:val="24"/>
        </w:rPr>
        <w:t xml:space="preserve">3.7.2 推广应用绿色建材</w:t>
      </w:r>
      <w:r>
        <w:rPr>
          <w:rFonts w:ascii="宋体" w:hAnsi="宋体"/>
          <w:sz w:val="24"/>
        </w:rPr>
      </w:r>
      <w:r/>
    </w:p>
    <w:p>
      <w:pPr>
        <w:pStyle w:val="779"/>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79"/>
        <w:ind w:left="900"/>
        <w:spacing w:line="480" w:lineRule="exact"/>
        <w:rPr>
          <w:rFonts w:ascii="宋体" w:hAnsi="宋体"/>
          <w:sz w:val="24"/>
        </w:rPr>
      </w:pPr>
      <w:r>
        <w:rPr>
          <w:rFonts w:hint="eastAsia" w:ascii="宋体" w:hAnsi="宋体"/>
          <w:sz w:val="24"/>
        </w:rPr>
        <w:t xml:space="preserve"> 3.7.3 优先使用低挥发性有机化合物产品</w:t>
      </w:r>
      <w:r>
        <w:rPr>
          <w:rFonts w:ascii="宋体" w:hAnsi="宋体"/>
          <w:sz w:val="24"/>
        </w:rPr>
      </w:r>
      <w:r/>
    </w:p>
    <w:p>
      <w:pPr>
        <w:pStyle w:val="779"/>
        <w:ind w:left="838"/>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82"/>
      </w:p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参与协商的费用</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供应商应自行承担所有与准备和参加单一来源采购协商有关的费用，无论协商的结果如何，采购人或采购代理机构在任何情况下均无承担这些费用的义务和责任。</w:t>
      </w:r>
      <w:r>
        <w:rPr>
          <w:sz w:val="24"/>
        </w:rPr>
      </w:r>
      <w:r/>
    </w:p>
    <w:p>
      <w:pPr>
        <w:pStyle w:val="779"/>
        <w:ind w:left="1080"/>
        <w:spacing w:line="360" w:lineRule="auto"/>
        <w:tabs>
          <w:tab w:val="left" w:pos="1080" w:leader="none"/>
        </w:tabs>
        <w:rPr>
          <w:sz w:val="28"/>
        </w:rPr>
      </w:pPr>
      <w:r/>
      <w:bookmarkStart w:id="159" w:name="_1.8_计量单位"/>
      <w:r/>
      <w:bookmarkEnd w:id="159"/>
      <w:r>
        <w:rPr>
          <w:sz w:val="28"/>
        </w:rPr>
      </w:r>
      <w:r/>
    </w:p>
    <w:p>
      <w:pPr>
        <w:pStyle w:val="781"/>
        <w:spacing w:before="0" w:line="360" w:lineRule="auto"/>
        <w:rPr>
          <w:rFonts w:ascii="Times New Roman" w:hAnsi="Times New Roman" w:eastAsia="宋体"/>
          <w:sz w:val="28"/>
        </w:rPr>
      </w:pPr>
      <w:r>
        <w:rPr>
          <w:rFonts w:ascii="Times New Roman" w:hAnsi="Times New Roman" w:eastAsia="宋体"/>
          <w:sz w:val="28"/>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Times New Roman" w:hAnsi="Times New Roman" w:eastAsia="宋体"/>
          <w:sz w:val="28"/>
        </w:rPr>
        <w:t xml:space="preserve">单一来源采购文件</w:t>
      </w:r>
      <w:r>
        <w:rPr>
          <w:rFonts w:ascii="Times New Roman" w:hAnsi="Times New Roman" w:eastAsia="宋体"/>
          <w:sz w:val="28"/>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160" w:name="_Toc226965796"/>
      <w:r/>
      <w:bookmarkStart w:id="161" w:name="_Toc520356147"/>
      <w:r/>
      <w:bookmarkStart w:id="162" w:name="_Toc150480761"/>
      <w:r/>
      <w:bookmarkStart w:id="163" w:name="_Toc305158791"/>
      <w:r/>
      <w:bookmarkStart w:id="164" w:name="_Toc226337219"/>
      <w:r/>
      <w:bookmarkStart w:id="165" w:name="_Toc150509274"/>
      <w:r/>
      <w:bookmarkStart w:id="166" w:name="_Toc150774728"/>
      <w:r/>
      <w:bookmarkStart w:id="167" w:name="_Toc226309767"/>
      <w:r/>
      <w:bookmarkStart w:id="168" w:name="_Toc226965713"/>
      <w:r/>
      <w:bookmarkStart w:id="169" w:name="_Toc151193837"/>
      <w:r/>
      <w:bookmarkStart w:id="170" w:name="_Toc151193693"/>
      <w:r/>
      <w:bookmarkStart w:id="171" w:name="_Toc164608637"/>
      <w:r/>
      <w:bookmarkStart w:id="172" w:name="_Toc151193765"/>
      <w:r/>
      <w:bookmarkStart w:id="173" w:name="_Toc142311025"/>
      <w:r/>
      <w:bookmarkStart w:id="174" w:name="_Toc264969213"/>
      <w:r/>
      <w:bookmarkStart w:id="175" w:name="_Toc150774623"/>
      <w:r/>
      <w:bookmarkStart w:id="176" w:name="_Toc127151523"/>
      <w:r/>
      <w:bookmarkStart w:id="177" w:name="_Toc151193911"/>
      <w:r/>
      <w:bookmarkStart w:id="178" w:name="_Toc151190150"/>
      <w:r/>
      <w:bookmarkStart w:id="179" w:name="_Toc195842888"/>
      <w:r/>
      <w:bookmarkStart w:id="180" w:name="_Toc164608792"/>
      <w:r/>
      <w:bookmarkStart w:id="181" w:name="_Toc127151724"/>
      <w:r/>
      <w:bookmarkStart w:id="182" w:name="_Toc265228361"/>
      <w:r/>
      <w:bookmarkStart w:id="183" w:name="_Toc164229364"/>
      <w:r/>
      <w:bookmarkStart w:id="184" w:name="_Toc149720816"/>
      <w:r/>
      <w:bookmarkStart w:id="185" w:name="_Toc164351617"/>
      <w:r/>
      <w:bookmarkStart w:id="186" w:name="_Toc164229218"/>
      <w:r/>
      <w:bookmarkStart w:id="187" w:name="_Toc305158865"/>
      <w:r/>
      <w:bookmarkStart w:id="188" w:name="_Toc127161437"/>
      <w:r/>
      <w:bookmarkStart w:id="189" w:name="_Toc151193621"/>
      <w:r>
        <w:rPr>
          <w:sz w:val="24"/>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sz w:val="24"/>
        </w:rPr>
        <w:t xml:space="preserve">成</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单一来源采购文件包括以下部分：</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采购邀请</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供应商须知</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协商程序 </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采购需求</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合同草案条款</w:t>
      </w:r>
      <w:r>
        <w:rPr>
          <w:sz w:val="24"/>
        </w:rPr>
      </w:r>
      <w:r/>
    </w:p>
    <w:p>
      <w:pPr>
        <w:pStyle w:val="779"/>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响应文件格式</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b/>
          <w:sz w:val="24"/>
        </w:rPr>
        <w:t xml:space="preserve">响应无效</w:t>
      </w:r>
      <w:r>
        <w:rPr>
          <w:sz w:val="24"/>
        </w:rPr>
        <w:t xml:space="preserve">。</w:t>
      </w:r>
      <w:r>
        <w:rPr>
          <w:sz w:val="24"/>
        </w:rPr>
      </w:r>
      <w:r/>
    </w:p>
    <w:p>
      <w:pPr>
        <w:pStyle w:val="77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对单一来源采购文件的澄清或修改</w:t>
      </w:r>
      <w:r>
        <w:rPr>
          <w:sz w:val="24"/>
        </w:rPr>
      </w:r>
      <w:r/>
    </w:p>
    <w:p>
      <w:pPr>
        <w:pStyle w:val="77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采购人或采购代理机构对已发出的单一来源采购文件进行必要澄清或者修改的，将以书面形式通知获取单一来源采购文件的潜在供应商。</w:t>
      </w:r>
      <w:r>
        <w:rPr>
          <w:sz w:val="24"/>
        </w:rPr>
      </w:r>
      <w:r/>
    </w:p>
    <w:p>
      <w:pPr>
        <w:pStyle w:val="77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上述书面通知，按照获取单一来源采购文件的潜在供应商提供的联系方式发出，因提供的信息有误导致通知延迟或无法通知的，采购人或采购代理机构不承担责任。</w:t>
      </w:r>
      <w:r>
        <w:rPr>
          <w:sz w:val="24"/>
        </w:rPr>
      </w:r>
      <w:r/>
    </w:p>
    <w:p>
      <w:pPr>
        <w:pStyle w:val="77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sz w:val="24"/>
        </w:rPr>
      </w:r>
      <w:r/>
    </w:p>
    <w:p>
      <w:pPr>
        <w:pStyle w:val="779"/>
        <w:ind w:left="1080"/>
        <w:spacing w:line="360" w:lineRule="auto"/>
        <w:tabs>
          <w:tab w:val="left" w:pos="1080" w:leader="none"/>
          <w:tab w:val="left" w:pos="1561" w:leader="none"/>
        </w:tabs>
        <w:rPr>
          <w:sz w:val="28"/>
        </w:rPr>
      </w:pPr>
      <w:r/>
      <w:bookmarkStart w:id="190" w:name="_Toc150509277"/>
      <w:r/>
      <w:bookmarkStart w:id="191" w:name="_Toc226309770"/>
      <w:r/>
      <w:bookmarkStart w:id="192" w:name="_Toc151193696"/>
      <w:r/>
      <w:bookmarkStart w:id="193" w:name="_Toc150774626"/>
      <w:r/>
      <w:bookmarkStart w:id="194" w:name="_Toc150774731"/>
      <w:r/>
      <w:bookmarkStart w:id="195" w:name="_Toc151193624"/>
      <w:r/>
      <w:bookmarkStart w:id="196" w:name="_Toc150480764"/>
      <w:r/>
      <w:bookmarkStart w:id="197" w:name="_Toc516367020"/>
      <w:r/>
      <w:bookmarkStart w:id="198" w:name="_Toc305158868"/>
      <w:r/>
      <w:bookmarkStart w:id="199" w:name="_Toc520356150"/>
      <w:r/>
      <w:bookmarkStart w:id="200" w:name="_Toc305158794"/>
      <w:r/>
      <w:bookmarkStart w:id="201" w:name="_Toc142311028"/>
      <w:r/>
      <w:bookmarkStart w:id="202" w:name="_Toc151193768"/>
      <w:r/>
      <w:bookmarkStart w:id="203" w:name="_Toc265228364"/>
      <w:r/>
      <w:bookmarkStart w:id="204" w:name="_Toc226965799"/>
      <w:r/>
      <w:bookmarkStart w:id="205" w:name="_Toc151193914"/>
      <w:r/>
      <w:bookmarkStart w:id="206" w:name="_Toc226337222"/>
      <w:r/>
      <w:bookmarkStart w:id="207" w:name="_Toc226965716"/>
      <w:r/>
      <w:bookmarkStart w:id="208" w:name="_Toc151190153"/>
      <w:r/>
      <w:bookmarkStart w:id="209" w:name="_Toc264969216"/>
      <w:r/>
      <w:bookmarkStart w:id="210" w:name="_Toc127151526"/>
      <w:r/>
      <w:bookmarkStart w:id="211" w:name="_Toc151193840"/>
      <w:r/>
      <w:bookmarkStart w:id="212" w:name="_Toc195842891"/>
      <w:r>
        <w:rPr>
          <w:sz w:val="28"/>
        </w:rPr>
      </w:r>
      <w:r/>
    </w:p>
    <w:p>
      <w:pPr>
        <w:pStyle w:val="78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7"/>
      <w:r>
        <w:rPr>
          <w:rFonts w:ascii="Times New Roman" w:hAnsi="Times New Roman" w:eastAsia="宋体"/>
          <w:sz w:val="28"/>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Times New Roman" w:hAnsi="Times New Roman" w:eastAsia="宋体"/>
          <w:sz w:val="28"/>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213" w:name="_Toc151193769"/>
      <w:r/>
      <w:bookmarkStart w:id="214" w:name="_Toc151190154"/>
      <w:r/>
      <w:bookmarkStart w:id="215" w:name="_Toc164608796"/>
      <w:r/>
      <w:bookmarkStart w:id="216" w:name="_Toc127151527"/>
      <w:r/>
      <w:bookmarkStart w:id="217" w:name="_Toc149720820"/>
      <w:r/>
      <w:bookmarkStart w:id="218" w:name="_Toc265228365"/>
      <w:r/>
      <w:bookmarkStart w:id="219" w:name="_Toc195842892"/>
      <w:r/>
      <w:bookmarkStart w:id="220" w:name="_Toc127161441"/>
      <w:r/>
      <w:bookmarkStart w:id="221" w:name="_Toc226965800"/>
      <w:r/>
      <w:bookmarkStart w:id="222" w:name="_Toc150509278"/>
      <w:r/>
      <w:bookmarkStart w:id="223" w:name="_Toc226965717"/>
      <w:r/>
      <w:bookmarkStart w:id="224" w:name="_Toc150774627"/>
      <w:r/>
      <w:bookmarkStart w:id="225" w:name="_Toc226309771"/>
      <w:r/>
      <w:bookmarkStart w:id="226" w:name="_Toc164351621"/>
      <w:r/>
      <w:bookmarkStart w:id="227" w:name="_Toc151193915"/>
      <w:r/>
      <w:bookmarkStart w:id="228" w:name="_Toc127151728"/>
      <w:r/>
      <w:bookmarkStart w:id="229" w:name="_Toc151193625"/>
      <w:r/>
      <w:bookmarkStart w:id="230" w:name="_Toc520356151"/>
      <w:r/>
      <w:bookmarkStart w:id="231" w:name="_Toc150480765"/>
      <w:r/>
      <w:bookmarkStart w:id="232" w:name="_Toc164608641"/>
      <w:r/>
      <w:bookmarkStart w:id="233" w:name="_Toc164229222"/>
      <w:r/>
      <w:bookmarkStart w:id="234" w:name="_Toc151193841"/>
      <w:r/>
      <w:bookmarkStart w:id="235" w:name="_Toc142311029"/>
      <w:r/>
      <w:bookmarkStart w:id="236" w:name="_Toc150774732"/>
      <w:r/>
      <w:bookmarkStart w:id="237" w:name="_Toc305158869"/>
      <w:r/>
      <w:bookmarkStart w:id="238" w:name="_Toc164229368"/>
      <w:r/>
      <w:bookmarkStart w:id="239" w:name="_Toc305158795"/>
      <w:r/>
      <w:bookmarkStart w:id="240" w:name="_Toc264969217"/>
      <w:r/>
      <w:bookmarkStart w:id="241" w:name="_Toc151193697"/>
      <w:r/>
      <w:bookmarkStart w:id="242" w:name="_Toc516367021"/>
      <w:r/>
      <w:bookmarkStart w:id="243" w:name="_Toc226337223"/>
      <w:r>
        <w:rPr>
          <w:sz w:val="24"/>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sz w:val="24"/>
        </w:rPr>
        <w:t xml:space="preserve">及响应语言</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本项目如划分采购包，供应商应当对采购人所邀请的采购包对应第四章《采购需求》所列的全部内容进行响应，不得将一个采购包中的内容拆开响应。</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除单一来源采购文件有特殊要求外，本项目所使用的计量单位，应采用中华人民共和国法定计量单位。</w:t>
      </w:r>
      <w:r>
        <w:rPr>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244" w:name="_Toc164608642"/>
      <w:r/>
      <w:bookmarkStart w:id="245" w:name="_Toc164229369"/>
      <w:r/>
      <w:bookmarkStart w:id="246" w:name="_Toc151193698"/>
      <w:r/>
      <w:bookmarkStart w:id="247" w:name="_Toc164229223"/>
      <w:r/>
      <w:bookmarkStart w:id="248" w:name="_Toc226965718"/>
      <w:r/>
      <w:bookmarkStart w:id="249" w:name="_Toc151193770"/>
      <w:r/>
      <w:bookmarkStart w:id="250" w:name="_Toc305158870"/>
      <w:r/>
      <w:bookmarkStart w:id="251" w:name="_Toc226337224"/>
      <w:r/>
      <w:bookmarkStart w:id="252" w:name="_Toc164608797"/>
      <w:r/>
      <w:bookmarkStart w:id="253" w:name="_Toc150480766"/>
      <w:r/>
      <w:bookmarkStart w:id="254" w:name="_Toc265228366"/>
      <w:r/>
      <w:bookmarkStart w:id="255" w:name="_Toc149720821"/>
      <w:r/>
      <w:bookmarkStart w:id="256" w:name="_Toc305158796"/>
      <w:r/>
      <w:bookmarkStart w:id="257" w:name="_Toc516367022"/>
      <w:r/>
      <w:bookmarkStart w:id="258" w:name="_Ref467306676"/>
      <w:r/>
      <w:bookmarkStart w:id="259" w:name="_Toc264969218"/>
      <w:r/>
      <w:bookmarkStart w:id="260" w:name="_Ref467306195"/>
      <w:r/>
      <w:bookmarkStart w:id="261" w:name="_Toc195842893"/>
      <w:r/>
      <w:bookmarkStart w:id="262" w:name="_Toc151193916"/>
      <w:r/>
      <w:bookmarkStart w:id="263" w:name="_Toc150774733"/>
      <w:r/>
      <w:bookmarkStart w:id="264" w:name="_Toc150509279"/>
      <w:r/>
      <w:bookmarkStart w:id="265" w:name="_Toc127161442"/>
      <w:r/>
      <w:bookmarkStart w:id="266" w:name="_Toc520356152"/>
      <w:r/>
      <w:bookmarkStart w:id="267" w:name="_Toc151193842"/>
      <w:r/>
      <w:bookmarkStart w:id="268" w:name="_Toc151193626"/>
      <w:r/>
      <w:bookmarkStart w:id="269" w:name="_Toc226309772"/>
      <w:r/>
      <w:bookmarkStart w:id="270" w:name="_Toc127151528"/>
      <w:r/>
      <w:bookmarkStart w:id="271" w:name="_Toc127151729"/>
      <w:r/>
      <w:bookmarkStart w:id="272" w:name="_Toc151190155"/>
      <w:r/>
      <w:bookmarkStart w:id="273" w:name="_Toc164351622"/>
      <w:r/>
      <w:bookmarkStart w:id="274" w:name="_Toc150774628"/>
      <w:r/>
      <w:bookmarkStart w:id="275" w:name="_Toc142311030"/>
      <w:r/>
      <w:bookmarkStart w:id="276" w:name="_Toc226965801"/>
      <w:r>
        <w:rPr>
          <w:sz w:val="24"/>
        </w:rPr>
        <w:t xml:space="preserve">响应文件</w:t>
      </w:r>
      <w:bookmarkEnd w:id="257"/>
      <w:r/>
      <w:bookmarkEnd w:id="258"/>
      <w:r/>
      <w:bookmarkEnd w:id="260"/>
      <w:r>
        <w:rPr>
          <w:sz w:val="24"/>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bookmarkStart w:id="277" w:name="_Ref467052588"/>
      <w:r>
        <w:rPr>
          <w:sz w:val="24"/>
        </w:rPr>
        <w:t xml:space="preserve">供应商应当按照单一来源采购文件的要求编制响应文件。响应文件的部分格式要求，见第六章《响应文件格式》。</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对于单一来源采购文件中标记了“实质性格式”文件的，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。未标记“实质性格式”的文件和单一来源采购文件未提供格式的内容，可由供应商自行编写。</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供应商根据采购项目的特点及要求，提供采购标的成本、同类项目合同价格以及相关专利、专有技术等情况说明，以及单一来源采购文件中要求供应商响应的其他技术文件等。</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7"/>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278" w:name="_Toc195842895"/>
      <w:r/>
      <w:bookmarkStart w:id="279" w:name="_Toc164351624"/>
      <w:r/>
      <w:bookmarkStart w:id="280" w:name="_Toc150774735"/>
      <w:r/>
      <w:bookmarkStart w:id="281" w:name="_Toc127151530"/>
      <w:r/>
      <w:bookmarkStart w:id="282" w:name="_Toc520356155"/>
      <w:r/>
      <w:bookmarkStart w:id="283" w:name="_Toc151190157"/>
      <w:r/>
      <w:bookmarkStart w:id="284" w:name="_Toc149720823"/>
      <w:r/>
      <w:bookmarkStart w:id="285" w:name="_Toc151193628"/>
      <w:r/>
      <w:bookmarkStart w:id="286" w:name="_Toc151193844"/>
      <w:r/>
      <w:bookmarkStart w:id="287" w:name="_Toc164608799"/>
      <w:r/>
      <w:bookmarkStart w:id="288" w:name="_Toc142311032"/>
      <w:r/>
      <w:bookmarkStart w:id="289" w:name="_Toc150509281"/>
      <w:r/>
      <w:bookmarkStart w:id="290" w:name="_Toc127151731"/>
      <w:r/>
      <w:bookmarkStart w:id="291" w:name="_Toc164229371"/>
      <w:r/>
      <w:bookmarkStart w:id="292" w:name="_Toc164608644"/>
      <w:r/>
      <w:bookmarkStart w:id="293" w:name="_Toc150480768"/>
      <w:r/>
      <w:bookmarkStart w:id="294" w:name="_Toc150774630"/>
      <w:r/>
      <w:bookmarkStart w:id="295" w:name="_Toc164229225"/>
      <w:r/>
      <w:bookmarkStart w:id="296" w:name="_Toc127161444"/>
      <w:r/>
      <w:bookmarkStart w:id="297" w:name="_Toc151193918"/>
      <w:r/>
      <w:bookmarkStart w:id="298" w:name="_Toc151193772"/>
      <w:r/>
      <w:bookmarkStart w:id="299" w:name="_Toc151193700"/>
      <w:r>
        <w:rPr>
          <w:sz w:val="24"/>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779"/>
        <w:numPr>
          <w:ilvl w:val="2"/>
          <w:numId w:val="8"/>
        </w:numPr>
        <w:spacing w:line="360" w:lineRule="auto"/>
        <w:tabs>
          <w:tab w:val="left" w:pos="1980" w:leader="none"/>
        </w:tabs>
        <w:rPr>
          <w:sz w:val="24"/>
        </w:rPr>
      </w:pPr>
      <w:r>
        <w:rPr>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r>
      <w:r/>
    </w:p>
    <w:p>
      <w:pPr>
        <w:pStyle w:val="779"/>
        <w:numPr>
          <w:ilvl w:val="2"/>
          <w:numId w:val="8"/>
        </w:numPr>
        <w:spacing w:line="360" w:lineRule="auto"/>
        <w:tabs>
          <w:tab w:val="left" w:pos="1980" w:leader="none"/>
        </w:tabs>
        <w:rPr>
          <w:sz w:val="24"/>
        </w:rPr>
      </w:pPr>
      <w:r>
        <w:rPr>
          <w:sz w:val="24"/>
        </w:rPr>
        <w:t xml:space="preserve">按照单一来源采购文件要求完成本项目的全部相关工程或服务费用。 </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300" w:name="_Toc151193919"/>
      <w:r/>
      <w:bookmarkStart w:id="301" w:name="_Toc164608800"/>
      <w:r/>
      <w:bookmarkStart w:id="302" w:name="_Toc265228369"/>
      <w:r/>
      <w:bookmarkStart w:id="303" w:name="_Toc127161445"/>
      <w:r/>
      <w:bookmarkStart w:id="304" w:name="_Toc151193701"/>
      <w:r/>
      <w:bookmarkStart w:id="305" w:name="_Toc164351625"/>
      <w:r/>
      <w:bookmarkStart w:id="306" w:name="_Toc151193845"/>
      <w:r/>
      <w:bookmarkStart w:id="307" w:name="_Toc264969221"/>
      <w:r/>
      <w:bookmarkStart w:id="308" w:name="_Toc150774736"/>
      <w:r/>
      <w:bookmarkStart w:id="309" w:name="_Toc127151531"/>
      <w:r/>
      <w:bookmarkStart w:id="310" w:name="_Toc164608645"/>
      <w:r/>
      <w:bookmarkStart w:id="311" w:name="_Toc151190158"/>
      <w:r/>
      <w:bookmarkStart w:id="312" w:name="_Toc226309775"/>
      <w:r/>
      <w:bookmarkStart w:id="313" w:name="_Ref467306513"/>
      <w:r/>
      <w:bookmarkStart w:id="314" w:name="_Toc226965721"/>
      <w:r/>
      <w:bookmarkStart w:id="315" w:name="_Toc142311033"/>
      <w:r/>
      <w:bookmarkStart w:id="316" w:name="_Toc150774631"/>
      <w:r/>
      <w:bookmarkStart w:id="317" w:name="_Toc150480769"/>
      <w:r/>
      <w:bookmarkStart w:id="318" w:name="_Toc127151732"/>
      <w:r/>
      <w:bookmarkStart w:id="319" w:name="_Toc164229226"/>
      <w:r/>
      <w:bookmarkStart w:id="320" w:name="_Toc305158873"/>
      <w:r/>
      <w:bookmarkStart w:id="321" w:name="_Toc164229372"/>
      <w:r/>
      <w:bookmarkStart w:id="322" w:name="_Toc520356156"/>
      <w:r/>
      <w:bookmarkStart w:id="323" w:name="_Toc151193773"/>
      <w:r/>
      <w:bookmarkStart w:id="324" w:name="_Toc305158799"/>
      <w:r/>
      <w:bookmarkStart w:id="325" w:name="_Toc195842896"/>
      <w:r/>
      <w:bookmarkStart w:id="326" w:name="_Toc151193629"/>
      <w:r/>
      <w:bookmarkStart w:id="327" w:name="_Toc226337227"/>
      <w:r/>
      <w:bookmarkStart w:id="328" w:name="_Toc149720824"/>
      <w:r/>
      <w:bookmarkStart w:id="329" w:name="_Toc226965804"/>
      <w:r/>
      <w:bookmarkStart w:id="330" w:name="_Toc150509282"/>
      <w:r>
        <w:rPr>
          <w:sz w:val="24"/>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sz w:val="24"/>
        </w:rPr>
        <w:t xml:space="preserve">免收</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331" w:name="_Toc226965722"/>
      <w:r/>
      <w:bookmarkStart w:id="332" w:name="_Toc305158800"/>
      <w:r/>
      <w:bookmarkStart w:id="333" w:name="_Toc164229227"/>
      <w:r/>
      <w:bookmarkStart w:id="334" w:name="_Toc226309776"/>
      <w:r/>
      <w:bookmarkStart w:id="335" w:name="_Toc151193630"/>
      <w:r/>
      <w:bookmarkStart w:id="336" w:name="_Toc150774737"/>
      <w:r/>
      <w:bookmarkStart w:id="337" w:name="_Toc226337228"/>
      <w:r/>
      <w:bookmarkStart w:id="338" w:name="_Toc164608646"/>
      <w:r/>
      <w:bookmarkStart w:id="339" w:name="_Toc195842897"/>
      <w:r/>
      <w:bookmarkStart w:id="340" w:name="_Toc226965805"/>
      <w:r/>
      <w:bookmarkStart w:id="341" w:name="_Toc150774632"/>
      <w:r/>
      <w:bookmarkStart w:id="342" w:name="_Toc150480770"/>
      <w:r/>
      <w:bookmarkStart w:id="343" w:name="_Toc164608801"/>
      <w:r/>
      <w:bookmarkStart w:id="344" w:name="_Toc127151532"/>
      <w:r/>
      <w:bookmarkStart w:id="345" w:name="_Toc127151733"/>
      <w:r/>
      <w:bookmarkStart w:id="346" w:name="_Toc164351626"/>
      <w:r/>
      <w:bookmarkStart w:id="347" w:name="_Toc151193846"/>
      <w:r/>
      <w:bookmarkStart w:id="348" w:name="_Toc151190159"/>
      <w:r/>
      <w:bookmarkStart w:id="349" w:name="_Toc149720825"/>
      <w:r/>
      <w:bookmarkStart w:id="350" w:name="_Toc520356157"/>
      <w:r/>
      <w:bookmarkStart w:id="351" w:name="_Toc265228370"/>
      <w:r/>
      <w:bookmarkStart w:id="352" w:name="_Toc305158874"/>
      <w:r/>
      <w:bookmarkStart w:id="353" w:name="_Toc151193774"/>
      <w:r/>
      <w:bookmarkStart w:id="354" w:name="_Toc142311034"/>
      <w:r/>
      <w:bookmarkStart w:id="355" w:name="_Toc150509283"/>
      <w:r/>
      <w:bookmarkStart w:id="356" w:name="_Toc151193920"/>
      <w:r/>
      <w:bookmarkStart w:id="357" w:name="_Toc264969222"/>
      <w:r/>
      <w:bookmarkStart w:id="358" w:name="_Toc127161446"/>
      <w:r/>
      <w:bookmarkStart w:id="359" w:name="_Toc151193702"/>
      <w:r/>
      <w:bookmarkStart w:id="360" w:name="_Toc164229373"/>
      <w:r>
        <w:rPr>
          <w:sz w:val="24"/>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响应文件应在本单一来源采购文件《供应商须知资料表》中规定的响应有效期内保持有效，响应有效期少于单一来源采购文件规定期限的，其</w:t>
      </w:r>
      <w:r>
        <w:rPr>
          <w:b/>
          <w:sz w:val="24"/>
        </w:rPr>
        <w:t xml:space="preserve">响应无效</w:t>
      </w:r>
      <w:r>
        <w:rPr>
          <w:sz w:val="24"/>
        </w:rPr>
        <w:t xml:space="preserve">。</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361" w:name="_Toc151190160"/>
      <w:r/>
      <w:bookmarkStart w:id="362" w:name="_Toc151193921"/>
      <w:r/>
      <w:bookmarkStart w:id="363" w:name="_Toc142311035"/>
      <w:r/>
      <w:bookmarkStart w:id="364" w:name="_Toc127151533"/>
      <w:r/>
      <w:bookmarkStart w:id="365" w:name="_Toc226337229"/>
      <w:r/>
      <w:bookmarkStart w:id="366" w:name="_Toc226965806"/>
      <w:r/>
      <w:bookmarkStart w:id="367" w:name="_Toc264969223"/>
      <w:r/>
      <w:bookmarkStart w:id="368" w:name="_Toc127161447"/>
      <w:r/>
      <w:bookmarkStart w:id="369" w:name="_Toc150774738"/>
      <w:r/>
      <w:bookmarkStart w:id="370" w:name="_Toc195842898"/>
      <w:r/>
      <w:bookmarkStart w:id="371" w:name="_Toc265228371"/>
      <w:r/>
      <w:bookmarkStart w:id="372" w:name="_Toc305158801"/>
      <w:r/>
      <w:bookmarkStart w:id="373" w:name="_Toc151193847"/>
      <w:r/>
      <w:bookmarkStart w:id="374" w:name="_Toc164229228"/>
      <w:r/>
      <w:bookmarkStart w:id="375" w:name="_Toc305158875"/>
      <w:r/>
      <w:bookmarkStart w:id="376" w:name="_Toc150480771"/>
      <w:r/>
      <w:bookmarkStart w:id="377" w:name="_Toc164608802"/>
      <w:r/>
      <w:bookmarkStart w:id="378" w:name="_Toc150774633"/>
      <w:r/>
      <w:bookmarkStart w:id="379" w:name="_Toc149720826"/>
      <w:r/>
      <w:bookmarkStart w:id="380" w:name="_Toc164229374"/>
      <w:r/>
      <w:bookmarkStart w:id="381" w:name="_Toc520356158"/>
      <w:r/>
      <w:bookmarkStart w:id="382" w:name="_Toc164351627"/>
      <w:r/>
      <w:bookmarkStart w:id="383" w:name="_Toc151193703"/>
      <w:r/>
      <w:bookmarkStart w:id="384" w:name="_Toc150509284"/>
      <w:r/>
      <w:bookmarkStart w:id="385" w:name="_Toc151193631"/>
      <w:r/>
      <w:bookmarkStart w:id="386" w:name="_Toc226965723"/>
      <w:r/>
      <w:bookmarkStart w:id="387" w:name="_Toc127151734"/>
      <w:r/>
      <w:bookmarkStart w:id="388" w:name="_Toc164608647"/>
      <w:r/>
      <w:bookmarkStart w:id="389" w:name="_Toc226309777"/>
      <w:r/>
      <w:bookmarkStart w:id="390" w:name="_Toc151193775"/>
      <w:r>
        <w:rPr>
          <w:sz w:val="24"/>
        </w:rPr>
        <w:t xml:space="preserve">响应文件的签署</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sz w:val="24"/>
        </w:rPr>
        <w:t xml:space="preserve">、盖章</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bookmarkStart w:id="391" w:name="_Toc150774634"/>
      <w:r/>
      <w:bookmarkStart w:id="392" w:name="_Toc151193922"/>
      <w:r/>
      <w:bookmarkStart w:id="393" w:name="_Toc151193776"/>
      <w:r/>
      <w:bookmarkStart w:id="394" w:name="_Toc226337230"/>
      <w:r/>
      <w:bookmarkStart w:id="395" w:name="_Toc195842899"/>
      <w:r/>
      <w:bookmarkStart w:id="396" w:name="_Toc127151534"/>
      <w:r/>
      <w:bookmarkStart w:id="397" w:name="_Toc226309778"/>
      <w:r/>
      <w:bookmarkStart w:id="398" w:name="_Toc226965724"/>
      <w:r/>
      <w:bookmarkStart w:id="399" w:name="_Toc142311036"/>
      <w:r/>
      <w:bookmarkStart w:id="400" w:name="_Toc305158876"/>
      <w:r/>
      <w:bookmarkStart w:id="401" w:name="_Toc150509285"/>
      <w:r/>
      <w:bookmarkStart w:id="402" w:name="_Toc520356159"/>
      <w:r/>
      <w:bookmarkStart w:id="403" w:name="_Toc305158802"/>
      <w:r/>
      <w:bookmarkStart w:id="404" w:name="_Toc150480772"/>
      <w:r/>
      <w:bookmarkStart w:id="405" w:name="_Toc151193632"/>
      <w:r/>
      <w:bookmarkStart w:id="406" w:name="_Toc151193704"/>
      <w:r/>
      <w:bookmarkStart w:id="407" w:name="_Toc226965807"/>
      <w:r/>
      <w:bookmarkStart w:id="408" w:name="_Toc264969224"/>
      <w:r/>
      <w:bookmarkStart w:id="409" w:name="_Toc151190161"/>
      <w:r/>
      <w:bookmarkStart w:id="410" w:name="_Toc150774739"/>
      <w:r/>
      <w:bookmarkStart w:id="411" w:name="_Toc151193848"/>
      <w:r/>
      <w:bookmarkStart w:id="412" w:name="_Toc265228372"/>
      <w:r>
        <w:rPr>
          <w:sz w:val="24"/>
        </w:rPr>
        <w:t xml:space="preserve">响应文件要求签字的内容（如授权委托书等），</w:t>
      </w:r>
      <w:r>
        <w:rPr>
          <w:rFonts w:hint="eastAsia"/>
          <w:sz w:val="24"/>
        </w:rPr>
        <w:t xml:space="preserve">可以使用电子签章或</w:t>
      </w:r>
      <w:r>
        <w:rPr>
          <w:sz w:val="24"/>
        </w:rPr>
        <w:t xml:space="preserve">使用原件的电子件（电子件指扫描件、照片等形式电子文件）</w:t>
      </w:r>
      <w:r>
        <w:rPr>
          <w:rFonts w:hint="eastAsia"/>
          <w:sz w:val="24"/>
        </w:rPr>
        <w:t xml:space="preserve">；要求</w:t>
      </w:r>
      <w:r>
        <w:rPr>
          <w:sz w:val="24"/>
        </w:rPr>
        <w:t xml:space="preserve">第三方出具的盖章件原件（如联合协议、分包意向协议、制造商授权书等），响应文件中应使用原件的电子件。</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单一来源采购文件要求盖章的内容，一般通过响应文件编制工具加盖电子签章。</w:t>
      </w:r>
      <w:r>
        <w:rPr>
          <w:sz w:val="24"/>
        </w:rPr>
      </w:r>
      <w:r/>
    </w:p>
    <w:p>
      <w:pPr>
        <w:pStyle w:val="779"/>
        <w:ind w:left="357"/>
        <w:spacing w:line="360" w:lineRule="auto"/>
        <w:tabs>
          <w:tab w:val="left" w:pos="900" w:leader="none"/>
          <w:tab w:val="left" w:pos="1080" w:leader="none"/>
        </w:tabs>
      </w:pPr>
      <w:r/>
      <w:r/>
    </w:p>
    <w:p>
      <w:pPr>
        <w:pStyle w:val="78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ascii="Times New Roman" w:hAnsi="Times New Roman" w:eastAsia="宋体"/>
          <w:sz w:val="28"/>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413" w:name="_Toc151193849"/>
      <w:r/>
      <w:bookmarkStart w:id="414" w:name="_Toc226965808"/>
      <w:r/>
      <w:bookmarkStart w:id="415" w:name="_Toc150774740"/>
      <w:r/>
      <w:bookmarkStart w:id="416" w:name="_Toc150480773"/>
      <w:r/>
      <w:bookmarkStart w:id="417" w:name="_Toc127151736"/>
      <w:r/>
      <w:bookmarkStart w:id="418" w:name="_Toc150509286"/>
      <w:r/>
      <w:bookmarkStart w:id="419" w:name="_Toc195842900"/>
      <w:r/>
      <w:bookmarkStart w:id="420" w:name="_Toc151193705"/>
      <w:r/>
      <w:bookmarkStart w:id="421" w:name="_Toc151190162"/>
      <w:r/>
      <w:bookmarkStart w:id="422" w:name="_Toc164351629"/>
      <w:r/>
      <w:bookmarkStart w:id="423" w:name="_Toc151193777"/>
      <w:r/>
      <w:bookmarkStart w:id="424" w:name="_Toc265228373"/>
      <w:r/>
      <w:bookmarkStart w:id="425" w:name="_Toc226309779"/>
      <w:r/>
      <w:bookmarkStart w:id="426" w:name="_Toc226965725"/>
      <w:r/>
      <w:bookmarkStart w:id="427" w:name="_Toc151193633"/>
      <w:r/>
      <w:bookmarkStart w:id="428" w:name="_Toc164229230"/>
      <w:r/>
      <w:bookmarkStart w:id="429" w:name="_Toc127161449"/>
      <w:r/>
      <w:bookmarkStart w:id="430" w:name="_Toc164608649"/>
      <w:r/>
      <w:bookmarkStart w:id="431" w:name="_Toc305158803"/>
      <w:r/>
      <w:bookmarkStart w:id="432" w:name="_Toc305158877"/>
      <w:r/>
      <w:bookmarkStart w:id="433" w:name="_Toc264969225"/>
      <w:r/>
      <w:bookmarkStart w:id="434" w:name="_Toc127151535"/>
      <w:r/>
      <w:bookmarkStart w:id="435" w:name="_Toc142311037"/>
      <w:r/>
      <w:bookmarkStart w:id="436" w:name="_Toc151193923"/>
      <w:r/>
      <w:bookmarkStart w:id="437" w:name="_Toc520356160"/>
      <w:r/>
      <w:bookmarkStart w:id="438" w:name="_Toc149720828"/>
      <w:r/>
      <w:bookmarkStart w:id="439" w:name="_Toc226337231"/>
      <w:r/>
      <w:bookmarkStart w:id="440" w:name="_Toc164229376"/>
      <w:r/>
      <w:bookmarkStart w:id="441" w:name="_Toc150774635"/>
      <w:r/>
      <w:bookmarkStart w:id="442" w:name="_Toc164608804"/>
      <w:r>
        <w:rPr>
          <w:sz w:val="24"/>
        </w:rPr>
        <w:t xml:space="preserve">响应文件的</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sz w:val="24"/>
        </w:rPr>
        <w:t xml:space="preserve">提交</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。供应商根据单一来源采购文件及</w:t>
      </w:r>
      <w:r>
        <w:rPr>
          <w:rFonts w:hint="eastAsia"/>
          <w:sz w:val="24"/>
          <w:lang w:bidi="ar"/>
        </w:rPr>
        <w:t xml:space="preserve">“苏采云”政府采购一体化平台</w:t>
      </w:r>
      <w:r>
        <w:rPr>
          <w:sz w:val="24"/>
        </w:rPr>
        <w:t xml:space="preserve">供应商操作手册要求编制、生成并提交电子响应文件。</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采购人及采购代理机构拒绝接受通过电子交易平台以外任何形式提交的响应文件，保证金除外。</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提交响应文件截止时间</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供应商应在单一来源采购文件要求的提交响应文件截止时间前，将电子响应文件提交至</w:t>
      </w:r>
      <w:r>
        <w:rPr>
          <w:rFonts w:hint="eastAsia"/>
          <w:sz w:val="24"/>
          <w:lang w:bidi="ar"/>
        </w:rPr>
        <w:t xml:space="preserve">“苏采云”政府采购一体化平台</w:t>
      </w:r>
      <w:r>
        <w:rPr>
          <w:sz w:val="24"/>
        </w:rPr>
        <w:t xml:space="preserve">。</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443" w:name="_Toc150774637"/>
      <w:r/>
      <w:bookmarkStart w:id="444" w:name="_Toc127151537"/>
      <w:r/>
      <w:bookmarkStart w:id="445" w:name="_Toc164608651"/>
      <w:r/>
      <w:bookmarkStart w:id="446" w:name="_Toc520356162"/>
      <w:r/>
      <w:bookmarkStart w:id="447" w:name="_Toc151193635"/>
      <w:r/>
      <w:bookmarkStart w:id="448" w:name="_Toc151193707"/>
      <w:r/>
      <w:bookmarkStart w:id="449" w:name="_Toc305158879"/>
      <w:r/>
      <w:bookmarkStart w:id="450" w:name="_Toc305158805"/>
      <w:r/>
      <w:bookmarkStart w:id="451" w:name="_Toc226309781"/>
      <w:r/>
      <w:bookmarkStart w:id="452" w:name="_Toc150774742"/>
      <w:r/>
      <w:bookmarkStart w:id="453" w:name="_Toc164229232"/>
      <w:r/>
      <w:bookmarkStart w:id="454" w:name="_Toc226965810"/>
      <w:r/>
      <w:bookmarkStart w:id="455" w:name="_Toc164608806"/>
      <w:r/>
      <w:bookmarkStart w:id="456" w:name="_Toc164229378"/>
      <w:r/>
      <w:bookmarkStart w:id="457" w:name="_Toc150509288"/>
      <w:r/>
      <w:bookmarkStart w:id="458" w:name="_Toc164351631"/>
      <w:r/>
      <w:bookmarkStart w:id="459" w:name="_Toc151193851"/>
      <w:r/>
      <w:bookmarkStart w:id="460" w:name="_Toc151193779"/>
      <w:r/>
      <w:bookmarkStart w:id="461" w:name="_Toc150480775"/>
      <w:r/>
      <w:bookmarkStart w:id="462" w:name="_Toc127151738"/>
      <w:r/>
      <w:bookmarkStart w:id="463" w:name="_Toc127161451"/>
      <w:r/>
      <w:bookmarkStart w:id="464" w:name="_Toc265228375"/>
      <w:r/>
      <w:bookmarkStart w:id="465" w:name="_Toc151193925"/>
      <w:r/>
      <w:bookmarkStart w:id="466" w:name="_Toc195842902"/>
      <w:r/>
      <w:bookmarkStart w:id="467" w:name="_Toc142311039"/>
      <w:r/>
      <w:bookmarkStart w:id="468" w:name="_Toc226337233"/>
      <w:r/>
      <w:bookmarkStart w:id="469" w:name="_Toc264969227"/>
      <w:r/>
      <w:bookmarkStart w:id="470" w:name="_Toc226965727"/>
      <w:r/>
      <w:bookmarkStart w:id="471" w:name="_Toc151190164"/>
      <w:r/>
      <w:bookmarkStart w:id="472" w:name="_Toc149720830"/>
      <w:r>
        <w:rPr>
          <w:sz w:val="24"/>
        </w:rPr>
        <w:t xml:space="preserve">响应文件的修改与撤回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响应文件提交截止时间前，供应商可以通过电子交易平台对所提交的响应文件进行补充、修改或者撤回。</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供应商对响应文件的补充、修改的内容应当按照单一来源采购文件要求签署、盖章，作为响应文件的组成部分。补充、修改的内容与响应文件不一致的，以补充、修改的内容为准。</w:t>
      </w:r>
      <w:r>
        <w:rPr>
          <w:sz w:val="24"/>
        </w:rPr>
      </w:r>
      <w:r/>
    </w:p>
    <w:p>
      <w:pPr>
        <w:pStyle w:val="779"/>
        <w:spacing w:line="360" w:lineRule="auto"/>
        <w:rPr>
          <w:sz w:val="24"/>
        </w:rPr>
      </w:pPr>
      <w:r>
        <w:rPr>
          <w:sz w:val="24"/>
        </w:rPr>
      </w:r>
      <w:r/>
    </w:p>
    <w:p>
      <w:pPr>
        <w:pStyle w:val="781"/>
        <w:spacing w:before="0" w:line="360" w:lineRule="auto"/>
        <w:rPr>
          <w:rFonts w:ascii="Times New Roman" w:hAnsi="Times New Roman" w:eastAsia="宋体"/>
          <w:sz w:val="28"/>
        </w:rPr>
      </w:pPr>
      <w:r/>
      <w:bookmarkStart w:id="473" w:name="_Toc142311040"/>
      <w:r/>
      <w:bookmarkStart w:id="474" w:name="_Toc226965811"/>
      <w:r/>
      <w:bookmarkStart w:id="475" w:name="_Toc151190165"/>
      <w:r/>
      <w:bookmarkStart w:id="476" w:name="_Toc226309782"/>
      <w:r/>
      <w:bookmarkStart w:id="477" w:name="_Toc151193780"/>
      <w:r/>
      <w:bookmarkStart w:id="478" w:name="_Toc151193636"/>
      <w:r/>
      <w:bookmarkStart w:id="479" w:name="_Toc195842903"/>
      <w:r/>
      <w:bookmarkStart w:id="480" w:name="_Toc305158806"/>
      <w:r/>
      <w:bookmarkStart w:id="481" w:name="_Toc305158880"/>
      <w:r/>
      <w:bookmarkStart w:id="482" w:name="_Toc151193852"/>
      <w:r/>
      <w:bookmarkStart w:id="483" w:name="_Toc151193708"/>
      <w:r/>
      <w:bookmarkStart w:id="484" w:name="_Toc150774638"/>
      <w:r/>
      <w:bookmarkStart w:id="485" w:name="_Toc264969228"/>
      <w:r/>
      <w:bookmarkStart w:id="486" w:name="_Toc150774743"/>
      <w:r/>
      <w:bookmarkStart w:id="487" w:name="_Toc151193926"/>
      <w:r/>
      <w:bookmarkStart w:id="488" w:name="_Toc520356163"/>
      <w:r/>
      <w:bookmarkStart w:id="489" w:name="_Toc226965728"/>
      <w:r/>
      <w:bookmarkStart w:id="490" w:name="_Toc150480776"/>
      <w:r/>
      <w:bookmarkStart w:id="491" w:name="_Toc226337234"/>
      <w:r/>
      <w:bookmarkStart w:id="492" w:name="_Toc127151538"/>
      <w:r/>
      <w:bookmarkStart w:id="493" w:name="_Toc265228376"/>
      <w:r/>
      <w:bookmarkStart w:id="494" w:name="_Toc150509289"/>
      <w:r>
        <w:rPr>
          <w:rFonts w:ascii="Times New Roman" w:hAnsi="Times New Roman" w:eastAsia="宋体"/>
          <w:sz w:val="28"/>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Times New Roman" w:hAnsi="Times New Roman" w:eastAsia="宋体"/>
          <w:sz w:val="28"/>
        </w:rPr>
        <w:t xml:space="preserve">协商</w:t>
      </w:r>
      <w:r>
        <w:rPr>
          <w:rFonts w:ascii="Times New Roman" w:hAnsi="Times New Roman" w:eastAsia="宋体"/>
          <w:sz w:val="28"/>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解密</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采购人或采购代理机构将按单一来源采购文件的规定，在提交响应文件截止时间的同一时间和《供应商须知资料表》约定的地点组织解密。本项目</w:t>
      </w:r>
      <w:r>
        <w:rPr>
          <w:rFonts w:ascii="宋体" w:hAnsi="宋体"/>
          <w:sz w:val="24"/>
        </w:rPr>
        <w:t xml:space="preserve">采用不见面招投标模式</w:t>
      </w:r>
      <w:r>
        <w:rPr>
          <w:rFonts w:hint="eastAsia" w:ascii="宋体" w:hAnsi="宋体"/>
          <w:sz w:val="24"/>
        </w:rPr>
        <w:t xml:space="preserve">，供应商使用</w:t>
      </w:r>
      <w:r>
        <w:rPr>
          <w:rFonts w:hint="eastAsia"/>
          <w:sz w:val="24"/>
          <w:lang w:bidi="ar"/>
        </w:rPr>
        <w:t xml:space="preserve">“苏采云”政府采购一体化平台</w:t>
      </w:r>
      <w:r>
        <w:rPr>
          <w:rFonts w:hint="eastAsia"/>
          <w:sz w:val="24"/>
        </w:rPr>
        <w:t xml:space="preserve">在线进行解密</w:t>
      </w:r>
      <w:r>
        <w:rPr>
          <w:sz w:val="24"/>
        </w:rPr>
        <w:t xml:space="preserve">。</w:t>
      </w:r>
      <w:r>
        <w:rPr>
          <w:rFonts w:hint="eastAsia"/>
          <w:sz w:val="24"/>
        </w:rPr>
        <w:t xml:space="preserve">条件允许的，也可以供应商携带CA到谈判现场解密。</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本项目解密使用</w:t>
      </w:r>
      <w:r>
        <w:rPr>
          <w:rFonts w:hint="eastAsia"/>
          <w:sz w:val="24"/>
          <w:lang w:bidi="ar"/>
        </w:rPr>
        <w:t xml:space="preserve">“苏采云”政府采购一体化平台</w:t>
      </w:r>
      <w:r>
        <w:rPr>
          <w:sz w:val="24"/>
        </w:rPr>
        <w:t xml:space="preserve">。供应商应在规定的时间内对响应文件进行解密，因非系统原因导致的解密失败，视</w:t>
      </w:r>
      <w:r>
        <w:rPr>
          <w:b/>
          <w:sz w:val="24"/>
        </w:rPr>
        <w:t xml:space="preserve">为无效响应</w:t>
      </w:r>
      <w:r>
        <w:rPr>
          <w:sz w:val="24"/>
        </w:rPr>
        <w:t xml:space="preserve">。</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单一来源采购人员</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bookmarkStart w:id="495" w:name="_Toc520356166"/>
      <w:r>
        <w:rPr>
          <w:sz w:val="24"/>
        </w:rPr>
        <w:t xml:space="preserve">采购人、采购代理机构组织具有相关经验的专业人员与供应商商定合理的成交价格并保证采购项目质量。</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End w:id="495"/>
      <w:r/>
      <w:bookmarkStart w:id="496" w:name="_Toc520356169"/>
      <w:r>
        <w:rPr>
          <w:sz w:val="24"/>
        </w:rPr>
        <w:t xml:space="preserve">协商程序 </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见第三章《协商程序》。</w:t>
      </w:r>
      <w:r>
        <w:rPr>
          <w:sz w:val="24"/>
        </w:rPr>
      </w:r>
      <w:r/>
    </w:p>
    <w:p>
      <w:pPr>
        <w:pStyle w:val="779"/>
        <w:ind w:left="1080"/>
        <w:spacing w:line="360" w:lineRule="auto"/>
        <w:tabs>
          <w:tab w:val="left" w:pos="360" w:leader="none"/>
          <w:tab w:val="left" w:pos="1080" w:leader="none"/>
        </w:tabs>
        <w:rPr>
          <w:sz w:val="24"/>
        </w:rPr>
      </w:pPr>
      <w:r>
        <w:rPr>
          <w:sz w:val="24"/>
        </w:rPr>
      </w:r>
      <w:r/>
    </w:p>
    <w:p>
      <w:pPr>
        <w:pStyle w:val="781"/>
        <w:spacing w:before="0" w:line="360" w:lineRule="auto"/>
        <w:rPr>
          <w:rFonts w:ascii="Times New Roman" w:hAnsi="Times New Roman" w:eastAsia="宋体"/>
          <w:sz w:val="28"/>
        </w:rPr>
      </w:pPr>
      <w:r/>
      <w:bookmarkStart w:id="497" w:name="_Toc264969235"/>
      <w:r/>
      <w:bookmarkStart w:id="498" w:name="_Toc151193715"/>
      <w:r/>
      <w:bookmarkStart w:id="499" w:name="_Toc151193859"/>
      <w:r/>
      <w:bookmarkStart w:id="500" w:name="_Toc265228383"/>
      <w:r/>
      <w:bookmarkStart w:id="501" w:name="_Toc226965735"/>
      <w:r/>
      <w:bookmarkStart w:id="502" w:name="_Toc150509296"/>
      <w:r/>
      <w:bookmarkStart w:id="503" w:name="_Toc151193933"/>
      <w:r/>
      <w:bookmarkStart w:id="504" w:name="_Toc226965818"/>
      <w:r/>
      <w:bookmarkStart w:id="505" w:name="_Toc151193787"/>
      <w:r/>
      <w:bookmarkStart w:id="506" w:name="_Toc226309789"/>
      <w:r/>
      <w:bookmarkStart w:id="507" w:name="_Toc151193643"/>
      <w:r/>
      <w:bookmarkStart w:id="508" w:name="_Toc127151545"/>
      <w:r/>
      <w:bookmarkStart w:id="509" w:name="_Toc150774645"/>
      <w:r/>
      <w:bookmarkStart w:id="510" w:name="_Toc151190172"/>
      <w:r/>
      <w:bookmarkStart w:id="511" w:name="_Toc195842910"/>
      <w:r/>
      <w:bookmarkStart w:id="512" w:name="_Toc305158813"/>
      <w:r/>
      <w:bookmarkStart w:id="513" w:name="_Toc142311047"/>
      <w:r/>
      <w:bookmarkStart w:id="514" w:name="_Toc226337241"/>
      <w:r/>
      <w:bookmarkStart w:id="515" w:name="_Toc150774750"/>
      <w:r/>
      <w:bookmarkStart w:id="516" w:name="_Toc150480783"/>
      <w:r/>
      <w:bookmarkStart w:id="517" w:name="_Toc305158887"/>
      <w:r>
        <w:rPr>
          <w:rFonts w:ascii="Times New Roman" w:hAnsi="Times New Roman" w:eastAsia="宋体"/>
          <w:sz w:val="28"/>
        </w:rPr>
        <w:t xml:space="preserve">六   </w:t>
      </w:r>
      <w:bookmarkEnd w:id="496"/>
      <w:r>
        <w:rPr>
          <w:rFonts w:ascii="Times New Roman" w:hAnsi="Times New Roman" w:eastAsia="宋体"/>
          <w:sz w:val="28"/>
        </w:rPr>
        <w:t xml:space="preserve">确定</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Times New Roman" w:hAnsi="Times New Roman" w:eastAsia="宋体"/>
          <w:sz w:val="28"/>
        </w:rPr>
        <w:t xml:space="preserve">成交供应商</w:t>
      </w:r>
      <w:r>
        <w:rPr>
          <w:rFonts w:ascii="Times New Roman" w:hAnsi="Times New Roman" w:eastAsia="宋体"/>
          <w:sz w:val="28"/>
        </w:rPr>
      </w:r>
      <w:r/>
    </w:p>
    <w:p>
      <w:pPr>
        <w:pStyle w:val="779"/>
        <w:ind w:left="900"/>
        <w:spacing w:line="360" w:lineRule="auto"/>
        <w:tabs>
          <w:tab w:val="left" w:pos="900" w:leader="none"/>
          <w:tab w:val="left" w:pos="1080" w:leader="none"/>
          <w:tab w:val="left" w:pos="1589" w:leader="none"/>
        </w:tabs>
        <w:rPr>
          <w:sz w:val="24"/>
        </w:rPr>
      </w:pPr>
      <w:r/>
      <w:bookmarkStart w:id="518" w:name="_Toc265228385"/>
      <w:r/>
      <w:bookmarkStart w:id="519" w:name="_Toc164351641"/>
      <w:r/>
      <w:bookmarkStart w:id="520" w:name="_Toc151193645"/>
      <w:r/>
      <w:bookmarkStart w:id="521" w:name="_Toc151193935"/>
      <w:r/>
      <w:bookmarkStart w:id="522" w:name="_Toc127151547"/>
      <w:r/>
      <w:bookmarkStart w:id="523" w:name="_Toc305158815"/>
      <w:r/>
      <w:bookmarkStart w:id="524" w:name="_Toc195842912"/>
      <w:r/>
      <w:bookmarkStart w:id="525" w:name="_Toc151193717"/>
      <w:r/>
      <w:bookmarkStart w:id="526" w:name="_Toc151193861"/>
      <w:r/>
      <w:bookmarkStart w:id="527" w:name="_Toc127151748"/>
      <w:r/>
      <w:bookmarkStart w:id="528" w:name="_Toc151190174"/>
      <w:r/>
      <w:bookmarkStart w:id="529" w:name="_Toc151193789"/>
      <w:r/>
      <w:bookmarkStart w:id="530" w:name="_Toc164229242"/>
      <w:r/>
      <w:bookmarkStart w:id="531" w:name="_Toc164608816"/>
      <w:r/>
      <w:bookmarkStart w:id="532" w:name="_Toc150509298"/>
      <w:r/>
      <w:bookmarkStart w:id="533" w:name="_Toc164608661"/>
      <w:r/>
      <w:bookmarkStart w:id="534" w:name="_Toc150774752"/>
      <w:r/>
      <w:bookmarkStart w:id="535" w:name="_Toc150480785"/>
      <w:r/>
      <w:bookmarkStart w:id="536" w:name="_Toc226965737"/>
      <w:r/>
      <w:bookmarkStart w:id="537" w:name="_Toc226965820"/>
      <w:r/>
      <w:bookmarkStart w:id="538" w:name="_Toc149720840"/>
      <w:r/>
      <w:bookmarkStart w:id="539" w:name="_Toc142311049"/>
      <w:r/>
      <w:bookmarkStart w:id="540" w:name="_Toc305158889"/>
      <w:r/>
      <w:bookmarkStart w:id="541" w:name="_Toc164229388"/>
      <w:r/>
      <w:bookmarkStart w:id="542" w:name="_Toc226309791"/>
      <w:r/>
      <w:bookmarkStart w:id="543" w:name="_Toc127161461"/>
      <w:r/>
      <w:bookmarkStart w:id="544" w:name="_Toc150774647"/>
      <w:r/>
      <w:bookmarkStart w:id="545" w:name="_Toc226337243"/>
      <w:r/>
      <w:bookmarkStart w:id="546" w:name="_Toc264969237"/>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确定</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sz w:val="24"/>
        </w:rPr>
        <w:t xml:space="preserve">成交供应商</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采购人在收到单一来源采购人员编写的协商情况记录后，确定成交供应商。</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Start w:id="547" w:name="_Toc150480787"/>
      <w:r/>
      <w:bookmarkStart w:id="548" w:name="_Toc151193937"/>
      <w:r/>
      <w:bookmarkStart w:id="549" w:name="_Toc127161463"/>
      <w:r/>
      <w:bookmarkStart w:id="550" w:name="_Ref467307090"/>
      <w:r/>
      <w:bookmarkStart w:id="551" w:name="_Ref467306425"/>
      <w:r/>
      <w:bookmarkStart w:id="552" w:name="_Toc305158817"/>
      <w:r/>
      <w:bookmarkStart w:id="553" w:name="_Toc151193791"/>
      <w:r/>
      <w:bookmarkStart w:id="554" w:name="_Toc150774754"/>
      <w:r/>
      <w:bookmarkStart w:id="555" w:name="_Toc164608663"/>
      <w:r/>
      <w:bookmarkStart w:id="556" w:name="_Toc195842914"/>
      <w:r/>
      <w:bookmarkStart w:id="557" w:name="_Toc164608818"/>
      <w:r/>
      <w:bookmarkStart w:id="558" w:name="_Toc150509300"/>
      <w:r/>
      <w:bookmarkStart w:id="559" w:name="_Toc226965822"/>
      <w:r/>
      <w:bookmarkStart w:id="560" w:name="_Toc264969239"/>
      <w:r/>
      <w:bookmarkStart w:id="561" w:name="_Toc226337245"/>
      <w:r/>
      <w:bookmarkStart w:id="562" w:name="_Toc127151750"/>
      <w:r/>
      <w:bookmarkStart w:id="563" w:name="_Toc164229390"/>
      <w:r/>
      <w:bookmarkStart w:id="564" w:name="_Toc151190176"/>
      <w:r/>
      <w:bookmarkStart w:id="565" w:name="_Toc520356176"/>
      <w:r/>
      <w:bookmarkStart w:id="566" w:name="_Toc142311051"/>
      <w:r/>
      <w:bookmarkStart w:id="567" w:name="_Toc265228387"/>
      <w:r/>
      <w:bookmarkStart w:id="568" w:name="_Toc151193863"/>
      <w:r/>
      <w:bookmarkStart w:id="569" w:name="_Toc305158891"/>
      <w:r/>
      <w:bookmarkStart w:id="570" w:name="_Toc226309793"/>
      <w:r/>
      <w:bookmarkStart w:id="571" w:name="_Toc164351643"/>
      <w:r/>
      <w:bookmarkStart w:id="572" w:name="_Toc164229244"/>
      <w:r/>
      <w:bookmarkStart w:id="573" w:name="_Toc151193719"/>
      <w:r/>
      <w:bookmarkStart w:id="574" w:name="_Toc127151549"/>
      <w:r/>
      <w:bookmarkStart w:id="575" w:name="_Toc149720842"/>
      <w:r/>
      <w:bookmarkStart w:id="576" w:name="_Toc151193647"/>
      <w:r/>
      <w:bookmarkStart w:id="577" w:name="_Toc150774649"/>
      <w:r/>
      <w:bookmarkStart w:id="578" w:name="_Toc226965739"/>
      <w:r>
        <w:rPr>
          <w:sz w:val="24"/>
        </w:rPr>
        <w:t xml:space="preserve">成交公告与成交通知书</w:t>
      </w:r>
      <w:bookmarkEnd w:id="552"/>
      <w:r/>
      <w:bookmarkEnd w:id="569"/>
      <w:r>
        <w:rPr>
          <w:sz w:val="24"/>
        </w:rPr>
      </w:r>
      <w:r/>
    </w:p>
    <w:p>
      <w:pPr>
        <w:pStyle w:val="779"/>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77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成交通知书对采购人和成交供应商具有同等法律效力。成交通知书发出后，采购人改变成交结果的，或者成交供应商放弃成交项目的，应当依法承担法律责任。</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出现下列情形之一的，采购人或采购代理机构将终止采购活动，发布项目终止公告并说明原因，重新开展采购活动：</w:t>
      </w:r>
      <w:r>
        <w:rPr>
          <w:sz w:val="24"/>
        </w:rPr>
      </w:r>
      <w:r/>
    </w:p>
    <w:p>
      <w:pPr>
        <w:pStyle w:val="779"/>
        <w:numPr>
          <w:ilvl w:val="2"/>
          <w:numId w:val="8"/>
        </w:numPr>
        <w:spacing w:line="360" w:lineRule="auto"/>
        <w:tabs>
          <w:tab w:val="left" w:pos="1980" w:leader="none"/>
        </w:tabs>
        <w:rPr>
          <w:sz w:val="24"/>
        </w:rPr>
      </w:pPr>
      <w:r>
        <w:rPr>
          <w:sz w:val="24"/>
        </w:rPr>
        <w:t xml:space="preserve">因情况变化，不再符合规定的单一来源采购方式适用情形的；</w:t>
      </w:r>
      <w:r>
        <w:rPr>
          <w:sz w:val="24"/>
        </w:rPr>
      </w:r>
      <w:r/>
    </w:p>
    <w:p>
      <w:pPr>
        <w:pStyle w:val="77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779"/>
        <w:numPr>
          <w:ilvl w:val="2"/>
          <w:numId w:val="8"/>
        </w:numPr>
        <w:spacing w:line="360" w:lineRule="auto"/>
        <w:tabs>
          <w:tab w:val="left" w:pos="1980" w:leader="none"/>
        </w:tabs>
        <w:rPr>
          <w:sz w:val="24"/>
        </w:rPr>
      </w:pPr>
      <w:r>
        <w:rPr>
          <w:sz w:val="24"/>
        </w:rPr>
        <w:t xml:space="preserve">报价超过采购预算的。</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End w:id="547"/>
      <w:r/>
      <w:bookmarkEnd w:id="548"/>
      <w:r/>
      <w:bookmarkEnd w:id="549"/>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6"/>
      <w:r/>
      <w:bookmarkEnd w:id="567"/>
      <w:r/>
      <w:bookmarkEnd w:id="568"/>
      <w:r/>
      <w:bookmarkEnd w:id="570"/>
      <w:r/>
      <w:bookmarkEnd w:id="571"/>
      <w:r/>
      <w:bookmarkEnd w:id="572"/>
      <w:r/>
      <w:bookmarkEnd w:id="573"/>
      <w:r/>
      <w:bookmarkEnd w:id="574"/>
      <w:r/>
      <w:bookmarkEnd w:id="575"/>
      <w:r/>
      <w:bookmarkEnd w:id="576"/>
      <w:r/>
      <w:bookmarkEnd w:id="577"/>
      <w:r/>
      <w:bookmarkEnd w:id="578"/>
      <w:r/>
      <w:bookmarkStart w:id="579" w:name="_Toc305158892"/>
      <w:r/>
      <w:bookmarkStart w:id="580" w:name="_Toc151193648"/>
      <w:r/>
      <w:bookmarkStart w:id="581" w:name="_Toc150774650"/>
      <w:r/>
      <w:bookmarkStart w:id="582" w:name="_Toc264969240"/>
      <w:r/>
      <w:bookmarkStart w:id="583" w:name="_Toc149720843"/>
      <w:r/>
      <w:bookmarkStart w:id="584" w:name="_Toc195842915"/>
      <w:r/>
      <w:bookmarkStart w:id="585" w:name="_Toc164608664"/>
      <w:r/>
      <w:bookmarkStart w:id="586" w:name="_Toc164229391"/>
      <w:r/>
      <w:bookmarkStart w:id="587" w:name="_Toc151193938"/>
      <w:r/>
      <w:bookmarkStart w:id="588" w:name="_Toc150774755"/>
      <w:r/>
      <w:bookmarkStart w:id="589" w:name="_Ref467307062"/>
      <w:r/>
      <w:bookmarkStart w:id="590" w:name="_Toc150480788"/>
      <w:r/>
      <w:bookmarkStart w:id="591" w:name="_Toc151193864"/>
      <w:r/>
      <w:bookmarkStart w:id="592" w:name="_Ref467306377"/>
      <w:r/>
      <w:bookmarkStart w:id="593" w:name="_Toc127151751"/>
      <w:r/>
      <w:bookmarkStart w:id="594" w:name="_Toc151193720"/>
      <w:r/>
      <w:bookmarkStart w:id="595" w:name="_Toc164608819"/>
      <w:r/>
      <w:bookmarkStart w:id="596" w:name="_Toc305158818"/>
      <w:r/>
      <w:bookmarkStart w:id="597" w:name="_Toc142311052"/>
      <w:r/>
      <w:bookmarkStart w:id="598" w:name="_Toc164229245"/>
      <w:r/>
      <w:bookmarkStart w:id="599" w:name="_Ref467307204"/>
      <w:r/>
      <w:bookmarkStart w:id="600" w:name="_Ref467306978"/>
      <w:r/>
      <w:bookmarkStart w:id="601" w:name="_Toc520356175"/>
      <w:r/>
      <w:bookmarkStart w:id="602" w:name="_Toc226337246"/>
      <w:r/>
      <w:bookmarkStart w:id="603" w:name="_Toc226309794"/>
      <w:r/>
      <w:bookmarkStart w:id="604" w:name="_Toc265228388"/>
      <w:r/>
      <w:bookmarkStart w:id="605" w:name="_Toc127161464"/>
      <w:r/>
      <w:bookmarkStart w:id="606" w:name="_Toc151190177"/>
      <w:r/>
      <w:bookmarkStart w:id="607" w:name="_Toc226965823"/>
      <w:r/>
      <w:bookmarkStart w:id="608" w:name="_Toc151193792"/>
      <w:r/>
      <w:bookmarkStart w:id="609" w:name="_Toc226965740"/>
      <w:r/>
      <w:bookmarkStart w:id="610" w:name="_Toc150509301"/>
      <w:r/>
      <w:bookmarkStart w:id="611" w:name="_Toc127151550"/>
      <w:r/>
      <w:bookmarkStart w:id="612" w:name="_Toc164351644"/>
      <w:r>
        <w:rPr>
          <w:sz w:val="24"/>
        </w:rPr>
        <w:t xml:space="preserve">签订合同</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采购人与成交供应商应当自成交通知书发出之日起</w:t>
      </w:r>
      <w:r>
        <w:rPr>
          <w:rFonts w:hint="eastAsia"/>
          <w:sz w:val="24"/>
        </w:rPr>
        <w:t xml:space="preserve">30</w:t>
      </w:r>
      <w:r>
        <w:rPr>
          <w:sz w:val="24"/>
        </w:rPr>
        <w:t xml:space="preserve">日内，按照单一来源采购文件确定的合同文本以及采购标的、规格型号、采购金额、采购数量、技术和服务要求等事项签订政府采购合同。</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成交供应商拒绝签订政府采购合同的，采购人可以重新开展采购活动。拒绝签订政府采购合同的成交供应商不得参加对该项目重新开展的采购活动。</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联合体成交的，联合体各方应当共同与采购人签订合同，就成交项目向采购人承担连带责任。</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rPr>
        <w:t xml:space="preserve">，</w:t>
      </w:r>
      <w:r>
        <w:rPr>
          <w:sz w:val="24"/>
        </w:rPr>
        <w:t xml:space="preserve">否则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bookmarkEnd w:id="550"/>
      <w:r/>
      <w:bookmarkEnd w:id="551"/>
      <w:r/>
      <w:bookmarkEnd w:id="565"/>
      <w:r>
        <w:rPr>
          <w:sz w:val="24"/>
        </w:rPr>
        <w:t xml:space="preserve">询问与质疑</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79"/>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77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79"/>
        <w:numPr>
          <w:ilvl w:val="2"/>
          <w:numId w:val="8"/>
        </w:numPr>
        <w:spacing w:line="360" w:lineRule="auto"/>
        <w:tabs>
          <w:tab w:val="left" w:pos="1980" w:leader="none"/>
        </w:tabs>
        <w:rPr>
          <w:sz w:val="24"/>
        </w:rPr>
      </w:pPr>
      <w:r>
        <w:rPr>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77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55"/>
        </w:rPr>
        <w:t xml:space="preserve">http://gk</w:t>
      </w:r>
      <w:bookmarkStart w:id="613" w:name="_Hlt100654014"/>
      <w:r>
        <w:rPr>
          <w:rStyle w:val="855"/>
        </w:rPr>
        <w:t xml:space="preserve">s</w:t>
      </w:r>
      <w:bookmarkEnd w:id="613"/>
      <w:r>
        <w:rPr>
          <w:rStyle w:val="855"/>
        </w:rPr>
        <w:t xml:space="preserve">.m</w:t>
      </w:r>
      <w:bookmarkStart w:id="614" w:name="_Hlt100653994"/>
      <w:r/>
      <w:bookmarkStart w:id="615" w:name="_Hlt100653993"/>
      <w:r>
        <w:rPr>
          <w:rStyle w:val="855"/>
        </w:rPr>
        <w:t xml:space="preserve">o</w:t>
      </w:r>
      <w:bookmarkEnd w:id="614"/>
      <w:r/>
      <w:bookmarkEnd w:id="615"/>
      <w:r>
        <w:rPr>
          <w:rStyle w:val="855"/>
        </w:rPr>
        <w:t xml:space="preserve">f.gov.cn/ztztz/zhengfucaigouguanli/201802/t20180201_2804589.htm</w:t>
      </w:r>
      <w:r>
        <w:fldChar w:fldCharType="end"/>
      </w:r>
      <w:r>
        <w:rPr>
          <w:rFonts w:hint="eastAsia"/>
        </w:rPr>
        <w:t xml:space="preserve">）</w:t>
      </w:r>
      <w:r>
        <w:rPr>
          <w:sz w:val="24"/>
        </w:rPr>
      </w:r>
      <w:r/>
    </w:p>
    <w:p>
      <w:pPr>
        <w:pStyle w:val="779"/>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779"/>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sz w:val="24"/>
        </w:rPr>
      </w:r>
      <w:r/>
    </w:p>
    <w:p>
      <w:pPr>
        <w:pStyle w:val="77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7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收费对象、收费标准及缴纳时间见《供应商须知资料表》。由成交供应商支付的，成交供应商须一次性向采购代理机构缴纳代理费，供应商的报价应包含代理费用。</w:t>
      </w:r>
      <w:r>
        <w:rPr>
          <w:sz w:val="24"/>
        </w:rPr>
      </w:r>
      <w:r/>
    </w:p>
    <w:p>
      <w:pPr>
        <w:pStyle w:val="779"/>
        <w:ind w:left="360"/>
        <w:spacing w:line="360" w:lineRule="auto"/>
        <w:tabs>
          <w:tab w:val="left" w:pos="360" w:leader="none"/>
          <w:tab w:val="left" w:pos="1080" w:leader="none"/>
        </w:tabs>
        <w:rPr>
          <w:sz w:val="24"/>
        </w:rPr>
      </w:pPr>
      <w:r>
        <w:rPr>
          <w:sz w:val="24"/>
        </w:rPr>
      </w:r>
      <w:r/>
    </w:p>
    <w:p>
      <w:pPr>
        <w:pStyle w:val="779"/>
        <w:jc w:val="center"/>
        <w:spacing w:line="360" w:lineRule="auto"/>
        <w:rPr>
          <w:sz w:val="24"/>
        </w:rPr>
        <w:outlineLvl w:val="0"/>
      </w:pPr>
      <w:r/>
      <w:bookmarkStart w:id="616" w:name="_Toc353873934"/>
      <w:r/>
      <w:bookmarkStart w:id="617" w:name="_Toc150480792"/>
      <w:r/>
      <w:bookmarkStart w:id="618" w:name="_Toc265228392"/>
      <w:r/>
      <w:bookmarkStart w:id="619" w:name="_Toc353873664"/>
      <w:r/>
      <w:bookmarkStart w:id="620" w:name="_Toc127151554"/>
      <w:r/>
      <w:bookmarkStart w:id="621" w:name="_Toc305158822"/>
      <w:r/>
      <w:bookmarkStart w:id="622" w:name="_Toc264969244"/>
      <w:r/>
      <w:bookmarkStart w:id="623" w:name="_Toc305158896"/>
      <w:r/>
      <w:bookmarkStart w:id="624" w:name="_Toc226965827"/>
      <w:r/>
      <w:bookmarkStart w:id="625" w:name="_Toc142311056"/>
      <w:r/>
      <w:bookmarkStart w:id="626" w:name="_Toc353825544"/>
      <w:r/>
      <w:bookmarkStart w:id="627" w:name="_Toc150774759"/>
      <w:r/>
      <w:bookmarkStart w:id="628" w:name="_Toc226337250"/>
      <w:r>
        <w:rPr>
          <w:sz w:val="24"/>
        </w:rPr>
        <w:br w:type="page" w:clear="all"/>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Hlt487972895"/>
      <w:r/>
      <w:bookmarkEnd w:id="629"/>
      <w:r/>
      <w:bookmarkStart w:id="630" w:name="_Hlt522424701"/>
      <w:r/>
      <w:bookmarkEnd w:id="630"/>
      <w:r/>
      <w:bookmarkStart w:id="631" w:name="_Hlt487900425"/>
      <w:r/>
      <w:bookmarkEnd w:id="631"/>
      <w:r/>
      <w:bookmarkStart w:id="632" w:name="_Toc353825550"/>
      <w:r/>
      <w:bookmarkStart w:id="633" w:name="_Toc353873940"/>
      <w:r/>
      <w:bookmarkStart w:id="634" w:name="_Toc127151779"/>
      <w:r/>
      <w:bookmarkStart w:id="635" w:name="_Toc127161490"/>
      <w:r/>
      <w:bookmarkStart w:id="636" w:name="_Toc226965858"/>
      <w:r>
        <w:rPr>
          <w:sz w:val="24"/>
        </w:rPr>
      </w:r>
      <w:r/>
    </w:p>
    <w:p>
      <w:pPr>
        <w:pStyle w:val="779"/>
        <w:jc w:val="center"/>
        <w:spacing w:line="360" w:lineRule="auto"/>
        <w:rPr>
          <w:b/>
          <w:sz w:val="36"/>
          <w:szCs w:val="36"/>
        </w:rPr>
        <w:outlineLvl w:val="0"/>
      </w:pPr>
      <w:r/>
      <w:bookmarkStart w:id="637" w:name="_Toc99301281"/>
      <w:r>
        <w:rPr>
          <w:b/>
          <w:sz w:val="36"/>
          <w:szCs w:val="36"/>
        </w:rPr>
        <w:t xml:space="preserve">第三章   </w:t>
      </w:r>
      <w:bookmarkEnd w:id="632"/>
      <w:r/>
      <w:bookmarkEnd w:id="633"/>
      <w:r/>
      <w:bookmarkEnd w:id="634"/>
      <w:r/>
      <w:bookmarkEnd w:id="635"/>
      <w:r/>
      <w:bookmarkEnd w:id="636"/>
      <w:r/>
      <w:bookmarkStart w:id="638" w:name="_Hlt164229061"/>
      <w:r/>
      <w:bookmarkEnd w:id="638"/>
      <w:r>
        <w:rPr>
          <w:b/>
          <w:sz w:val="36"/>
          <w:szCs w:val="36"/>
        </w:rPr>
        <w:t xml:space="preserve">协商程序</w:t>
      </w:r>
      <w:bookmarkEnd w:id="637"/>
      <w:r>
        <w:rPr>
          <w:b/>
          <w:sz w:val="36"/>
          <w:szCs w:val="36"/>
        </w:rPr>
        <w:t xml:space="preserve"> </w:t>
      </w:r>
      <w:r>
        <w:rPr>
          <w:b/>
          <w:sz w:val="36"/>
          <w:szCs w:val="36"/>
        </w:rPr>
      </w:r>
      <w:r/>
    </w:p>
    <w:p>
      <w:pPr>
        <w:pStyle w:val="779"/>
        <w:tabs>
          <w:tab w:val="left" w:pos="1080" w:leader="none"/>
        </w:tabs>
        <w:rPr>
          <w:sz w:val="24"/>
        </w:rPr>
      </w:pPr>
      <w:r>
        <w:rPr>
          <w:sz w:val="24"/>
        </w:rPr>
      </w:r>
      <w:r/>
    </w:p>
    <w:p>
      <w:pPr>
        <w:pStyle w:val="779"/>
        <w:numPr>
          <w:ilvl w:val="0"/>
          <w:numId w:val="12"/>
        </w:numPr>
        <w:spacing w:line="360" w:lineRule="auto"/>
        <w:tabs>
          <w:tab w:val="left" w:pos="360" w:leader="none"/>
          <w:tab w:val="left" w:pos="900" w:leader="none"/>
        </w:tabs>
        <w:rPr>
          <w:sz w:val="24"/>
        </w:rPr>
        <w:outlineLvl w:val="1"/>
      </w:pPr>
      <w:r>
        <w:rPr>
          <w:sz w:val="24"/>
        </w:rPr>
        <w:t xml:space="preserve">响应文件的资格审查和符合性审查</w:t>
      </w:r>
      <w:r>
        <w:rPr>
          <w:sz w:val="24"/>
        </w:rPr>
      </w:r>
      <w:r/>
    </w:p>
    <w:p>
      <w:pPr>
        <w:pStyle w:val="779"/>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单一来源采购人员将根据《资格审查要求》和《符合性审查要求》中规定的审查因素和审查内容，对供应商进行审查，并形成审查记录。</w:t>
      </w:r>
      <w:r>
        <w:rPr>
          <w:sz w:val="24"/>
        </w:rPr>
      </w:r>
      <w:r/>
    </w:p>
    <w:p>
      <w:pPr>
        <w:pStyle w:val="779"/>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《资格审查要求》和《符合性审查要求》中对格式有要求的，除单一来源采购文件另有规定外，均为“实质性格式”文件。未实质性响应</w:t>
      </w:r>
      <w:r>
        <w:rPr>
          <w:rFonts w:hint="eastAsia"/>
          <w:sz w:val="24"/>
        </w:rPr>
        <w:t xml:space="preserve">单一来源采购</w:t>
      </w:r>
      <w:r>
        <w:rPr>
          <w:sz w:val="24"/>
        </w:rPr>
        <w:t xml:space="preserve">文件的响应文件按</w:t>
      </w:r>
      <w:r>
        <w:rPr>
          <w:b/>
          <w:sz w:val="24"/>
        </w:rPr>
        <w:t xml:space="preserve">无效响应</w:t>
      </w:r>
      <w:r>
        <w:rPr>
          <w:sz w:val="24"/>
        </w:rPr>
        <w:t xml:space="preserve">处理，</w:t>
      </w:r>
      <w:r>
        <w:rPr>
          <w:rFonts w:hint="eastAsia"/>
          <w:sz w:val="24"/>
        </w:rPr>
        <w:t xml:space="preserve">协商</w:t>
      </w:r>
      <w:r>
        <w:rPr>
          <w:sz w:val="24"/>
        </w:rPr>
        <w:t xml:space="preserve">小组应当告知提交响应文件的供应商。</w:t>
      </w:r>
      <w:r>
        <w:rPr>
          <w:sz w:val="24"/>
        </w:rPr>
      </w:r>
      <w:r/>
    </w:p>
    <w:p>
      <w:pPr>
        <w:pStyle w:val="779"/>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《资格审查要求》见下表：</w:t>
      </w:r>
      <w:r>
        <w:rPr>
          <w:sz w:val="24"/>
        </w:rPr>
      </w:r>
      <w:r/>
    </w:p>
    <w:p>
      <w:pPr>
        <w:pStyle w:val="779"/>
        <w:jc w:val="center"/>
        <w:spacing w:line="360" w:lineRule="auto"/>
        <w:tabs>
          <w:tab w:val="left" w:pos="900" w:leader="none"/>
          <w:tab w:val="left" w:pos="1080" w:leader="none"/>
          <w:tab w:val="left" w:pos="1447"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02"/>
        <w:gridCol w:w="4111"/>
        <w:gridCol w:w="1274"/>
        <w:gridCol w:w="1356"/>
      </w:tblGrid>
      <w:tr>
        <w:trPr>
          <w:cantSplit/>
          <w:trHeight w:val="20"/>
          <w:tblHeader/>
        </w:trPr>
        <w:tc>
          <w:tcPr>
            <w:tcW w:w="455" w:type="dxa"/>
            <w:vAlign w:val="center"/>
            <w:textDirection w:val="lrTb"/>
            <w:noWrap w:val="false"/>
          </w:tcPr>
          <w:p>
            <w:pPr>
              <w:pStyle w:val="779"/>
              <w:jc w:val="center"/>
              <w:tabs>
                <w:tab w:val="left" w:pos="1080" w:leader="none"/>
              </w:tabs>
              <w:rPr>
                <w:b/>
                <w:sz w:val="24"/>
              </w:rPr>
            </w:pPr>
            <w:r>
              <w:rPr>
                <w:b/>
                <w:sz w:val="24"/>
              </w:rPr>
              <w:t xml:space="preserve">序号</w:t>
            </w:r>
            <w:r>
              <w:rPr>
                <w:b/>
                <w:sz w:val="24"/>
              </w:rPr>
            </w:r>
            <w:r/>
          </w:p>
        </w:tc>
        <w:tc>
          <w:tcPr>
            <w:tcW w:w="916" w:type="dxa"/>
            <w:vAlign w:val="center"/>
            <w:textDirection w:val="lrTb"/>
            <w:noWrap w:val="false"/>
          </w:tcPr>
          <w:p>
            <w:pPr>
              <w:pStyle w:val="779"/>
              <w:jc w:val="center"/>
              <w:tabs>
                <w:tab w:val="left" w:pos="1080" w:leader="none"/>
              </w:tabs>
              <w:rPr>
                <w:b/>
                <w:bCs/>
                <w:sz w:val="24"/>
              </w:rPr>
            </w:pPr>
            <w:r>
              <w:rPr>
                <w:b/>
                <w:bCs/>
                <w:sz w:val="24"/>
              </w:rPr>
              <w:t xml:space="preserve">审查因素</w:t>
            </w:r>
            <w:r>
              <w:rPr>
                <w:b/>
                <w:bCs/>
                <w:sz w:val="24"/>
              </w:rPr>
            </w:r>
            <w:r/>
          </w:p>
        </w:tc>
        <w:tc>
          <w:tcPr>
            <w:tcW w:w="2213" w:type="dxa"/>
            <w:vAlign w:val="center"/>
            <w:textDirection w:val="lrTb"/>
            <w:noWrap w:val="false"/>
          </w:tcPr>
          <w:p>
            <w:pPr>
              <w:pStyle w:val="779"/>
              <w:jc w:val="center"/>
              <w:tabs>
                <w:tab w:val="left" w:pos="1080" w:leader="none"/>
              </w:tabs>
              <w:rPr>
                <w:b/>
                <w:sz w:val="24"/>
              </w:rPr>
            </w:pPr>
            <w:r>
              <w:rPr>
                <w:b/>
                <w:sz w:val="24"/>
              </w:rPr>
              <w:t xml:space="preserve">审查内容</w:t>
            </w:r>
            <w:r>
              <w:rPr>
                <w:b/>
                <w:sz w:val="24"/>
              </w:rPr>
            </w:r>
            <w:r/>
          </w:p>
        </w:tc>
        <w:tc>
          <w:tcPr>
            <w:tcW w:w="686" w:type="dxa"/>
            <w:vAlign w:val="center"/>
            <w:textDirection w:val="lrTb"/>
            <w:noWrap w:val="false"/>
          </w:tcPr>
          <w:p>
            <w:pPr>
              <w:pStyle w:val="779"/>
              <w:jc w:val="center"/>
              <w:tabs>
                <w:tab w:val="left" w:pos="1080" w:leader="none"/>
              </w:tabs>
              <w:rPr>
                <w:b/>
                <w:sz w:val="24"/>
              </w:rPr>
            </w:pPr>
            <w:r>
              <w:rPr>
                <w:b/>
                <w:sz w:val="24"/>
              </w:rPr>
              <w:t xml:space="preserve">格式要求</w:t>
            </w:r>
            <w:r>
              <w:rPr>
                <w:b/>
                <w:sz w:val="24"/>
              </w:rPr>
            </w:r>
            <w:r/>
          </w:p>
        </w:tc>
        <w:tc>
          <w:tcPr>
            <w:tcW w:w="730" w:type="dxa"/>
            <w:vAlign w:val="center"/>
            <w:textDirection w:val="lrTb"/>
            <w:noWrap w:val="false"/>
          </w:tcPr>
          <w:p>
            <w:pPr>
              <w:pStyle w:val="779"/>
              <w:jc w:val="center"/>
              <w:tabs>
                <w:tab w:val="left" w:pos="1080" w:leader="none"/>
              </w:tabs>
              <w:rPr>
                <w:b/>
                <w:sz w:val="24"/>
              </w:rPr>
            </w:pPr>
            <w:r>
              <w:rPr>
                <w:b/>
                <w:sz w:val="24"/>
              </w:rPr>
              <w:t xml:space="preserve">是否允许澄清、说明或者更正</w:t>
            </w:r>
            <w:r>
              <w:rPr>
                <w:b/>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1</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满足《中华人民共和国政府采购法》第二十二条规定及法律法规的其他规定</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具体规定见第一章《采购邀请》</w:t>
            </w:r>
            <w:r>
              <w:rPr>
                <w:sz w:val="24"/>
              </w:rPr>
            </w:r>
            <w:r/>
          </w:p>
        </w:tc>
        <w:tc>
          <w:tcPr>
            <w:tcW w:w="686" w:type="dxa"/>
            <w:vAlign w:val="center"/>
            <w:textDirection w:val="lrTb"/>
            <w:noWrap w:val="false"/>
          </w:tcPr>
          <w:p>
            <w:pPr>
              <w:pStyle w:val="779"/>
              <w:tabs>
                <w:tab w:val="left" w:pos="1080" w:leader="none"/>
              </w:tabs>
              <w:rPr>
                <w:sz w:val="24"/>
              </w:rPr>
            </w:pPr>
            <w:r>
              <w:rPr>
                <w:sz w:val="24"/>
              </w:rPr>
            </w:r>
            <w:r/>
          </w:p>
        </w:tc>
        <w:tc>
          <w:tcPr>
            <w:tcW w:w="730" w:type="dxa"/>
            <w:vAlign w:val="center"/>
            <w:textDirection w:val="lrTb"/>
            <w:noWrap w:val="false"/>
          </w:tcPr>
          <w:p>
            <w:pPr>
              <w:pStyle w:val="779"/>
              <w:tabs>
                <w:tab w:val="left" w:pos="1080" w:leader="none"/>
              </w:tabs>
              <w:rPr>
                <w:sz w:val="24"/>
              </w:rPr>
            </w:pPr>
            <w:r>
              <w:rPr>
                <w:sz w:val="24"/>
              </w:rPr>
            </w:r>
            <w:r/>
          </w:p>
        </w:tc>
      </w:tr>
      <w:tr>
        <w:trPr>
          <w:cantSplit/>
          <w:trHeight w:val="20"/>
        </w:trPr>
        <w:tc>
          <w:tcPr>
            <w:tcW w:w="455" w:type="dxa"/>
            <w:vAlign w:val="center"/>
            <w:textDirection w:val="lrTb"/>
            <w:noWrap w:val="false"/>
          </w:tcPr>
          <w:p>
            <w:pPr>
              <w:pStyle w:val="779"/>
              <w:jc w:val="center"/>
              <w:tabs>
                <w:tab w:val="left" w:pos="1080" w:leader="none"/>
              </w:tabs>
              <w:rPr>
                <w:sz w:val="24"/>
              </w:rPr>
            </w:pPr>
            <w:r>
              <w:rPr>
                <w:sz w:val="24"/>
              </w:rPr>
              <w:t xml:space="preserve">1</w:t>
            </w:r>
            <w:r>
              <w:rPr>
                <w:rFonts w:hint="eastAsia"/>
                <w:sz w:val="24"/>
              </w:rPr>
              <w:t xml:space="preserve">-1</w:t>
            </w:r>
            <w:r>
              <w:rPr>
                <w:sz w:val="24"/>
              </w:rPr>
            </w:r>
            <w:r/>
          </w:p>
        </w:tc>
        <w:tc>
          <w:tcPr>
            <w:tcW w:w="916" w:type="dxa"/>
            <w:vAlign w:val="center"/>
            <w:textDirection w:val="lrTb"/>
            <w:noWrap w:val="false"/>
          </w:tcPr>
          <w:p>
            <w:pPr>
              <w:pStyle w:val="779"/>
              <w:tabs>
                <w:tab w:val="left" w:pos="1080" w:leader="none"/>
              </w:tabs>
              <w:rPr>
                <w:sz w:val="24"/>
              </w:rPr>
            </w:pPr>
            <w:r>
              <w:rPr>
                <w:rFonts w:hint="eastAsia"/>
                <w:sz w:val="24"/>
              </w:rPr>
              <w:t xml:space="preserve">投标人资格声明函</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686" w:type="dxa"/>
            <w:vAlign w:val="center"/>
            <w:textDirection w:val="lrTb"/>
            <w:noWrap w:val="false"/>
          </w:tcPr>
          <w:p>
            <w:pPr>
              <w:pStyle w:val="779"/>
              <w:tabs>
                <w:tab w:val="left" w:pos="1080" w:leader="none"/>
              </w:tabs>
              <w:rPr>
                <w:sz w:val="24"/>
              </w:rPr>
            </w:pPr>
            <w:r>
              <w:rPr>
                <w:sz w:val="24"/>
              </w:rPr>
              <w:t xml:space="preserve">格式见《投标文件格式》</w:t>
            </w:r>
            <w:r>
              <w:rPr>
                <w:sz w:val="24"/>
              </w:rPr>
            </w:r>
            <w:r/>
          </w:p>
        </w:tc>
        <w:tc>
          <w:tcPr>
            <w:tcW w:w="730" w:type="dxa"/>
            <w:vAlign w:val="center"/>
            <w:textDirection w:val="lrTb"/>
            <w:noWrap w:val="false"/>
          </w:tcPr>
          <w:p>
            <w:pPr>
              <w:pStyle w:val="779"/>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1-</w:t>
            </w:r>
            <w:r>
              <w:rPr>
                <w:rFonts w:hint="eastAsia"/>
                <w:sz w:val="24"/>
              </w:rPr>
              <w:t xml:space="preserve">2</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供应商信用记录</w:t>
            </w:r>
            <w:r>
              <w:rPr>
                <w:sz w:val="24"/>
              </w:rPr>
            </w:r>
            <w:r/>
          </w:p>
        </w:tc>
        <w:tc>
          <w:tcPr>
            <w:tcW w:w="2213" w:type="dxa"/>
            <w:vAlign w:val="center"/>
            <w:textDirection w:val="lrTb"/>
            <w:noWrap w:val="false"/>
          </w:tcPr>
          <w:p>
            <w:pPr>
              <w:pStyle w:val="779"/>
              <w:tabs>
                <w:tab w:val="left" w:pos="900" w:leader="none"/>
                <w:tab w:val="left" w:pos="1980" w:leader="none"/>
              </w:tabs>
              <w:rPr>
                <w:sz w:val="24"/>
              </w:rPr>
            </w:pPr>
            <w:r>
              <w:rPr>
                <w:sz w:val="24"/>
              </w:rPr>
              <w:t xml:space="preserve">查询渠道：信用中国网站</w:t>
            </w:r>
            <w:r>
              <w:rPr>
                <w:rFonts w:hint="eastAsia"/>
                <w:sz w:val="24"/>
              </w:rPr>
              <w:t xml:space="preserve">或</w:t>
            </w:r>
            <w:r>
              <w:rPr>
                <w:sz w:val="24"/>
              </w:rPr>
              <w:t xml:space="preserve">中国政府采购网（www.creditchina.gov.cn、www.ccgp.gov.cn）；</w:t>
            </w:r>
            <w:r>
              <w:rPr>
                <w:sz w:val="24"/>
              </w:rPr>
            </w:r>
            <w:r/>
          </w:p>
          <w:p>
            <w:pPr>
              <w:pStyle w:val="779"/>
              <w:tabs>
                <w:tab w:val="left" w:pos="900" w:leader="none"/>
                <w:tab w:val="left" w:pos="1980" w:leader="none"/>
              </w:tabs>
              <w:rPr>
                <w:sz w:val="24"/>
              </w:rPr>
            </w:pPr>
            <w:r>
              <w:rPr>
                <w:sz w:val="24"/>
              </w:rPr>
              <w:t xml:space="preserve">截止时点：提交响应文件截止时间以后、资格审查阶段采购人或采购代理机构的实际查询时间；</w:t>
            </w:r>
            <w:r>
              <w:rPr>
                <w:sz w:val="24"/>
              </w:rPr>
            </w:r>
            <w:r/>
          </w:p>
          <w:p>
            <w:pPr>
              <w:pStyle w:val="779"/>
              <w:tabs>
                <w:tab w:val="left" w:pos="900" w:leader="none"/>
                <w:tab w:val="left" w:pos="1980" w:leader="none"/>
              </w:tabs>
              <w:rPr>
                <w:sz w:val="24"/>
              </w:rPr>
            </w:pPr>
            <w:r>
              <w:rPr>
                <w:sz w:val="24"/>
              </w:rPr>
              <w:t xml:space="preserve">信用信息查询记录和证据留存具体方式：查询结果网页打印页作为查询记录和证据，与其他单一来源采购文件一并保存；</w:t>
            </w:r>
            <w:r>
              <w:rPr>
                <w:sz w:val="24"/>
              </w:rPr>
            </w:r>
            <w:r/>
          </w:p>
          <w:p>
            <w:pPr>
              <w:pStyle w:val="779"/>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686" w:type="dxa"/>
            <w:vAlign w:val="center"/>
            <w:textDirection w:val="lrTb"/>
            <w:noWrap w:val="false"/>
          </w:tcPr>
          <w:p>
            <w:pPr>
              <w:pStyle w:val="779"/>
              <w:tabs>
                <w:tab w:val="left" w:pos="1080" w:leader="none"/>
              </w:tabs>
              <w:rPr>
                <w:sz w:val="24"/>
              </w:rPr>
            </w:pPr>
            <w:r>
              <w:rPr>
                <w:sz w:val="24"/>
              </w:rPr>
              <w:t xml:space="preserve">无须供应商提供，由采购人查询。</w:t>
            </w:r>
            <w:r>
              <w:rPr>
                <w:sz w:val="24"/>
              </w:rPr>
            </w:r>
            <w:r/>
          </w:p>
        </w:tc>
        <w:tc>
          <w:tcPr>
            <w:tcW w:w="730" w:type="dxa"/>
            <w:vAlign w:val="center"/>
            <w:textDirection w:val="lrTb"/>
            <w:noWrap w:val="false"/>
          </w:tcPr>
          <w:p>
            <w:pPr>
              <w:pStyle w:val="779"/>
              <w:tabs>
                <w:tab w:val="left" w:pos="1080" w:leader="none"/>
              </w:tabs>
              <w:rPr>
                <w:sz w:val="24"/>
              </w:rPr>
            </w:pPr>
            <w:r>
              <w:rPr>
                <w:sz w:val="24"/>
              </w:rPr>
              <w:t xml:space="preserve">不允许</w:t>
            </w: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2</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落实政府采购政策需满足的资格要求</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具体要求见第一章《采购邀请》</w:t>
            </w:r>
            <w:r>
              <w:rPr>
                <w:sz w:val="24"/>
              </w:rPr>
            </w:r>
            <w:r/>
          </w:p>
        </w:tc>
        <w:tc>
          <w:tcPr>
            <w:tcW w:w="686" w:type="dxa"/>
            <w:vAlign w:val="center"/>
            <w:textDirection w:val="lrTb"/>
            <w:noWrap w:val="false"/>
          </w:tcPr>
          <w:p>
            <w:pPr>
              <w:pStyle w:val="779"/>
              <w:tabs>
                <w:tab w:val="left" w:pos="1080" w:leader="none"/>
              </w:tabs>
              <w:rPr>
                <w:sz w:val="24"/>
              </w:rPr>
            </w:pPr>
            <w:r>
              <w:rPr>
                <w:sz w:val="24"/>
              </w:rPr>
            </w:r>
            <w:r/>
          </w:p>
        </w:tc>
        <w:tc>
          <w:tcPr>
            <w:tcW w:w="730" w:type="dxa"/>
            <w:vAlign w:val="center"/>
            <w:textDirection w:val="lrTb"/>
            <w:noWrap w:val="false"/>
          </w:tcPr>
          <w:p>
            <w:pPr>
              <w:pStyle w:val="779"/>
              <w:tabs>
                <w:tab w:val="left" w:pos="1080" w:leader="none"/>
              </w:tabs>
              <w:rPr>
                <w:sz w:val="24"/>
              </w:rPr>
            </w:pP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2-1</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中小企业声明函</w:t>
            </w:r>
            <w:r>
              <w:rPr>
                <w:sz w:val="24"/>
              </w:rPr>
            </w:r>
            <w:r/>
          </w:p>
        </w:tc>
        <w:tc>
          <w:tcPr>
            <w:tcW w:w="2213" w:type="dxa"/>
            <w:vAlign w:val="center"/>
            <w:textDirection w:val="lrTb"/>
            <w:noWrap w:val="false"/>
          </w:tcPr>
          <w:p>
            <w:pPr>
              <w:pStyle w:val="779"/>
              <w:jc w:val="center"/>
              <w:tabs>
                <w:tab w:val="left" w:pos="1080" w:leader="none"/>
              </w:tabs>
              <w:rPr>
                <w:rFonts w:hint="eastAsia"/>
                <w:sz w:val="24"/>
              </w:rPr>
            </w:pPr>
            <w:r>
              <w:rPr>
                <w:sz w:val="24"/>
              </w:rPr>
              <w:t xml:space="preserve">具体要求见第一章《采购邀请》</w:t>
            </w:r>
            <w:r>
              <w:rPr>
                <w:rFonts w:hint="eastAsia"/>
                <w:sz w:val="24"/>
              </w:rPr>
            </w:r>
            <w:r/>
          </w:p>
        </w:tc>
        <w:tc>
          <w:tcPr>
            <w:tcW w:w="686" w:type="dxa"/>
            <w:vAlign w:val="center"/>
            <w:textDirection w:val="lrTb"/>
            <w:noWrap w:val="false"/>
          </w:tcPr>
          <w:p>
            <w:pPr>
              <w:pStyle w:val="779"/>
              <w:tabs>
                <w:tab w:val="left" w:pos="1080" w:leader="none"/>
              </w:tabs>
              <w:rPr>
                <w:sz w:val="24"/>
              </w:rPr>
            </w:pPr>
            <w:r>
              <w:rPr>
                <w:sz w:val="24"/>
              </w:rPr>
            </w:r>
            <w:r/>
          </w:p>
        </w:tc>
        <w:tc>
          <w:tcPr>
            <w:tcW w:w="730" w:type="dxa"/>
            <w:vAlign w:val="center"/>
            <w:textDirection w:val="lrTb"/>
            <w:noWrap w:val="false"/>
          </w:tcPr>
          <w:p>
            <w:pPr>
              <w:pStyle w:val="779"/>
              <w:tabs>
                <w:tab w:val="left" w:pos="1080" w:leader="none"/>
              </w:tabs>
              <w:rPr>
                <w:sz w:val="24"/>
              </w:rPr>
            </w:pP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2-2</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拟分包情况说明及分包意向协议（类型一）</w:t>
            </w:r>
            <w:r>
              <w:rPr>
                <w:sz w:val="24"/>
              </w:rPr>
            </w:r>
            <w:r/>
          </w:p>
        </w:tc>
        <w:tc>
          <w:tcPr>
            <w:tcW w:w="2213" w:type="dxa"/>
            <w:vAlign w:val="center"/>
            <w:textDirection w:val="lrTb"/>
            <w:noWrap w:val="false"/>
          </w:tcPr>
          <w:p>
            <w:pPr>
              <w:pStyle w:val="779"/>
              <w:jc w:val="center"/>
              <w:tabs>
                <w:tab w:val="left" w:pos="1080" w:leader="none"/>
              </w:tabs>
              <w:rPr>
                <w:rFonts w:hint="eastAsia"/>
                <w:b/>
                <w:sz w:val="24"/>
              </w:rPr>
            </w:pPr>
            <w:r>
              <w:rPr>
                <w:rFonts w:hint="eastAsia"/>
                <w:i/>
                <w:sz w:val="24"/>
              </w:rPr>
              <w:t xml:space="preserve">/</w:t>
            </w:r>
            <w:r>
              <w:rPr>
                <w:rFonts w:hint="eastAsia"/>
                <w:b/>
                <w:sz w:val="24"/>
              </w:rPr>
            </w:r>
            <w:r/>
          </w:p>
        </w:tc>
        <w:tc>
          <w:tcPr>
            <w:tcW w:w="686" w:type="dxa"/>
            <w:vAlign w:val="center"/>
            <w:textDirection w:val="lrTb"/>
            <w:noWrap w:val="false"/>
          </w:tcPr>
          <w:p>
            <w:pPr>
              <w:pStyle w:val="779"/>
              <w:tabs>
                <w:tab w:val="left" w:pos="1080" w:leader="none"/>
              </w:tabs>
              <w:rPr>
                <w:sz w:val="24"/>
              </w:rPr>
            </w:pPr>
            <w:r>
              <w:rPr>
                <w:sz w:val="24"/>
              </w:rPr>
              <w:t xml:space="preserve">格式见《响应文件格式》</w:t>
            </w:r>
            <w:r>
              <w:rPr>
                <w:sz w:val="24"/>
              </w:rPr>
            </w:r>
            <w:r/>
          </w:p>
        </w:tc>
        <w:tc>
          <w:tcPr>
            <w:tcW w:w="730" w:type="dxa"/>
            <w:vAlign w:val="center"/>
            <w:textDirection w:val="lrTb"/>
            <w:noWrap w:val="false"/>
          </w:tcPr>
          <w:p>
            <w:pPr>
              <w:pStyle w:val="779"/>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2-2</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其它落实政府采购政策的资格要求</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如有，见第一章《采购邀请》</w:t>
            </w:r>
            <w:r>
              <w:rPr>
                <w:sz w:val="24"/>
              </w:rPr>
            </w:r>
            <w:r/>
          </w:p>
        </w:tc>
        <w:tc>
          <w:tcPr>
            <w:tcW w:w="686" w:type="dxa"/>
            <w:vAlign w:val="center"/>
            <w:textDirection w:val="lrTb"/>
            <w:noWrap w:val="false"/>
          </w:tcPr>
          <w:p>
            <w:pPr>
              <w:pStyle w:val="779"/>
              <w:tabs>
                <w:tab w:val="left" w:pos="1080" w:leader="none"/>
              </w:tabs>
              <w:rPr>
                <w:sz w:val="24"/>
              </w:rPr>
            </w:pPr>
            <w:r>
              <w:rPr>
                <w:sz w:val="24"/>
              </w:rPr>
              <w:t xml:space="preserve">提供证明文件的电子件或电子证照</w:t>
            </w:r>
            <w:r>
              <w:rPr>
                <w:sz w:val="24"/>
              </w:rPr>
            </w:r>
            <w:r/>
          </w:p>
        </w:tc>
        <w:tc>
          <w:tcPr>
            <w:tcW w:w="730" w:type="dxa"/>
            <w:vAlign w:val="center"/>
            <w:textDirection w:val="lrTb"/>
            <w:noWrap w:val="false"/>
          </w:tcPr>
          <w:p>
            <w:pPr>
              <w:pStyle w:val="779"/>
              <w:tabs>
                <w:tab w:val="left" w:pos="1080" w:leader="none"/>
              </w:tabs>
              <w:rPr>
                <w:sz w:val="24"/>
              </w:rPr>
            </w:pP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3</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本项目的特定资格要求</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如有，见第一章《采购邀请》</w:t>
            </w:r>
            <w:r>
              <w:rPr>
                <w:sz w:val="24"/>
              </w:rPr>
            </w:r>
            <w:r/>
          </w:p>
        </w:tc>
        <w:tc>
          <w:tcPr>
            <w:tcW w:w="686" w:type="dxa"/>
            <w:vAlign w:val="center"/>
            <w:textDirection w:val="lrTb"/>
            <w:noWrap w:val="false"/>
          </w:tcPr>
          <w:p>
            <w:pPr>
              <w:pStyle w:val="779"/>
              <w:tabs>
                <w:tab w:val="left" w:pos="1080" w:leader="none"/>
              </w:tabs>
              <w:rPr>
                <w:sz w:val="24"/>
              </w:rPr>
            </w:pPr>
            <w:r>
              <w:rPr>
                <w:sz w:val="24"/>
              </w:rPr>
            </w:r>
            <w:r/>
          </w:p>
        </w:tc>
        <w:tc>
          <w:tcPr>
            <w:tcW w:w="730" w:type="dxa"/>
            <w:vAlign w:val="center"/>
            <w:textDirection w:val="lrTb"/>
            <w:noWrap w:val="false"/>
          </w:tcPr>
          <w:p>
            <w:pPr>
              <w:pStyle w:val="779"/>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3-1</w:t>
            </w:r>
            <w:r>
              <w:rPr>
                <w:sz w:val="24"/>
              </w:rPr>
            </w:r>
            <w:r/>
          </w:p>
        </w:tc>
        <w:tc>
          <w:tcPr>
            <w:tcW w:w="916" w:type="dxa"/>
            <w:vAlign w:val="center"/>
            <w:textDirection w:val="lrTb"/>
            <w:noWrap w:val="false"/>
          </w:tcPr>
          <w:p>
            <w:pPr>
              <w:pStyle w:val="779"/>
              <w:tabs>
                <w:tab w:val="left" w:pos="1080" w:leader="none"/>
              </w:tabs>
              <w:rPr>
                <w:sz w:val="24"/>
                <w:highlight w:val="yellow"/>
              </w:rPr>
            </w:pPr>
            <w:r>
              <w:rPr>
                <w:sz w:val="24"/>
              </w:rPr>
              <w:t xml:space="preserve">是否接受联合体响应</w:t>
            </w:r>
            <w:r>
              <w:rPr>
                <w:sz w:val="24"/>
                <w:highlight w:val="yellow"/>
              </w:rPr>
            </w:r>
            <w:r/>
          </w:p>
        </w:tc>
        <w:tc>
          <w:tcPr>
            <w:tcW w:w="2213" w:type="dxa"/>
            <w:vAlign w:val="center"/>
            <w:textDirection w:val="lrTb"/>
            <w:noWrap w:val="false"/>
          </w:tcPr>
          <w:p>
            <w:pPr>
              <w:pStyle w:val="779"/>
              <w:tabs>
                <w:tab w:val="left" w:pos="1080" w:leader="none"/>
              </w:tabs>
              <w:rPr>
                <w:sz w:val="24"/>
                <w:highlight w:val="yellow"/>
              </w:rPr>
            </w:pPr>
            <w:r>
              <w:rPr>
                <w:rFonts w:hint="eastAsia"/>
                <w:sz w:val="24"/>
              </w:rPr>
              <w:t xml:space="preserve">本项目不接受联合体</w:t>
            </w:r>
            <w:r>
              <w:rPr>
                <w:sz w:val="24"/>
                <w:highlight w:val="yellow"/>
              </w:rPr>
            </w:r>
            <w:r/>
          </w:p>
        </w:tc>
        <w:tc>
          <w:tcPr>
            <w:tcW w:w="686" w:type="dxa"/>
            <w:vAlign w:val="center"/>
            <w:textDirection w:val="lrTb"/>
            <w:noWrap w:val="false"/>
          </w:tcPr>
          <w:p>
            <w:pPr>
              <w:pStyle w:val="779"/>
              <w:tabs>
                <w:tab w:val="left" w:pos="1080" w:leader="none"/>
              </w:tabs>
              <w:rPr>
                <w:sz w:val="24"/>
              </w:rPr>
            </w:pPr>
            <w:r>
              <w:rPr>
                <w:rFonts w:hint="eastAsia"/>
                <w:sz w:val="24"/>
              </w:rPr>
              <w:t xml:space="preserve">提供承诺函</w:t>
            </w:r>
            <w:r>
              <w:rPr>
                <w:sz w:val="24"/>
              </w:rPr>
            </w:r>
            <w:r/>
          </w:p>
        </w:tc>
        <w:tc>
          <w:tcPr>
            <w:tcW w:w="730" w:type="dxa"/>
            <w:vAlign w:val="center"/>
            <w:textDirection w:val="lrTb"/>
            <w:noWrap w:val="false"/>
          </w:tcPr>
          <w:p>
            <w:pPr>
              <w:pStyle w:val="779"/>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779"/>
              <w:tabs>
                <w:tab w:val="left" w:pos="1080" w:leader="none"/>
              </w:tabs>
              <w:rPr>
                <w:sz w:val="24"/>
              </w:rPr>
            </w:pPr>
            <w:r>
              <w:rPr>
                <w:sz w:val="24"/>
              </w:rPr>
              <w:t xml:space="preserve">3-2</w:t>
            </w:r>
            <w:r>
              <w:rPr>
                <w:sz w:val="24"/>
              </w:rPr>
            </w:r>
            <w:r/>
          </w:p>
        </w:tc>
        <w:tc>
          <w:tcPr>
            <w:tcW w:w="916" w:type="dxa"/>
            <w:vAlign w:val="center"/>
            <w:textDirection w:val="lrTb"/>
            <w:noWrap w:val="false"/>
          </w:tcPr>
          <w:p>
            <w:pPr>
              <w:pStyle w:val="779"/>
              <w:tabs>
                <w:tab w:val="left" w:pos="1080" w:leader="none"/>
              </w:tabs>
              <w:rPr>
                <w:sz w:val="24"/>
              </w:rPr>
            </w:pPr>
            <w:r>
              <w:rPr>
                <w:sz w:val="24"/>
              </w:rPr>
              <w:t xml:space="preserve">其他特定资格要求</w:t>
            </w:r>
            <w:r>
              <w:rPr>
                <w:sz w:val="24"/>
              </w:rPr>
            </w:r>
            <w:r/>
          </w:p>
        </w:tc>
        <w:tc>
          <w:tcPr>
            <w:tcW w:w="2213" w:type="dxa"/>
            <w:vAlign w:val="center"/>
            <w:textDirection w:val="lrTb"/>
            <w:noWrap w:val="false"/>
          </w:tcPr>
          <w:p>
            <w:pPr>
              <w:pStyle w:val="779"/>
              <w:tabs>
                <w:tab w:val="left" w:pos="1080" w:leader="none"/>
              </w:tabs>
              <w:rPr>
                <w:sz w:val="24"/>
              </w:rPr>
            </w:pPr>
            <w:r>
              <w:rPr>
                <w:sz w:val="24"/>
              </w:rPr>
              <w:t xml:space="preserve">如有，见第一章《采购邀请》</w:t>
            </w:r>
            <w:r>
              <w:rPr>
                <w:sz w:val="24"/>
              </w:rPr>
            </w:r>
            <w:r/>
          </w:p>
        </w:tc>
        <w:tc>
          <w:tcPr>
            <w:tcW w:w="686" w:type="dxa"/>
            <w:vAlign w:val="center"/>
            <w:textDirection w:val="lrTb"/>
            <w:noWrap w:val="false"/>
          </w:tcPr>
          <w:p>
            <w:pPr>
              <w:pStyle w:val="779"/>
              <w:tabs>
                <w:tab w:val="left" w:pos="1080" w:leader="none"/>
              </w:tabs>
              <w:rPr>
                <w:sz w:val="24"/>
              </w:rPr>
            </w:pPr>
            <w:r>
              <w:rPr>
                <w:sz w:val="24"/>
              </w:rPr>
              <w:t xml:space="preserve">提供证明文件的电子件或电子证照</w:t>
            </w:r>
            <w:r>
              <w:rPr>
                <w:sz w:val="24"/>
              </w:rPr>
            </w:r>
            <w:r/>
          </w:p>
        </w:tc>
        <w:tc>
          <w:tcPr>
            <w:tcW w:w="730" w:type="dxa"/>
            <w:vAlign w:val="center"/>
            <w:textDirection w:val="lrTb"/>
            <w:noWrap w:val="false"/>
          </w:tcPr>
          <w:p>
            <w:pPr>
              <w:pStyle w:val="779"/>
              <w:tabs>
                <w:tab w:val="left" w:pos="1080" w:leader="none"/>
              </w:tabs>
              <w:rPr>
                <w:sz w:val="24"/>
              </w:rPr>
            </w:pPr>
            <w:r>
              <w:rPr>
                <w:sz w:val="24"/>
              </w:rPr>
              <w:t xml:space="preserve">允许</w:t>
            </w:r>
            <w:r>
              <w:rPr>
                <w:sz w:val="24"/>
              </w:rPr>
            </w:r>
            <w:r/>
          </w:p>
        </w:tc>
      </w:tr>
    </w:tbl>
    <w:p>
      <w:pPr>
        <w:pStyle w:val="779"/>
        <w:jc w:val="left"/>
        <w:widowControl/>
        <w:rPr>
          <w:sz w:val="24"/>
        </w:rPr>
      </w:pPr>
      <w:r>
        <w:rPr>
          <w:sz w:val="24"/>
        </w:rPr>
        <w:br w:type="page" w:clear="all"/>
      </w:r>
      <w:r>
        <w:rPr>
          <w:sz w:val="24"/>
        </w:rPr>
      </w:r>
      <w:r/>
    </w:p>
    <w:p>
      <w:pPr>
        <w:pStyle w:val="779"/>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《符合性审查要求》见下表：</w:t>
      </w:r>
      <w:r>
        <w:rPr>
          <w:sz w:val="24"/>
        </w:rPr>
      </w:r>
      <w:r/>
    </w:p>
    <w:p>
      <w:pPr>
        <w:pStyle w:val="779"/>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1712"/>
        <w:gridCol w:w="2942"/>
        <w:gridCol w:w="3626"/>
      </w:tblGrid>
      <w:tr>
        <w:trPr>
          <w:trHeight w:val="685"/>
        </w:trPr>
        <w:tc>
          <w:tcPr>
            <w:shd w:val="clear" w:color="000000" w:fill="ffffff"/>
            <w:tcW w:w="543" w:type="dxa"/>
            <w:vAlign w:val="center"/>
            <w:textDirection w:val="lrTb"/>
            <w:noWrap w:val="false"/>
          </w:tcPr>
          <w:p>
            <w:pPr>
              <w:pStyle w:val="779"/>
              <w:jc w:val="center"/>
              <w:widowControl/>
              <w:rPr>
                <w:b/>
                <w:color w:val="000000"/>
                <w:sz w:val="24"/>
              </w:rPr>
            </w:pPr>
            <w:r>
              <w:rPr>
                <w:b/>
                <w:color w:val="000000"/>
                <w:sz w:val="24"/>
              </w:rPr>
              <w:t xml:space="preserve">序号</w:t>
            </w:r>
            <w:r>
              <w:rPr>
                <w:b/>
                <w:color w:val="000000"/>
                <w:sz w:val="24"/>
              </w:rPr>
            </w:r>
            <w:r/>
          </w:p>
        </w:tc>
        <w:tc>
          <w:tcPr>
            <w:shd w:val="clear" w:color="000000" w:fill="ffffff"/>
            <w:tcW w:w="921" w:type="dxa"/>
            <w:vAlign w:val="center"/>
            <w:textDirection w:val="lrTb"/>
            <w:noWrap w:val="false"/>
          </w:tcPr>
          <w:p>
            <w:pPr>
              <w:pStyle w:val="779"/>
              <w:jc w:val="center"/>
              <w:widowControl/>
              <w:rPr>
                <w:b/>
                <w:color w:val="000000"/>
                <w:sz w:val="24"/>
              </w:rPr>
            </w:pPr>
            <w:r>
              <w:rPr>
                <w:b/>
                <w:sz w:val="24"/>
              </w:rPr>
              <w:t xml:space="preserve">检查</w:t>
            </w:r>
            <w:r>
              <w:rPr>
                <w:b/>
                <w:color w:val="000000"/>
                <w:sz w:val="24"/>
              </w:rPr>
              <w:t xml:space="preserve">因素</w:t>
            </w:r>
            <w:r>
              <w:rPr>
                <w:b/>
                <w:color w:val="000000"/>
                <w:sz w:val="24"/>
              </w:rPr>
            </w:r>
            <w:r/>
          </w:p>
        </w:tc>
        <w:tc>
          <w:tcPr>
            <w:shd w:val="clear" w:color="000000" w:fill="ffffff"/>
            <w:tcW w:w="1583" w:type="dxa"/>
            <w:vAlign w:val="center"/>
            <w:textDirection w:val="lrTb"/>
            <w:noWrap w:val="false"/>
          </w:tcPr>
          <w:p>
            <w:pPr>
              <w:pStyle w:val="779"/>
              <w:jc w:val="center"/>
              <w:widowControl/>
              <w:rPr>
                <w:b/>
                <w:color w:val="000000"/>
                <w:sz w:val="24"/>
              </w:rPr>
            </w:pPr>
            <w:r>
              <w:rPr>
                <w:b/>
                <w:sz w:val="24"/>
              </w:rPr>
              <w:t xml:space="preserve">检查</w:t>
            </w:r>
            <w:r>
              <w:rPr>
                <w:b/>
                <w:color w:val="000000"/>
                <w:sz w:val="24"/>
              </w:rPr>
              <w:t xml:space="preserve">内容</w:t>
            </w:r>
            <w:r>
              <w:rPr>
                <w:b/>
                <w:color w:val="000000"/>
                <w:sz w:val="24"/>
              </w:rPr>
            </w:r>
            <w:r/>
          </w:p>
        </w:tc>
        <w:tc>
          <w:tcPr>
            <w:shd w:val="clear" w:color="000000" w:fill="ffffff"/>
            <w:tcW w:w="1951" w:type="dxa"/>
            <w:vAlign w:val="center"/>
            <w:textDirection w:val="lrTb"/>
            <w:noWrap w:val="false"/>
          </w:tcPr>
          <w:p>
            <w:pPr>
              <w:pStyle w:val="779"/>
              <w:jc w:val="center"/>
              <w:widowControl/>
              <w:rPr>
                <w:b/>
                <w:color w:val="000000"/>
                <w:sz w:val="24"/>
              </w:rPr>
            </w:pPr>
            <w:r>
              <w:rPr>
                <w:b/>
                <w:color w:val="000000"/>
                <w:sz w:val="24"/>
              </w:rPr>
              <w:t xml:space="preserve">是否允许澄清、说明或者更正</w:t>
            </w:r>
            <w:r>
              <w:rPr>
                <w:b/>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rFonts w:hint="eastAsia"/>
                <w:color w:val="000000"/>
                <w:sz w:val="24"/>
              </w:rPr>
            </w:pPr>
            <w:r>
              <w:rPr>
                <w:rFonts w:hint="eastAsia"/>
                <w:color w:val="000000"/>
                <w:sz w:val="24"/>
              </w:rPr>
              <w:t xml:space="preserve">1</w:t>
            </w:r>
            <w:r>
              <w:rPr>
                <w:rFonts w:hint="eastAsia"/>
                <w:color w:val="000000"/>
                <w:sz w:val="24"/>
              </w:rPr>
            </w:r>
            <w:r/>
          </w:p>
        </w:tc>
        <w:tc>
          <w:tcPr>
            <w:shd w:val="clear" w:color="000000" w:fill="ffffff"/>
            <w:tcW w:w="921" w:type="dxa"/>
            <w:vAlign w:val="center"/>
            <w:textDirection w:val="lrTb"/>
            <w:noWrap w:val="false"/>
          </w:tcPr>
          <w:p>
            <w:pPr>
              <w:pStyle w:val="779"/>
              <w:jc w:val="center"/>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shd w:val="clear" w:color="000000" w:fill="ffffff"/>
            <w:tcW w:w="1583" w:type="dxa"/>
            <w:vAlign w:val="center"/>
            <w:textDirection w:val="lrTb"/>
            <w:noWrap w:val="false"/>
          </w:tcPr>
          <w:p>
            <w:pPr>
              <w:pStyle w:val="779"/>
              <w:jc w:val="center"/>
              <w:widowControl/>
              <w:rPr>
                <w:color w:val="000000"/>
                <w:sz w:val="24"/>
              </w:rPr>
            </w:pPr>
            <w:r>
              <w:rPr>
                <w:color w:val="000000"/>
                <w:sz w:val="24"/>
              </w:rPr>
              <w:t xml:space="preserve">按</w:t>
            </w:r>
            <w:r>
              <w:rPr>
                <w:rFonts w:hint="eastAsia"/>
                <w:color w:val="000000"/>
                <w:sz w:val="24"/>
              </w:rPr>
              <w:t xml:space="preserve">单一来源</w:t>
            </w:r>
            <w:r>
              <w:rPr>
                <w:color w:val="000000"/>
                <w:sz w:val="24"/>
              </w:rPr>
              <w:t xml:space="preserve">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779"/>
              <w:jc w:val="center"/>
              <w:widowControl/>
              <w:rPr>
                <w:rFonts w:hint="eastAsia"/>
                <w:color w:val="000000"/>
                <w:sz w:val="24"/>
              </w:rPr>
            </w:pPr>
            <w:r>
              <w:rPr>
                <w:rFonts w:hint="eastAsia"/>
                <w:color w:val="000000"/>
                <w:sz w:val="24"/>
              </w:rPr>
              <w:t xml:space="preserve">允许</w:t>
            </w:r>
            <w:r>
              <w:rPr>
                <w:rFonts w:hint="eastAsia"/>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color w:val="000000"/>
                <w:sz w:val="24"/>
              </w:rPr>
            </w:pPr>
            <w:r>
              <w:rPr>
                <w:color w:val="000000"/>
                <w:sz w:val="24"/>
              </w:rPr>
              <w:t xml:space="preserve">2</w:t>
            </w:r>
            <w:r>
              <w:rPr>
                <w:color w:val="000000"/>
                <w:sz w:val="24"/>
              </w:rPr>
            </w:r>
            <w:r/>
          </w:p>
        </w:tc>
        <w:tc>
          <w:tcPr>
            <w:shd w:val="clear" w:color="000000" w:fill="ffffff"/>
            <w:tcW w:w="921" w:type="dxa"/>
            <w:vAlign w:val="center"/>
            <w:textDirection w:val="lrTb"/>
            <w:noWrap w:val="false"/>
          </w:tcPr>
          <w:p>
            <w:pPr>
              <w:pStyle w:val="779"/>
              <w:jc w:val="left"/>
              <w:widowControl/>
              <w:rPr>
                <w:color w:val="000000"/>
                <w:sz w:val="24"/>
              </w:rPr>
            </w:pPr>
            <w:r>
              <w:rPr>
                <w:color w:val="000000"/>
                <w:sz w:val="24"/>
              </w:rPr>
              <w:t xml:space="preserve">响应完整性</w:t>
            </w:r>
            <w:r>
              <w:rPr>
                <w:color w:val="000000"/>
                <w:sz w:val="24"/>
              </w:rPr>
            </w:r>
            <w:r/>
          </w:p>
        </w:tc>
        <w:tc>
          <w:tcPr>
            <w:shd w:val="clear" w:color="000000" w:fill="ffffff"/>
            <w:tcW w:w="1583" w:type="dxa"/>
            <w:vAlign w:val="center"/>
            <w:textDirection w:val="lrTb"/>
            <w:noWrap w:val="false"/>
          </w:tcPr>
          <w:p>
            <w:pPr>
              <w:pStyle w:val="779"/>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c>
          <w:tcPr>
            <w:shd w:val="clear" w:color="000000" w:fill="ffffff"/>
            <w:tcW w:w="1951" w:type="dxa"/>
            <w:vAlign w:val="center"/>
            <w:textDirection w:val="lrTb"/>
            <w:noWrap w:val="false"/>
          </w:tcPr>
          <w:p>
            <w:pPr>
              <w:pStyle w:val="779"/>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color w:val="000000"/>
                <w:sz w:val="24"/>
              </w:rPr>
            </w:pPr>
            <w:r>
              <w:rPr>
                <w:color w:val="000000"/>
                <w:sz w:val="24"/>
              </w:rPr>
              <w:t xml:space="preserve">3</w:t>
            </w:r>
            <w:r>
              <w:rPr>
                <w:color w:val="000000"/>
                <w:sz w:val="24"/>
              </w:rPr>
            </w:r>
            <w:r/>
          </w:p>
        </w:tc>
        <w:tc>
          <w:tcPr>
            <w:shd w:val="clear" w:color="000000" w:fill="ffffff"/>
            <w:tcW w:w="921" w:type="dxa"/>
            <w:vAlign w:val="center"/>
            <w:textDirection w:val="lrTb"/>
            <w:noWrap w:val="false"/>
          </w:tcPr>
          <w:p>
            <w:pPr>
              <w:pStyle w:val="779"/>
              <w:jc w:val="left"/>
              <w:widowControl/>
              <w:rPr>
                <w:color w:val="000000"/>
                <w:sz w:val="24"/>
              </w:rPr>
            </w:pPr>
            <w:r>
              <w:rPr>
                <w:color w:val="000000"/>
                <w:sz w:val="24"/>
              </w:rPr>
              <w:t xml:space="preserve">响应报价</w:t>
            </w:r>
            <w:r>
              <w:rPr>
                <w:color w:val="000000"/>
                <w:sz w:val="24"/>
              </w:rPr>
            </w:r>
            <w:r/>
          </w:p>
        </w:tc>
        <w:tc>
          <w:tcPr>
            <w:shd w:val="clear" w:color="000000" w:fill="ffffff"/>
            <w:tcW w:w="1583" w:type="dxa"/>
            <w:vAlign w:val="center"/>
            <w:textDirection w:val="lrTb"/>
            <w:noWrap w:val="false"/>
          </w:tcPr>
          <w:p>
            <w:pPr>
              <w:pStyle w:val="779"/>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w:t>
            </w:r>
            <w:r>
              <w:rPr>
                <w:rFonts w:hint="eastAsia"/>
                <w:color w:val="000000"/>
                <w:sz w:val="24"/>
              </w:rPr>
              <w:t xml:space="preserve">单一来源</w:t>
            </w:r>
            <w:r>
              <w:rPr>
                <w:color w:val="000000"/>
                <w:sz w:val="24"/>
              </w:rPr>
              <w:t xml:space="preserve">文件</w:t>
            </w:r>
            <w:r>
              <w:rPr>
                <w:color w:val="000000"/>
                <w:sz w:val="24"/>
              </w:rPr>
              <w:t xml:space="preserve">中规定的项目/采购包预算金额或者项目/采购包最高限价</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779"/>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color w:val="000000"/>
                <w:sz w:val="24"/>
              </w:rPr>
            </w:pPr>
            <w:r>
              <w:rPr>
                <w:color w:val="000000"/>
                <w:sz w:val="24"/>
              </w:rPr>
              <w:t xml:space="preserve">4</w:t>
            </w:r>
            <w:r>
              <w:rPr>
                <w:color w:val="000000"/>
                <w:sz w:val="24"/>
              </w:rPr>
            </w:r>
            <w:r/>
          </w:p>
        </w:tc>
        <w:tc>
          <w:tcPr>
            <w:shd w:val="clear" w:color="000000" w:fill="ffffff"/>
            <w:tcW w:w="921" w:type="dxa"/>
            <w:vAlign w:val="center"/>
            <w:textDirection w:val="lrTb"/>
            <w:noWrap w:val="false"/>
          </w:tcPr>
          <w:p>
            <w:pPr>
              <w:pStyle w:val="779"/>
              <w:jc w:val="left"/>
              <w:widowControl/>
              <w:rPr>
                <w:color w:val="000000"/>
                <w:sz w:val="24"/>
              </w:rPr>
            </w:pPr>
            <w:r>
              <w:rPr>
                <w:color w:val="000000"/>
                <w:sz w:val="24"/>
              </w:rPr>
              <w:t xml:space="preserve">报价唯一性</w:t>
            </w:r>
            <w:r>
              <w:rPr>
                <w:color w:val="000000"/>
                <w:sz w:val="24"/>
              </w:rPr>
            </w:r>
            <w:r/>
          </w:p>
        </w:tc>
        <w:tc>
          <w:tcPr>
            <w:shd w:val="clear" w:color="000000" w:fill="ffffff"/>
            <w:tcW w:w="1583" w:type="dxa"/>
            <w:vAlign w:val="center"/>
            <w:textDirection w:val="lrTb"/>
            <w:noWrap w:val="false"/>
          </w:tcPr>
          <w:p>
            <w:pPr>
              <w:pStyle w:val="779"/>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w:t>
            </w:r>
            <w:r>
              <w:rPr>
                <w:rFonts w:hint="eastAsia"/>
                <w:color w:val="000000"/>
                <w:sz w:val="24"/>
              </w:rPr>
              <w:t xml:space="preserve">单一来源</w:t>
            </w:r>
            <w:r>
              <w:rPr>
                <w:color w:val="000000"/>
                <w:sz w:val="24"/>
              </w:rPr>
              <w:t xml:space="preserve">文件</w:t>
            </w:r>
            <w:r>
              <w:rPr>
                <w:rFonts w:hint="eastAsia"/>
                <w:sz w:val="24"/>
              </w:rPr>
              <w:t xml:space="preserve">另有规定的除外）</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779"/>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color w:val="000000"/>
                <w:sz w:val="24"/>
              </w:rPr>
            </w:pPr>
            <w:r>
              <w:rPr>
                <w:color w:val="000000"/>
                <w:sz w:val="24"/>
              </w:rPr>
              <w:t xml:space="preserve">5</w:t>
            </w:r>
            <w:r>
              <w:rPr>
                <w:color w:val="000000"/>
                <w:sz w:val="24"/>
              </w:rPr>
            </w:r>
            <w:r/>
          </w:p>
        </w:tc>
        <w:tc>
          <w:tcPr>
            <w:shd w:val="clear" w:color="000000" w:fill="ffffff"/>
            <w:tcW w:w="921" w:type="dxa"/>
            <w:vAlign w:val="center"/>
            <w:textDirection w:val="lrTb"/>
            <w:noWrap w:val="false"/>
          </w:tcPr>
          <w:p>
            <w:pPr>
              <w:pStyle w:val="779"/>
              <w:jc w:val="left"/>
              <w:widowControl/>
              <w:rPr>
                <w:color w:val="000000"/>
                <w:sz w:val="24"/>
              </w:rPr>
            </w:pPr>
            <w:r>
              <w:rPr>
                <w:color w:val="000000"/>
                <w:sz w:val="24"/>
              </w:rPr>
              <w:t xml:space="preserve">响应有效期</w:t>
            </w:r>
            <w:r>
              <w:rPr>
                <w:color w:val="000000"/>
                <w:sz w:val="24"/>
              </w:rPr>
            </w:r>
            <w:r/>
          </w:p>
        </w:tc>
        <w:tc>
          <w:tcPr>
            <w:shd w:val="clear" w:color="000000" w:fill="ffffff"/>
            <w:tcW w:w="1583" w:type="dxa"/>
            <w:vAlign w:val="center"/>
            <w:textDirection w:val="lrTb"/>
            <w:noWrap w:val="false"/>
          </w:tcPr>
          <w:p>
            <w:pPr>
              <w:pStyle w:val="779"/>
              <w:jc w:val="left"/>
              <w:widowControl/>
              <w:rPr>
                <w:color w:val="000000"/>
                <w:sz w:val="24"/>
              </w:rPr>
            </w:pPr>
            <w:r>
              <w:rPr>
                <w:color w:val="000000"/>
                <w:sz w:val="24"/>
              </w:rPr>
              <w:t xml:space="preserve">响应文件中承诺的响应有效期</w:t>
            </w:r>
            <w:r>
              <w:rPr>
                <w:rFonts w:hint="eastAsia"/>
                <w:color w:val="000000"/>
                <w:sz w:val="24"/>
              </w:rPr>
              <w:t xml:space="preserve">满足单一来源</w:t>
            </w:r>
            <w:r>
              <w:rPr>
                <w:color w:val="000000"/>
                <w:sz w:val="24"/>
              </w:rPr>
              <w:t xml:space="preserve">文件中载明的响应有效期的；</w:t>
            </w:r>
            <w:r>
              <w:rPr>
                <w:color w:val="000000"/>
                <w:sz w:val="24"/>
              </w:rPr>
            </w:r>
            <w:r/>
          </w:p>
        </w:tc>
        <w:tc>
          <w:tcPr>
            <w:shd w:val="clear" w:color="000000" w:fill="ffffff"/>
            <w:tcW w:w="1951" w:type="dxa"/>
            <w:vAlign w:val="center"/>
            <w:textDirection w:val="lrTb"/>
            <w:noWrap w:val="false"/>
          </w:tcPr>
          <w:p>
            <w:pPr>
              <w:pStyle w:val="779"/>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779"/>
              <w:jc w:val="center"/>
              <w:widowControl/>
              <w:rPr>
                <w:color w:val="000000"/>
                <w:sz w:val="24"/>
              </w:rPr>
            </w:pPr>
            <w:r>
              <w:rPr>
                <w:color w:val="000000"/>
                <w:sz w:val="24"/>
              </w:rPr>
              <w:t xml:space="preserve">6</w:t>
            </w:r>
            <w:r>
              <w:rPr>
                <w:color w:val="000000"/>
                <w:sz w:val="24"/>
              </w:rPr>
            </w:r>
            <w:r/>
          </w:p>
        </w:tc>
        <w:tc>
          <w:tcPr>
            <w:shd w:val="clear" w:color="000000" w:fill="ffffff"/>
            <w:tcW w:w="921" w:type="dxa"/>
            <w:vAlign w:val="center"/>
            <w:textDirection w:val="lrTb"/>
            <w:noWrap w:val="false"/>
          </w:tcPr>
          <w:p>
            <w:pPr>
              <w:pStyle w:val="779"/>
              <w:jc w:val="left"/>
              <w:widowControl/>
              <w:rPr>
                <w:color w:val="000000"/>
                <w:sz w:val="24"/>
              </w:rPr>
            </w:pPr>
            <w:r>
              <w:rPr>
                <w:color w:val="000000"/>
                <w:sz w:val="24"/>
              </w:rPr>
              <w:t xml:space="preserve">签署、加盖公章</w:t>
            </w:r>
            <w:r>
              <w:rPr>
                <w:color w:val="000000"/>
                <w:sz w:val="24"/>
              </w:rPr>
            </w:r>
            <w:r/>
          </w:p>
        </w:tc>
        <w:tc>
          <w:tcPr>
            <w:shd w:val="clear" w:color="000000" w:fill="ffffff"/>
            <w:tcW w:w="1583" w:type="dxa"/>
            <w:vAlign w:val="center"/>
            <w:textDirection w:val="lrTb"/>
            <w:noWrap w:val="false"/>
          </w:tcPr>
          <w:p>
            <w:pPr>
              <w:pStyle w:val="779"/>
              <w:jc w:val="left"/>
              <w:widowControl/>
              <w:rPr>
                <w:color w:val="000000"/>
                <w:sz w:val="24"/>
              </w:rPr>
            </w:pPr>
            <w:r>
              <w:rPr>
                <w:color w:val="000000"/>
                <w:sz w:val="24"/>
              </w:rPr>
              <w:t xml:space="preserve">按照</w:t>
            </w:r>
            <w:r>
              <w:rPr>
                <w:rFonts w:hint="eastAsia"/>
                <w:color w:val="000000"/>
                <w:sz w:val="24"/>
              </w:rPr>
              <w:t xml:space="preserve">单一来源</w:t>
            </w:r>
            <w:r>
              <w:rPr>
                <w:color w:val="000000"/>
                <w:sz w:val="24"/>
              </w:rPr>
              <w:t xml:space="preserve">文件要求签署、加盖公章的；</w:t>
            </w:r>
            <w:r>
              <w:rPr>
                <w:color w:val="000000"/>
                <w:sz w:val="24"/>
              </w:rPr>
            </w:r>
            <w:r/>
          </w:p>
        </w:tc>
        <w:tc>
          <w:tcPr>
            <w:shd w:val="clear" w:color="000000" w:fill="ffffff"/>
            <w:tcW w:w="1951" w:type="dxa"/>
            <w:vAlign w:val="center"/>
            <w:textDirection w:val="lrTb"/>
            <w:noWrap w:val="false"/>
          </w:tcPr>
          <w:p>
            <w:pPr>
              <w:pStyle w:val="779"/>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779"/>
              <w:jc w:val="center"/>
              <w:widowControl/>
              <w:rPr>
                <w:color w:val="000000"/>
                <w:sz w:val="24"/>
              </w:rPr>
            </w:pPr>
            <w:r>
              <w:rPr>
                <w:rFonts w:hint="eastAsia"/>
                <w:color w:val="000000"/>
                <w:sz w:val="24"/>
              </w:rPr>
              <w:t xml:space="preserve">7</w:t>
            </w:r>
            <w:r>
              <w:rPr>
                <w:color w:val="000000"/>
                <w:sz w:val="24"/>
              </w:rPr>
            </w:r>
            <w:r/>
          </w:p>
        </w:tc>
        <w:tc>
          <w:tcPr>
            <w:tcW w:w="921" w:type="dxa"/>
            <w:vAlign w:val="center"/>
            <w:textDirection w:val="lrTb"/>
            <w:noWrap w:val="false"/>
          </w:tcPr>
          <w:p>
            <w:pPr>
              <w:pStyle w:val="779"/>
              <w:jc w:val="left"/>
              <w:widowControl/>
              <w:rPr>
                <w:color w:val="000000"/>
                <w:sz w:val="24"/>
              </w:rPr>
            </w:pPr>
            <w:r>
              <w:rPr>
                <w:rFonts w:hint="eastAsia"/>
                <w:color w:val="000000"/>
                <w:sz w:val="24"/>
              </w:rPr>
              <w:t xml:space="preserve">实质性格式</w:t>
            </w:r>
            <w:r>
              <w:rPr>
                <w:color w:val="000000"/>
                <w:sz w:val="24"/>
              </w:rPr>
            </w:r>
            <w:r/>
          </w:p>
        </w:tc>
        <w:tc>
          <w:tcPr>
            <w:tcW w:w="1583" w:type="dxa"/>
            <w:vAlign w:val="center"/>
            <w:textDirection w:val="lrTb"/>
            <w:noWrap w:val="false"/>
          </w:tcPr>
          <w:p>
            <w:pPr>
              <w:pStyle w:val="779"/>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rFonts w:hint="eastAsia"/>
                <w:color w:val="000000"/>
                <w:sz w:val="24"/>
              </w:rPr>
              <w:t xml:space="preserve">单一来源</w:t>
            </w:r>
            <w:r>
              <w:rPr>
                <w:color w:val="000000"/>
                <w:sz w:val="24"/>
              </w:rPr>
              <w:t xml:space="preserve">文件</w:t>
            </w:r>
            <w:r>
              <w:rPr>
                <w:rFonts w:hint="eastAsia"/>
                <w:sz w:val="24"/>
              </w:rPr>
              <w:t xml:space="preserve">要求提供；</w:t>
            </w:r>
            <w:r>
              <w:rPr>
                <w:color w:val="000000"/>
                <w:sz w:val="24"/>
              </w:rPr>
            </w:r>
            <w:r/>
          </w:p>
        </w:tc>
        <w:tc>
          <w:tcPr>
            <w:tcW w:w="3624" w:type="dxa"/>
            <w:vAlign w:val="top"/>
            <w:textDirection w:val="lrTb"/>
            <w:noWrap w:val="false"/>
          </w:tcPr>
          <w:p>
            <w:pPr>
              <w:pStyle w:val="779"/>
              <w:jc w:val="center"/>
              <w:widowControl/>
              <w:rPr>
                <w:color w:val="000000"/>
                <w:sz w:val="24"/>
              </w:rPr>
            </w:pPr>
            <w:r>
              <w:rPr>
                <w:color w:val="000000"/>
                <w:sz w:val="24"/>
              </w:rPr>
            </w:r>
            <w:r/>
          </w:p>
        </w:tc>
      </w:tr>
      <w:tr>
        <w:trPr>
          <w:trHeight w:val="1105"/>
        </w:trPr>
        <w:tc>
          <w:tcPr>
            <w:tcW w:w="1012" w:type="dxa"/>
            <w:vAlign w:val="center"/>
            <w:textDirection w:val="lrTb"/>
            <w:noWrap w:val="false"/>
          </w:tcPr>
          <w:p>
            <w:pPr>
              <w:pStyle w:val="779"/>
              <w:jc w:val="center"/>
              <w:widowControl/>
              <w:rPr>
                <w:color w:val="000000"/>
                <w:sz w:val="24"/>
              </w:rPr>
            </w:pPr>
            <w:r>
              <w:rPr>
                <w:rFonts w:hint="eastAsia"/>
                <w:color w:val="000000"/>
                <w:sz w:val="24"/>
              </w:rPr>
              <w:t xml:space="preserve">8</w:t>
            </w:r>
            <w:r>
              <w:rPr>
                <w:color w:val="000000"/>
                <w:sz w:val="24"/>
              </w:rPr>
            </w:r>
            <w:r/>
          </w:p>
        </w:tc>
        <w:tc>
          <w:tcPr>
            <w:tcW w:w="921" w:type="dxa"/>
            <w:vAlign w:val="center"/>
            <w:textDirection w:val="lrTb"/>
            <w:noWrap w:val="false"/>
          </w:tcPr>
          <w:p>
            <w:pPr>
              <w:pStyle w:val="779"/>
              <w:jc w:val="left"/>
              <w:widowControl/>
              <w:rPr>
                <w:rFonts w:hint="eastAsia"/>
                <w:color w:val="000000"/>
                <w:sz w:val="24"/>
              </w:rPr>
            </w:pPr>
            <w:r>
              <w:rPr>
                <w:rFonts w:hint="eastAsia"/>
                <w:szCs w:val="21"/>
              </w:rPr>
              <w:t xml:space="preserve">★号条款响应</w:t>
            </w:r>
            <w:r>
              <w:rPr>
                <w:rFonts w:hint="eastAsia"/>
                <w:color w:val="000000"/>
                <w:sz w:val="24"/>
              </w:rPr>
            </w:r>
            <w:r/>
          </w:p>
        </w:tc>
        <w:tc>
          <w:tcPr>
            <w:tcW w:w="1583" w:type="dxa"/>
            <w:vAlign w:val="center"/>
            <w:textDirection w:val="lrTb"/>
            <w:noWrap w:val="false"/>
          </w:tcPr>
          <w:p>
            <w:pPr>
              <w:pStyle w:val="779"/>
              <w:jc w:val="left"/>
              <w:widowControl/>
              <w:rPr>
                <w:rFonts w:hint="eastAsia"/>
                <w:color w:val="000000"/>
                <w:sz w:val="24"/>
              </w:rPr>
            </w:pPr>
            <w:r>
              <w:rPr>
                <w:color w:val="000000"/>
                <w:sz w:val="24"/>
              </w:rPr>
              <w:t xml:space="preserve">响应文件满足</w:t>
            </w:r>
            <w:r>
              <w:rPr>
                <w:rFonts w:hint="eastAsia"/>
                <w:color w:val="000000"/>
                <w:sz w:val="24"/>
              </w:rPr>
              <w:t xml:space="preserve">单一来源</w:t>
            </w:r>
            <w:r>
              <w:rPr>
                <w:color w:val="000000"/>
                <w:sz w:val="24"/>
              </w:rPr>
              <w:t xml:space="preserve">文件</w:t>
            </w:r>
            <w:r>
              <w:rPr>
                <w:sz w:val="24"/>
              </w:rPr>
              <w:t xml:space="preserve">《采购需求》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rPr>
            </w:r>
            <w:r/>
          </w:p>
        </w:tc>
        <w:tc>
          <w:tcPr>
            <w:tcW w:w="3624" w:type="dxa"/>
            <w:vAlign w:val="top"/>
            <w:textDirection w:val="lrTb"/>
            <w:noWrap w:val="false"/>
          </w:tcPr>
          <w:p>
            <w:pPr>
              <w:pStyle w:val="779"/>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779"/>
              <w:jc w:val="center"/>
              <w:widowControl/>
              <w:rPr>
                <w:color w:val="000000"/>
                <w:sz w:val="24"/>
              </w:rPr>
            </w:pPr>
            <w:r>
              <w:rPr>
                <w:rFonts w:hint="eastAsia"/>
                <w:color w:val="000000"/>
                <w:sz w:val="24"/>
              </w:rPr>
              <w:t xml:space="preserve">9</w:t>
            </w:r>
            <w:r>
              <w:rPr>
                <w:color w:val="000000"/>
                <w:sz w:val="24"/>
              </w:rPr>
            </w:r>
            <w:r/>
          </w:p>
        </w:tc>
        <w:tc>
          <w:tcPr>
            <w:tcW w:w="921" w:type="dxa"/>
            <w:vAlign w:val="center"/>
            <w:textDirection w:val="lrTb"/>
            <w:noWrap w:val="false"/>
          </w:tcPr>
          <w:p>
            <w:pPr>
              <w:pStyle w:val="779"/>
              <w:jc w:val="left"/>
              <w:widowControl/>
              <w:rPr>
                <w:rFonts w:hint="eastAsia"/>
                <w:color w:val="000000"/>
                <w:sz w:val="24"/>
              </w:rPr>
            </w:pPr>
            <w:r>
              <w:rPr>
                <w:color w:val="000000"/>
                <w:sz w:val="24"/>
              </w:rPr>
              <w:t xml:space="preserve">报价的修正（如有）</w:t>
            </w:r>
            <w:r>
              <w:rPr>
                <w:rFonts w:hint="eastAsia"/>
                <w:color w:val="000000"/>
                <w:sz w:val="24"/>
              </w:rPr>
            </w:r>
            <w:r/>
          </w:p>
        </w:tc>
        <w:tc>
          <w:tcPr>
            <w:tcW w:w="1583" w:type="dxa"/>
            <w:vAlign w:val="center"/>
            <w:textDirection w:val="lrTb"/>
            <w:noWrap w:val="false"/>
          </w:tcPr>
          <w:p>
            <w:pPr>
              <w:pStyle w:val="779"/>
              <w:jc w:val="left"/>
              <w:widowControl/>
              <w:rPr>
                <w:rFonts w:hint="eastAsia"/>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rFonts w:hint="eastAsia"/>
                <w:color w:val="000000"/>
                <w:sz w:val="24"/>
              </w:rPr>
            </w:r>
            <w:r/>
          </w:p>
        </w:tc>
        <w:tc>
          <w:tcPr>
            <w:tcW w:w="3624" w:type="dxa"/>
            <w:vAlign w:val="top"/>
            <w:textDirection w:val="lrTb"/>
            <w:noWrap w:val="false"/>
          </w:tcPr>
          <w:p>
            <w:pPr>
              <w:pStyle w:val="779"/>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779"/>
              <w:jc w:val="center"/>
              <w:widowControl/>
              <w:rPr>
                <w:color w:val="000000"/>
                <w:sz w:val="24"/>
              </w:rPr>
            </w:pPr>
            <w:r>
              <w:rPr>
                <w:rFonts w:hint="eastAsia"/>
                <w:color w:val="000000"/>
                <w:sz w:val="24"/>
              </w:rPr>
              <w:t xml:space="preserve">10</w:t>
            </w:r>
            <w:r>
              <w:rPr>
                <w:color w:val="000000"/>
                <w:sz w:val="24"/>
              </w:rPr>
            </w:r>
            <w:r/>
          </w:p>
        </w:tc>
        <w:tc>
          <w:tcPr>
            <w:tcW w:w="921" w:type="dxa"/>
            <w:vAlign w:val="center"/>
            <w:textDirection w:val="lrTb"/>
            <w:noWrap w:val="false"/>
          </w:tcPr>
          <w:p>
            <w:pPr>
              <w:pStyle w:val="779"/>
              <w:jc w:val="left"/>
              <w:widowControl/>
              <w:rPr>
                <w:color w:val="000000"/>
                <w:sz w:val="24"/>
              </w:rPr>
            </w:pPr>
            <w:r>
              <w:rPr>
                <w:color w:val="000000"/>
                <w:sz w:val="24"/>
              </w:rPr>
              <w:t xml:space="preserve">附加条件</w:t>
            </w:r>
            <w:r>
              <w:rPr>
                <w:color w:val="000000"/>
                <w:sz w:val="24"/>
              </w:rPr>
            </w:r>
            <w:r/>
          </w:p>
        </w:tc>
        <w:tc>
          <w:tcPr>
            <w:tcW w:w="1583" w:type="dxa"/>
            <w:vAlign w:val="center"/>
            <w:textDirection w:val="lrTb"/>
            <w:noWrap w:val="false"/>
          </w:tcPr>
          <w:p>
            <w:pPr>
              <w:pStyle w:val="779"/>
              <w:jc w:val="left"/>
              <w:widowControl/>
              <w:rPr>
                <w:rFonts w:hint="eastAsia"/>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hint="eastAsia"/>
                <w:color w:val="000000"/>
                <w:sz w:val="24"/>
              </w:rPr>
            </w:r>
            <w:r/>
          </w:p>
        </w:tc>
        <w:tc>
          <w:tcPr>
            <w:tcW w:w="3624" w:type="dxa"/>
            <w:vAlign w:val="top"/>
            <w:textDirection w:val="lrTb"/>
            <w:noWrap w:val="false"/>
          </w:tcPr>
          <w:p>
            <w:pPr>
              <w:pStyle w:val="779"/>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779"/>
              <w:jc w:val="center"/>
              <w:widowControl/>
              <w:rPr>
                <w:color w:val="000000"/>
                <w:sz w:val="24"/>
              </w:rPr>
            </w:pPr>
            <w:r>
              <w:rPr>
                <w:rFonts w:hint="eastAsia"/>
                <w:color w:val="000000"/>
                <w:sz w:val="24"/>
              </w:rPr>
              <w:t xml:space="preserve">11</w:t>
            </w:r>
            <w:r>
              <w:rPr>
                <w:color w:val="000000"/>
                <w:sz w:val="24"/>
              </w:rPr>
            </w:r>
            <w:r/>
          </w:p>
        </w:tc>
        <w:tc>
          <w:tcPr>
            <w:tcW w:w="921" w:type="dxa"/>
            <w:vAlign w:val="center"/>
            <w:textDirection w:val="lrTb"/>
            <w:noWrap w:val="false"/>
          </w:tcPr>
          <w:p>
            <w:pPr>
              <w:pStyle w:val="779"/>
              <w:jc w:val="left"/>
              <w:widowControl/>
              <w:rPr>
                <w:color w:val="000000"/>
                <w:sz w:val="24"/>
              </w:rPr>
            </w:pPr>
            <w:r>
              <w:rPr>
                <w:color w:val="000000"/>
                <w:sz w:val="24"/>
              </w:rPr>
              <w:t xml:space="preserve">其他无效情形</w:t>
            </w:r>
            <w:r>
              <w:rPr>
                <w:color w:val="000000"/>
                <w:sz w:val="24"/>
              </w:rPr>
            </w:r>
            <w:r/>
          </w:p>
        </w:tc>
        <w:tc>
          <w:tcPr>
            <w:tcW w:w="1583" w:type="dxa"/>
            <w:vAlign w:val="center"/>
            <w:textDirection w:val="lrTb"/>
            <w:noWrap w:val="false"/>
          </w:tcPr>
          <w:p>
            <w:pPr>
              <w:pStyle w:val="779"/>
              <w:jc w:val="left"/>
              <w:widowControl/>
              <w:rPr>
                <w:rFonts w:hint="eastAsia"/>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w:t>
            </w:r>
            <w:r>
              <w:rPr>
                <w:rFonts w:hint="eastAsia"/>
                <w:color w:val="000000"/>
                <w:sz w:val="24"/>
              </w:rPr>
              <w:t xml:space="preserve">单一来源</w:t>
            </w:r>
            <w:r>
              <w:rPr>
                <w:color w:val="000000"/>
                <w:sz w:val="24"/>
              </w:rPr>
              <w:t xml:space="preserve">文件</w:t>
            </w:r>
            <w:r>
              <w:rPr>
                <w:color w:val="000000"/>
                <w:sz w:val="24"/>
              </w:rPr>
              <w:t xml:space="preserve">规定的其他无效情形。</w:t>
            </w:r>
            <w:r>
              <w:rPr>
                <w:rFonts w:hint="eastAsia"/>
                <w:color w:val="000000"/>
                <w:sz w:val="24"/>
              </w:rPr>
            </w:r>
            <w:r/>
          </w:p>
        </w:tc>
        <w:tc>
          <w:tcPr>
            <w:tcW w:w="3624" w:type="dxa"/>
            <w:vAlign w:val="top"/>
            <w:textDirection w:val="lrTb"/>
            <w:noWrap w:val="false"/>
          </w:tcPr>
          <w:p>
            <w:pPr>
              <w:pStyle w:val="779"/>
              <w:jc w:val="center"/>
              <w:widowControl/>
              <w:rPr>
                <w:color w:val="000000"/>
                <w:sz w:val="24"/>
              </w:rPr>
            </w:pPr>
            <w:r>
              <w:rPr>
                <w:color w:val="000000"/>
                <w:sz w:val="24"/>
              </w:rPr>
            </w:r>
            <w:r/>
          </w:p>
        </w:tc>
      </w:tr>
    </w:tbl>
    <w:p>
      <w:pPr>
        <w:pStyle w:val="877"/>
        <w:ind w:left="900" w:firstLine="0"/>
        <w:jc w:val="left"/>
        <w:widowControl/>
        <w:rPr>
          <w:sz w:val="24"/>
        </w:rPr>
      </w:pPr>
      <w:r>
        <w:rPr>
          <w:sz w:val="24"/>
        </w:rPr>
      </w:r>
      <w:r/>
    </w:p>
    <w:p>
      <w:pPr>
        <w:pStyle w:val="779"/>
        <w:jc w:val="left"/>
        <w:widowControl/>
        <w:rPr>
          <w:sz w:val="24"/>
        </w:rPr>
      </w:pPr>
      <w:r>
        <w:rPr>
          <w:sz w:val="24"/>
        </w:rPr>
      </w:r>
      <w:r/>
    </w:p>
    <w:p>
      <w:pPr>
        <w:pStyle w:val="779"/>
        <w:jc w:val="left"/>
        <w:widowControl/>
        <w:rPr>
          <w:sz w:val="24"/>
        </w:rPr>
      </w:pPr>
      <w:r>
        <w:rPr>
          <w:sz w:val="24"/>
        </w:rPr>
        <w:br w:type="page" w:clear="all"/>
      </w:r>
      <w:r>
        <w:rPr>
          <w:sz w:val="24"/>
        </w:rPr>
      </w:r>
      <w:r/>
    </w:p>
    <w:p>
      <w:pPr>
        <w:pStyle w:val="779"/>
        <w:numPr>
          <w:ilvl w:val="0"/>
          <w:numId w:val="12"/>
        </w:numPr>
        <w:spacing w:line="360" w:lineRule="auto"/>
        <w:tabs>
          <w:tab w:val="left" w:pos="360" w:leader="none"/>
          <w:tab w:val="left" w:pos="900" w:leader="none"/>
        </w:tabs>
        <w:rPr>
          <w:sz w:val="24"/>
        </w:rPr>
        <w:outlineLvl w:val="1"/>
      </w:pPr>
      <w:r>
        <w:rPr>
          <w:sz w:val="24"/>
        </w:rPr>
        <w:t xml:space="preserve">响应文件有关事项的澄清、说明或更正</w:t>
      </w:r>
      <w:r>
        <w:rPr>
          <w:sz w:val="24"/>
        </w:rPr>
      </w:r>
      <w:r/>
    </w:p>
    <w:p>
      <w:pPr>
        <w:pStyle w:val="779"/>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单一来源采购人员在对响应文件的有效性、完整性和响应程度进行审查时，可以要求供应商作出必要的澄清、说明或者更正。</w:t>
      </w:r>
      <w:r>
        <w:rPr>
          <w:sz w:val="24"/>
        </w:rPr>
      </w:r>
      <w:r/>
    </w:p>
    <w:p>
      <w:pPr>
        <w:pStyle w:val="779"/>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sz w:val="24"/>
        </w:rPr>
        <w:t xml:space="preserve">无效</w:t>
      </w:r>
      <w:r>
        <w:rPr>
          <w:sz w:val="24"/>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rPr>
        <w:t xml:space="preserve">无效</w:t>
      </w:r>
      <w:r>
        <w:rPr>
          <w:sz w:val="24"/>
        </w:rPr>
        <w:t xml:space="preserve">处理。</w:t>
      </w:r>
      <w:r>
        <w:rPr>
          <w:sz w:val="24"/>
        </w:rPr>
      </w:r>
      <w:r/>
    </w:p>
    <w:p>
      <w:pPr>
        <w:pStyle w:val="779"/>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sz w:val="24"/>
        </w:rPr>
      </w:r>
      <w:r/>
    </w:p>
    <w:p>
      <w:pPr>
        <w:pStyle w:val="779"/>
        <w:numPr>
          <w:ilvl w:val="0"/>
          <w:numId w:val="12"/>
        </w:numPr>
        <w:spacing w:line="360" w:lineRule="auto"/>
        <w:tabs>
          <w:tab w:val="left" w:pos="360" w:leader="none"/>
          <w:tab w:val="left" w:pos="900" w:leader="none"/>
        </w:tabs>
        <w:rPr>
          <w:sz w:val="24"/>
        </w:rPr>
        <w:outlineLvl w:val="1"/>
      </w:pPr>
      <w:r>
        <w:rPr>
          <w:sz w:val="24"/>
        </w:rPr>
        <w:t xml:space="preserve">商定合理价格</w:t>
      </w:r>
      <w:r>
        <w:rPr>
          <w:sz w:val="24"/>
        </w:rPr>
      </w:r>
      <w:r/>
    </w:p>
    <w:p>
      <w:pPr>
        <w:pStyle w:val="877"/>
        <w:numPr>
          <w:ilvl w:val="0"/>
          <w:numId w:val="13"/>
        </w:numPr>
        <w:spacing w:line="360" w:lineRule="auto"/>
        <w:tabs>
          <w:tab w:val="left" w:pos="900" w:leader="none"/>
          <w:tab w:val="left" w:pos="1080" w:leader="none"/>
          <w:tab w:val="left" w:pos="5133" w:leader="none"/>
        </w:tabs>
        <w:rPr>
          <w:rFonts w:ascii="Times New Roman" w:hAnsi="Times New Roman"/>
          <w:vanish/>
          <w:sz w:val="24"/>
          <w:szCs w:val="24"/>
        </w:rPr>
      </w:pPr>
      <w:r>
        <w:rPr>
          <w:rFonts w:ascii="Times New Roman" w:hAnsi="Times New Roman"/>
          <w:vanish/>
          <w:sz w:val="24"/>
          <w:szCs w:val="24"/>
        </w:rPr>
      </w:r>
      <w:r/>
    </w:p>
    <w:p>
      <w:pPr>
        <w:pStyle w:val="779"/>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单一来源采购人员与供应商商定合理的价格并保证采购项目质量。单一来源采购人员应当编写协商情况记录。</w:t>
      </w:r>
      <w:r>
        <w:rPr>
          <w:sz w:val="24"/>
        </w:rPr>
      </w:r>
      <w:r/>
    </w:p>
    <w:p>
      <w:pPr>
        <w:pStyle w:val="779"/>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77"/>
        <w:numPr>
          <w:ilvl w:val="0"/>
          <w:numId w:val="13"/>
        </w:numPr>
        <w:spacing w:line="360" w:lineRule="auto"/>
        <w:tabs>
          <w:tab w:val="left" w:pos="900" w:leader="none"/>
          <w:tab w:val="left" w:pos="1080" w:leader="none"/>
          <w:tab w:val="left" w:pos="5133" w:leader="none"/>
        </w:tabs>
        <w:rPr>
          <w:rFonts w:ascii="Times New Roman" w:hAnsi="Times New Roman"/>
          <w:vanish/>
          <w:sz w:val="24"/>
          <w:szCs w:val="24"/>
        </w:rPr>
      </w:pPr>
      <w:r>
        <w:rPr>
          <w:rFonts w:ascii="Times New Roman" w:hAnsi="Times New Roman"/>
          <w:vanish/>
          <w:sz w:val="24"/>
          <w:szCs w:val="24"/>
        </w:rPr>
      </w:r>
      <w:r/>
    </w:p>
    <w:p>
      <w:pPr>
        <w:pStyle w:val="779"/>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单一来源采购人员在评审过程中发现供应商有行贿、提供虚假材料或者串通等违法行为时，有向采购人、采购代理机构或者有关部门报告的职责。</w:t>
      </w:r>
      <w:r>
        <w:rPr>
          <w:sz w:val="24"/>
        </w:rPr>
      </w:r>
      <w:r/>
    </w:p>
    <w:p>
      <w:pPr>
        <w:pStyle w:val="779"/>
        <w:spacing w:line="360" w:lineRule="auto"/>
        <w:tabs>
          <w:tab w:val="left" w:pos="1080" w:leader="none"/>
          <w:tab w:val="left" w:pos="5133" w:leader="none"/>
        </w:tabs>
        <w:rPr>
          <w:sz w:val="24"/>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79"/>
        <w:jc w:val="left"/>
        <w:widowControl/>
        <w:rPr>
          <w:b/>
          <w:sz w:val="36"/>
          <w:szCs w:val="36"/>
        </w:rPr>
      </w:pPr>
      <w:r/>
      <w:bookmarkStart w:id="639" w:name="_Toc150774760"/>
      <w:r/>
      <w:bookmarkStart w:id="640" w:name="_Toc195842920"/>
      <w:r/>
      <w:bookmarkStart w:id="641" w:name="_Toc127151555"/>
      <w:r/>
      <w:bookmarkStart w:id="642" w:name="_Toc226965828"/>
      <w:r/>
      <w:bookmarkStart w:id="643" w:name="_Toc353825545"/>
      <w:r/>
      <w:bookmarkStart w:id="644" w:name="_Toc264969245"/>
      <w:r/>
      <w:bookmarkStart w:id="645" w:name="_Toc353873665"/>
      <w:r/>
      <w:bookmarkStart w:id="646" w:name="_Toc142311057"/>
      <w:r/>
      <w:bookmarkStart w:id="647" w:name="_Toc305158823"/>
      <w:r/>
      <w:bookmarkStart w:id="648" w:name="_Toc265228393"/>
      <w:r/>
      <w:bookmarkStart w:id="649" w:name="_Toc353873935"/>
      <w:r/>
      <w:bookmarkStart w:id="650" w:name="_Toc226337251"/>
      <w:r/>
      <w:bookmarkStart w:id="651" w:name="_Toc150480793"/>
      <w:r/>
      <w:bookmarkStart w:id="652" w:name="_Toc305158897"/>
      <w:r>
        <w:rPr>
          <w:b/>
          <w:sz w:val="36"/>
          <w:szCs w:val="36"/>
        </w:rPr>
      </w:r>
      <w:r/>
    </w:p>
    <w:p>
      <w:pPr>
        <w:pStyle w:val="779"/>
        <w:jc w:val="center"/>
        <w:spacing w:line="360" w:lineRule="auto"/>
        <w:rPr>
          <w:b/>
          <w:sz w:val="36"/>
          <w:szCs w:val="36"/>
        </w:rPr>
        <w:outlineLvl w:val="0"/>
      </w:pPr>
      <w:r/>
      <w:bookmarkStart w:id="653" w:name="_Toc99301282"/>
      <w:r>
        <w:rPr>
          <w:b/>
          <w:sz w:val="36"/>
          <w:szCs w:val="36"/>
        </w:rPr>
        <w:t xml:space="preserve">第四章   采购需求</w:t>
      </w:r>
      <w:bookmarkEnd w:id="653"/>
      <w:r>
        <w:rPr>
          <w:b/>
          <w:sz w:val="36"/>
          <w:szCs w:val="36"/>
        </w:rPr>
      </w:r>
      <w:r/>
    </w:p>
    <w:p>
      <w:pPr>
        <w:pStyle w:val="779"/>
        <w:ind w:left="357" w:firstLine="482"/>
        <w:keepLines w:val="0"/>
        <w:keepNext w:val="0"/>
        <w:pageBreakBefore w:val="0"/>
        <w:spacing w:line="360" w:lineRule="auto"/>
        <w:widowControl w:val="off"/>
        <w:tabs>
          <w:tab w:val="left" w:pos="1080" w:leader="none"/>
          <w:tab w:val="left" w:pos="2014" w:leader="none"/>
        </w:tabs>
        <w:rPr>
          <w:rFonts w:hint="eastAsia"/>
          <w:b/>
          <w:bCs/>
          <w:sz w:val="24"/>
        </w:rPr>
      </w:pPr>
      <w:r/>
      <w:bookmarkStart w:id="654" w:name="_Toc99301283"/>
      <w:r>
        <w:rPr>
          <w:rFonts w:hint="eastAsia"/>
          <w:b/>
          <w:bCs/>
          <w:sz w:val="24"/>
        </w:rPr>
        <w:t xml:space="preserve">一、项目概况</w:t>
      </w:r>
      <w:r>
        <w:rPr>
          <w:rFonts w:hint="eastAsia"/>
          <w:b/>
          <w:bCs/>
          <w:sz w:val="24"/>
        </w:rPr>
      </w:r>
      <w:r/>
    </w:p>
    <w:p>
      <w:pPr>
        <w:pStyle w:val="779"/>
        <w:ind w:left="357" w:firstLine="480"/>
        <w:keepLines w:val="0"/>
        <w:keepNext w:val="0"/>
        <w:pageBreakBefore w:val="0"/>
        <w:spacing w:line="360" w:lineRule="auto"/>
        <w:widowControl w:val="off"/>
        <w:tabs>
          <w:tab w:val="left" w:pos="1080" w:leader="none"/>
          <w:tab w:val="left" w:pos="2014" w:leader="none"/>
        </w:tabs>
        <w:rPr>
          <w:rFonts w:hint="eastAsia" w:eastAsia="宋体"/>
          <w:sz w:val="24"/>
          <w:lang w:eastAsia="zh-CN"/>
        </w:rPr>
      </w:pPr>
      <w:r>
        <w:rPr>
          <w:rFonts w:hint="eastAsia"/>
          <w:sz w:val="24"/>
        </w:rPr>
        <w:t xml:space="preserve">项目名称：</w:t>
      </w:r>
      <w:r>
        <w:rPr>
          <w:rFonts w:hint="eastAsia"/>
          <w:sz w:val="24"/>
          <w:lang w:eastAsia="zh-CN"/>
        </w:rPr>
        <w:t xml:space="preserve">常州市公安局114客服电话移车服务采购项目</w:t>
      </w:r>
      <w:r>
        <w:rPr>
          <w:rFonts w:hint="eastAsia" w:eastAsia="宋体"/>
          <w:sz w:val="24"/>
          <w:lang w:eastAsia="zh-CN"/>
        </w:rPr>
      </w:r>
      <w:r/>
    </w:p>
    <w:p>
      <w:pPr>
        <w:pStyle w:val="779"/>
        <w:ind w:left="357" w:firstLine="480"/>
        <w:keepLines w:val="0"/>
        <w:keepNext w:val="0"/>
        <w:pageBreakBefore w:val="0"/>
        <w:spacing w:line="360" w:lineRule="auto"/>
        <w:widowControl w:val="off"/>
        <w:tabs>
          <w:tab w:val="left" w:pos="1080" w:leader="none"/>
          <w:tab w:val="left" w:pos="2014" w:leader="none"/>
        </w:tabs>
        <w:rPr>
          <w:rFonts w:hint="eastAsia"/>
          <w:sz w:val="24"/>
        </w:rPr>
      </w:pPr>
      <w:r>
        <w:rPr>
          <w:rFonts w:hint="eastAsia"/>
          <w:sz w:val="24"/>
        </w:rPr>
        <w:t xml:space="preserve">项目预算金额：</w:t>
      </w:r>
      <w:r>
        <w:rPr>
          <w:rFonts w:hint="eastAsia"/>
          <w:sz w:val="24"/>
          <w:lang w:val="en-US" w:eastAsia="zh-CN"/>
        </w:rPr>
        <w:t xml:space="preserve">135</w:t>
      </w:r>
      <w:r>
        <w:rPr>
          <w:rFonts w:hint="eastAsia"/>
          <w:sz w:val="24"/>
        </w:rPr>
        <w:t xml:space="preserve">万元/年</w:t>
      </w:r>
      <w:r>
        <w:rPr>
          <w:rFonts w:hint="eastAsia"/>
          <w:sz w:val="24"/>
        </w:rPr>
      </w:r>
      <w:r/>
    </w:p>
    <w:p>
      <w:pPr>
        <w:pStyle w:val="779"/>
        <w:ind w:left="357" w:firstLine="480"/>
        <w:keepLines w:val="0"/>
        <w:keepNext w:val="0"/>
        <w:pageBreakBefore w:val="0"/>
        <w:spacing w:line="360" w:lineRule="auto"/>
        <w:widowControl w:val="off"/>
        <w:tabs>
          <w:tab w:val="left" w:pos="1080" w:leader="none"/>
          <w:tab w:val="left" w:pos="2014" w:leader="none"/>
        </w:tabs>
        <w:rPr>
          <w:rFonts w:hint="eastAsia"/>
          <w:sz w:val="24"/>
        </w:rPr>
      </w:pPr>
      <w:r>
        <w:rPr>
          <w:rFonts w:hint="eastAsia"/>
          <w:sz w:val="24"/>
        </w:rPr>
        <w:t xml:space="preserve">项目最高限价：135万元/年</w:t>
      </w:r>
      <w:r>
        <w:rPr>
          <w:rFonts w:hint="eastAsia"/>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rFonts w:hint="eastAsia"/>
          <w:sz w:val="24"/>
        </w:rPr>
        <w:t xml:space="preserve">采购需求：</w:t>
      </w:r>
      <w:r>
        <w:rPr>
          <w:rFonts w:hint="eastAsia"/>
          <w:sz w:val="24"/>
          <w:lang w:eastAsia="zh-CN"/>
        </w:rPr>
        <w:t xml:space="preserve">常州市公安局114客服电话移车服务采购项目</w:t>
      </w:r>
      <w:r>
        <w:rPr>
          <w:rFonts w:hint="eastAsia"/>
          <w:sz w:val="24"/>
        </w:rPr>
        <w:t xml:space="preserve">，详见采购需求。</w:t>
      </w:r>
      <w:r>
        <w:rPr>
          <w:sz w:val="24"/>
        </w:rPr>
      </w:r>
      <w:r/>
    </w:p>
    <w:p>
      <w:pPr>
        <w:pStyle w:val="779"/>
        <w:ind w:left="357" w:firstLine="482"/>
        <w:keepLines w:val="0"/>
        <w:keepNext w:val="0"/>
        <w:pageBreakBefore w:val="0"/>
        <w:spacing w:line="360" w:lineRule="auto"/>
        <w:widowControl w:val="off"/>
        <w:tabs>
          <w:tab w:val="left" w:pos="1080" w:leader="none"/>
          <w:tab w:val="left" w:pos="2014" w:leader="none"/>
        </w:tabs>
        <w:rPr>
          <w:rFonts w:hint="eastAsia"/>
          <w:b/>
          <w:bCs/>
          <w:sz w:val="24"/>
        </w:rPr>
      </w:pPr>
      <w:r>
        <w:rPr>
          <w:rFonts w:hint="eastAsia"/>
          <w:b/>
          <w:bCs/>
          <w:sz w:val="24"/>
        </w:rPr>
        <w:t xml:space="preserve">二、项目要求</w:t>
      </w:r>
      <w:r>
        <w:rPr>
          <w:rFonts w:hint="eastAsia"/>
          <w:b/>
          <w:bCs/>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rFonts w:hint="eastAsia"/>
          <w:sz w:val="24"/>
        </w:rPr>
        <w:t xml:space="preserve">1、需为常州全市范围内非执法类移车求助提供7*24小时服务。</w:t>
      </w:r>
      <w:r>
        <w:rPr>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rFonts w:hint="eastAsia"/>
          <w:sz w:val="24"/>
        </w:rPr>
        <w:t xml:space="preserve">2、需要提供至少全省范围内车牌的移车服务。</w:t>
      </w:r>
      <w:r>
        <w:rPr>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highlight w:val="none"/>
        </w:rPr>
      </w:pPr>
      <w:r>
        <w:rPr>
          <w:rFonts w:hint="eastAsia"/>
          <w:sz w:val="24"/>
          <w:highlight w:val="none"/>
        </w:rPr>
        <w:t xml:space="preserve">3、需参照110接警模式，移车话务平台应具有坐席录音、数据统计、录音提取等功能，同时提供查询系统，供需方随时查看移车求助数据。</w:t>
      </w:r>
      <w:r>
        <w:rPr>
          <w:sz w:val="24"/>
          <w:highlight w:val="none"/>
        </w:rPr>
      </w:r>
      <w:r/>
    </w:p>
    <w:p>
      <w:pPr>
        <w:pStyle w:val="779"/>
        <w:ind w:left="357" w:firstLine="480"/>
        <w:keepLines w:val="0"/>
        <w:keepNext w:val="0"/>
        <w:pageBreakBefore w:val="0"/>
        <w:spacing w:line="360" w:lineRule="auto"/>
        <w:widowControl w:val="off"/>
        <w:tabs>
          <w:tab w:val="left" w:pos="1080" w:leader="none"/>
          <w:tab w:val="left" w:pos="2014" w:leader="none"/>
        </w:tabs>
        <w:rPr>
          <w:rFonts w:hint="eastAsia"/>
          <w:sz w:val="24"/>
        </w:rPr>
      </w:pPr>
      <w:r>
        <w:rPr>
          <w:rFonts w:hint="eastAsia"/>
          <w:sz w:val="24"/>
        </w:rPr>
        <w:t xml:space="preserve">4、需使用</w:t>
      </w:r>
      <w:r>
        <w:rPr>
          <w:sz w:val="24"/>
        </w:rPr>
        <w:t xml:space="preserve">自动语音服务系统</w:t>
      </w:r>
      <w:r>
        <w:rPr>
          <w:rFonts w:hint="eastAsia"/>
          <w:sz w:val="24"/>
        </w:rPr>
        <w:t xml:space="preserve">进行智能语音移车，自动</w:t>
      </w:r>
      <w:r>
        <w:rPr>
          <w:sz w:val="24"/>
        </w:rPr>
        <w:t xml:space="preserve">语音服务系统部署后需经</w:t>
      </w:r>
      <w:r>
        <w:rPr>
          <w:rFonts w:hint="eastAsia"/>
          <w:sz w:val="24"/>
        </w:rPr>
        <w:t xml:space="preserve">采购人</w:t>
      </w:r>
      <w:r>
        <w:rPr>
          <w:sz w:val="24"/>
        </w:rPr>
        <w:t xml:space="preserve">验收，</w:t>
      </w:r>
      <w:r>
        <w:rPr>
          <w:rFonts w:hint="eastAsia"/>
          <w:sz w:val="24"/>
        </w:rPr>
        <w:t xml:space="preserve">使用</w:t>
      </w:r>
      <w:r>
        <w:rPr>
          <w:sz w:val="24"/>
        </w:rPr>
        <w:t xml:space="preserve">普通话发起移车服务能识别正确并</w:t>
      </w:r>
      <w:r>
        <w:rPr>
          <w:rFonts w:hint="eastAsia"/>
          <w:sz w:val="24"/>
        </w:rPr>
        <w:t xml:space="preserve">全程</w:t>
      </w:r>
      <w:r>
        <w:rPr>
          <w:sz w:val="24"/>
        </w:rPr>
        <w:t xml:space="preserve">自动</w:t>
      </w:r>
      <w:r>
        <w:rPr>
          <w:rFonts w:hint="eastAsia"/>
          <w:sz w:val="24"/>
        </w:rPr>
        <w:t xml:space="preserve">完成</w:t>
      </w:r>
      <w:r>
        <w:rPr>
          <w:sz w:val="24"/>
        </w:rPr>
        <w:t xml:space="preserve">移车服务的视为验收通过，</w:t>
      </w:r>
      <w:r>
        <w:rPr>
          <w:rFonts w:hint="eastAsia"/>
          <w:sz w:val="24"/>
        </w:rPr>
        <w:t xml:space="preserve">时间</w:t>
      </w:r>
      <w:r>
        <w:rPr>
          <w:sz w:val="24"/>
        </w:rPr>
        <w:t xml:space="preserve">不晚于项目合同签订后一个月内</w:t>
      </w:r>
      <w:r>
        <w:rPr>
          <w:rFonts w:hint="eastAsia"/>
          <w:sz w:val="24"/>
        </w:rPr>
        <w:t xml:space="preserve">；</w:t>
      </w:r>
      <w:r>
        <w:rPr>
          <w:rFonts w:hint="eastAsia"/>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sz w:val="24"/>
        </w:rPr>
        <w:t xml:space="preserve">5</w:t>
      </w:r>
      <w:r>
        <w:rPr>
          <w:rFonts w:hint="eastAsia"/>
          <w:sz w:val="24"/>
        </w:rPr>
        <w:t xml:space="preserve">、需设置移车服务所需的人工坐席，并根据服务量的变化情况进行</w:t>
      </w:r>
      <w:r>
        <w:rPr>
          <w:rFonts w:hint="eastAsia"/>
          <w:sz w:val="24"/>
          <w:lang w:eastAsia="zh-CN"/>
        </w:rPr>
        <w:t xml:space="preserve">人工服务和</w:t>
      </w:r>
      <w:r>
        <w:rPr>
          <w:rFonts w:hint="eastAsia"/>
          <w:sz w:val="24"/>
          <w:lang w:val="en-US" w:eastAsia="zh-CN"/>
        </w:rPr>
        <w:t xml:space="preserve">AI服务占比</w:t>
      </w:r>
      <w:r>
        <w:rPr>
          <w:rFonts w:hint="eastAsia"/>
          <w:sz w:val="24"/>
        </w:rPr>
        <w:t xml:space="preserve">调整，确保移车服务接通率在90%以上。</w:t>
      </w:r>
      <w:r>
        <w:rPr>
          <w:sz w:val="24"/>
        </w:rPr>
      </w:r>
      <w:r/>
    </w:p>
    <w:p>
      <w:pPr>
        <w:pStyle w:val="779"/>
        <w:ind w:left="357" w:firstLine="480"/>
        <w:keepLines w:val="0"/>
        <w:keepNext w:val="0"/>
        <w:pageBreakBefore w:val="0"/>
        <w:spacing w:line="360" w:lineRule="auto"/>
        <w:widowControl w:val="off"/>
        <w:tabs>
          <w:tab w:val="left" w:pos="1080" w:leader="none"/>
          <w:tab w:val="left" w:pos="2014" w:leader="none"/>
        </w:tabs>
        <w:rPr>
          <w:rFonts w:hint="eastAsia"/>
          <w:sz w:val="24"/>
        </w:rPr>
      </w:pPr>
      <w:r>
        <w:rPr>
          <w:sz w:val="24"/>
        </w:rPr>
        <w:t xml:space="preserve">6</w:t>
      </w:r>
      <w:r>
        <w:rPr>
          <w:rFonts w:hint="eastAsia"/>
          <w:sz w:val="24"/>
        </w:rPr>
        <w:t xml:space="preserve">、所有移车服务数据及电话录音资料，必须保存3年，</w:t>
      </w:r>
      <w:r>
        <w:rPr>
          <w:sz w:val="24"/>
        </w:rPr>
        <w:t xml:space="preserve">并</w:t>
      </w:r>
      <w:r>
        <w:rPr>
          <w:rFonts w:hint="eastAsia"/>
          <w:sz w:val="24"/>
          <w:lang w:eastAsia="zh-CN"/>
        </w:rPr>
        <w:t xml:space="preserve">通过数据传输实现</w:t>
      </w:r>
      <w:r>
        <w:rPr>
          <w:rFonts w:hint="eastAsia"/>
          <w:sz w:val="24"/>
          <w:lang w:val="en-US" w:eastAsia="zh-CN"/>
        </w:rPr>
        <w:t xml:space="preserve">AI服务语音实时或准实时回传至采购人，并确保通过文件名、工单号等方式实现录音文件与工单数据的准确对应。并</w:t>
      </w:r>
      <w:r>
        <w:rPr>
          <w:rFonts w:hint="eastAsia"/>
          <w:sz w:val="24"/>
        </w:rPr>
        <w:t xml:space="preserve">提供相关质检系统，对移车服务录音进行抽查、质检，保证服务质量，签订</w:t>
      </w:r>
      <w:r>
        <w:rPr>
          <w:sz w:val="24"/>
        </w:rPr>
        <w:t xml:space="preserve">相应的考评</w:t>
      </w:r>
      <w:r>
        <w:rPr>
          <w:rFonts w:hint="eastAsia"/>
          <w:sz w:val="24"/>
        </w:rPr>
        <w:t xml:space="preserve">细则</w:t>
      </w:r>
      <w:r>
        <w:rPr>
          <w:sz w:val="24"/>
        </w:rPr>
        <w:t xml:space="preserve">，对违反考评规定的按细则</w:t>
      </w:r>
      <w:r>
        <w:rPr>
          <w:rFonts w:hint="eastAsia"/>
          <w:sz w:val="24"/>
        </w:rPr>
        <w:t xml:space="preserve">对</w:t>
      </w:r>
      <w:r>
        <w:rPr>
          <w:sz w:val="24"/>
        </w:rPr>
        <w:t xml:space="preserve">服务费用</w:t>
      </w:r>
      <w:r>
        <w:rPr>
          <w:rFonts w:hint="eastAsia"/>
          <w:sz w:val="24"/>
        </w:rPr>
        <w:t xml:space="preserve">相应扣减。</w:t>
      </w:r>
      <w:r>
        <w:rPr>
          <w:rFonts w:hint="eastAsia"/>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sz w:val="24"/>
        </w:rPr>
        <w:t xml:space="preserve">7</w:t>
      </w:r>
      <w:r>
        <w:rPr>
          <w:rFonts w:hint="eastAsia"/>
          <w:sz w:val="24"/>
        </w:rPr>
        <w:t xml:space="preserve">、服务期内每月5日前向采购人提供上个月的相关移车报表数据，并根据采购人要求不定期的提供相关数据报表。</w:t>
      </w:r>
      <w:r>
        <w:rPr>
          <w:sz w:val="24"/>
        </w:rPr>
      </w:r>
      <w:r/>
    </w:p>
    <w:p>
      <w:pPr>
        <w:pStyle w:val="779"/>
        <w:ind w:left="357" w:firstLine="480"/>
        <w:keepLines w:val="0"/>
        <w:keepNext w:val="0"/>
        <w:pageBreakBefore w:val="0"/>
        <w:spacing w:line="360" w:lineRule="auto"/>
        <w:widowControl w:val="off"/>
        <w:tabs>
          <w:tab w:val="left" w:pos="1080" w:leader="none"/>
          <w:tab w:val="left" w:pos="2014" w:leader="none"/>
        </w:tabs>
        <w:rPr>
          <w:sz w:val="24"/>
        </w:rPr>
      </w:pPr>
      <w:r>
        <w:rPr>
          <w:sz w:val="24"/>
        </w:rPr>
        <w:t xml:space="preserve">8</w:t>
      </w:r>
      <w:r>
        <w:rPr>
          <w:rFonts w:hint="eastAsia"/>
          <w:sz w:val="24"/>
        </w:rPr>
        <w:t xml:space="preserve">、供应商根据采购人要求，制定相关服务操作规范流程，并负责对移车服务话务人员进行相关培训。</w:t>
      </w:r>
      <w:r>
        <w:rPr>
          <w:sz w:val="24"/>
        </w:rPr>
      </w:r>
      <w:r/>
    </w:p>
    <w:p>
      <w:pPr>
        <w:pStyle w:val="779"/>
        <w:ind w:left="357" w:firstLine="482"/>
        <w:keepLines w:val="0"/>
        <w:keepNext w:val="0"/>
        <w:pageBreakBefore w:val="0"/>
        <w:spacing w:line="360" w:lineRule="auto"/>
        <w:widowControl w:val="off"/>
        <w:tabs>
          <w:tab w:val="left" w:pos="1080" w:leader="none"/>
          <w:tab w:val="left" w:pos="2014" w:leader="none"/>
        </w:tabs>
        <w:rPr>
          <w:b/>
          <w:bCs/>
          <w:sz w:val="24"/>
        </w:rPr>
      </w:pPr>
      <w:r>
        <w:rPr>
          <w:rFonts w:hint="eastAsia"/>
          <w:b/>
          <w:bCs/>
          <w:sz w:val="24"/>
        </w:rPr>
        <w:t xml:space="preserve">三、项目</w:t>
      </w:r>
      <w:r>
        <w:rPr>
          <w:rFonts w:hint="eastAsia"/>
          <w:b/>
          <w:bCs/>
          <w:sz w:val="24"/>
          <w:lang w:val="en-US" w:eastAsia="zh-CN"/>
        </w:rPr>
        <w:t xml:space="preserve">数量区间及最高</w:t>
      </w:r>
      <w:r>
        <w:rPr>
          <w:rFonts w:hint="eastAsia"/>
          <w:b/>
          <w:bCs/>
          <w:sz w:val="24"/>
        </w:rPr>
        <w:t xml:space="preserve">限价</w:t>
      </w:r>
      <w:r>
        <w:rPr>
          <w:b/>
          <w:bCs/>
          <w:sz w:val="24"/>
        </w:rPr>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1857"/>
        <w:gridCol w:w="2407"/>
        <w:gridCol w:w="2700"/>
      </w:tblGrid>
      <w:tr>
        <w:trPr/>
        <w:tc>
          <w:tcPr>
            <w:tcW w:w="1857" w:type="dxa"/>
            <w:vAlign w:val="center"/>
            <w:textDirection w:val="lrTb"/>
            <w:noWrap w:val="false"/>
          </w:tcPr>
          <w:p>
            <w:pPr>
              <w:pStyle w:val="779"/>
              <w:jc w:val="center"/>
              <w:spacing w:line="360" w:lineRule="auto"/>
              <w:tabs>
                <w:tab w:val="left" w:pos="1080" w:leader="none"/>
                <w:tab w:val="left" w:pos="2014" w:leader="none"/>
              </w:tabs>
              <w:rPr>
                <w:rFonts w:hint="eastAsia" w:eastAsia="宋体"/>
                <w:b/>
                <w:bCs/>
                <w:sz w:val="24"/>
                <w:highlight w:val="none"/>
                <w:vertAlign w:val="baseline"/>
                <w:lang w:val="en-US" w:eastAsia="zh-CN"/>
              </w:rPr>
            </w:pPr>
            <w:r>
              <w:rPr>
                <w:rFonts w:hint="eastAsia"/>
                <w:b/>
                <w:bCs/>
                <w:sz w:val="24"/>
                <w:highlight w:val="none"/>
                <w:vertAlign w:val="baseline"/>
                <w:lang w:val="en-US" w:eastAsia="zh-CN"/>
              </w:rPr>
              <w:t xml:space="preserve">序号</w:t>
            </w:r>
            <w:r>
              <w:rPr>
                <w:rFonts w:hint="eastAsia" w:eastAsia="宋体"/>
                <w:b/>
                <w:bCs/>
                <w:sz w:val="24"/>
                <w:highlight w:val="none"/>
                <w:vertAlign w:val="baseline"/>
                <w:lang w:val="en-US" w:eastAsia="zh-CN"/>
              </w:rPr>
            </w:r>
            <w:r/>
          </w:p>
        </w:tc>
        <w:tc>
          <w:tcPr>
            <w:tcW w:w="1857"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名称</w:t>
            </w:r>
            <w:r>
              <w:rPr>
                <w:rFonts w:eastAsia="宋体"/>
                <w:b/>
                <w:bCs/>
                <w:sz w:val="24"/>
                <w:highlight w:val="none"/>
                <w:vertAlign w:val="baseline"/>
                <w:lang w:val="en-US" w:eastAsia="zh-CN"/>
              </w:rPr>
            </w:r>
            <w:r/>
          </w:p>
        </w:tc>
        <w:tc>
          <w:tcPr>
            <w:tcW w:w="2407"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区间值</w:t>
            </w:r>
            <w:r>
              <w:rPr>
                <w:rFonts w:eastAsia="宋体"/>
                <w:b/>
                <w:bCs/>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最高限价</w:t>
            </w:r>
            <w:r>
              <w:rPr>
                <w:rFonts w:eastAsia="宋体"/>
                <w:b/>
                <w:bCs/>
                <w:sz w:val="24"/>
                <w:highlight w:val="none"/>
                <w:vertAlign w:val="baseline"/>
                <w:lang w:val="en-US" w:eastAsia="zh-CN"/>
              </w:rPr>
            </w:r>
            <w:r/>
          </w:p>
        </w:tc>
      </w:tr>
      <w:tr>
        <w:trPr/>
        <w:tc>
          <w:tcPr>
            <w:tcW w:w="1857" w:type="dxa"/>
            <w:vAlign w:val="center"/>
            <w:vMerge w:val="restart"/>
            <w:textDirection w:val="lrTb"/>
            <w:noWrap w:val="false"/>
          </w:tcPr>
          <w:p>
            <w:pPr>
              <w:pStyle w:val="779"/>
              <w:jc w:val="center"/>
              <w:spacing w:line="360" w:lineRule="auto"/>
              <w:tabs>
                <w:tab w:val="left" w:pos="1080" w:leader="none"/>
                <w:tab w:val="left" w:pos="2014" w:leader="none"/>
              </w:tabs>
              <w:rPr>
                <w:rFonts w:hint="eastAsia" w:eastAsia="宋体"/>
                <w:sz w:val="24"/>
                <w:highlight w:val="none"/>
                <w:vertAlign w:val="baseline"/>
                <w:lang w:val="en-US" w:eastAsia="zh-CN"/>
              </w:rPr>
            </w:pPr>
            <w:r>
              <w:rPr>
                <w:rFonts w:hint="eastAsia"/>
                <w:sz w:val="24"/>
                <w:highlight w:val="none"/>
                <w:vertAlign w:val="baseline"/>
                <w:lang w:val="en-US" w:eastAsia="zh-CN"/>
              </w:rPr>
              <w:t xml:space="preserve">1</w:t>
            </w:r>
            <w:r>
              <w:rPr>
                <w:rFonts w:hint="eastAsia" w:eastAsia="宋体"/>
                <w:sz w:val="24"/>
                <w:highlight w:val="none"/>
                <w:vertAlign w:val="baseline"/>
                <w:lang w:val="en-US" w:eastAsia="zh-CN"/>
              </w:rPr>
            </w:r>
            <w:r/>
          </w:p>
        </w:tc>
        <w:tc>
          <w:tcPr>
            <w:tcW w:w="1857" w:type="dxa"/>
            <w:vAlign w:val="center"/>
            <w:vMerge w:val="restart"/>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rPr>
              <w:t xml:space="preserve">人工</w:t>
            </w:r>
            <w:r>
              <w:rPr>
                <w:sz w:val="24"/>
                <w:highlight w:val="none"/>
              </w:rPr>
              <w:t xml:space="preserve">话务</w:t>
            </w:r>
            <w:r>
              <w:rPr>
                <w:rFonts w:hint="eastAsia"/>
                <w:sz w:val="24"/>
                <w:highlight w:val="none"/>
                <w:vertAlign w:val="baseline"/>
              </w:rPr>
            </w:r>
            <w:r/>
          </w:p>
        </w:tc>
        <w:tc>
          <w:tcPr>
            <w:tcW w:w="2407"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150万单以上</w:t>
            </w:r>
            <w:r>
              <w:rPr>
                <w:rFonts w:eastAsia="宋体"/>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1.7元/单</w:t>
            </w:r>
            <w:r>
              <w:rPr>
                <w:rFonts w:eastAsia="宋体"/>
                <w:sz w:val="24"/>
                <w:highlight w:val="none"/>
                <w:vertAlign w:val="baseline"/>
                <w:lang w:val="en-US" w:eastAsia="zh-CN"/>
              </w:rPr>
            </w:r>
            <w:r/>
          </w:p>
        </w:tc>
      </w:tr>
      <w:tr>
        <w:trPr/>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2407"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70-150万单</w:t>
            </w:r>
            <w:r>
              <w:rPr>
                <w:rFonts w:eastAsia="宋体"/>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1.85元/单</w:t>
            </w:r>
            <w:r>
              <w:rPr>
                <w:rFonts w:eastAsia="宋体"/>
                <w:sz w:val="24"/>
                <w:highlight w:val="none"/>
                <w:vertAlign w:val="baseline"/>
                <w:lang w:val="en-US" w:eastAsia="zh-CN"/>
              </w:rPr>
            </w:r>
            <w:r/>
          </w:p>
        </w:tc>
      </w:tr>
      <w:tr>
        <w:trPr/>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2407"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70万单以下</w:t>
            </w:r>
            <w:r>
              <w:rPr>
                <w:rFonts w:eastAsia="宋体"/>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1.9元/单</w:t>
            </w:r>
            <w:r>
              <w:rPr>
                <w:rFonts w:eastAsia="宋体"/>
                <w:sz w:val="24"/>
                <w:highlight w:val="none"/>
                <w:vertAlign w:val="baseline"/>
                <w:lang w:val="en-US" w:eastAsia="zh-CN"/>
              </w:rPr>
            </w:r>
            <w:r/>
          </w:p>
        </w:tc>
      </w:tr>
      <w:tr>
        <w:trPr/>
        <w:tc>
          <w:tcPr>
            <w:tcW w:w="1857" w:type="dxa"/>
            <w:vAlign w:val="center"/>
            <w:vMerge w:val="restart"/>
            <w:textDirection w:val="lrTb"/>
            <w:noWrap w:val="false"/>
          </w:tcPr>
          <w:p>
            <w:pPr>
              <w:pStyle w:val="779"/>
              <w:jc w:val="center"/>
              <w:spacing w:line="360" w:lineRule="auto"/>
              <w:tabs>
                <w:tab w:val="left" w:pos="1080" w:leader="none"/>
                <w:tab w:val="left" w:pos="2014" w:leader="none"/>
              </w:tabs>
              <w:rPr>
                <w:rFonts w:hint="eastAsia" w:eastAsia="宋体"/>
                <w:sz w:val="24"/>
                <w:highlight w:val="none"/>
                <w:vertAlign w:val="baseline"/>
                <w:lang w:val="en-US" w:eastAsia="zh-CN"/>
              </w:rPr>
            </w:pPr>
            <w:r>
              <w:rPr>
                <w:rFonts w:hint="eastAsia"/>
                <w:sz w:val="24"/>
                <w:highlight w:val="none"/>
                <w:vertAlign w:val="baseline"/>
                <w:lang w:val="en-US" w:eastAsia="zh-CN"/>
              </w:rPr>
              <w:t xml:space="preserve">2</w:t>
            </w:r>
            <w:r>
              <w:rPr>
                <w:rFonts w:hint="eastAsia" w:eastAsia="宋体"/>
                <w:sz w:val="24"/>
                <w:highlight w:val="none"/>
                <w:vertAlign w:val="baseline"/>
                <w:lang w:val="en-US" w:eastAsia="zh-CN"/>
              </w:rPr>
            </w:r>
            <w:r/>
          </w:p>
        </w:tc>
        <w:tc>
          <w:tcPr>
            <w:tcW w:w="1857" w:type="dxa"/>
            <w:vAlign w:val="center"/>
            <w:vMerge w:val="restart"/>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引导语音话务</w:t>
            </w:r>
            <w:r>
              <w:rPr>
                <w:rFonts w:eastAsia="宋体"/>
                <w:sz w:val="24"/>
                <w:highlight w:val="none"/>
                <w:vertAlign w:val="baseline"/>
                <w:lang w:val="en-US" w:eastAsia="zh-CN"/>
              </w:rPr>
            </w:r>
            <w:r/>
          </w:p>
        </w:tc>
        <w:tc>
          <w:tcPr>
            <w:tcW w:w="2407"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100万次以上</w:t>
            </w:r>
            <w:r>
              <w:rPr>
                <w:rFonts w:eastAsia="宋体"/>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0.08元/次</w:t>
            </w:r>
            <w:r>
              <w:rPr>
                <w:rFonts w:eastAsia="宋体"/>
                <w:sz w:val="24"/>
                <w:highlight w:val="none"/>
                <w:vertAlign w:val="baseline"/>
                <w:lang w:val="en-US" w:eastAsia="zh-CN"/>
              </w:rPr>
            </w:r>
            <w:r/>
          </w:p>
        </w:tc>
      </w:tr>
      <w:tr>
        <w:trPr/>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2407"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50-100万次</w:t>
            </w:r>
            <w:r>
              <w:rPr>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0.09元/次</w:t>
            </w:r>
            <w:r>
              <w:rPr>
                <w:sz w:val="24"/>
                <w:highlight w:val="none"/>
                <w:vertAlign w:val="baseline"/>
                <w:lang w:val="en-US" w:eastAsia="zh-CN"/>
              </w:rPr>
            </w:r>
            <w:r/>
          </w:p>
        </w:tc>
      </w:tr>
      <w:tr>
        <w:trPr/>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85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2407"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50万次以下</w:t>
            </w:r>
            <w:r>
              <w:rPr>
                <w:sz w:val="24"/>
                <w:highlight w:val="none"/>
                <w:vertAlign w:val="baseline"/>
                <w:lang w:val="en-US" w:eastAsia="zh-CN"/>
              </w:rPr>
            </w:r>
            <w:r/>
          </w:p>
        </w:tc>
        <w:tc>
          <w:tcPr>
            <w:tcW w:w="2700"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0.10元/次</w:t>
            </w:r>
            <w:r>
              <w:rPr>
                <w:sz w:val="24"/>
                <w:highlight w:val="none"/>
                <w:vertAlign w:val="baseline"/>
                <w:lang w:val="en-US" w:eastAsia="zh-CN"/>
              </w:rPr>
            </w:r>
            <w:r/>
          </w:p>
        </w:tc>
      </w:tr>
    </w:tbl>
    <w:p>
      <w:pPr>
        <w:pStyle w:val="779"/>
        <w:ind w:firstLine="482"/>
        <w:spacing w:line="360" w:lineRule="auto"/>
        <w:tabs>
          <w:tab w:val="left" w:pos="1080" w:leader="none"/>
          <w:tab w:val="left" w:pos="2014" w:leader="none"/>
        </w:tabs>
        <w:rPr>
          <w:rFonts w:eastAsia="宋体"/>
          <w:b/>
          <w:bCs/>
          <w:sz w:val="24"/>
          <w:highlight w:val="none"/>
          <w:lang w:val="en-US" w:eastAsia="zh-CN"/>
        </w:rPr>
      </w:pPr>
      <w:r>
        <w:rPr>
          <w:rFonts w:hint="eastAsia"/>
          <w:b/>
          <w:bCs/>
          <w:sz w:val="24"/>
          <w:highlight w:val="none"/>
          <w:lang w:val="en-US" w:eastAsia="zh-CN"/>
        </w:rPr>
        <w:t xml:space="preserve">以上内容均需在《分项报价表中》列出</w:t>
      </w:r>
      <w:r>
        <w:rPr>
          <w:rFonts w:eastAsia="宋体"/>
          <w:b/>
          <w:bCs/>
          <w:sz w:val="24"/>
          <w:highlight w:val="none"/>
          <w:lang w:val="en-US" w:eastAsia="zh-CN"/>
        </w:rPr>
      </w:r>
      <w:r/>
    </w:p>
    <w:p>
      <w:pPr>
        <w:pStyle w:val="779"/>
        <w:ind w:firstLine="482"/>
        <w:spacing w:line="360" w:lineRule="auto"/>
        <w:tabs>
          <w:tab w:val="left" w:pos="1080" w:leader="none"/>
          <w:tab w:val="left" w:pos="2014" w:leader="none"/>
        </w:tabs>
        <w:rPr>
          <w:b/>
          <w:bCs/>
          <w:sz w:val="24"/>
        </w:rPr>
      </w:pPr>
      <w:r>
        <w:rPr>
          <w:rFonts w:hint="eastAsia"/>
          <w:b/>
          <w:bCs/>
          <w:sz w:val="24"/>
          <w:highlight w:val="none"/>
        </w:rPr>
        <w:t xml:space="preserve">四、服务时间</w:t>
      </w:r>
      <w:r>
        <w:rPr>
          <w:b/>
          <w:bCs/>
          <w:sz w:val="24"/>
        </w:rPr>
      </w:r>
      <w:r/>
    </w:p>
    <w:p>
      <w:pPr>
        <w:pStyle w:val="779"/>
        <w:ind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服务期限为一年。在本合同履行期限内，若</w:t>
      </w:r>
      <w:r>
        <w:rPr>
          <w:rFonts w:hint="eastAsia" w:ascii="Times New Roman" w:hAnsi="Times New Roman" w:eastAsia="宋体" w:cs="Times New Roman"/>
          <w:sz w:val="24"/>
          <w:lang w:eastAsia="zh-CN"/>
        </w:rPr>
        <w:t xml:space="preserve">采购</w:t>
      </w:r>
      <w:r>
        <w:rPr>
          <w:rFonts w:hint="eastAsia" w:ascii="Times New Roman" w:hAnsi="Times New Roman" w:eastAsia="宋体" w:cs="Times New Roman"/>
          <w:sz w:val="24"/>
          <w:lang w:val="en-US" w:eastAsia="zh-CN"/>
        </w:rPr>
        <w:t xml:space="preserve">人</w:t>
      </w:r>
      <w:r>
        <w:rPr>
          <w:rFonts w:hint="eastAsia" w:ascii="Times New Roman" w:hAnsi="Times New Roman" w:eastAsia="宋体" w:cs="Times New Roman"/>
          <w:sz w:val="24"/>
        </w:rPr>
        <w:t xml:space="preserve">因自身业务布局调整、项目终止、策略变更等合理实际需求，确需提前解除本合同的，</w:t>
      </w:r>
      <w:r>
        <w:rPr>
          <w:rFonts w:hint="eastAsia" w:ascii="Times New Roman" w:hAnsi="Times New Roman" w:eastAsia="宋体" w:cs="Times New Roman"/>
          <w:sz w:val="24"/>
          <w:lang w:val="en-US" w:eastAsia="zh-CN"/>
        </w:rPr>
        <w:t xml:space="preserve">采购人</w:t>
      </w:r>
      <w:r>
        <w:rPr>
          <w:rFonts w:hint="eastAsia" w:ascii="Times New Roman" w:hAnsi="Times New Roman" w:eastAsia="宋体" w:cs="Times New Roman"/>
          <w:sz w:val="24"/>
        </w:rPr>
        <w:t xml:space="preserve">有权提前</w:t>
      </w:r>
      <w:r>
        <w:rPr>
          <w:rFonts w:hint="eastAsia" w:ascii="Times New Roman" w:hAnsi="Times New Roman" w:eastAsia="宋体" w:cs="Times New Roman"/>
          <w:sz w:val="24"/>
          <w:lang w:val="en-US" w:eastAsia="zh-CN"/>
        </w:rPr>
        <w:t xml:space="preserve">15</w:t>
      </w:r>
      <w:r>
        <w:rPr>
          <w:rFonts w:hint="eastAsia" w:ascii="Times New Roman" w:hAnsi="Times New Roman" w:eastAsia="宋体" w:cs="Times New Roman"/>
          <w:sz w:val="24"/>
        </w:rPr>
        <w:t xml:space="preserve">日以书面形式向</w:t>
      </w: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rPr>
        <w:t xml:space="preserve">发出解除通知，本合同自通知载明的解除日期自动终止。</w:t>
      </w:r>
      <w:r>
        <w:rPr>
          <w:rFonts w:hint="eastAsia" w:ascii="Times New Roman" w:hAnsi="Times New Roman" w:eastAsia="宋体" w:cs="Times New Roman"/>
          <w:sz w:val="24"/>
        </w:rPr>
      </w:r>
      <w:r/>
    </w:p>
    <w:p>
      <w:pPr>
        <w:pStyle w:val="779"/>
        <w:ind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eastAsia="zh-CN"/>
        </w:rPr>
      </w:pPr>
      <w:r>
        <w:rPr>
          <w:rFonts w:ascii="Times New Roman" w:hAnsi="Times New Roman" w:eastAsia="宋体" w:cs="Times New Roman"/>
          <w:sz w:val="24"/>
        </w:rPr>
        <w:t xml:space="preserve">合同解除后，双方应按以下方式清算：</w:t>
      </w:r>
      <w:r>
        <w:rPr>
          <w:rFonts w:hint="eastAsia" w:ascii="Times New Roman" w:hAnsi="Times New Roman" w:eastAsia="宋体" w:cs="Times New Roman"/>
          <w:sz w:val="24"/>
          <w:lang w:eastAsia="zh-CN"/>
        </w:rPr>
      </w:r>
      <w:r/>
    </w:p>
    <w:p>
      <w:pPr>
        <w:pStyle w:val="779"/>
        <w:ind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1、供应商</w:t>
      </w:r>
      <w:r>
        <w:rPr>
          <w:rFonts w:hint="eastAsia" w:ascii="Times New Roman" w:hAnsi="Times New Roman" w:eastAsia="宋体" w:cs="Times New Roman"/>
          <w:sz w:val="24"/>
        </w:rPr>
        <w:t xml:space="preserve">已完成且经</w:t>
      </w:r>
      <w:r>
        <w:rPr>
          <w:rFonts w:hint="eastAsia" w:ascii="Times New Roman" w:hAnsi="Times New Roman" w:eastAsia="宋体" w:cs="Times New Roman"/>
          <w:sz w:val="24"/>
          <w:lang w:val="en-US" w:eastAsia="zh-CN"/>
        </w:rPr>
        <w:t xml:space="preserve">采购人</w:t>
      </w:r>
      <w:r>
        <w:rPr>
          <w:rFonts w:hint="eastAsia" w:ascii="Times New Roman" w:hAnsi="Times New Roman" w:eastAsia="宋体" w:cs="Times New Roman"/>
          <w:sz w:val="24"/>
        </w:rPr>
        <w:t xml:space="preserve">验收合格的对应工作成果，</w:t>
      </w:r>
      <w:r>
        <w:rPr>
          <w:rFonts w:hint="eastAsia" w:ascii="Times New Roman" w:hAnsi="Times New Roman" w:eastAsia="宋体" w:cs="Times New Roman"/>
          <w:sz w:val="24"/>
          <w:lang w:val="en-US" w:eastAsia="zh-CN"/>
        </w:rPr>
        <w:t xml:space="preserve">采购人</w:t>
      </w:r>
      <w:r>
        <w:rPr>
          <w:rFonts w:hint="eastAsia" w:ascii="Times New Roman" w:hAnsi="Times New Roman" w:eastAsia="宋体" w:cs="Times New Roman"/>
          <w:sz w:val="24"/>
        </w:rPr>
        <w:t xml:space="preserve">应按合同约定的结算标准向</w:t>
      </w: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rPr>
        <w:t xml:space="preserve">支付对应款项；</w:t>
      </w:r>
      <w:r>
        <w:rPr>
          <w:rFonts w:hint="eastAsia" w:ascii="Times New Roman" w:hAnsi="Times New Roman" w:eastAsia="宋体" w:cs="Times New Roman"/>
          <w:sz w:val="24"/>
        </w:rPr>
      </w:r>
      <w:r/>
    </w:p>
    <w:p>
      <w:pPr>
        <w:pStyle w:val="779"/>
        <w:ind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2、供应商</w:t>
      </w:r>
      <w:r>
        <w:rPr>
          <w:rFonts w:ascii="Times New Roman" w:hAnsi="Times New Roman" w:eastAsia="宋体" w:cs="Times New Roman"/>
          <w:sz w:val="24"/>
        </w:rPr>
        <w:t xml:space="preserve">应在合同解除后10日内完成工作交接、资料返还等配合义务，双方互不承担其他违约责任。</w:t>
      </w:r>
      <w:r>
        <w:rPr>
          <w:rFonts w:hint="eastAsia" w:ascii="Times New Roman" w:hAnsi="Times New Roman" w:eastAsia="宋体" w:cs="Times New Roman"/>
          <w:sz w:val="24"/>
        </w:rPr>
      </w:r>
      <w:r/>
    </w:p>
    <w:p>
      <w:pPr>
        <w:pStyle w:val="779"/>
        <w:ind w:left="357"/>
        <w:spacing w:line="360" w:lineRule="auto"/>
        <w:tabs>
          <w:tab w:val="left" w:pos="1080" w:leader="none"/>
          <w:tab w:val="left" w:pos="2014" w:leader="none"/>
        </w:tabs>
        <w:rPr>
          <w:b/>
          <w:bCs/>
          <w:sz w:val="24"/>
        </w:rPr>
      </w:pPr>
      <w:r>
        <w:rPr>
          <w:rFonts w:hint="eastAsia"/>
          <w:b/>
          <w:bCs/>
          <w:sz w:val="24"/>
        </w:rPr>
        <w:t xml:space="preserve">五、付款方式</w:t>
      </w:r>
      <w:r>
        <w:rPr>
          <w:b/>
          <w:bCs/>
          <w:sz w:val="24"/>
        </w:rPr>
      </w:r>
      <w:r/>
    </w:p>
    <w:p>
      <w:pPr>
        <w:pStyle w:val="779"/>
        <w:ind w:left="357"/>
        <w:spacing w:line="360" w:lineRule="auto"/>
        <w:tabs>
          <w:tab w:val="left" w:pos="1080" w:leader="none"/>
          <w:tab w:val="left" w:pos="2014" w:leader="none"/>
        </w:tabs>
        <w:rPr>
          <w:sz w:val="24"/>
        </w:rPr>
      </w:pPr>
      <w:r>
        <w:rPr>
          <w:rFonts w:hint="eastAsia"/>
          <w:sz w:val="24"/>
        </w:rPr>
        <w:t xml:space="preserve">1、最终结算按成交单价，采取计件制结算。以月为一个结算周期，采购人根据实际计件数、考核结果，每月向提成交供应商支付相关服务费用。在完成项目采购前的服务，根据</w:t>
      </w:r>
      <w:r>
        <w:rPr>
          <w:rFonts w:hint="eastAsia"/>
          <w:sz w:val="24"/>
          <w:lang w:eastAsia="zh-CN"/>
        </w:rPr>
        <w:t xml:space="preserve">上一轮采购合同约定的结算标准支付对应款项</w:t>
      </w:r>
      <w:r>
        <w:rPr>
          <w:rFonts w:hint="eastAsia"/>
          <w:sz w:val="24"/>
        </w:rPr>
        <w:t xml:space="preserve">。</w:t>
      </w:r>
      <w:r>
        <w:rPr>
          <w:sz w:val="24"/>
        </w:rPr>
      </w:r>
      <w:r/>
    </w:p>
    <w:p>
      <w:pPr>
        <w:pStyle w:val="779"/>
        <w:ind w:left="357"/>
        <w:spacing w:line="360" w:lineRule="auto"/>
        <w:tabs>
          <w:tab w:val="left" w:pos="1080" w:leader="none"/>
          <w:tab w:val="left" w:pos="2014" w:leader="none"/>
        </w:tabs>
        <w:rPr>
          <w:rFonts w:hint="eastAsia"/>
          <w:sz w:val="24"/>
        </w:rPr>
      </w:pPr>
      <w:r>
        <w:rPr>
          <w:rFonts w:hint="eastAsia"/>
          <w:sz w:val="24"/>
          <w:highlight w:val="none"/>
        </w:rPr>
        <w:t xml:space="preserve">2、本项目服务周期内，结算最高金额为135万元，135万元结算完但服务期未结束，成交供应商仍需提供相应服务，采购人不再支付任何费用。</w:t>
      </w:r>
      <w:r>
        <w:rPr>
          <w:rFonts w:hint="eastAsia"/>
          <w:sz w:val="24"/>
        </w:rPr>
      </w:r>
      <w:r/>
    </w:p>
    <w:p>
      <w:pPr>
        <w:pStyle w:val="779"/>
        <w:numPr>
          <w:ilvl w:val="0"/>
          <w:numId w:val="14"/>
        </w:numPr>
        <w:ind w:left="357" w:firstLine="0"/>
        <w:jc w:val="left"/>
        <w:spacing w:line="360" w:lineRule="auto"/>
        <w:widowControl/>
        <w:tabs>
          <w:tab w:val="left" w:pos="1080" w:leader="none"/>
          <w:tab w:val="left" w:pos="2014" w:leader="none"/>
        </w:tabs>
        <w:rPr>
          <w:rFonts w:hint="eastAsia"/>
          <w:b/>
          <w:bCs/>
          <w:sz w:val="24"/>
        </w:rPr>
      </w:pPr>
      <w:r>
        <w:rPr>
          <w:rFonts w:hint="eastAsia"/>
          <w:b/>
          <w:bCs/>
          <w:sz w:val="24"/>
        </w:rPr>
        <w:t xml:space="preserve">114移车考评细则</w:t>
      </w:r>
      <w:r>
        <w:rPr>
          <w:rFonts w:hint="eastAsia"/>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56"/>
        <w:gridCol w:w="927"/>
        <w:gridCol w:w="5160"/>
        <w:gridCol w:w="1230"/>
      </w:tblGrid>
      <w:tr>
        <w:trPr>
          <w:trHeight w:val="660"/>
        </w:trPr>
        <w:tc>
          <w:tcPr>
            <w:tcW w:w="384" w:type="dxa"/>
            <w:vAlign w:val="center"/>
            <w:textDirection w:val="lrTb"/>
            <w:noWrap/>
          </w:tcPr>
          <w:p>
            <w:pPr>
              <w:pStyle w:val="779"/>
              <w:jc w:val="left"/>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考核项</w:t>
            </w:r>
            <w:r>
              <w:rPr>
                <w:rFonts w:ascii="宋体" w:hAnsi="宋体" w:cs="宋体"/>
                <w:b/>
                <w:bCs/>
                <w:color w:val="000000"/>
                <w:szCs w:val="21"/>
              </w:rPr>
            </w:r>
            <w:r/>
          </w:p>
        </w:tc>
        <w:tc>
          <w:tcPr>
            <w:tcW w:w="499"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目标值</w:t>
            </w:r>
            <w:r>
              <w:rPr>
                <w:rFonts w:ascii="宋体" w:hAnsi="宋体" w:cs="宋体"/>
                <w:b/>
                <w:bCs/>
                <w:color w:val="000000"/>
                <w:szCs w:val="21"/>
              </w:rPr>
            </w:r>
            <w:r/>
          </w:p>
        </w:tc>
        <w:tc>
          <w:tcPr>
            <w:tcW w:w="2777"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考评办法</w:t>
            </w:r>
            <w:r>
              <w:rPr>
                <w:rFonts w:ascii="宋体" w:hAnsi="宋体" w:cs="宋体"/>
                <w:b/>
                <w:bCs/>
                <w:color w:val="000000"/>
                <w:szCs w:val="21"/>
              </w:rPr>
            </w:r>
            <w:r/>
          </w:p>
        </w:tc>
        <w:tc>
          <w:tcPr>
            <w:tcW w:w="662"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加扣分值</w:t>
            </w:r>
            <w:r>
              <w:rPr>
                <w:rFonts w:ascii="宋体" w:hAnsi="宋体" w:cs="宋体"/>
                <w:b/>
                <w:bCs/>
                <w:color w:val="000000"/>
                <w:szCs w:val="21"/>
              </w:rPr>
            </w:r>
            <w:r/>
          </w:p>
        </w:tc>
      </w:tr>
      <w:tr>
        <w:trPr>
          <w:trHeight w:val="1305"/>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7*24</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保障移车服务平台7*24小时正常稳定运行，因平台技术故障暂停服务的，应在故障发生后的30分钟内通知110情指中心，并在排除故障恢复服务的30分钟内通知110情指中心。如服务故障未报备引发重大社会性服务事件，甲方视情况考核乙方0.5-1分。</w:t>
            </w:r>
            <w:r>
              <w:rPr>
                <w:rFonts w:ascii="宋体" w:hAnsi="宋体" w:cs="宋体"/>
                <w:color w:val="000000"/>
                <w:szCs w:val="21"/>
              </w:rPr>
            </w:r>
            <w:r/>
          </w:p>
        </w:tc>
        <w:tc>
          <w:tcPr>
            <w:tcW w:w="662"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tc>
      </w:tr>
      <w:tr>
        <w:trPr>
          <w:trHeight w:val="825"/>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移车数据</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3年</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乙方移车平台的所有移车服务数据和电话录音资料，服务器保存3年。如遇服务查询，提取不到相关数据，甲方考核乙方0.1分/次。</w:t>
            </w:r>
            <w:r>
              <w:rPr>
                <w:rFonts w:ascii="宋体" w:hAnsi="宋体" w:cs="宋体"/>
                <w:color w:val="000000"/>
                <w:szCs w:val="21"/>
              </w:rPr>
            </w:r>
            <w:r/>
          </w:p>
        </w:tc>
        <w:tc>
          <w:tcPr>
            <w:tcW w:w="662" w:type="dxa"/>
            <w:vAlign w:val="center"/>
            <w:textDirection w:val="lrTb"/>
            <w:noWrap/>
          </w:tcPr>
          <w:p>
            <w:pPr>
              <w:pStyle w:val="779"/>
              <w:jc w:val="center"/>
              <w:widowControl/>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tc>
      </w:tr>
      <w:tr>
        <w:trPr>
          <w:trHeight w:val="675"/>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话务接通率</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乙方根据移车话务服务量的变化情况实时进行坐席调整，确保移车服务接通率在90%以上。每低于1%，甲方考核乙方 0.1分。</w:t>
            </w:r>
            <w:r>
              <w:rPr>
                <w:rFonts w:ascii="宋体" w:hAnsi="宋体" w:cs="宋体"/>
                <w:color w:val="000000"/>
                <w:szCs w:val="21"/>
              </w:rPr>
            </w:r>
            <w:r/>
          </w:p>
        </w:tc>
        <w:tc>
          <w:tcPr>
            <w:tcW w:w="662"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975"/>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话务质检</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95%</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乙方每月对话务录音服务质检不低于10000条，质检内容包含服务用语规范、工单内容规范。质检合格率标准95%。每低于1%，甲方考核乙方 0.1分。</w:t>
            </w:r>
            <w:r>
              <w:rPr>
                <w:rFonts w:ascii="宋体" w:hAnsi="宋体" w:cs="宋体"/>
                <w:color w:val="000000"/>
                <w:szCs w:val="21"/>
              </w:rPr>
            </w:r>
            <w:r/>
          </w:p>
        </w:tc>
        <w:tc>
          <w:tcPr>
            <w:tcW w:w="662" w:type="dxa"/>
            <w:vAlign w:val="center"/>
            <w:textDirection w:val="lrTb"/>
            <w:noWrap w:val="false"/>
          </w:tcPr>
          <w:p>
            <w:pPr>
              <w:pStyle w:val="779"/>
              <w:jc w:val="center"/>
              <w:widowControl/>
              <w:rPr>
                <w:rFonts w:ascii="宋体" w:hAnsi="宋体" w:cs="宋体"/>
                <w:color w:val="000000"/>
                <w:szCs w:val="21"/>
              </w:rPr>
            </w:pPr>
            <w:r>
              <w:rPr>
                <w:rFonts w:ascii="宋体" w:hAnsi="宋体" w:cs="宋体"/>
                <w:color w:val="000000"/>
                <w:szCs w:val="21"/>
              </w:rPr>
            </w:r>
            <w:r/>
          </w:p>
        </w:tc>
      </w:tr>
      <w:tr>
        <w:trPr>
          <w:trHeight w:val="1020"/>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移车月度分析报告</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乙方按月提供移车数据分析报告，包含且不仅限于移车区域、高频移车车牌和地址、移车原因、移车时段等。如未提供，乙方在月考核中扣0.5分。</w:t>
            </w:r>
            <w:r>
              <w:rPr>
                <w:rFonts w:ascii="宋体" w:hAnsi="宋体" w:cs="宋体"/>
                <w:color w:val="000000"/>
                <w:szCs w:val="21"/>
              </w:rPr>
            </w:r>
            <w:r/>
          </w:p>
        </w:tc>
        <w:tc>
          <w:tcPr>
            <w:tcW w:w="662" w:type="dxa"/>
            <w:vAlign w:val="center"/>
            <w:textDirection w:val="lrTb"/>
            <w:noWrap w:val="false"/>
          </w:tcPr>
          <w:p>
            <w:pPr>
              <w:pStyle w:val="779"/>
              <w:jc w:val="center"/>
              <w:widowControl/>
              <w:rPr>
                <w:rFonts w:ascii="宋体" w:hAnsi="宋体" w:cs="宋体"/>
                <w:color w:val="000000"/>
                <w:szCs w:val="21"/>
              </w:rPr>
            </w:pPr>
            <w:r>
              <w:rPr>
                <w:rFonts w:ascii="宋体" w:hAnsi="宋体" w:cs="宋体"/>
                <w:color w:val="000000"/>
                <w:szCs w:val="21"/>
              </w:rPr>
            </w:r>
            <w:r/>
          </w:p>
        </w:tc>
      </w:tr>
      <w:tr>
        <w:trPr>
          <w:trHeight w:val="750"/>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服务考核</w:t>
            </w:r>
            <w:r>
              <w:rPr>
                <w:rFonts w:ascii="宋体" w:hAnsi="宋体" w:cs="宋体"/>
                <w:color w:val="000000"/>
                <w:szCs w:val="21"/>
              </w:rPr>
            </w:r>
            <w:r/>
          </w:p>
        </w:tc>
        <w:tc>
          <w:tcPr>
            <w:tcW w:w="499"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乙方移车服务过程中由于话务人员服务问题，造成市民投诉的，经甲乙双方确认为有效投诉的，每发生一起，甲方考核乙方 0.1分。</w:t>
            </w:r>
            <w:r>
              <w:rPr>
                <w:rFonts w:ascii="宋体" w:hAnsi="宋体" w:cs="宋体"/>
                <w:color w:val="000000"/>
                <w:szCs w:val="21"/>
              </w:rPr>
            </w:r>
            <w:r/>
          </w:p>
        </w:tc>
        <w:tc>
          <w:tcPr>
            <w:tcW w:w="662" w:type="dxa"/>
            <w:vAlign w:val="center"/>
            <w:textDirection w:val="lrTb"/>
            <w:noWrap w:val="false"/>
          </w:tcPr>
          <w:p>
            <w:pPr>
              <w:pStyle w:val="779"/>
              <w:jc w:val="center"/>
              <w:widowControl/>
              <w:rPr>
                <w:rFonts w:ascii="宋体" w:hAnsi="宋体" w:cs="宋体"/>
                <w:color w:val="000000"/>
                <w:szCs w:val="21"/>
              </w:rPr>
            </w:pPr>
            <w:r>
              <w:rPr>
                <w:rFonts w:ascii="宋体" w:hAnsi="宋体" w:cs="宋体"/>
                <w:color w:val="000000"/>
                <w:szCs w:val="21"/>
              </w:rPr>
            </w:r>
            <w:r/>
          </w:p>
        </w:tc>
      </w:tr>
      <w:tr>
        <w:trPr>
          <w:trHeight w:val="735"/>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服务表扬</w:t>
            </w:r>
            <w:r>
              <w:rPr>
                <w:rFonts w:ascii="宋体" w:hAnsi="宋体" w:cs="宋体"/>
                <w:color w:val="000000"/>
                <w:szCs w:val="21"/>
              </w:rPr>
            </w:r>
            <w:r/>
          </w:p>
        </w:tc>
        <w:tc>
          <w:tcPr>
            <w:tcW w:w="499" w:type="dxa"/>
            <w:vAlign w:val="center"/>
            <w:textDirection w:val="lrTb"/>
            <w:noWrap w:val="false"/>
          </w:tcPr>
          <w:p>
            <w:pPr>
              <w:pStyle w:val="77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乙方移车服务受到市民表扬的，经甲乙双方确认，每发生一起，甲方给予乙方 0.1加分 （以来电表扬或其他表扬凭证为准）。</w:t>
            </w:r>
            <w:r>
              <w:rPr>
                <w:rFonts w:ascii="宋体" w:hAnsi="宋体" w:cs="宋体"/>
                <w:color w:val="000000"/>
                <w:szCs w:val="21"/>
              </w:rPr>
            </w:r>
            <w:r/>
          </w:p>
        </w:tc>
        <w:tc>
          <w:tcPr>
            <w:tcW w:w="662" w:type="dxa"/>
            <w:vAlign w:val="center"/>
            <w:textDirection w:val="lrTb"/>
            <w:noWrap w:val="false"/>
          </w:tcPr>
          <w:p>
            <w:pPr>
              <w:pStyle w:val="779"/>
              <w:jc w:val="center"/>
              <w:widowControl/>
              <w:rPr>
                <w:rFonts w:ascii="宋体" w:hAnsi="宋体" w:cs="宋体"/>
                <w:color w:val="000000"/>
                <w:szCs w:val="21"/>
              </w:rPr>
            </w:pPr>
            <w:r>
              <w:rPr>
                <w:rFonts w:ascii="宋体" w:hAnsi="宋体" w:cs="宋体"/>
                <w:color w:val="000000"/>
                <w:szCs w:val="21"/>
              </w:rPr>
            </w:r>
            <w:r/>
          </w:p>
        </w:tc>
      </w:tr>
      <w:tr>
        <w:trPr>
          <w:trHeight w:val="750"/>
        </w:trPr>
        <w:tc>
          <w:tcPr>
            <w:tcW w:w="384"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676"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业务宣传促进</w:t>
            </w:r>
            <w:r>
              <w:rPr>
                <w:rFonts w:ascii="宋体" w:hAnsi="宋体" w:cs="宋体"/>
                <w:color w:val="000000"/>
                <w:szCs w:val="21"/>
              </w:rPr>
            </w:r>
            <w:r/>
          </w:p>
        </w:tc>
        <w:tc>
          <w:tcPr>
            <w:tcW w:w="499" w:type="dxa"/>
            <w:vAlign w:val="center"/>
            <w:textDirection w:val="lrTb"/>
            <w:noWrap w:val="false"/>
          </w:tcPr>
          <w:p>
            <w:pPr>
              <w:pStyle w:val="77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777"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乙方利用自有资源，共同为114移车服务宣传活动，经甲乙双方认可，视宣传媒体、组织形式情况，甲方给予乙方 0.1-0.5加分 。</w:t>
            </w:r>
            <w:r>
              <w:rPr>
                <w:rFonts w:ascii="宋体" w:hAnsi="宋体" w:cs="宋体"/>
                <w:color w:val="000000"/>
                <w:szCs w:val="21"/>
              </w:rPr>
            </w:r>
            <w:r/>
          </w:p>
        </w:tc>
        <w:tc>
          <w:tcPr>
            <w:tcW w:w="662" w:type="dxa"/>
            <w:vAlign w:val="center"/>
            <w:textDirection w:val="lrTb"/>
            <w:noWrap w:val="false"/>
          </w:tcPr>
          <w:p>
            <w:pPr>
              <w:pStyle w:val="779"/>
              <w:jc w:val="center"/>
              <w:widowControl/>
              <w:rPr>
                <w:rFonts w:ascii="宋体" w:hAnsi="宋体" w:cs="宋体"/>
                <w:color w:val="000000"/>
                <w:szCs w:val="21"/>
              </w:rPr>
            </w:pPr>
            <w:r>
              <w:rPr>
                <w:rFonts w:ascii="宋体" w:hAnsi="宋体" w:cs="宋体"/>
                <w:color w:val="000000"/>
                <w:szCs w:val="21"/>
              </w:rPr>
            </w:r>
            <w:r/>
          </w:p>
        </w:tc>
      </w:tr>
      <w:tr>
        <w:trPr>
          <w:trHeight w:val="132"/>
        </w:trPr>
        <w:tc>
          <w:tcPr>
            <w:gridSpan w:val="4"/>
            <w:tcW w:w="8058" w:type="dxa"/>
            <w:vAlign w:val="center"/>
            <w:textDirection w:val="lrTb"/>
            <w:noWrap/>
          </w:tcPr>
          <w:p>
            <w:pPr>
              <w:pStyle w:val="779"/>
              <w:jc w:val="center"/>
              <w:widowControl/>
              <w:rPr>
                <w:rFonts w:ascii="宋体" w:hAnsi="宋体" w:cs="宋体"/>
                <w:color w:val="000000"/>
                <w:szCs w:val="21"/>
              </w:rPr>
            </w:pPr>
            <w:r>
              <w:rPr>
                <w:rFonts w:hint="eastAsia" w:ascii="宋体" w:hAnsi="宋体" w:cs="宋体"/>
                <w:color w:val="000000"/>
                <w:szCs w:val="21"/>
              </w:rPr>
              <w:t xml:space="preserve">考评分值</w:t>
            </w:r>
            <w:r>
              <w:rPr>
                <w:rFonts w:ascii="宋体" w:hAnsi="宋体" w:cs="宋体"/>
                <w:color w:val="000000"/>
                <w:szCs w:val="21"/>
              </w:rPr>
            </w:r>
            <w:r/>
          </w:p>
        </w:tc>
        <w:tc>
          <w:tcPr>
            <w:tcW w:w="662" w:type="dxa"/>
            <w:vAlign w:val="center"/>
            <w:textDirection w:val="lrTb"/>
            <w:noWrap/>
          </w:tcPr>
          <w:p>
            <w:pPr>
              <w:pStyle w:val="779"/>
              <w:jc w:val="center"/>
              <w:widowControl/>
              <w:rPr>
                <w:rFonts w:ascii="宋体" w:hAnsi="宋体" w:cs="宋体"/>
                <w:color w:val="000000"/>
                <w:szCs w:val="21"/>
              </w:rPr>
            </w:pPr>
            <w:r>
              <w:rPr>
                <w:rFonts w:ascii="宋体" w:hAnsi="宋体" w:cs="宋体"/>
                <w:color w:val="000000"/>
                <w:szCs w:val="21"/>
              </w:rPr>
            </w:r>
            <w:r/>
          </w:p>
        </w:tc>
      </w:tr>
      <w:tr>
        <w:trPr>
          <w:trHeight w:val="1815"/>
        </w:trPr>
        <w:tc>
          <w:tcPr>
            <w:gridSpan w:val="5"/>
            <w:tcW w:w="9288" w:type="dxa"/>
            <w:vAlign w:val="center"/>
            <w:textDirection w:val="lrTb"/>
            <w:noWrap w:val="false"/>
          </w:tcPr>
          <w:p>
            <w:pPr>
              <w:pStyle w:val="779"/>
              <w:jc w:val="left"/>
              <w:widowControl/>
              <w:rPr>
                <w:rFonts w:ascii="宋体" w:hAnsi="宋体" w:cs="宋体"/>
                <w:color w:val="000000"/>
                <w:szCs w:val="21"/>
              </w:rPr>
            </w:pPr>
            <w:r>
              <w:rPr>
                <w:rFonts w:hint="eastAsia" w:ascii="宋体" w:hAnsi="宋体" w:cs="宋体"/>
                <w:color w:val="000000"/>
                <w:szCs w:val="21"/>
              </w:rPr>
              <w:t xml:space="preserve">1、实际服务费用=标准服务费*（100-考核分值）/100 - 信息安全违规则扣款。</w:t>
            </w:r>
            <w:r>
              <w:rPr>
                <w:rFonts w:hint="eastAsia" w:ascii="宋体" w:hAnsi="宋体" w:cs="宋体"/>
                <w:color w:val="000000"/>
                <w:szCs w:val="21"/>
              </w:rPr>
              <w:br w:type="textWrapping" w:clear="all"/>
            </w:r>
            <w:r>
              <w:rPr>
                <w:rFonts w:hint="eastAsia" w:ascii="宋体" w:hAnsi="宋体" w:cs="宋体"/>
                <w:color w:val="000000"/>
                <w:szCs w:val="21"/>
              </w:rPr>
              <w:t xml:space="preserve">2、标准服务费，结算查询车辆信息进行话务服务的114通话次数。</w:t>
            </w:r>
            <w:r>
              <w:rPr>
                <w:rFonts w:hint="eastAsia" w:ascii="宋体" w:hAnsi="宋体" w:cs="宋体"/>
                <w:color w:val="000000"/>
                <w:szCs w:val="21"/>
              </w:rPr>
              <w:br w:type="textWrapping" w:clear="all"/>
            </w:r>
            <w:r>
              <w:rPr>
                <w:rFonts w:hint="eastAsia" w:ascii="宋体" w:hAnsi="宋体" w:cs="宋体"/>
                <w:color w:val="000000"/>
                <w:szCs w:val="21"/>
              </w:rPr>
              <w:t xml:space="preserve">3、信息安全，如因乙方原因发生保密信息泄露，一经核实，甲方有权扣减乙方结算费用10000元/次。情节严重造成影响的，依法追究责任。</w:t>
            </w:r>
            <w:r>
              <w:rPr>
                <w:rFonts w:hint="eastAsia" w:ascii="宋体" w:hAnsi="宋体" w:cs="宋体"/>
                <w:color w:val="000000"/>
                <w:szCs w:val="21"/>
              </w:rPr>
              <w:br w:type="textWrapping" w:clear="all"/>
            </w:r>
            <w:r>
              <w:rPr>
                <w:rFonts w:hint="eastAsia" w:ascii="宋体" w:hAnsi="宋体" w:cs="宋体"/>
                <w:color w:val="000000"/>
                <w:szCs w:val="21"/>
              </w:rPr>
              <w:t xml:space="preserve">3、甲方定期对乙方的服务录音质检进行抽查复核，如出现数据质量偏差，根据实际情况扣除费用500-2000元/次。情节严重的，一经核实，扣除费用10000元/次。</w:t>
            </w:r>
            <w:r>
              <w:rPr>
                <w:rFonts w:ascii="宋体" w:hAnsi="宋体" w:cs="宋体"/>
                <w:color w:val="000000"/>
                <w:szCs w:val="21"/>
              </w:rPr>
            </w:r>
            <w:r/>
          </w:p>
        </w:tc>
      </w:tr>
    </w:tbl>
    <w:p>
      <w:pPr>
        <w:pStyle w:val="779"/>
        <w:jc w:val="left"/>
        <w:widowControl/>
        <w:rPr>
          <w:rFonts w:hint="eastAsia"/>
          <w:b/>
          <w:sz w:val="36"/>
          <w:szCs w:val="36"/>
        </w:rPr>
      </w:pPr>
      <w:r>
        <w:rPr>
          <w:rFonts w:hint="eastAsia"/>
          <w:b/>
          <w:sz w:val="36"/>
          <w:szCs w:val="36"/>
        </w:rPr>
      </w:r>
      <w:r/>
    </w:p>
    <w:p>
      <w:pPr>
        <w:pStyle w:val="860"/>
      </w:pPr>
      <w:r>
        <w:br w:type="page" w:clear="all"/>
      </w:r>
      <w:r/>
    </w:p>
    <w:p>
      <w:pPr>
        <w:pStyle w:val="779"/>
        <w:jc w:val="center"/>
        <w:spacing w:line="360" w:lineRule="auto"/>
        <w:rPr>
          <w:b/>
          <w:sz w:val="36"/>
          <w:szCs w:val="36"/>
        </w:rPr>
        <w:outlineLvl w:val="0"/>
      </w:pPr>
      <w:r>
        <w:rPr>
          <w:b/>
          <w:sz w:val="36"/>
          <w:szCs w:val="36"/>
        </w:rPr>
        <w:t xml:space="preserve">第五章   合同草案条款</w:t>
      </w:r>
      <w:bookmarkEnd w:id="654"/>
      <w:r>
        <w:rPr>
          <w:b/>
          <w:sz w:val="36"/>
          <w:szCs w:val="36"/>
        </w:rPr>
      </w:r>
      <w:r/>
    </w:p>
    <w:p>
      <w:pPr>
        <w:pStyle w:val="779"/>
        <w:ind w:firstLine="422"/>
        <w:spacing w:line="500" w:lineRule="exact"/>
        <w:rPr>
          <w:rFonts w:hint="eastAsia" w:ascii="宋体" w:hAnsi="宋体" w:cs="宋体"/>
          <w:b/>
          <w:sz w:val="24"/>
          <w:u w:val="single"/>
        </w:rPr>
      </w:pPr>
      <w:r/>
      <w:bookmarkStart w:id="655" w:name="_Toc99301284"/>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    </w:t>
      </w:r>
      <w:r>
        <w:rPr>
          <w:rFonts w:hint="eastAsia" w:ascii="宋体" w:hAnsi="宋体" w:cs="宋体"/>
          <w:bCs/>
          <w:sz w:val="24"/>
        </w:rPr>
        <w:t xml:space="preserve">签订时间：</w:t>
      </w:r>
      <w:r>
        <w:rPr>
          <w:rFonts w:hint="eastAsia" w:ascii="宋体" w:hAnsi="宋体" w:cs="宋体"/>
          <w:b/>
          <w:sz w:val="24"/>
          <w:u w:val="single"/>
        </w:rPr>
        <w:t xml:space="preserve">    </w:t>
      </w:r>
      <w:r>
        <w:rPr>
          <w:rFonts w:hint="eastAsia" w:ascii="宋体" w:hAnsi="宋体" w:cs="宋体"/>
          <w:b/>
          <w:sz w:val="24"/>
        </w:rPr>
        <w:t xml:space="preserve">年</w:t>
      </w:r>
      <w:r>
        <w:rPr>
          <w:rFonts w:hint="eastAsia" w:ascii="宋体" w:hAnsi="宋体" w:cs="宋体"/>
          <w:b/>
          <w:sz w:val="24"/>
          <w:u w:val="single"/>
        </w:rPr>
        <w:t xml:space="preserve">    </w:t>
      </w:r>
      <w:r>
        <w:rPr>
          <w:rFonts w:hint="eastAsia" w:ascii="宋体" w:hAnsi="宋体" w:cs="宋体"/>
          <w:b/>
          <w:sz w:val="24"/>
        </w:rPr>
        <w:t xml:space="preserve">月</w:t>
      </w:r>
      <w:r>
        <w:rPr>
          <w:rFonts w:hint="eastAsia" w:ascii="宋体" w:hAnsi="宋体" w:cs="宋体"/>
          <w:b/>
          <w:sz w:val="24"/>
          <w:u w:val="single"/>
        </w:rPr>
        <w:t xml:space="preserve">    </w:t>
      </w:r>
      <w:r>
        <w:rPr>
          <w:rFonts w:hint="eastAsia" w:ascii="宋体" w:hAnsi="宋体" w:cs="宋体"/>
          <w:b/>
          <w:sz w:val="24"/>
        </w:rPr>
        <w:t xml:space="preserve">日</w:t>
      </w:r>
      <w:r>
        <w:rPr>
          <w:rFonts w:hint="eastAsia" w:ascii="宋体" w:hAnsi="宋体" w:cs="宋体"/>
          <w:b/>
          <w:sz w:val="24"/>
          <w:u w:val="single"/>
        </w:rPr>
      </w:r>
      <w:r/>
    </w:p>
    <w:p>
      <w:pPr>
        <w:pStyle w:val="779"/>
        <w:ind w:firstLine="422"/>
        <w:jc w:val="left"/>
        <w:spacing w:line="500" w:lineRule="exact"/>
        <w:rPr>
          <w:rFonts w:hint="eastAsia" w:ascii="宋体" w:hAnsi="宋体" w:cs="宋体"/>
          <w:b/>
          <w:sz w:val="24"/>
          <w:u w:val="single"/>
        </w:rPr>
      </w:pPr>
      <w:r>
        <w:rPr>
          <w:rFonts w:hint="eastAsia" w:ascii="宋体" w:hAnsi="宋体" w:cs="宋体"/>
          <w:b/>
          <w:sz w:val="24"/>
        </w:rPr>
        <w:t xml:space="preserve">乙方：</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b/>
          <w:sz w:val="24"/>
          <w:u w:val="single"/>
        </w:rPr>
        <w:t xml:space="preserve">              </w:t>
      </w:r>
      <w:r>
        <w:rPr>
          <w:rFonts w:hint="eastAsia" w:ascii="宋体" w:hAnsi="宋体" w:cs="宋体"/>
          <w:b/>
          <w:sz w:val="24"/>
        </w:rPr>
        <w:t xml:space="preserve"> 号</w:t>
      </w:r>
      <w:r>
        <w:rPr>
          <w:rFonts w:hint="eastAsia" w:ascii="宋体" w:hAnsi="宋体" w:cs="宋体"/>
          <w:b/>
          <w:sz w:val="24"/>
          <w:u w:val="single"/>
        </w:rPr>
      </w:r>
      <w:r/>
    </w:p>
    <w:p>
      <w:pPr>
        <w:pStyle w:val="779"/>
        <w:ind w:firstLine="420"/>
        <w:spacing w:line="500" w:lineRule="exact"/>
        <w:rPr>
          <w:rFonts w:hint="eastAsia" w:ascii="宋体" w:hAnsi="宋体" w:cs="宋体"/>
          <w:sz w:val="24"/>
        </w:rPr>
      </w:pPr>
      <w:r>
        <w:rPr>
          <w:rFonts w:hint="eastAsia" w:ascii="宋体" w:hAnsi="宋体" w:cs="宋体"/>
          <w:sz w:val="24"/>
        </w:rPr>
      </w:r>
      <w:r/>
    </w:p>
    <w:p>
      <w:pPr>
        <w:pStyle w:val="779"/>
        <w:spacing w:line="500" w:lineRule="exact"/>
        <w:rPr>
          <w:rFonts w:hint="eastAsia" w:ascii="宋体" w:hAnsi="宋体" w:cs="宋体"/>
          <w:b/>
          <w:sz w:val="24"/>
        </w:rPr>
      </w:pPr>
      <w:r>
        <w:rPr>
          <w:rFonts w:hint="eastAsia" w:ascii="宋体" w:hAnsi="宋体" w:cs="宋体"/>
          <w:sz w:val="24"/>
        </w:rPr>
        <w:tab/>
      </w:r>
      <w:r>
        <w:rPr>
          <w:rFonts w:hint="eastAsia" w:ascii="宋体" w:hAnsi="宋体" w:cs="宋体"/>
          <w:sz w:val="24"/>
        </w:rPr>
        <w:t xml:space="preserve">甲、乙双方就乙方中标的</w:t>
      </w:r>
      <w:r>
        <w:rPr>
          <w:rFonts w:hint="eastAsia" w:ascii="宋体" w:hAnsi="宋体" w:cs="宋体"/>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bCs/>
          <w:sz w:val="24"/>
        </w:rPr>
        <w:t xml:space="preserve">，</w:t>
      </w:r>
      <w:r>
        <w:rPr>
          <w:rFonts w:hint="eastAsia" w:ascii="宋体" w:hAnsi="宋体" w:cs="宋体"/>
          <w:sz w:val="24"/>
        </w:rPr>
        <w:t xml:space="preserve">本着平等互利的原则，通过共同协商，根据</w:t>
      </w:r>
      <w:r>
        <w:rPr>
          <w:rFonts w:hint="eastAsia" w:ascii="宋体" w:hAnsi="宋体" w:cs="宋体"/>
          <w:bCs/>
          <w:sz w:val="24"/>
        </w:rPr>
        <w:t xml:space="preserve">《中华人民共和国民法典》</w:t>
      </w:r>
      <w:r>
        <w:rPr>
          <w:rFonts w:hint="eastAsia" w:ascii="宋体" w:hAnsi="宋体" w:cs="宋体"/>
          <w:sz w:val="24"/>
        </w:rPr>
        <w:t xml:space="preserve">及有关法律法规，就相关事宜达成如下合同。</w:t>
      </w:r>
      <w:r>
        <w:rPr>
          <w:rFonts w:hint="eastAsia" w:ascii="宋体" w:hAnsi="宋体" w:cs="宋体"/>
          <w:b/>
          <w:sz w:val="24"/>
        </w:rPr>
      </w:r>
      <w:r/>
    </w:p>
    <w:p>
      <w:pPr>
        <w:pStyle w:val="779"/>
        <w:spacing w:line="500" w:lineRule="exact"/>
        <w:rPr>
          <w:rFonts w:hint="eastAsia" w:ascii="宋体" w:hAnsi="宋体" w:cs="宋体"/>
          <w:b/>
          <w:sz w:val="24"/>
        </w:rPr>
      </w:pPr>
      <w:r>
        <w:rPr>
          <w:rFonts w:hint="eastAsia" w:ascii="宋体" w:hAnsi="宋体" w:cs="宋体"/>
          <w:b/>
          <w:sz w:val="24"/>
        </w:rPr>
        <w:t xml:space="preserve">一、总则             </w:t>
      </w:r>
      <w:r>
        <w:rPr>
          <w:rFonts w:hint="eastAsia" w:ascii="宋体" w:hAnsi="宋体" w:cs="宋体"/>
          <w:b/>
          <w:sz w:val="24"/>
        </w:rPr>
      </w:r>
      <w:r/>
    </w:p>
    <w:p>
      <w:pPr>
        <w:pStyle w:val="779"/>
        <w:spacing w:line="500" w:lineRule="exact"/>
        <w:rPr>
          <w:rFonts w:hint="eastAsia" w:ascii="宋体" w:hAnsi="宋体" w:cs="宋体"/>
          <w:sz w:val="24"/>
        </w:rPr>
      </w:pPr>
      <w:r>
        <w:rPr>
          <w:rFonts w:hint="eastAsia" w:ascii="宋体" w:hAnsi="宋体" w:cs="宋体"/>
          <w:sz w:val="24"/>
        </w:rPr>
        <w:t xml:space="preserve">乙方按甲方要求，为甲方提供的</w:t>
      </w:r>
      <w:r>
        <w:rPr>
          <w:rFonts w:hint="eastAsia" w:ascii="宋体" w:hAnsi="宋体" w:cs="宋体"/>
          <w:sz w:val="24"/>
          <w:u w:val="single"/>
        </w:rPr>
        <w:t xml:space="preserve">                 </w:t>
      </w:r>
      <w:r>
        <w:rPr>
          <w:rFonts w:hint="eastAsia" w:ascii="宋体" w:hAnsi="宋体" w:cs="宋体"/>
          <w:sz w:val="24"/>
        </w:rPr>
        <w:t xml:space="preserve">项目服务，服务具体内容及要求详见合同文件。</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t xml:space="preserve">本合同金额为人民币大写：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779"/>
        <w:spacing w:line="500" w:lineRule="exact"/>
        <w:rPr>
          <w:rFonts w:hint="eastAsia" w:ascii="宋体" w:hAnsi="宋体" w:cs="宋体"/>
          <w:b/>
          <w:sz w:val="24"/>
        </w:rPr>
      </w:pPr>
      <w:r>
        <w:rPr>
          <w:rFonts w:hint="eastAsia" w:ascii="宋体" w:hAnsi="宋体" w:cs="宋体"/>
          <w:b/>
          <w:sz w:val="24"/>
        </w:rPr>
        <w:t xml:space="preserve">二、合同文件：</w:t>
      </w:r>
      <w:r>
        <w:rPr>
          <w:rFonts w:hint="eastAsia" w:ascii="宋体" w:hAnsi="宋体" w:cs="宋体"/>
          <w:b/>
          <w:sz w:val="24"/>
        </w:rPr>
      </w:r>
      <w:r/>
    </w:p>
    <w:p>
      <w:pPr>
        <w:pStyle w:val="779"/>
        <w:spacing w:line="500" w:lineRule="exact"/>
        <w:rPr>
          <w:rFonts w:hint="eastAsia" w:ascii="宋体" w:hAnsi="宋体" w:cs="宋体"/>
          <w:sz w:val="24"/>
        </w:rPr>
      </w:pPr>
      <w:r>
        <w:rPr>
          <w:rFonts w:hint="eastAsia" w:ascii="宋体" w:hAnsi="宋体" w:cs="宋体"/>
          <w:sz w:val="24"/>
        </w:rPr>
        <w:t xml:space="preserve">下列文件是构成合同不可分割的部分，并与本合同具有同等法律效力，</w:t>
      </w:r>
      <w:r>
        <w:rPr>
          <w:rFonts w:hint="eastAsia" w:ascii="宋体" w:hAnsi="宋体" w:cs="宋体"/>
          <w:bCs/>
          <w:sz w:val="24"/>
        </w:rPr>
        <w:t xml:space="preserve">这些文件包括但不限于：</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号采购文件。</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t xml:space="preserve">2、乙方提交的投标文件。</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t xml:space="preserve">3、乙方投标的其他资料及承诺。</w:t>
      </w:r>
      <w:r>
        <w:rPr>
          <w:rFonts w:hint="eastAsia" w:ascii="宋体" w:hAnsi="宋体" w:cs="宋体"/>
          <w:sz w:val="24"/>
        </w:rPr>
      </w:r>
      <w:r/>
    </w:p>
    <w:p>
      <w:pPr>
        <w:pStyle w:val="779"/>
        <w:spacing w:line="500" w:lineRule="exact"/>
        <w:rPr>
          <w:rFonts w:hint="eastAsia" w:ascii="宋体" w:hAnsi="宋体" w:cs="宋体"/>
          <w:b/>
          <w:sz w:val="24"/>
        </w:rPr>
      </w:pPr>
      <w:r>
        <w:rPr>
          <w:rFonts w:hint="eastAsia" w:ascii="宋体" w:hAnsi="宋体" w:cs="宋体"/>
          <w:b/>
          <w:sz w:val="24"/>
        </w:rPr>
        <w:t xml:space="preserve">三、质量保证和服务承诺：</w:t>
      </w:r>
      <w:r>
        <w:rPr>
          <w:rFonts w:hint="eastAsia" w:ascii="宋体" w:hAnsi="宋体" w:cs="宋体"/>
          <w:b/>
          <w:sz w:val="24"/>
        </w:rPr>
      </w:r>
      <w:r/>
    </w:p>
    <w:p>
      <w:pPr>
        <w:pStyle w:val="779"/>
        <w:spacing w:line="500" w:lineRule="exact"/>
        <w:rPr>
          <w:rFonts w:hint="eastAsia" w:ascii="宋体" w:hAnsi="宋体" w:cs="宋体"/>
          <w:sz w:val="24"/>
        </w:rPr>
      </w:pPr>
      <w:r>
        <w:rPr>
          <w:rFonts w:hint="eastAsia" w:ascii="宋体" w:hAnsi="宋体" w:cs="宋体"/>
          <w:sz w:val="24"/>
        </w:rPr>
        <w:t xml:space="preserve">乙方所提供的服务必须符合国家有关标准和</w:t>
      </w:r>
      <w:r>
        <w:rPr>
          <w:rFonts w:hint="eastAsia" w:ascii="宋体" w:hAnsi="宋体" w:cs="宋体"/>
          <w:sz w:val="24"/>
          <w:u w:val="single"/>
        </w:rPr>
        <w:t xml:space="preserve">            </w:t>
      </w:r>
      <w:r>
        <w:rPr>
          <w:rFonts w:hint="eastAsia" w:ascii="宋体" w:hAnsi="宋体" w:cs="宋体"/>
          <w:sz w:val="24"/>
        </w:rPr>
        <w:t xml:space="preserve">号采购文件（含技术说明）和投标文件的要求。</w:t>
      </w:r>
      <w:r>
        <w:rPr>
          <w:rFonts w:hint="eastAsia" w:ascii="宋体" w:hAnsi="宋体" w:cs="宋体"/>
          <w:sz w:val="24"/>
        </w:rPr>
      </w:r>
      <w:r/>
    </w:p>
    <w:p>
      <w:pPr>
        <w:pStyle w:val="779"/>
        <w:spacing w:line="500" w:lineRule="exact"/>
        <w:rPr>
          <w:rFonts w:hint="eastAsia" w:ascii="宋体" w:hAnsi="宋体" w:cs="宋体"/>
          <w:b/>
          <w:sz w:val="24"/>
        </w:rPr>
      </w:pPr>
      <w:r>
        <w:rPr>
          <w:rFonts w:hint="eastAsia" w:ascii="宋体" w:hAnsi="宋体" w:cs="宋体"/>
          <w:b/>
          <w:sz w:val="24"/>
        </w:rPr>
        <w:t xml:space="preserve">四、服务时间</w:t>
      </w:r>
      <w:r>
        <w:rPr>
          <w:rFonts w:hint="eastAsia" w:ascii="宋体" w:hAnsi="宋体" w:cs="宋体"/>
          <w:b/>
          <w:sz w:val="24"/>
        </w:rPr>
      </w:r>
      <w:r/>
    </w:p>
    <w:p>
      <w:pPr>
        <w:pStyle w:val="779"/>
        <w:spacing w:line="500" w:lineRule="exact"/>
        <w:rPr>
          <w:rFonts w:hint="eastAsia" w:ascii="宋体" w:hAnsi="宋体" w:cs="宋体"/>
          <w:b/>
          <w:sz w:val="24"/>
        </w:rPr>
      </w:pPr>
      <w:r>
        <w:rPr>
          <w:rFonts w:hint="eastAsia" w:ascii="宋体" w:hAnsi="宋体" w:cs="宋体"/>
          <w:b/>
          <w:sz w:val="24"/>
        </w:rPr>
        <w:t xml:space="preserve">项目时间:自委托协议签订并生效后的 </w:t>
      </w:r>
      <w:r>
        <w:rPr>
          <w:rFonts w:hint="eastAsia" w:ascii="宋体" w:hAnsi="宋体" w:cs="宋体"/>
          <w:b/>
          <w:sz w:val="24"/>
          <w:u w:val="single"/>
        </w:rPr>
        <w:t xml:space="preserve">        </w:t>
      </w:r>
      <w:r>
        <w:rPr>
          <w:rFonts w:hint="eastAsia" w:ascii="宋体" w:hAnsi="宋体" w:cs="宋体"/>
          <w:b/>
          <w:sz w:val="24"/>
        </w:rPr>
        <w:t xml:space="preserve"> 天内完成。</w:t>
      </w:r>
      <w:r>
        <w:rPr>
          <w:rFonts w:hint="eastAsia" w:ascii="宋体" w:hAnsi="宋体" w:cs="宋体"/>
          <w:b/>
          <w:sz w:val="24"/>
        </w:rPr>
      </w:r>
      <w:r/>
    </w:p>
    <w:p>
      <w:pPr>
        <w:pStyle w:val="779"/>
        <w:spacing w:line="500" w:lineRule="exact"/>
        <w:rPr>
          <w:rFonts w:hint="eastAsia" w:ascii="宋体" w:hAnsi="宋体" w:cs="宋体"/>
          <w:b/>
          <w:sz w:val="24"/>
        </w:rPr>
      </w:pPr>
      <w:r>
        <w:rPr>
          <w:rFonts w:hint="eastAsia" w:ascii="宋体" w:hAnsi="宋体" w:cs="宋体"/>
          <w:b/>
          <w:sz w:val="24"/>
        </w:rPr>
        <w:t xml:space="preserve">五、验收</w:t>
      </w:r>
      <w:r>
        <w:rPr>
          <w:rFonts w:hint="eastAsia" w:ascii="宋体" w:hAnsi="宋体" w:cs="宋体"/>
          <w:b/>
          <w:sz w:val="24"/>
        </w:rPr>
      </w:r>
      <w:r/>
    </w:p>
    <w:p>
      <w:pPr>
        <w:pStyle w:val="779"/>
        <w:spacing w:line="500" w:lineRule="exact"/>
        <w:rPr>
          <w:rFonts w:hint="eastAsia" w:ascii="宋体" w:hAnsi="宋体" w:cs="宋体"/>
          <w:sz w:val="24"/>
        </w:rPr>
      </w:pPr>
      <w:r>
        <w:rPr>
          <w:rFonts w:hint="eastAsia" w:ascii="宋体" w:hAnsi="宋体" w:cs="宋体"/>
          <w:b/>
          <w:sz w:val="24"/>
        </w:rPr>
        <w:t xml:space="preserve">六、付款方式：</w:t>
      </w:r>
      <w:r>
        <w:rPr>
          <w:rFonts w:hint="eastAsia" w:ascii="宋体" w:hAnsi="宋体" w:cs="宋体"/>
          <w:sz w:val="24"/>
        </w:rPr>
      </w:r>
      <w:r/>
    </w:p>
    <w:p>
      <w:pPr>
        <w:pStyle w:val="779"/>
        <w:jc w:val="left"/>
        <w:spacing w:before="72" w:after="120" w:line="500" w:lineRule="exact"/>
        <w:widowControl/>
        <w:rPr>
          <w:rFonts w:hint="eastAsia" w:ascii="宋体" w:hAnsi="宋体" w:cs="宋体"/>
          <w:sz w:val="24"/>
        </w:rPr>
      </w:pPr>
      <w:r>
        <w:rPr>
          <w:rFonts w:hint="eastAsia" w:ascii="宋体" w:hAnsi="宋体" w:cs="宋体"/>
          <w:b/>
          <w:sz w:val="24"/>
        </w:rPr>
        <w:t xml:space="preserve">七、违约责任：</w:t>
      </w:r>
      <w:r>
        <w:rPr>
          <w:rFonts w:hint="eastAsia" w:ascii="宋体" w:hAnsi="宋体" w:cs="宋体"/>
          <w:sz w:val="24"/>
        </w:rPr>
        <w:t xml:space="preserve">  </w:t>
      </w:r>
      <w:r>
        <w:rPr>
          <w:rFonts w:hint="eastAsia" w:ascii="宋体" w:hAnsi="宋体" w:cs="宋体"/>
          <w:sz w:val="24"/>
        </w:rPr>
      </w:r>
      <w:r/>
    </w:p>
    <w:p>
      <w:pPr>
        <w:pStyle w:val="779"/>
        <w:jc w:val="left"/>
        <w:spacing w:before="72" w:after="120" w:line="500" w:lineRule="exact"/>
        <w:widowControl/>
        <w:rPr>
          <w:rFonts w:hint="eastAsia" w:ascii="宋体" w:hAnsi="宋体" w:cs="宋体"/>
          <w:color w:val="000000"/>
          <w:sz w:val="24"/>
        </w:rPr>
      </w:pPr>
      <w:r>
        <w:rPr>
          <w:rFonts w:hint="eastAsia" w:ascii="宋体" w:hAnsi="宋体" w:cs="宋体"/>
          <w:color w:val="000000"/>
          <w:sz w:val="24"/>
        </w:rPr>
        <w:t xml:space="preserve">1、乙方不履行合同应当双倍返还定金,甲方不履行合同无权要求返还定金。</w:t>
      </w:r>
      <w:r>
        <w:rPr>
          <w:rFonts w:hint="eastAsia" w:ascii="宋体" w:hAnsi="宋体" w:cs="宋体"/>
          <w:color w:val="000000"/>
          <w:sz w:val="24"/>
        </w:rPr>
      </w:r>
      <w:r/>
    </w:p>
    <w:p>
      <w:pPr>
        <w:pStyle w:val="779"/>
        <w:jc w:val="left"/>
        <w:spacing w:before="72" w:after="120" w:line="500" w:lineRule="exact"/>
        <w:widowControl/>
        <w:rPr>
          <w:rFonts w:hint="eastAsia" w:ascii="宋体" w:hAnsi="宋体" w:cs="宋体"/>
          <w:color w:val="000000"/>
          <w:sz w:val="24"/>
        </w:rPr>
      </w:pPr>
      <w:r>
        <w:rPr>
          <w:rFonts w:hint="eastAsia" w:ascii="宋体" w:hAnsi="宋体" w:cs="宋体"/>
          <w:color w:val="000000"/>
          <w:sz w:val="24"/>
        </w:rPr>
        <w:t xml:space="preserve">2、乙方逾期交货或者甲方逾期付款,应向对方支付违约金,迟延履行违约金以逾期部分价款总额每日万分之</w:t>
      </w:r>
      <w:r>
        <w:rPr>
          <w:rFonts w:hint="eastAsia" w:ascii="宋体" w:hAnsi="宋体" w:cs="宋体"/>
          <w:color w:val="000000"/>
          <w:sz w:val="24"/>
          <w:u w:val="single"/>
        </w:rPr>
        <w:t xml:space="preserve"> 八 </w:t>
      </w:r>
      <w:r>
        <w:rPr>
          <w:rFonts w:hint="eastAsia" w:ascii="宋体" w:hAnsi="宋体" w:cs="宋体"/>
          <w:color w:val="000000"/>
          <w:sz w:val="24"/>
        </w:rPr>
        <w:t xml:space="preserve">  计算。任何一方逾期履行超过 </w:t>
      </w:r>
      <w:r>
        <w:rPr>
          <w:rFonts w:hint="eastAsia" w:ascii="宋体" w:hAnsi="宋体" w:cs="宋体"/>
          <w:color w:val="000000"/>
          <w:sz w:val="24"/>
          <w:u w:val="single"/>
        </w:rPr>
        <w:t xml:space="preserve"> 十  </w:t>
      </w:r>
      <w:r>
        <w:rPr>
          <w:rFonts w:hint="eastAsia" w:ascii="宋体" w:hAnsi="宋体" w:cs="宋体"/>
          <w:color w:val="000000"/>
          <w:sz w:val="24"/>
        </w:rPr>
        <w:t xml:space="preserve">天，应当以逾期部分价款总额5％向对方支付违约金。违约方支付违约金后,对方有权要求继续履行合同。</w:t>
      </w:r>
      <w:r>
        <w:rPr>
          <w:rFonts w:hint="eastAsia" w:ascii="宋体" w:hAnsi="宋体" w:cs="宋体"/>
          <w:color w:val="000000"/>
          <w:sz w:val="24"/>
        </w:rPr>
      </w:r>
      <w:r/>
    </w:p>
    <w:p>
      <w:pPr>
        <w:pStyle w:val="779"/>
        <w:jc w:val="left"/>
        <w:spacing w:before="72" w:after="120" w:line="500" w:lineRule="exact"/>
        <w:widowControl/>
        <w:rPr>
          <w:rFonts w:hint="eastAsia" w:ascii="宋体" w:hAnsi="宋体" w:cs="宋体"/>
          <w:sz w:val="24"/>
        </w:rPr>
      </w:pPr>
      <w:r>
        <w:rPr>
          <w:rFonts w:hint="eastAsia" w:ascii="宋体" w:hAnsi="宋体" w:cs="宋体"/>
          <w:color w:val="000000"/>
          <w:sz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cs="宋体"/>
          <w:sz w:val="24"/>
        </w:rPr>
        <w:t xml:space="preserve">  </w:t>
      </w:r>
      <w:r>
        <w:rPr>
          <w:rFonts w:hint="eastAsia" w:ascii="宋体" w:hAnsi="宋体" w:cs="宋体"/>
          <w:sz w:val="24"/>
        </w:rPr>
      </w:r>
      <w:r/>
    </w:p>
    <w:p>
      <w:pPr>
        <w:pStyle w:val="779"/>
        <w:spacing w:line="500" w:lineRule="exact"/>
        <w:rPr>
          <w:rFonts w:hint="eastAsia" w:ascii="宋体" w:hAnsi="宋体" w:cs="宋体"/>
          <w:b/>
          <w:sz w:val="24"/>
        </w:rPr>
      </w:pPr>
      <w:r>
        <w:rPr>
          <w:rFonts w:hint="eastAsia" w:ascii="宋体" w:hAnsi="宋体" w:cs="宋体"/>
          <w:b/>
          <w:sz w:val="24"/>
        </w:rPr>
        <w:t xml:space="preserve">八、不可抗力：</w:t>
      </w:r>
      <w:r>
        <w:rPr>
          <w:rFonts w:hint="eastAsia" w:ascii="宋体" w:hAnsi="宋体" w:cs="宋体"/>
          <w:b/>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1、甲、乙双方如果因不可抗力而导致合同义务的延误或不能履行，不承担没收误期赔偿或终止合同的责任。</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cs="宋体"/>
          <w:color w:val="000000"/>
          <w:sz w:val="24"/>
        </w:rPr>
      </w:r>
      <w:r/>
    </w:p>
    <w:p>
      <w:pPr>
        <w:pStyle w:val="779"/>
        <w:spacing w:line="500" w:lineRule="exact"/>
        <w:rPr>
          <w:rFonts w:hint="eastAsia" w:ascii="宋体" w:hAnsi="宋体" w:cs="宋体"/>
          <w:b/>
          <w:sz w:val="24"/>
        </w:rPr>
      </w:pPr>
      <w:r>
        <w:rPr>
          <w:rFonts w:hint="eastAsia" w:ascii="宋体" w:hAnsi="宋体" w:cs="宋体"/>
          <w:b/>
          <w:sz w:val="24"/>
        </w:rPr>
        <w:t xml:space="preserve">九、</w:t>
      </w:r>
      <w:r>
        <w:rPr>
          <w:rFonts w:hint="eastAsia" w:ascii="宋体" w:hAnsi="宋体" w:cs="宋体"/>
          <w:b/>
          <w:color w:val="000000"/>
          <w:sz w:val="24"/>
        </w:rPr>
        <w:t xml:space="preserve">合同的解除：</w:t>
      </w:r>
      <w:r>
        <w:rPr>
          <w:rFonts w:hint="eastAsia" w:ascii="宋体" w:hAnsi="宋体" w:cs="宋体"/>
          <w:b/>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1、甲方和乙方协商一致，可以解除合同。</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2、有权解除合同的一方，应当在违约事实或不可抗力发生之后三十天内书面通知对方</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提出解除合同，合同在书面通知到达对方时解除。</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3、合同的部分和全部都不得擅自转让。</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4、出现下列情况之一可以解除合同：</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（1）对乙方有效投诉记录累计达3次；</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（2）在合同有效期内，被行业主管部门取消经营资格的；</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（3）在合同有效期内，乙方擅自变更、转让、租借本次招标范围内的定点服务资格的；</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（4）不如实反映情况，提供虚假材料的；</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（5）未按承诺的价格提供服务的。</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（6）招标文件约定的可解除合同的情况出现。</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5、乙方在任何情况下都不得用任何不正当行为影响、干扰委托单位。一经发现可立即</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解除合同，同时提请有关部门追究有关当事人的责任。</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6、如果乙方破产、解散、清算、停业以及其他原因无法提供服务的，甲方可在任何时</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间以书面形式通知取消其本次招标范围内的定点服务资格。该行为将不损害或影响甲方已经采取和将要采取的任何行动和补救措施的权力。</w:t>
      </w:r>
      <w:r>
        <w:rPr>
          <w:rFonts w:hint="eastAsia" w:ascii="宋体" w:hAnsi="宋体" w:cs="宋体"/>
          <w:color w:val="000000"/>
          <w:sz w:val="24"/>
        </w:rPr>
      </w:r>
      <w:r/>
    </w:p>
    <w:p>
      <w:pPr>
        <w:pStyle w:val="779"/>
        <w:spacing w:line="50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color w:val="000000"/>
          <w:sz w:val="24"/>
        </w:rPr>
        <w:t xml:space="preserve">争议处置</w:t>
      </w:r>
      <w:r>
        <w:rPr>
          <w:rFonts w:hint="eastAsia" w:ascii="宋体" w:hAnsi="宋体" w:cs="宋体"/>
          <w:b/>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1、在执行本合同中所发生的一切争议，甲乙双方应通过友好协商的办法进行解决，如</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协商不能解决的，有关当事方可提请仲裁。</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2、仲裁应根据《中华人民共和国仲裁法》的规定向甲方所在地有管辖权的仲裁机构申</w:t>
      </w:r>
      <w:r>
        <w:rPr>
          <w:rFonts w:hint="eastAsia" w:ascii="宋体" w:hAnsi="宋体" w:cs="宋体"/>
          <w:color w:val="000000"/>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请仲裁。</w:t>
      </w:r>
      <w:r>
        <w:rPr>
          <w:rFonts w:hint="eastAsia" w:ascii="宋体" w:hAnsi="宋体" w:cs="宋体"/>
          <w:color w:val="000000"/>
          <w:sz w:val="24"/>
        </w:rPr>
      </w:r>
      <w:r/>
    </w:p>
    <w:p>
      <w:pPr>
        <w:pStyle w:val="779"/>
        <w:spacing w:line="500" w:lineRule="exact"/>
        <w:rPr>
          <w:rFonts w:hint="eastAsia" w:ascii="宋体" w:hAnsi="宋体" w:cs="宋体"/>
          <w:b/>
          <w:sz w:val="24"/>
        </w:rPr>
      </w:pPr>
      <w:r>
        <w:rPr>
          <w:rFonts w:hint="eastAsia" w:ascii="宋体" w:hAnsi="宋体" w:cs="宋体"/>
          <w:color w:val="000000"/>
          <w:sz w:val="24"/>
        </w:rPr>
        <w:t xml:space="preserve">3、仲裁裁决为最终裁决，对当事各方均有约束力。</w:t>
      </w:r>
      <w:r>
        <w:rPr>
          <w:rFonts w:hint="eastAsia" w:ascii="宋体" w:hAnsi="宋体" w:cs="宋体"/>
          <w:b/>
          <w:sz w:val="24"/>
        </w:rPr>
        <w:t xml:space="preserve"> </w:t>
      </w:r>
      <w:r>
        <w:rPr>
          <w:rFonts w:hint="eastAsia" w:ascii="宋体" w:hAnsi="宋体" w:cs="宋体"/>
          <w:b/>
          <w:sz w:val="24"/>
        </w:rPr>
      </w:r>
      <w:r/>
    </w:p>
    <w:p>
      <w:pPr>
        <w:pStyle w:val="779"/>
        <w:spacing w:line="500" w:lineRule="exact"/>
        <w:rPr>
          <w:rFonts w:hint="eastAsia" w:ascii="宋体" w:hAnsi="宋体" w:cs="宋体"/>
          <w:b/>
          <w:sz w:val="24"/>
        </w:rPr>
      </w:pPr>
      <w:r>
        <w:rPr>
          <w:rFonts w:hint="eastAsia" w:ascii="宋体" w:hAnsi="宋体" w:cs="宋体"/>
          <w:b/>
          <w:sz w:val="24"/>
        </w:rPr>
        <w:t xml:space="preserve">十一、合同生效</w:t>
      </w:r>
      <w:r>
        <w:rPr>
          <w:rFonts w:hint="eastAsia" w:ascii="宋体" w:hAnsi="宋体" w:cs="宋体"/>
          <w:b/>
          <w:sz w:val="24"/>
        </w:rPr>
      </w:r>
      <w:r/>
    </w:p>
    <w:p>
      <w:pPr>
        <w:pStyle w:val="779"/>
        <w:spacing w:line="500" w:lineRule="exact"/>
        <w:rPr>
          <w:rFonts w:hint="eastAsia" w:ascii="宋体" w:hAnsi="宋体" w:cs="宋体"/>
          <w:sz w:val="24"/>
        </w:rPr>
      </w:pPr>
      <w:r>
        <w:rPr>
          <w:rFonts w:hint="eastAsia" w:ascii="宋体" w:hAnsi="宋体" w:cs="宋体"/>
          <w:sz w:val="24"/>
        </w:rPr>
        <w:t xml:space="preserve">本合同经叁方盖章签字后生效，如有变动，必须经甲乙双方协商一致后，方可更改。本合同一式柒份，甲方叁份，乙方贰份，招标代理机构贰份。</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t xml:space="preserve">其他未尽事宜，参照相关法律，双方协商解决。</w:t>
      </w:r>
      <w:r>
        <w:rPr>
          <w:rFonts w:hint="eastAsia" w:ascii="宋体" w:hAnsi="宋体" w:cs="宋体"/>
          <w:sz w:val="24"/>
        </w:rPr>
      </w:r>
      <w:r/>
    </w:p>
    <w:p>
      <w:pPr>
        <w:pStyle w:val="858"/>
        <w:rPr>
          <w:rFonts w:hint="eastAsia" w:hAnsi="宋体" w:cs="宋体"/>
          <w:szCs w:val="24"/>
        </w:rPr>
      </w:pPr>
      <w:r>
        <w:rPr>
          <w:rFonts w:hint="eastAsia" w:hAnsi="宋体" w:cs="宋体"/>
          <w:szCs w:val="24"/>
        </w:rPr>
      </w:r>
      <w:r/>
    </w:p>
    <w:p>
      <w:pPr>
        <w:pStyle w:val="779"/>
        <w:rPr>
          <w:rFonts w:hint="eastAsia" w:ascii="宋体" w:hAnsi="宋体" w:cs="宋体"/>
          <w:sz w:val="24"/>
        </w:rPr>
      </w:pPr>
      <w:r>
        <w:rPr>
          <w:rFonts w:hint="eastAsia" w:ascii="宋体" w:hAnsi="宋体" w:cs="宋体"/>
          <w:sz w:val="24"/>
        </w:rPr>
      </w:r>
      <w:r/>
    </w:p>
    <w:p>
      <w:pPr>
        <w:pStyle w:val="779"/>
        <w:ind w:firstLine="420"/>
        <w:spacing w:line="500" w:lineRule="exact"/>
        <w:rPr>
          <w:rFonts w:hint="eastAsia" w:ascii="宋体" w:hAnsi="宋体" w:cs="宋体"/>
          <w:sz w:val="24"/>
        </w:rPr>
      </w:pPr>
      <w:r>
        <w:rPr>
          <w:rFonts w:hint="eastAsia" w:ascii="宋体" w:hAnsi="宋体" w:cs="宋体"/>
          <w:sz w:val="24"/>
        </w:rPr>
        <w:t xml:space="preserve">甲方：单位名称（章）：       </w:t>
      </w:r>
      <w:r>
        <w:rPr>
          <w:rFonts w:hint="eastAsia" w:ascii="宋体" w:hAnsi="宋体" w:cs="宋体"/>
          <w:sz w:val="24"/>
        </w:rPr>
      </w:r>
      <w:r/>
    </w:p>
    <w:p>
      <w:pPr>
        <w:pStyle w:val="779"/>
        <w:ind w:firstLine="480"/>
        <w:spacing w:line="500" w:lineRule="exact"/>
        <w:rPr>
          <w:rFonts w:hint="eastAsia"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rPr>
      </w:r>
      <w:r/>
    </w:p>
    <w:p>
      <w:pPr>
        <w:pStyle w:val="779"/>
        <w:ind w:firstLine="480"/>
        <w:spacing w:line="50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经办人：</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乙方：单位名称（章）：                            </w:t>
      </w:r>
      <w:r>
        <w:rPr>
          <w:rFonts w:hint="eastAsia" w:ascii="宋体" w:hAnsi="宋体" w:cs="宋体"/>
          <w:sz w:val="24"/>
        </w:rPr>
      </w:r>
      <w:r/>
    </w:p>
    <w:p>
      <w:pPr>
        <w:pStyle w:val="779"/>
        <w:ind w:firstLine="480"/>
        <w:spacing w:line="500" w:lineRule="exact"/>
        <w:rPr>
          <w:rFonts w:hint="eastAsia" w:ascii="宋体" w:hAnsi="宋体" w:cs="宋体"/>
          <w:sz w:val="24"/>
          <w:u w:val="single"/>
        </w:rPr>
      </w:pPr>
      <w:r>
        <w:rPr>
          <w:rFonts w:hint="eastAsia" w:ascii="宋体" w:hAnsi="宋体" w:cs="宋体"/>
          <w:sz w:val="24"/>
        </w:rPr>
        <w:t xml:space="preserve">单位地址：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r>
      <w:r/>
    </w:p>
    <w:p>
      <w:pPr>
        <w:pStyle w:val="779"/>
        <w:ind w:firstLine="480"/>
        <w:spacing w:line="50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经办人：                      电  话：</w:t>
      </w:r>
      <w:r>
        <w:rPr>
          <w:rFonts w:hint="eastAsia" w:ascii="宋体" w:hAnsi="宋体" w:cs="宋体"/>
          <w:sz w:val="24"/>
        </w:rPr>
      </w:r>
      <w:r/>
    </w:p>
    <w:p>
      <w:pPr>
        <w:pStyle w:val="779"/>
        <w:ind w:firstLine="480"/>
        <w:spacing w:line="500" w:lineRule="exact"/>
        <w:rPr>
          <w:rFonts w:hint="eastAsia" w:ascii="宋体" w:hAnsi="宋体" w:cs="宋体"/>
          <w:sz w:val="24"/>
        </w:rPr>
      </w:pPr>
      <w:r>
        <w:rPr>
          <w:rFonts w:hint="eastAsia" w:ascii="宋体" w:hAnsi="宋体" w:cs="宋体"/>
          <w:sz w:val="24"/>
        </w:rPr>
        <w:t xml:space="preserve">开户银行：                    银行帐号：</w:t>
      </w:r>
      <w:r>
        <w:rPr>
          <w:rFonts w:hint="eastAsia" w:ascii="宋体" w:hAnsi="宋体" w:cs="宋体"/>
          <w:sz w:val="24"/>
        </w:rPr>
      </w:r>
      <w:r/>
    </w:p>
    <w:p>
      <w:pPr>
        <w:pStyle w:val="779"/>
        <w:spacing w:line="500" w:lineRule="exact"/>
        <w:rPr>
          <w:rFonts w:hint="eastAsia" w:ascii="宋体" w:hAnsi="宋体" w:cs="宋体"/>
          <w:sz w:val="24"/>
        </w:rPr>
      </w:pPr>
      <w:r>
        <w:rPr>
          <w:rFonts w:hint="eastAsia" w:ascii="宋体" w:hAnsi="宋体" w:cs="宋体"/>
          <w:sz w:val="24"/>
        </w:rPr>
      </w:r>
      <w:r/>
    </w:p>
    <w:p>
      <w:pPr>
        <w:pStyle w:val="779"/>
        <w:spacing w:line="500" w:lineRule="exact"/>
        <w:rPr>
          <w:rFonts w:hint="eastAsia" w:ascii="宋体" w:hAnsi="宋体" w:cs="宋体"/>
          <w:color w:val="000000"/>
          <w:sz w:val="24"/>
        </w:rPr>
      </w:pPr>
      <w:r>
        <w:rPr>
          <w:rFonts w:hint="eastAsia" w:ascii="宋体" w:hAnsi="宋体" w:cs="宋体"/>
          <w:color w:val="000000"/>
          <w:sz w:val="24"/>
        </w:rPr>
        <w:t xml:space="preserve">本合同内容为主要条款，采购双方可根据项目实际情况进行调整。</w:t>
      </w:r>
      <w:r>
        <w:rPr>
          <w:rFonts w:hint="eastAsia" w:ascii="宋体" w:hAnsi="宋体" w:cs="宋体"/>
          <w:color w:val="000000"/>
          <w:sz w:val="24"/>
        </w:rPr>
      </w:r>
      <w:r/>
    </w:p>
    <w:p>
      <w:pPr>
        <w:pStyle w:val="779"/>
        <w:jc w:val="center"/>
        <w:spacing w:line="360" w:lineRule="auto"/>
        <w:rPr>
          <w:b/>
          <w:sz w:val="36"/>
          <w:szCs w:val="36"/>
        </w:rPr>
        <w:outlineLvl w:val="0"/>
      </w:pPr>
      <w:r>
        <w:rPr>
          <w:b/>
          <w:sz w:val="36"/>
          <w:szCs w:val="36"/>
        </w:rPr>
        <w:br w:type="page" w:clear="all"/>
      </w:r>
      <w:r>
        <w:rPr>
          <w:b/>
          <w:sz w:val="36"/>
          <w:szCs w:val="36"/>
        </w:rPr>
      </w:r>
      <w:r/>
    </w:p>
    <w:p>
      <w:pPr>
        <w:pStyle w:val="779"/>
        <w:jc w:val="center"/>
        <w:spacing w:line="360" w:lineRule="auto"/>
        <w:rPr>
          <w:b/>
          <w:sz w:val="36"/>
          <w:szCs w:val="36"/>
        </w:rPr>
        <w:outlineLvl w:val="0"/>
      </w:pPr>
      <w:r>
        <w:rPr>
          <w:b/>
          <w:sz w:val="36"/>
          <w:szCs w:val="36"/>
        </w:rPr>
        <w:t xml:space="preserve">第六章   响应文件格式</w:t>
      </w:r>
      <w:bookmarkEnd w:id="655"/>
      <w:r>
        <w:rPr>
          <w:b/>
          <w:sz w:val="36"/>
          <w:szCs w:val="36"/>
        </w:rPr>
      </w:r>
      <w:r/>
    </w:p>
    <w:p>
      <w:pPr>
        <w:pStyle w:val="779"/>
        <w:jc w:val="left"/>
        <w:spacing w:line="360" w:lineRule="auto"/>
        <w:widowControl/>
        <w:rPr>
          <w:b/>
          <w:sz w:val="24"/>
        </w:rPr>
      </w:pPr>
      <w:r>
        <w:rPr>
          <w:b/>
          <w:sz w:val="24"/>
        </w:rPr>
      </w:r>
      <w:r/>
    </w:p>
    <w:p>
      <w:pPr>
        <w:pStyle w:val="779"/>
        <w:jc w:val="left"/>
        <w:spacing w:line="360" w:lineRule="auto"/>
        <w:widowControl/>
        <w:rPr>
          <w:b/>
          <w:sz w:val="24"/>
        </w:rPr>
      </w:pPr>
      <w:r>
        <w:rPr>
          <w:b/>
          <w:sz w:val="24"/>
        </w:rPr>
      </w:r>
      <w:r/>
    </w:p>
    <w:p>
      <w:pPr>
        <w:pStyle w:val="779"/>
        <w:ind w:left="142"/>
        <w:spacing w:line="360" w:lineRule="auto"/>
        <w:tabs>
          <w:tab w:val="left" w:pos="900" w:leader="none"/>
          <w:tab w:val="left" w:pos="1980" w:leader="none"/>
        </w:tabs>
        <w:rPr>
          <w:sz w:val="24"/>
        </w:rPr>
      </w:pPr>
      <w:r>
        <w:rPr>
          <w:b/>
          <w:sz w:val="24"/>
        </w:rPr>
        <w:t xml:space="preserve">供应商编制文件须知</w:t>
      </w:r>
      <w:r>
        <w:rPr>
          <w:sz w:val="24"/>
        </w:rPr>
      </w:r>
      <w:r/>
    </w:p>
    <w:p>
      <w:pPr>
        <w:pStyle w:val="77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79"/>
        <w:ind w:left="142"/>
        <w:spacing w:line="360" w:lineRule="auto"/>
        <w:tabs>
          <w:tab w:val="left" w:pos="900" w:leader="none"/>
          <w:tab w:val="left" w:pos="1980" w:leader="none"/>
        </w:tabs>
        <w:rPr>
          <w:sz w:val="24"/>
        </w:rPr>
      </w:pPr>
      <w:r>
        <w:rPr>
          <w:sz w:val="24"/>
        </w:rPr>
        <w:t xml:space="preserve">2、</w:t>
      </w:r>
      <w:r>
        <w:rPr>
          <w:sz w:val="24"/>
        </w:rPr>
        <w:t xml:space="preserve">对于单一来源采购文件中标记了“实质性格式”文件的，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。未标记“实质性格式”的文件和单一来源采购文件未提供格式的内容，可由供应商自行编写</w:t>
      </w:r>
      <w:r>
        <w:rPr>
          <w:sz w:val="24"/>
        </w:rPr>
      </w:r>
      <w:r/>
    </w:p>
    <w:p>
      <w:pPr>
        <w:pStyle w:val="77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7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79"/>
        <w:ind w:left="142"/>
        <w:spacing w:line="360" w:lineRule="auto"/>
        <w:tabs>
          <w:tab w:val="left" w:pos="900" w:leader="none"/>
          <w:tab w:val="left" w:pos="1980" w:leader="none"/>
        </w:tabs>
        <w:rPr>
          <w:sz w:val="24"/>
        </w:rPr>
      </w:pPr>
      <w:r>
        <w:rPr>
          <w:sz w:val="24"/>
        </w:rPr>
      </w:r>
      <w:r/>
    </w:p>
    <w:p>
      <w:pPr>
        <w:pStyle w:val="779"/>
        <w:jc w:val="left"/>
        <w:widowControl/>
        <w:rPr>
          <w:sz w:val="24"/>
        </w:rPr>
      </w:pPr>
      <w:r>
        <w:rPr>
          <w:sz w:val="24"/>
        </w:rPr>
        <w:br w:type="page" w:clear="all"/>
      </w:r>
      <w:r>
        <w:rPr>
          <w:sz w:val="24"/>
        </w:rPr>
      </w:r>
      <w:r/>
    </w:p>
    <w:p>
      <w:pPr>
        <w:pStyle w:val="779"/>
        <w:rPr>
          <w:b/>
          <w:spacing w:val="20"/>
          <w:szCs w:val="21"/>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b/>
          <w:spacing w:val="20"/>
          <w:szCs w:val="21"/>
        </w:rPr>
      </w:r>
      <w:r/>
    </w:p>
    <w:p>
      <w:pPr>
        <w:pStyle w:val="779"/>
        <w:rPr>
          <w:b/>
          <w:sz w:val="24"/>
        </w:rPr>
      </w:pPr>
      <w:r>
        <w:rPr>
          <w:b/>
          <w:spacing w:val="20"/>
          <w:sz w:val="24"/>
        </w:rPr>
        <w:t xml:space="preserve">响应文件</w:t>
      </w:r>
      <w:r>
        <w:rPr>
          <w:b/>
          <w:sz w:val="24"/>
        </w:rPr>
        <w:t xml:space="preserve">封面（非实质性格式）</w:t>
      </w:r>
      <w:r>
        <w:rPr>
          <w:b/>
          <w:sz w:val="24"/>
        </w:rPr>
      </w:r>
      <w:r/>
    </w:p>
    <w:p>
      <w:pPr>
        <w:pStyle w:val="779"/>
        <w:jc w:val="center"/>
        <w:rPr>
          <w:szCs w:val="21"/>
        </w:rPr>
      </w:pPr>
      <w:r>
        <w:rPr>
          <w:szCs w:val="21"/>
        </w:rPr>
      </w:r>
      <w:r/>
    </w:p>
    <w:p>
      <w:pPr>
        <w:pStyle w:val="779"/>
        <w:jc w:val="center"/>
        <w:rPr>
          <w:b/>
          <w:spacing w:val="60"/>
          <w:sz w:val="84"/>
          <w:szCs w:val="84"/>
        </w:rPr>
      </w:pPr>
      <w:r>
        <w:rPr>
          <w:b/>
          <w:spacing w:val="60"/>
          <w:sz w:val="84"/>
          <w:szCs w:val="84"/>
        </w:rPr>
        <w:t xml:space="preserve">响  应 文 件</w:t>
      </w:r>
      <w:r>
        <w:rPr>
          <w:b/>
          <w:spacing w:val="60"/>
          <w:sz w:val="84"/>
          <w:szCs w:val="84"/>
        </w:rPr>
      </w:r>
      <w:r/>
    </w:p>
    <w:p>
      <w:pPr>
        <w:pStyle w:val="779"/>
        <w:ind w:firstLine="542"/>
        <w:rPr>
          <w:b/>
          <w:spacing w:val="20"/>
          <w:sz w:val="32"/>
          <w:szCs w:val="32"/>
        </w:rPr>
      </w:pPr>
      <w:r>
        <w:rPr>
          <w:b/>
          <w:spacing w:val="20"/>
          <w:sz w:val="32"/>
          <w:szCs w:val="32"/>
        </w:rPr>
      </w:r>
      <w:r/>
    </w:p>
    <w:p>
      <w:pPr>
        <w:pStyle w:val="779"/>
        <w:ind w:firstLine="542"/>
        <w:rPr>
          <w:b/>
          <w:spacing w:val="20"/>
          <w:sz w:val="32"/>
          <w:szCs w:val="32"/>
        </w:rPr>
      </w:pPr>
      <w:r>
        <w:rPr>
          <w:b/>
          <w:spacing w:val="20"/>
          <w:sz w:val="32"/>
          <w:szCs w:val="32"/>
        </w:rPr>
      </w:r>
      <w:r/>
    </w:p>
    <w:p>
      <w:pPr>
        <w:pStyle w:val="779"/>
        <w:ind w:firstLine="542"/>
        <w:rPr>
          <w:b/>
          <w:spacing w:val="20"/>
          <w:sz w:val="32"/>
          <w:szCs w:val="32"/>
        </w:rPr>
      </w:pPr>
      <w:r>
        <w:rPr>
          <w:b/>
          <w:spacing w:val="20"/>
          <w:sz w:val="32"/>
          <w:szCs w:val="32"/>
        </w:rPr>
      </w:r>
      <w:r/>
    </w:p>
    <w:p>
      <w:pPr>
        <w:pStyle w:val="779"/>
        <w:ind w:firstLine="542"/>
        <w:rPr>
          <w:b/>
          <w:spacing w:val="20"/>
          <w:sz w:val="32"/>
          <w:szCs w:val="32"/>
        </w:rPr>
      </w:pPr>
      <w:r>
        <w:rPr>
          <w:b/>
          <w:spacing w:val="20"/>
          <w:sz w:val="32"/>
          <w:szCs w:val="32"/>
        </w:rPr>
      </w:r>
      <w:r/>
    </w:p>
    <w:p>
      <w:pPr>
        <w:pStyle w:val="77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7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79"/>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7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79"/>
        <w:jc w:val="center"/>
        <w:rPr>
          <w:b/>
          <w:sz w:val="32"/>
          <w:szCs w:val="32"/>
        </w:rPr>
      </w:pPr>
      <w:r>
        <w:rPr>
          <w:b/>
          <w:sz w:val="32"/>
          <w:szCs w:val="32"/>
        </w:rPr>
      </w:r>
      <w:r/>
    </w:p>
    <w:p>
      <w:pPr>
        <w:pStyle w:val="779"/>
        <w:rPr>
          <w:b/>
        </w:rPr>
      </w:pPr>
      <w:r>
        <w:rPr>
          <w:b/>
          <w:spacing w:val="20"/>
          <w:sz w:val="32"/>
          <w:szCs w:val="32"/>
        </w:rPr>
        <w:br w:type="page" w:clear="all"/>
      </w:r>
      <w:r>
        <w:rPr>
          <w:b/>
        </w:rPr>
      </w:r>
      <w:r/>
    </w:p>
    <w:p>
      <w:pPr>
        <w:pStyle w:val="779"/>
        <w:spacing w:line="360" w:lineRule="auto"/>
        <w:rPr>
          <w:color w:val="000000"/>
          <w:sz w:val="24"/>
          <w:szCs w:val="20"/>
        </w:rPr>
        <w:outlineLvl w:val="2"/>
      </w:pPr>
      <w:r>
        <w:rPr>
          <w:color w:val="000000"/>
          <w:sz w:val="24"/>
          <w:szCs w:val="20"/>
        </w:rPr>
        <w:t xml:space="preserve">1</w:t>
      </w:r>
      <w:r>
        <w:rPr>
          <w:sz w:val="24"/>
        </w:rPr>
        <w:t xml:space="preserve">满足《中华人民共和国政府采购法》第二十二条规定及法律法规的其他规定</w:t>
      </w:r>
      <w:r>
        <w:rPr>
          <w:color w:val="000000"/>
          <w:sz w:val="24"/>
          <w:szCs w:val="20"/>
        </w:rPr>
      </w:r>
      <w:r/>
    </w:p>
    <w:p>
      <w:pPr>
        <w:pStyle w:val="78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77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7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01"/>
        <w:ind w:firstLine="480"/>
        <w:spacing w:line="460" w:lineRule="exact"/>
      </w:pPr>
      <w:r/>
      <w:r/>
    </w:p>
    <w:p>
      <w:pPr>
        <w:pStyle w:val="801"/>
        <w:ind w:firstLine="480"/>
        <w:spacing w:line="460" w:lineRule="exact"/>
        <w:rPr>
          <w:rFonts w:hint="eastAsia"/>
        </w:rPr>
      </w:pPr>
      <w:r>
        <w:rPr>
          <w:rFonts w:hint="eastAsia"/>
        </w:rPr>
        <w:t xml:space="preserve">致：常州正衡招投标有限公司</w:t>
      </w:r>
      <w:r>
        <w:rPr>
          <w:rFonts w:hint="eastAsia"/>
        </w:rPr>
      </w:r>
      <w:r/>
    </w:p>
    <w:p>
      <w:pPr>
        <w:pStyle w:val="801"/>
        <w:ind w:firstLine="960"/>
        <w:spacing w:line="460" w:lineRule="exact"/>
        <w:rPr>
          <w:u w:val="single"/>
        </w:rPr>
      </w:pPr>
      <w:r>
        <w:rPr>
          <w:rFonts w:hint="eastAsia"/>
          <w:u w:val="single"/>
        </w:rPr>
        <w:t xml:space="preserve">（采购人名称）</w:t>
      </w:r>
      <w:r>
        <w:rPr>
          <w:u w:val="single"/>
        </w:rPr>
      </w:r>
      <w:r/>
    </w:p>
    <w:p>
      <w:pPr>
        <w:pStyle w:val="801"/>
        <w:ind w:firstLine="480"/>
        <w:spacing w:line="460" w:lineRule="exact"/>
      </w:pPr>
      <w:r/>
      <w:r/>
    </w:p>
    <w:p>
      <w:pPr>
        <w:pStyle w:val="801"/>
        <w:ind w:firstLine="480"/>
        <w:spacing w:line="460" w:lineRule="exact"/>
      </w:pPr>
      <w:r>
        <w:rPr>
          <w:rFonts w:hint="eastAsia"/>
        </w:rPr>
        <w:t xml:space="preserve">按照《中华人民共和国政府采购法》第二十二条和招标文件的规定，我单位郑重声明如下：</w:t>
      </w:r>
      <w:r/>
    </w:p>
    <w:p>
      <w:pPr>
        <w:pStyle w:val="80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01"/>
        <w:ind w:firstLine="480"/>
        <w:spacing w:line="460" w:lineRule="exact"/>
      </w:pPr>
      <w:r>
        <w:rPr>
          <w:rFonts w:hint="eastAsia"/>
        </w:rPr>
        <w:t xml:space="preserve">二、我单位未被“国家企业信用信息系统”列入经营异常名录或者严重违法企业名单。</w:t>
      </w:r>
      <w:r/>
    </w:p>
    <w:p>
      <w:pPr>
        <w:pStyle w:val="801"/>
        <w:ind w:firstLine="480"/>
        <w:spacing w:line="460" w:lineRule="exact"/>
      </w:pPr>
      <w:r>
        <w:rPr>
          <w:rFonts w:hint="eastAsia"/>
        </w:rPr>
        <w:t xml:space="preserve">三、我单位具有良好的商业信誉（指投标人经营状况良好，无本资格声明第十条情形）和健全的财务会计制度。</w:t>
      </w:r>
      <w:r/>
    </w:p>
    <w:p>
      <w:pPr>
        <w:pStyle w:val="801"/>
        <w:ind w:firstLine="480"/>
        <w:spacing w:line="460" w:lineRule="exact"/>
      </w:pPr>
      <w:r>
        <w:rPr>
          <w:rFonts w:hint="eastAsia"/>
        </w:rPr>
        <w:t xml:space="preserve">四、我单位依法进行纳税和社会保险申报并实际履行了义务。</w:t>
      </w:r>
      <w:r/>
    </w:p>
    <w:p>
      <w:pPr>
        <w:pStyle w:val="80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01"/>
        <w:ind w:firstLine="480"/>
        <w:spacing w:line="460" w:lineRule="exact"/>
      </w:pPr>
      <w:r>
        <w:rPr>
          <w:rFonts w:hint="eastAsia"/>
        </w:rPr>
        <w:t xml:space="preserve">主要设备有：</w:t>
      </w:r>
      <w:r>
        <w:rPr>
          <w:u w:val="single"/>
        </w:rPr>
        <w:t xml:space="preserve">            </w:t>
      </w:r>
      <w:r/>
    </w:p>
    <w:p>
      <w:pPr>
        <w:pStyle w:val="801"/>
        <w:ind w:firstLine="480"/>
        <w:spacing w:line="460" w:lineRule="exact"/>
      </w:pPr>
      <w:r>
        <w:rPr>
          <w:rFonts w:hint="eastAsia"/>
        </w:rPr>
        <w:t xml:space="preserve">主要专业技术能力有</w:t>
      </w:r>
      <w:r>
        <w:rPr>
          <w:rFonts w:hint="eastAsia"/>
          <w:u w:val="single"/>
        </w:rPr>
        <w:t xml:space="preserve">                 </w:t>
      </w:r>
      <w:r/>
    </w:p>
    <w:p>
      <w:pPr>
        <w:pStyle w:val="80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1"/>
        <w:ind w:firstLine="480"/>
        <w:spacing w:line="460" w:lineRule="exact"/>
      </w:pPr>
      <w:r>
        <w:rPr>
          <w:rFonts w:hint="eastAsia"/>
        </w:rPr>
        <w:t xml:space="preserve">七、我单位具备法律、行政法规规定的其他条件。</w:t>
      </w:r>
      <w:r/>
    </w:p>
    <w:p>
      <w:pPr>
        <w:pStyle w:val="80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0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0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0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0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不属于为本项目提供整体设计、规范编制或者项目管理、监理、检测等服务的投标人。</w:t>
      </w:r>
      <w:r/>
    </w:p>
    <w:p>
      <w:pPr>
        <w:pStyle w:val="801"/>
        <w:ind w:firstLine="480"/>
        <w:spacing w:line="460" w:lineRule="exact"/>
      </w:pPr>
      <w:r>
        <w:rPr>
          <w:rFonts w:hint="eastAsia"/>
        </w:rPr>
        <w:t xml:space="preserve">十、</w:t>
      </w:r>
      <w:r>
        <w:t xml:space="preserve">我单位无以下不良信用记录情形：</w:t>
      </w:r>
      <w:r/>
    </w:p>
    <w:p>
      <w:pPr>
        <w:pStyle w:val="801"/>
        <w:ind w:firstLine="480"/>
        <w:spacing w:line="460" w:lineRule="exact"/>
      </w:pPr>
      <w:r>
        <w:t xml:space="preserve">1</w:t>
      </w:r>
      <w:r>
        <w:rPr>
          <w:rFonts w:hint="eastAsia"/>
        </w:rPr>
        <w:t xml:space="preserve">、在“信用中国”网站被列入失信被执行人和重大税收违法案件当事人名单；</w:t>
      </w:r>
      <w:r/>
    </w:p>
    <w:p>
      <w:pPr>
        <w:pStyle w:val="801"/>
        <w:ind w:firstLine="480"/>
        <w:spacing w:line="460" w:lineRule="exact"/>
      </w:pPr>
      <w:r>
        <w:t xml:space="preserve">2</w:t>
      </w:r>
      <w:r>
        <w:rPr>
          <w:rFonts w:hint="eastAsia"/>
        </w:rPr>
        <w:t xml:space="preserve">、在“中国政府采购网”网站被列入政府采购严重违法失信行为记录名单；</w:t>
      </w:r>
      <w:r/>
    </w:p>
    <w:p>
      <w:pPr>
        <w:pStyle w:val="801"/>
        <w:ind w:firstLine="480"/>
        <w:spacing w:line="460" w:lineRule="exact"/>
      </w:pPr>
      <w:r>
        <w:t xml:space="preserve">3</w:t>
      </w:r>
      <w:r>
        <w:rPr>
          <w:rFonts w:hint="eastAsia"/>
        </w:rPr>
        <w:t xml:space="preserve">、</w:t>
      </w:r>
      <w:r>
        <w:t xml:space="preserve">不符合《政府采购法》第二十二条规定的条件。</w:t>
      </w:r>
      <w:r/>
    </w:p>
    <w:p>
      <w:pPr>
        <w:pStyle w:val="801"/>
        <w:ind w:firstLine="480"/>
        <w:spacing w:line="460" w:lineRule="exact"/>
      </w:pPr>
      <w:r/>
      <w:r/>
    </w:p>
    <w:p>
      <w:pPr>
        <w:pStyle w:val="80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01"/>
        <w:ind w:firstLine="480"/>
        <w:spacing w:line="460" w:lineRule="exact"/>
      </w:pPr>
      <w:r/>
      <w:r/>
    </w:p>
    <w:p>
      <w:pPr>
        <w:pStyle w:val="801"/>
        <w:ind w:firstLine="480"/>
        <w:spacing w:line="460" w:lineRule="exact"/>
      </w:pPr>
      <w:r/>
      <w:r/>
    </w:p>
    <w:p>
      <w:pPr>
        <w:pStyle w:val="801"/>
        <w:ind w:firstLine="480"/>
        <w:spacing w:line="460" w:lineRule="exact"/>
      </w:pPr>
      <w:r>
        <w:rPr>
          <w:rFonts w:hint="eastAsia"/>
        </w:rPr>
        <w:t xml:space="preserve">                                            投标人：（加盖公章）</w:t>
      </w:r>
      <w:r/>
    </w:p>
    <w:p>
      <w:pPr>
        <w:pStyle w:val="801"/>
        <w:ind w:firstLine="480"/>
        <w:spacing w:line="460" w:lineRule="exact"/>
      </w:pPr>
      <w:r>
        <w:rPr>
          <w:rFonts w:hint="eastAsia"/>
        </w:rPr>
        <w:t xml:space="preserve">                                           法定代表人（或单位负责人）签字或盖章：</w:t>
      </w:r>
      <w:r/>
    </w:p>
    <w:p>
      <w:pPr>
        <w:pStyle w:val="801"/>
        <w:ind w:firstLine="4920"/>
        <w:spacing w:line="460" w:lineRule="exact"/>
        <w:rPr>
          <w:rFonts w:hint="eastAsia"/>
        </w:rPr>
      </w:pPr>
      <w:r>
        <w:rPr>
          <w:rFonts w:hint="eastAsia"/>
        </w:rPr>
        <w:t xml:space="preserve">日期：    年    月    日</w:t>
      </w:r>
      <w:r>
        <w:rPr>
          <w:rFonts w:hint="eastAsia"/>
        </w:rPr>
      </w:r>
      <w:r/>
    </w:p>
    <w:p>
      <w:pPr>
        <w:pStyle w:val="779"/>
        <w:spacing w:line="360" w:lineRule="auto"/>
        <w:rPr>
          <w:rFonts w:hint="eastAsia"/>
          <w:sz w:val="24"/>
        </w:rPr>
      </w:pPr>
      <w:r>
        <w:rPr>
          <w:rFonts w:hint="eastAsia"/>
          <w:sz w:val="24"/>
        </w:rPr>
      </w:r>
      <w:r/>
    </w:p>
    <w:p>
      <w:pPr>
        <w:pStyle w:val="779"/>
        <w:spacing w:line="360" w:lineRule="auto"/>
        <w:rPr>
          <w:rFonts w:hint="eastAsia"/>
          <w:sz w:val="24"/>
        </w:rPr>
      </w:pPr>
      <w:r>
        <w:rPr>
          <w:rFonts w:hint="eastAsia"/>
          <w:sz w:val="24"/>
        </w:rPr>
      </w:r>
      <w:r/>
    </w:p>
    <w:p>
      <w:pPr>
        <w:pStyle w:val="779"/>
        <w:spacing w:line="360" w:lineRule="auto"/>
        <w:rPr>
          <w:rFonts w:hint="eastAsia"/>
          <w:sz w:val="24"/>
        </w:rPr>
      </w:pPr>
      <w:r>
        <w:rPr>
          <w:rFonts w:hint="eastAsia"/>
          <w:sz w:val="24"/>
        </w:rPr>
      </w:r>
      <w:r/>
    </w:p>
    <w:p>
      <w:pPr>
        <w:pStyle w:val="77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79"/>
        <w:spacing w:line="360" w:lineRule="auto"/>
        <w:rPr>
          <w:sz w:val="24"/>
        </w:rPr>
        <w:sectPr>
          <w:headerReference w:type="default" r:id="rId13"/>
          <w:footerReference w:type="default" r:id="rId18"/>
          <w:footnotePr/>
          <w:endnotePr/>
          <w:type w:val="nextPage"/>
          <w:pgSz w:w="11907" w:h="16840" w:orient="portrait"/>
          <w:pgMar w:top="1418" w:right="1134" w:bottom="1418" w:left="1701" w:header="851" w:footer="851" w:gutter="0"/>
          <w:cols w:num="1" w:sep="0" w:space="1701" w:equalWidth="1"/>
          <w:docGrid w:linePitch="360"/>
        </w:sectPr>
      </w:pPr>
      <w:r>
        <w:rPr>
          <w:sz w:val="24"/>
        </w:rPr>
      </w:r>
      <w:r>
        <w:rPr>
          <w:rFonts w:hint="eastAsia"/>
          <w:sz w:val="24"/>
        </w:rPr>
        <w:t xml:space="preserve">1-2 营业执照副本</w:t>
      </w:r>
      <w:r>
        <w:rPr>
          <w:color w:val="000000"/>
        </w:rPr>
        <w:t xml:space="preserve">（实质性格式）</w:t>
      </w:r>
      <w:r>
        <w:rPr>
          <w:sz w:val="24"/>
        </w:rPr>
      </w:r>
      <w:r/>
    </w:p>
    <w:p>
      <w:pPr>
        <w:pStyle w:val="779"/>
        <w:jc w:val="left"/>
        <w:widowControl/>
        <w:rPr>
          <w:color w:val="000000"/>
          <w:sz w:val="24"/>
          <w:szCs w:val="20"/>
        </w:rPr>
      </w:pPr>
      <w:r/>
      <w:bookmarkStart w:id="656" w:name="_Hlt520343000"/>
      <w:r/>
      <w:bookmarkEnd w:id="656"/>
      <w:r/>
      <w:bookmarkStart w:id="657" w:name="_Hlt520273711"/>
      <w:r/>
      <w:bookmarkEnd w:id="657"/>
      <w:r/>
      <w:bookmarkStart w:id="658" w:name="_Hlt520274065"/>
      <w:r/>
      <w:bookmarkEnd w:id="658"/>
      <w:r/>
      <w:bookmarkStart w:id="659" w:name="_Hlt520343392"/>
      <w:r/>
      <w:bookmarkEnd w:id="659"/>
      <w:r/>
      <w:bookmarkStart w:id="660" w:name="_Hlt520274407"/>
      <w:r/>
      <w:bookmarkEnd w:id="660"/>
      <w:r/>
      <w:bookmarkStart w:id="661" w:name="_Hlt520271212"/>
      <w:r/>
      <w:bookmarkEnd w:id="661"/>
      <w:r/>
      <w:bookmarkStart w:id="662" w:name="_Hlt520274393"/>
      <w:r/>
      <w:bookmarkEnd w:id="662"/>
      <w:r/>
      <w:bookmarkStart w:id="663" w:name="_Hlt520350918"/>
      <w:r/>
      <w:bookmarkEnd w:id="663"/>
      <w:r/>
      <w:bookmarkStart w:id="664" w:name="_Hlt520355504"/>
      <w:r/>
      <w:bookmarkEnd w:id="664"/>
      <w:r/>
      <w:bookmarkStart w:id="665" w:name="_Hlt520274121"/>
      <w:r/>
      <w:bookmarkEnd w:id="665"/>
      <w:r/>
      <w:bookmarkStart w:id="666" w:name="_Ref467988698"/>
      <w:r/>
      <w:bookmarkStart w:id="667" w:name="_Toc480942349"/>
      <w:r/>
      <w:bookmarkStart w:id="668" w:name="_Toc226309800"/>
      <w:r/>
      <w:bookmarkStart w:id="669" w:name="_Toc195842921"/>
      <w:r/>
      <w:bookmarkStart w:id="670" w:name="_Toc226965746"/>
      <w:r/>
      <w:bookmarkStart w:id="671" w:name="_Toc226965829"/>
      <w:r/>
      <w:bookmarkStart w:id="672" w:name="_Toc127151556"/>
      <w:r/>
      <w:bookmarkStart w:id="673" w:name="_Toc142311058"/>
      <w:r/>
      <w:bookmarkStart w:id="674" w:name="_Toc150774761"/>
      <w:r/>
      <w:bookmarkStart w:id="675" w:name="_Toc520356217"/>
      <w:r/>
      <w:bookmarkStart w:id="676" w:name="_Toc226337252"/>
      <w:r/>
      <w:bookmarkStart w:id="677" w:name="_Toc150480794"/>
      <w:r>
        <w:rPr>
          <w:color w:val="000000"/>
          <w:sz w:val="24"/>
          <w:szCs w:val="20"/>
        </w:rPr>
      </w:r>
      <w:r/>
    </w:p>
    <w:p>
      <w:pPr>
        <w:pStyle w:val="779"/>
        <w:spacing w:line="360" w:lineRule="auto"/>
        <w:rPr>
          <w:color w:val="000000"/>
          <w:sz w:val="24"/>
          <w:szCs w:val="20"/>
        </w:rPr>
        <w:outlineLvl w:val="2"/>
      </w:pPr>
      <w:r/>
      <w:bookmarkEnd w:id="666"/>
      <w:r/>
      <w:bookmarkEnd w:id="667"/>
      <w:r>
        <w:rPr>
          <w:rFonts w:hint="eastAsia"/>
          <w:color w:val="000000"/>
          <w:sz w:val="24"/>
        </w:rPr>
        <w:t xml:space="preserve">2</w:t>
      </w:r>
      <w:r>
        <w:rPr>
          <w:color w:val="000000"/>
          <w:sz w:val="24"/>
        </w:rPr>
        <w:t xml:space="preserve"> 响应书</w:t>
      </w:r>
      <w:bookmarkEnd w:id="668"/>
      <w:r/>
      <w:bookmarkEnd w:id="669"/>
      <w:r/>
      <w:bookmarkEnd w:id="670"/>
      <w:r/>
      <w:bookmarkEnd w:id="671"/>
      <w:r/>
      <w:bookmarkEnd w:id="672"/>
      <w:r/>
      <w:bookmarkEnd w:id="673"/>
      <w:r/>
      <w:bookmarkEnd w:id="674"/>
      <w:r/>
      <w:bookmarkEnd w:id="675"/>
      <w:r/>
      <w:bookmarkEnd w:id="676"/>
      <w:r/>
      <w:bookmarkEnd w:id="677"/>
      <w:r>
        <w:rPr>
          <w:color w:val="000000"/>
          <w:sz w:val="24"/>
          <w:szCs w:val="20"/>
        </w:rPr>
      </w:r>
      <w:r/>
    </w:p>
    <w:p>
      <w:pPr>
        <w:pStyle w:val="779"/>
        <w:spacing w:line="360" w:lineRule="auto"/>
        <w:tabs>
          <w:tab w:val="left" w:pos="5580" w:leader="none"/>
        </w:tabs>
        <w:rPr>
          <w:color w:val="000000"/>
          <w:sz w:val="24"/>
        </w:rPr>
      </w:pPr>
      <w:r>
        <w:rPr>
          <w:color w:val="000000"/>
          <w:sz w:val="24"/>
        </w:rPr>
      </w:r>
      <w:r/>
    </w:p>
    <w:p>
      <w:pPr>
        <w:pStyle w:val="779"/>
        <w:jc w:val="center"/>
        <w:spacing w:line="360" w:lineRule="auto"/>
        <w:rPr>
          <w:b/>
          <w:color w:val="000000"/>
          <w:sz w:val="36"/>
          <w:szCs w:val="36"/>
        </w:rPr>
      </w:pPr>
      <w:r>
        <w:rPr>
          <w:b/>
          <w:color w:val="000000"/>
          <w:sz w:val="36"/>
          <w:szCs w:val="36"/>
        </w:rPr>
        <w:t xml:space="preserve">响应</w:t>
      </w:r>
      <w:r>
        <w:rPr>
          <w:rFonts w:hint="eastAsia"/>
          <w:b/>
          <w:color w:val="000000"/>
          <w:sz w:val="36"/>
          <w:szCs w:val="36"/>
        </w:rPr>
        <w:t xml:space="preserve">函</w:t>
      </w:r>
      <w:r>
        <w:rPr>
          <w:b/>
          <w:color w:val="000000"/>
          <w:sz w:val="36"/>
          <w:szCs w:val="36"/>
        </w:rPr>
      </w:r>
      <w:r/>
    </w:p>
    <w:p>
      <w:pPr>
        <w:pStyle w:val="77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79"/>
        <w:spacing w:line="360" w:lineRule="auto"/>
        <w:tabs>
          <w:tab w:val="left" w:pos="5580" w:leader="none"/>
        </w:tabs>
        <w:rPr>
          <w:color w:val="000000"/>
          <w:sz w:val="24"/>
          <w:szCs w:val="20"/>
        </w:rPr>
      </w:pPr>
      <w:r>
        <w:rPr>
          <w:color w:val="000000"/>
          <w:sz w:val="24"/>
          <w:szCs w:val="20"/>
        </w:rPr>
      </w:r>
      <w:r/>
    </w:p>
    <w:p>
      <w:pPr>
        <w:pStyle w:val="779"/>
        <w:ind w:firstLine="408"/>
        <w:spacing w:line="360" w:lineRule="auto"/>
        <w:tabs>
          <w:tab w:val="left" w:pos="5580" w:leader="none"/>
        </w:tabs>
        <w:rPr>
          <w:color w:val="000000"/>
          <w:sz w:val="24"/>
          <w:szCs w:val="20"/>
        </w:rPr>
      </w:pPr>
      <w:r>
        <w:rPr>
          <w:color w:val="000000"/>
          <w:sz w:val="24"/>
          <w:szCs w:val="20"/>
        </w:rPr>
        <w:t xml:space="preserve">我方参加你方就_____________________（项目名称，项目编号/包号）组织的采购活动，并对此项目进行响应。</w:t>
      </w:r>
      <w:r>
        <w:rPr>
          <w:color w:val="000000"/>
          <w:sz w:val="24"/>
          <w:szCs w:val="20"/>
        </w:rPr>
      </w:r>
      <w:r/>
    </w:p>
    <w:p>
      <w:pPr>
        <w:pStyle w:val="77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已详细审查全部单一来源采购文件</w:t>
      </w:r>
      <w:r>
        <w:rPr>
          <w:color w:val="000000"/>
          <w:sz w:val="24"/>
          <w:szCs w:val="20"/>
        </w:rPr>
        <w:t xml:space="preserve">，自愿参与响应并承诺如下：</w:t>
      </w:r>
      <w:r>
        <w:rPr>
          <w:color w:val="000000"/>
          <w:sz w:val="24"/>
          <w:szCs w:val="20"/>
        </w:rPr>
      </w:r>
      <w:r/>
    </w:p>
    <w:p>
      <w:pPr>
        <w:pStyle w:val="77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sz w:val="24"/>
        </w:rPr>
        <w:t xml:space="preserve">_____</w:t>
      </w:r>
      <w:r>
        <w:rPr>
          <w:color w:val="000000"/>
          <w:sz w:val="24"/>
          <w:szCs w:val="20"/>
        </w:rPr>
        <w:t xml:space="preserve">个日历日。</w:t>
      </w:r>
      <w:r>
        <w:rPr>
          <w:color w:val="000000"/>
          <w:sz w:val="24"/>
          <w:szCs w:val="20"/>
        </w:rPr>
      </w:r>
      <w:r/>
    </w:p>
    <w:p>
      <w:pPr>
        <w:pStyle w:val="77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（2）除合同条款及采购需求偏离表列出的偏离外，我方响应单一来源采购文件的全部要求。</w:t>
      </w:r>
      <w:r>
        <w:rPr>
          <w:color w:val="000000"/>
          <w:sz w:val="24"/>
          <w:szCs w:val="20"/>
        </w:rPr>
      </w:r>
      <w:r/>
    </w:p>
    <w:p>
      <w:pPr>
        <w:pStyle w:val="77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79"/>
        <w:ind w:firstLine="420"/>
        <w:spacing w:line="360" w:lineRule="auto"/>
        <w:tabs>
          <w:tab w:val="left" w:pos="5580" w:leader="none"/>
        </w:tabs>
        <w:rPr>
          <w:color w:val="000000"/>
          <w:sz w:val="24"/>
        </w:rPr>
      </w:pPr>
      <w:r>
        <w:rPr>
          <w:color w:val="000000"/>
          <w:sz w:val="24"/>
          <w:szCs w:val="20"/>
        </w:rPr>
        <w:t xml:space="preserve">（4）如我方成交，我方将在法律规定的期限内与你方签订合同，按照单一来源采购文件要求提交履约保证金，并在合同约定的期限内完成合同规定的全部义务。</w:t>
      </w:r>
      <w:r>
        <w:rPr>
          <w:color w:val="000000"/>
          <w:sz w:val="24"/>
        </w:rPr>
      </w:r>
      <w:r/>
    </w:p>
    <w:p>
      <w:pPr>
        <w:pStyle w:val="779"/>
        <w:ind w:left="420"/>
        <w:spacing w:line="360" w:lineRule="auto"/>
        <w:rPr>
          <w:color w:val="000000"/>
          <w:sz w:val="24"/>
        </w:rPr>
      </w:pPr>
      <w:r>
        <w:rPr>
          <w:color w:val="000000"/>
          <w:sz w:val="24"/>
        </w:rPr>
        <w:t xml:space="preserve">2. 其他补充条款（如有）：</w:t>
      </w:r>
      <w:r>
        <w:rPr>
          <w:color w:val="000000"/>
          <w:sz w:val="24"/>
          <w:szCs w:val="20"/>
        </w:rPr>
        <w:t xml:space="preserve">_____________________</w:t>
      </w:r>
      <w:r>
        <w:rPr>
          <w:color w:val="000000"/>
          <w:sz w:val="24"/>
        </w:rPr>
        <w:t xml:space="preserve">。</w:t>
      </w:r>
      <w:r>
        <w:rPr>
          <w:color w:val="000000"/>
          <w:sz w:val="24"/>
        </w:rPr>
      </w:r>
      <w:r/>
    </w:p>
    <w:p>
      <w:pPr>
        <w:pStyle w:val="779"/>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779"/>
        <w:ind w:left="420"/>
        <w:spacing w:line="360" w:lineRule="auto"/>
        <w:tabs>
          <w:tab w:val="left" w:pos="5580" w:leader="none"/>
        </w:tabs>
        <w:rPr>
          <w:color w:val="000000"/>
          <w:sz w:val="24"/>
          <w:szCs w:val="20"/>
        </w:rPr>
      </w:pP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r>
      <w:r/>
    </w:p>
    <w:p>
      <w:pPr>
        <w:pStyle w:val="779"/>
        <w:ind w:left="420"/>
        <w:spacing w:line="360" w:lineRule="auto"/>
        <w:tabs>
          <w:tab w:val="left" w:pos="5580" w:leader="none"/>
        </w:tabs>
        <w:rPr>
          <w:color w:val="000000"/>
          <w:sz w:val="24"/>
          <w:szCs w:val="20"/>
        </w:rPr>
      </w:pPr>
      <w:r>
        <w:rPr>
          <w:color w:val="000000"/>
          <w:sz w:val="24"/>
          <w:szCs w:val="20"/>
        </w:rPr>
        <w:t xml:space="preserve">供应商名称（加盖公章） _____________________</w:t>
      </w:r>
      <w:r>
        <w:rPr>
          <w:color w:val="000000"/>
          <w:sz w:val="24"/>
          <w:szCs w:val="20"/>
        </w:rPr>
      </w:r>
      <w:r/>
    </w:p>
    <w:p>
      <w:pPr>
        <w:pStyle w:val="779"/>
        <w:ind w:left="420"/>
        <w:spacing w:line="360" w:lineRule="auto"/>
        <w:tabs>
          <w:tab w:val="left" w:pos="5580" w:leader="none"/>
        </w:tabs>
        <w:rPr>
          <w:color w:val="000000"/>
          <w:sz w:val="24"/>
          <w:szCs w:val="20"/>
          <w:u w:val="single"/>
        </w:rPr>
      </w:pPr>
      <w:r>
        <w:rPr>
          <w:color w:val="000000"/>
          <w:sz w:val="24"/>
          <w:szCs w:val="20"/>
        </w:rPr>
        <w:t xml:space="preserve">日期：_____年______月______日  </w:t>
      </w:r>
      <w:r>
        <w:rPr>
          <w:color w:val="000000"/>
          <w:sz w:val="24"/>
          <w:szCs w:val="20"/>
          <w:u w:val="single"/>
        </w:rPr>
      </w:r>
      <w:r/>
    </w:p>
    <w:p>
      <w:pPr>
        <w:pStyle w:val="779"/>
        <w:jc w:val="left"/>
        <w:widowControl/>
        <w:rPr>
          <w:color w:val="000000"/>
          <w:sz w:val="24"/>
        </w:rPr>
      </w:pPr>
      <w:r/>
      <w:bookmarkStart w:id="678" w:name="_Hlt520355938"/>
      <w:r/>
      <w:bookmarkEnd w:id="678"/>
      <w:r/>
      <w:bookmarkStart w:id="679" w:name="_Hlt520356243"/>
      <w:r/>
      <w:bookmarkEnd w:id="679"/>
      <w:r/>
      <w:bookmarkStart w:id="680" w:name="_Toc480942350"/>
      <w:r/>
      <w:bookmarkStart w:id="681" w:name="_Toc305158825"/>
      <w:r/>
      <w:bookmarkStart w:id="682" w:name="_Toc150774762"/>
      <w:r/>
      <w:bookmarkStart w:id="683" w:name="_Toc226309801"/>
      <w:r/>
      <w:bookmarkStart w:id="684" w:name="_Toc264969247"/>
      <w:r/>
      <w:bookmarkStart w:id="685" w:name="_Toc305158899"/>
      <w:r/>
      <w:bookmarkStart w:id="686" w:name="_Toc195842922"/>
      <w:r/>
      <w:bookmarkStart w:id="687" w:name="_Toc226965747"/>
      <w:r/>
      <w:bookmarkStart w:id="688" w:name="_Toc265228395"/>
      <w:r/>
      <w:bookmarkStart w:id="689" w:name="_Toc142311059"/>
      <w:r/>
      <w:bookmarkStart w:id="690" w:name="_Ref467988705"/>
      <w:r/>
      <w:bookmarkStart w:id="691" w:name="_Toc520356218"/>
      <w:r/>
      <w:bookmarkStart w:id="692" w:name="_Toc226965830"/>
      <w:r/>
      <w:bookmarkStart w:id="693" w:name="_Toc226337253"/>
      <w:r/>
      <w:bookmarkStart w:id="694" w:name="_Toc150480795"/>
      <w:r/>
      <w:bookmarkStart w:id="695" w:name="_Toc127151557"/>
      <w:r>
        <w:rPr>
          <w:color w:val="000000"/>
          <w:sz w:val="24"/>
        </w:rPr>
        <w:br w:type="page" w:clear="all"/>
      </w:r>
      <w:r>
        <w:rPr>
          <w:color w:val="000000"/>
          <w:sz w:val="24"/>
        </w:rPr>
      </w:r>
      <w:r/>
    </w:p>
    <w:p>
      <w:pPr>
        <w:pStyle w:val="779"/>
        <w:jc w:val="left"/>
        <w:widowControl/>
        <w:rPr>
          <w:rFonts w:hint="eastAsia"/>
          <w:color w:val="000000"/>
          <w:sz w:val="24"/>
        </w:rPr>
      </w:pPr>
      <w:r>
        <w:rPr>
          <w:rFonts w:hint="eastAsia"/>
          <w:color w:val="000000"/>
          <w:sz w:val="24"/>
        </w:rPr>
        <w:t xml:space="preserve">3法定代表人资格证明书</w:t>
      </w:r>
      <w:r>
        <w:rPr>
          <w:rFonts w:hint="eastAsia"/>
          <w:color w:val="000000"/>
          <w:sz w:val="24"/>
        </w:rPr>
      </w:r>
      <w:r/>
    </w:p>
    <w:p>
      <w:pPr>
        <w:pStyle w:val="77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法定代表人资格证明书</w:t>
      </w:r>
      <w:r>
        <w:rPr>
          <w:rFonts w:hint="eastAsia" w:ascii="黑体" w:hAnsi="黑体" w:eastAsia="黑体"/>
          <w:b/>
          <w:sz w:val="32"/>
          <w:szCs w:val="32"/>
        </w:rPr>
      </w:r>
      <w:r/>
    </w:p>
    <w:p>
      <w:pPr>
        <w:pStyle w:val="779"/>
        <w:jc w:val="center"/>
        <w:spacing w:line="360" w:lineRule="auto"/>
        <w:rPr>
          <w:rFonts w:hint="eastAsia" w:ascii="宋体" w:hAnsi="宋体"/>
          <w:b/>
          <w:sz w:val="32"/>
          <w:szCs w:val="32"/>
        </w:rPr>
      </w:pPr>
      <w:r>
        <w:rPr>
          <w:rFonts w:hint="eastAsia" w:ascii="宋体" w:hAnsi="宋体"/>
          <w:b/>
          <w:sz w:val="32"/>
          <w:szCs w:val="32"/>
        </w:rPr>
      </w:r>
      <w:r/>
    </w:p>
    <w:p>
      <w:pPr>
        <w:pStyle w:val="77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7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7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7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7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79"/>
        <w:spacing w:line="560" w:lineRule="exact"/>
        <w:rPr>
          <w:rFonts w:ascii="宋体" w:hAnsi="宋体"/>
          <w:sz w:val="24"/>
        </w:rPr>
      </w:pPr>
      <w:r>
        <w:rPr>
          <w:rFonts w:ascii="宋体" w:hAnsi="宋体"/>
          <w:sz w:val="24"/>
        </w:rPr>
      </w:r>
      <w:r/>
    </w:p>
    <w:p>
      <w:pPr>
        <w:pStyle w:val="81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7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77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7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79"/>
        <w:jc w:val="left"/>
        <w:widowControl/>
        <w:rPr>
          <w:rFonts w:hint="eastAsia"/>
          <w:color w:val="000000"/>
          <w:sz w:val="24"/>
        </w:rPr>
      </w:pPr>
      <w:r>
        <w:rPr>
          <w:rFonts w:hint="eastAsia"/>
          <w:color w:val="000000"/>
          <w:sz w:val="24"/>
        </w:rPr>
      </w:r>
      <w:r/>
    </w:p>
    <w:p>
      <w:pPr>
        <w:pStyle w:val="779"/>
        <w:jc w:val="left"/>
        <w:widowControl/>
        <w:rPr>
          <w:rFonts w:hint="eastAsia"/>
          <w:color w:val="000000"/>
          <w:sz w:val="24"/>
        </w:rPr>
      </w:pPr>
      <w:r>
        <w:rPr>
          <w:rFonts w:hint="eastAsia"/>
          <w:color w:val="000000"/>
          <w:sz w:val="24"/>
        </w:rPr>
      </w:r>
      <w:r/>
    </w:p>
    <w:p>
      <w:pPr>
        <w:pStyle w:val="779"/>
        <w:jc w:val="left"/>
        <w:widowControl/>
        <w:rPr>
          <w:rFonts w:hint="eastAsia"/>
          <w:color w:val="000000"/>
          <w:sz w:val="24"/>
        </w:rPr>
      </w:pPr>
      <w:r>
        <w:rPr>
          <w:rFonts w:hint="eastAsia"/>
          <w:color w:val="000000"/>
          <w:sz w:val="24"/>
        </w:rPr>
      </w:r>
      <w:r/>
    </w:p>
    <w:p>
      <w:pPr>
        <w:pStyle w:val="77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7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79"/>
        <w:jc w:val="left"/>
        <w:widowControl/>
        <w:rPr>
          <w:i/>
          <w:color w:val="000000"/>
          <w:sz w:val="24"/>
          <w:szCs w:val="20"/>
          <w:u w:val="single"/>
        </w:rPr>
      </w:pPr>
      <w:r>
        <w:rPr>
          <w:i/>
          <w:color w:val="000000"/>
          <w:sz w:val="24"/>
          <w:szCs w:val="20"/>
          <w:u w:val="single"/>
        </w:rPr>
      </w:r>
      <w:r/>
    </w:p>
    <w:p>
      <w:pPr>
        <w:pStyle w:val="779"/>
        <w:jc w:val="left"/>
        <w:widowControl/>
        <w:rPr>
          <w:color w:val="000000"/>
          <w:sz w:val="24"/>
          <w:szCs w:val="20"/>
        </w:rPr>
      </w:pPr>
      <w:r>
        <w:rPr>
          <w:color w:val="000000"/>
          <w:sz w:val="24"/>
          <w:szCs w:val="20"/>
        </w:rPr>
        <w:br w:type="page" w:clear="all"/>
      </w:r>
      <w:r>
        <w:rPr>
          <w:color w:val="000000"/>
          <w:sz w:val="24"/>
          <w:szCs w:val="20"/>
        </w:rPr>
      </w:r>
      <w:r/>
    </w:p>
    <w:p>
      <w:pPr>
        <w:pStyle w:val="779"/>
        <w:jc w:val="left"/>
        <w:widowControl/>
        <w:rPr>
          <w:rFonts w:hint="eastAsia"/>
          <w:color w:val="000000"/>
          <w:sz w:val="24"/>
        </w:rPr>
      </w:pPr>
      <w:r>
        <w:rPr>
          <w:rFonts w:hint="eastAsia"/>
          <w:color w:val="000000"/>
          <w:sz w:val="24"/>
          <w:szCs w:val="20"/>
        </w:rPr>
        <w:t xml:space="preserve">4 </w:t>
      </w:r>
      <w:r>
        <w:rPr>
          <w:rFonts w:hint="eastAsia"/>
          <w:color w:val="000000"/>
          <w:sz w:val="24"/>
        </w:rPr>
        <w:t xml:space="preserve">政府采购供应商信用承诺书</w:t>
      </w:r>
      <w:r>
        <w:rPr>
          <w:color w:val="000000"/>
          <w:sz w:val="24"/>
          <w:szCs w:val="20"/>
        </w:rPr>
        <w:t xml:space="preserve">（实质性格式）</w:t>
      </w:r>
      <w:r>
        <w:rPr>
          <w:rFonts w:hint="eastAsia"/>
          <w:color w:val="000000"/>
          <w:sz w:val="24"/>
        </w:rPr>
      </w:r>
      <w:r/>
    </w:p>
    <w:p>
      <w:pPr>
        <w:pStyle w:val="77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79"/>
        <w:ind w:firstLine="640"/>
      </w:pPr>
      <w:r/>
      <w:r/>
    </w:p>
    <w:p>
      <w:pPr>
        <w:pStyle w:val="77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7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2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7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7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jc w:val="left"/>
        <w:spacing w:line="360" w:lineRule="auto"/>
        <w:widowControl/>
        <w:rPr>
          <w:color w:val="000000"/>
          <w:sz w:val="24"/>
          <w:szCs w:val="20"/>
        </w:rPr>
      </w:pPr>
      <w:r>
        <w:rPr>
          <w:rFonts w:hint="eastAsia"/>
          <w:color w:val="000000"/>
          <w:sz w:val="24"/>
          <w:szCs w:val="20"/>
        </w:rPr>
        <w:t xml:space="preserve">5 </w:t>
      </w:r>
      <w:r>
        <w:rPr>
          <w:color w:val="000000"/>
          <w:sz w:val="24"/>
          <w:szCs w:val="20"/>
        </w:rPr>
        <w:t xml:space="preserve">报价一览表</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color w:val="000000"/>
          <w:sz w:val="24"/>
          <w:szCs w:val="20"/>
        </w:rPr>
      </w:r>
      <w:r/>
    </w:p>
    <w:p>
      <w:pPr>
        <w:pStyle w:val="779"/>
        <w:jc w:val="center"/>
        <w:spacing w:line="360" w:lineRule="exact"/>
        <w:rPr>
          <w:b/>
          <w:color w:val="000000"/>
          <w:sz w:val="36"/>
          <w:szCs w:val="36"/>
        </w:rPr>
      </w:pPr>
      <w:r/>
      <w:bookmarkStart w:id="696" w:name="_Toc265228396"/>
      <w:r/>
      <w:bookmarkStart w:id="697" w:name="_Toc226965748"/>
      <w:r/>
      <w:bookmarkStart w:id="698" w:name="_Toc164608672"/>
      <w:r/>
      <w:bookmarkStart w:id="699" w:name="_Toc226965831"/>
      <w:r/>
      <w:bookmarkStart w:id="700" w:name="_Toc195842923"/>
      <w:r/>
      <w:bookmarkStart w:id="701" w:name="_Toc226337254"/>
      <w:r/>
      <w:bookmarkStart w:id="702" w:name="_Toc264969248"/>
      <w:r/>
      <w:bookmarkStart w:id="703" w:name="_Toc305158826"/>
      <w:r/>
      <w:bookmarkStart w:id="704" w:name="_Toc226309802"/>
      <w:r/>
      <w:bookmarkStart w:id="705" w:name="_Toc305158900"/>
      <w:r/>
      <w:bookmarkStart w:id="706" w:name="_Toc164608827"/>
      <w:r>
        <w:rPr>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779"/>
        <w:jc w:val="left"/>
        <w:spacing w:line="360" w:lineRule="auto"/>
        <w:tabs>
          <w:tab w:val="left" w:pos="1800" w:leader="none"/>
          <w:tab w:val="left" w:pos="5580" w:leader="none"/>
        </w:tabs>
        <w:rPr>
          <w:color w:val="000000"/>
          <w:sz w:val="24"/>
        </w:rPr>
      </w:pPr>
      <w:r>
        <w:rPr>
          <w:color w:val="000000"/>
          <w:sz w:val="24"/>
        </w:rPr>
      </w:r>
      <w:r/>
    </w:p>
    <w:p>
      <w:pPr>
        <w:pStyle w:val="779"/>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06"/>
        </w:trPr>
        <w:tc>
          <w:tcPr>
            <w:tcW w:w="496" w:type="dxa"/>
            <w:vAlign w:val="center"/>
            <w:vMerge w:val="restart"/>
            <w:textDirection w:val="lrTb"/>
            <w:noWrap w:val="false"/>
          </w:tcPr>
          <w:p>
            <w:pPr>
              <w:pStyle w:val="779"/>
              <w:jc w:val="center"/>
              <w:tabs>
                <w:tab w:val="left" w:pos="5580" w:leader="none"/>
              </w:tabs>
              <w:rPr>
                <w:b/>
                <w:sz w:val="24"/>
              </w:rPr>
            </w:pPr>
            <w:r>
              <w:rPr>
                <w:b/>
                <w:sz w:val="24"/>
              </w:rPr>
              <w:t xml:space="preserve">序号</w:t>
            </w:r>
            <w:r>
              <w:rPr>
                <w:b/>
                <w:sz w:val="24"/>
              </w:rPr>
            </w:r>
            <w:r/>
          </w:p>
        </w:tc>
        <w:tc>
          <w:tcPr>
            <w:tcW w:w="1960" w:type="dxa"/>
            <w:vAlign w:val="center"/>
            <w:vMerge w:val="restart"/>
            <w:textDirection w:val="lrTb"/>
            <w:noWrap w:val="false"/>
          </w:tcPr>
          <w:p>
            <w:pPr>
              <w:pStyle w:val="779"/>
              <w:jc w:val="center"/>
              <w:tabs>
                <w:tab w:val="left" w:pos="5580" w:leader="none"/>
              </w:tabs>
              <w:rPr>
                <w:b/>
                <w:sz w:val="24"/>
              </w:rPr>
            </w:pPr>
            <w:r>
              <w:rPr>
                <w:b/>
                <w:sz w:val="24"/>
              </w:rPr>
              <w:t xml:space="preserve">供应商名称</w:t>
            </w:r>
            <w:r>
              <w:rPr>
                <w:b/>
                <w:sz w:val="24"/>
              </w:rPr>
            </w:r>
            <w:r/>
          </w:p>
        </w:tc>
        <w:tc>
          <w:tcPr>
            <w:gridSpan w:val="2"/>
            <w:tcW w:w="4158" w:type="dxa"/>
            <w:vAlign w:val="center"/>
            <w:textDirection w:val="lrTb"/>
            <w:noWrap w:val="false"/>
          </w:tcPr>
          <w:p>
            <w:pPr>
              <w:pStyle w:val="779"/>
              <w:jc w:val="center"/>
              <w:tabs>
                <w:tab w:val="left" w:pos="5580" w:leader="none"/>
              </w:tabs>
              <w:rPr>
                <w:b/>
                <w:sz w:val="24"/>
              </w:rPr>
            </w:pPr>
            <w:r>
              <w:rPr>
                <w:b/>
                <w:sz w:val="24"/>
              </w:rPr>
              <w:t xml:space="preserve">报价</w:t>
            </w:r>
            <w:r>
              <w:rPr>
                <w:b/>
                <w:sz w:val="24"/>
              </w:rPr>
            </w:r>
            <w:r/>
          </w:p>
        </w:tc>
      </w:tr>
      <w:tr>
        <w:trPr>
          <w:trHeight w:val="674"/>
        </w:trPr>
        <w:tc>
          <w:tcPr>
            <w:tcW w:w="496" w:type="dxa"/>
            <w:vAlign w:val="center"/>
            <w:vMerge w:val="continue"/>
            <w:textDirection w:val="lrTb"/>
            <w:noWrap w:val="false"/>
          </w:tcPr>
          <w:p>
            <w:pPr>
              <w:pStyle w:val="779"/>
              <w:jc w:val="center"/>
              <w:tabs>
                <w:tab w:val="left" w:pos="5580" w:leader="none"/>
              </w:tabs>
              <w:rPr>
                <w:sz w:val="24"/>
              </w:rPr>
            </w:pPr>
            <w:r>
              <w:rPr>
                <w:sz w:val="24"/>
              </w:rPr>
            </w:r>
            <w:r/>
          </w:p>
        </w:tc>
        <w:tc>
          <w:tcPr>
            <w:tcW w:w="1960" w:type="dxa"/>
            <w:vAlign w:val="center"/>
            <w:vMerge w:val="continue"/>
            <w:textDirection w:val="lrTb"/>
            <w:noWrap w:val="false"/>
          </w:tcPr>
          <w:p>
            <w:pPr>
              <w:pStyle w:val="779"/>
              <w:jc w:val="center"/>
              <w:tabs>
                <w:tab w:val="left" w:pos="5580" w:leader="none"/>
              </w:tabs>
              <w:rPr>
                <w:sz w:val="24"/>
              </w:rPr>
            </w:pPr>
            <w:r>
              <w:rPr>
                <w:sz w:val="24"/>
              </w:rPr>
            </w:r>
            <w:r/>
          </w:p>
        </w:tc>
        <w:tc>
          <w:tcPr>
            <w:tcW w:w="1239" w:type="dxa"/>
            <w:vAlign w:val="center"/>
            <w:textDirection w:val="lrTb"/>
            <w:noWrap w:val="false"/>
          </w:tcPr>
          <w:p>
            <w:pPr>
              <w:pStyle w:val="779"/>
              <w:jc w:val="center"/>
              <w:tabs>
                <w:tab w:val="left" w:pos="5580" w:leader="none"/>
              </w:tabs>
              <w:rPr>
                <w:b/>
                <w:sz w:val="24"/>
              </w:rPr>
            </w:pPr>
            <w:r>
              <w:rPr>
                <w:b/>
                <w:sz w:val="24"/>
              </w:rPr>
              <w:t xml:space="preserve">大写</w:t>
            </w:r>
            <w:r>
              <w:rPr>
                <w:b/>
                <w:sz w:val="24"/>
              </w:rPr>
            </w:r>
            <w:r/>
          </w:p>
        </w:tc>
        <w:tc>
          <w:tcPr>
            <w:tcW w:w="1304" w:type="dxa"/>
            <w:vAlign w:val="center"/>
            <w:textDirection w:val="lrTb"/>
            <w:noWrap w:val="false"/>
          </w:tcPr>
          <w:p>
            <w:pPr>
              <w:pStyle w:val="779"/>
              <w:jc w:val="center"/>
              <w:tabs>
                <w:tab w:val="left" w:pos="5580" w:leader="none"/>
              </w:tabs>
              <w:rPr>
                <w:b/>
                <w:sz w:val="24"/>
              </w:rPr>
            </w:pPr>
            <w:r>
              <w:rPr>
                <w:b/>
                <w:sz w:val="24"/>
              </w:rPr>
              <w:t xml:space="preserve">小写</w:t>
            </w:r>
            <w:r>
              <w:rPr>
                <w:b/>
                <w:sz w:val="24"/>
              </w:rPr>
            </w:r>
            <w:r/>
          </w:p>
        </w:tc>
      </w:tr>
      <w:tr>
        <w:trPr>
          <w:trHeight w:val="991"/>
        </w:trPr>
        <w:tc>
          <w:tcPr>
            <w:tcW w:w="496" w:type="dxa"/>
            <w:vAlign w:val="center"/>
            <w:textDirection w:val="lrTb"/>
            <w:noWrap w:val="false"/>
          </w:tcPr>
          <w:p>
            <w:pPr>
              <w:pStyle w:val="779"/>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779"/>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779"/>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779"/>
              <w:jc w:val="center"/>
              <w:tabs>
                <w:tab w:val="left" w:pos="5580" w:leader="none"/>
              </w:tabs>
              <w:rPr>
                <w:sz w:val="24"/>
                <w:highlight w:val="none"/>
              </w:rPr>
            </w:pPr>
            <w:r>
              <w:rPr>
                <w:sz w:val="24"/>
                <w:highlight w:val="none"/>
              </w:rPr>
            </w:r>
            <w:r/>
          </w:p>
        </w:tc>
      </w:tr>
    </w:tbl>
    <w:p>
      <w:pPr>
        <w:pStyle w:val="779"/>
        <w:jc w:val="left"/>
        <w:rPr>
          <w:color w:val="000000"/>
          <w:sz w:val="24"/>
          <w:highlight w:val="none"/>
        </w:rPr>
      </w:pPr>
      <w:r>
        <w:rPr>
          <w:color w:val="000000"/>
          <w:sz w:val="24"/>
          <w:highlight w:val="none"/>
        </w:rPr>
      </w:r>
      <w:r/>
    </w:p>
    <w:p>
      <w:pPr>
        <w:pStyle w:val="779"/>
        <w:spacing w:before="25" w:after="25" w:line="360" w:lineRule="auto"/>
        <w:rPr>
          <w:color w:val="000000"/>
          <w:sz w:val="24"/>
          <w:highlight w:val="none"/>
          <w:lang w:val="zh-CN"/>
        </w:rPr>
      </w:pPr>
      <w:r>
        <w:rPr>
          <w:color w:val="000000"/>
          <w:sz w:val="24"/>
          <w:highlight w:val="none"/>
        </w:rPr>
        <w:t xml:space="preserve">注：</w:t>
      </w:r>
      <w:r>
        <w:rPr>
          <w:rFonts w:hint="eastAsia"/>
          <w:color w:val="000000"/>
          <w:sz w:val="24"/>
          <w:highlight w:val="none"/>
        </w:rPr>
        <w:t xml:space="preserve">此表按照苏采云平台的格式填写。</w:t>
      </w:r>
      <w:r>
        <w:rPr>
          <w:rFonts w:hint="eastAsia"/>
          <w:b/>
          <w:bCs/>
          <w:color w:val="000000"/>
          <w:sz w:val="24"/>
          <w:highlight w:val="none"/>
        </w:rPr>
        <w:t xml:space="preserve">因本次有多项报价，供应商只需在苏采云平台</w:t>
      </w:r>
      <w:r>
        <w:rPr>
          <w:rFonts w:hint="eastAsia"/>
          <w:b/>
          <w:bCs/>
          <w:color w:val="000000"/>
          <w:sz w:val="24"/>
          <w:highlight w:val="none"/>
          <w:lang w:val="en-US" w:eastAsia="zh-CN"/>
        </w:rPr>
        <w:t xml:space="preserve">报价一览表中</w:t>
      </w:r>
      <w:r>
        <w:rPr>
          <w:rFonts w:hint="eastAsia"/>
          <w:b/>
          <w:bCs/>
          <w:color w:val="000000"/>
          <w:sz w:val="24"/>
          <w:highlight w:val="none"/>
        </w:rPr>
        <w:t xml:space="preserve">填写人工话务的单价，全部的响应报价在分项报价表中体现。</w:t>
      </w:r>
      <w:r>
        <w:rPr>
          <w:rFonts w:hint="eastAsia"/>
          <w:b/>
          <w:bCs/>
          <w:color w:val="000000"/>
          <w:sz w:val="24"/>
          <w:highlight w:val="none"/>
          <w:lang w:val="zh-CN"/>
        </w:rPr>
        <w:t xml:space="preserve"> </w:t>
      </w:r>
      <w:r>
        <w:rPr>
          <w:b/>
          <w:bCs/>
          <w:color w:val="000000"/>
          <w:sz w:val="24"/>
          <w:highlight w:val="none"/>
          <w:lang w:val="zh-CN"/>
        </w:rPr>
        <w:t xml:space="preserve">                     </w:t>
      </w:r>
      <w:r>
        <w:rPr>
          <w:color w:val="000000"/>
          <w:sz w:val="24"/>
          <w:highlight w:val="none"/>
          <w:lang w:val="zh-CN"/>
        </w:rPr>
        <w:t xml:space="preserve">   </w:t>
      </w:r>
      <w:r>
        <w:rPr>
          <w:color w:val="000000"/>
          <w:sz w:val="24"/>
          <w:highlight w:val="none"/>
          <w:lang w:val="zh-CN"/>
        </w:rPr>
      </w:r>
      <w:r/>
    </w:p>
    <w:p>
      <w:pPr>
        <w:pStyle w:val="779"/>
        <w:spacing w:before="25" w:after="25" w:line="360" w:lineRule="auto"/>
        <w:rPr>
          <w:color w:val="000000"/>
          <w:sz w:val="24"/>
          <w:highlight w:val="none"/>
        </w:rPr>
      </w:pPr>
      <w:r>
        <w:rPr>
          <w:color w:val="000000"/>
          <w:sz w:val="24"/>
          <w:highlight w:val="none"/>
        </w:rPr>
      </w:r>
      <w:r/>
    </w:p>
    <w:p>
      <w:pPr>
        <w:pStyle w:val="77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jc w:val="left"/>
        <w:widowControl/>
        <w:rPr>
          <w:color w:val="000000"/>
          <w:sz w:val="24"/>
          <w:szCs w:val="20"/>
          <w:highlight w:val="none"/>
        </w:rPr>
      </w:pPr>
      <w:r/>
      <w:bookmarkStart w:id="707" w:name="_Toc150480796"/>
      <w:r/>
      <w:bookmarkStart w:id="708" w:name="_Toc226965832"/>
      <w:r/>
      <w:bookmarkStart w:id="709" w:name="_Toc142311060"/>
      <w:r/>
      <w:bookmarkStart w:id="710" w:name="_Toc195842924"/>
      <w:r/>
      <w:bookmarkStart w:id="711" w:name="_Toc150774763"/>
      <w:r/>
      <w:bookmarkStart w:id="712" w:name="_Toc305158901"/>
      <w:r/>
      <w:bookmarkStart w:id="713" w:name="_Toc226309803"/>
      <w:r/>
      <w:bookmarkStart w:id="714" w:name="_Toc264969249"/>
      <w:r/>
      <w:bookmarkStart w:id="715" w:name="_Toc226337255"/>
      <w:r/>
      <w:bookmarkStart w:id="716" w:name="_Toc127151558"/>
      <w:r/>
      <w:bookmarkStart w:id="717" w:name="_Toc265228397"/>
      <w:r/>
      <w:bookmarkStart w:id="718" w:name="_Toc305158827"/>
      <w:r/>
      <w:bookmarkStart w:id="719" w:name="_Toc226965749"/>
      <w:r>
        <w:rPr>
          <w:color w:val="000000"/>
          <w:sz w:val="24"/>
          <w:szCs w:val="20"/>
          <w:highlight w:val="none"/>
        </w:rPr>
        <w:br w:type="page" w:clear="all"/>
      </w:r>
      <w:r>
        <w:rPr>
          <w:color w:val="000000"/>
          <w:sz w:val="24"/>
          <w:szCs w:val="20"/>
          <w:highlight w:val="none"/>
        </w:rPr>
      </w:r>
      <w:r/>
    </w:p>
    <w:p>
      <w:pPr>
        <w:pStyle w:val="779"/>
        <w:spacing w:line="360" w:lineRule="auto"/>
        <w:rPr>
          <w:color w:val="000000"/>
          <w:sz w:val="24"/>
          <w:szCs w:val="20"/>
          <w:highlight w:val="none"/>
        </w:rPr>
        <w:outlineLvl w:val="2"/>
      </w:pPr>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sz w:val="24"/>
          <w:szCs w:val="20"/>
          <w:highlight w:val="none"/>
        </w:rPr>
        <w:t xml:space="preserve">6</w:t>
      </w:r>
      <w:r>
        <w:rPr>
          <w:color w:val="000000"/>
          <w:sz w:val="24"/>
          <w:szCs w:val="20"/>
          <w:highlight w:val="none"/>
        </w:rPr>
        <w:t xml:space="preserve"> 分项报价表</w:t>
      </w:r>
      <w:r>
        <w:rPr>
          <w:color w:val="000000"/>
          <w:sz w:val="24"/>
          <w:szCs w:val="20"/>
          <w:highlight w:val="none"/>
        </w:rPr>
      </w:r>
      <w:r/>
    </w:p>
    <w:p>
      <w:pPr>
        <w:pStyle w:val="779"/>
        <w:jc w:val="center"/>
        <w:spacing w:line="360" w:lineRule="exact"/>
        <w:rPr>
          <w:color w:val="000000"/>
          <w:sz w:val="36"/>
          <w:szCs w:val="36"/>
          <w:highlight w:val="none"/>
        </w:rPr>
      </w:pPr>
      <w:r>
        <w:rPr>
          <w:color w:val="000000"/>
          <w:sz w:val="36"/>
          <w:szCs w:val="36"/>
          <w:highlight w:val="none"/>
        </w:rPr>
      </w:r>
      <w:r/>
    </w:p>
    <w:p>
      <w:pPr>
        <w:pStyle w:val="779"/>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779"/>
        <w:jc w:val="center"/>
        <w:spacing w:line="260" w:lineRule="exact"/>
        <w:rPr>
          <w:color w:val="000000"/>
          <w:sz w:val="36"/>
          <w:szCs w:val="36"/>
          <w:highlight w:val="none"/>
        </w:rPr>
      </w:pPr>
      <w:r>
        <w:rPr>
          <w:color w:val="000000"/>
          <w:sz w:val="36"/>
          <w:szCs w:val="36"/>
          <w:highlight w:val="none"/>
        </w:rPr>
      </w:r>
      <w:r/>
    </w:p>
    <w:p>
      <w:pPr>
        <w:pStyle w:val="779"/>
        <w:jc w:val="center"/>
        <w:spacing w:line="260" w:lineRule="exact"/>
        <w:rPr>
          <w:color w:val="000000"/>
          <w:sz w:val="36"/>
          <w:szCs w:val="36"/>
          <w:highlight w:val="none"/>
        </w:rPr>
      </w:pPr>
      <w:r/>
      <w:bookmarkStart w:id="720" w:name="_Toc150480798"/>
      <w:r/>
      <w:bookmarkStart w:id="721" w:name="_Toc142311062"/>
      <w:r/>
      <w:bookmarkStart w:id="722" w:name="_Toc265228400"/>
      <w:r/>
      <w:bookmarkStart w:id="723" w:name="_Toc226965752"/>
      <w:r/>
      <w:bookmarkStart w:id="724" w:name="_Toc226309806"/>
      <w:r/>
      <w:bookmarkStart w:id="725" w:name="_Toc305158904"/>
      <w:r/>
      <w:bookmarkStart w:id="726" w:name="_Toc226337258"/>
      <w:r/>
      <w:bookmarkStart w:id="727" w:name="_Toc305158830"/>
      <w:r/>
      <w:bookmarkStart w:id="728" w:name="_Toc264969252"/>
      <w:r/>
      <w:bookmarkStart w:id="729" w:name="_Toc127151562"/>
      <w:r/>
      <w:bookmarkStart w:id="730" w:name="_Toc195842927"/>
      <w:r/>
      <w:bookmarkStart w:id="731" w:name="_Toc226965835"/>
      <w:r/>
      <w:bookmarkStart w:id="732" w:name="_Toc150774765"/>
      <w:r/>
      <w:bookmarkStart w:id="733" w:name="_Toc265228399"/>
      <w:r/>
      <w:bookmarkStart w:id="734" w:name="_Toc226309805"/>
      <w:r/>
      <w:bookmarkStart w:id="735" w:name="_Toc150774764"/>
      <w:r/>
      <w:bookmarkStart w:id="736" w:name="_Toc264969251"/>
      <w:r/>
      <w:bookmarkStart w:id="737" w:name="_Toc226337257"/>
      <w:r/>
      <w:bookmarkStart w:id="738" w:name="_Toc305158829"/>
      <w:r/>
      <w:bookmarkStart w:id="739" w:name="_Toc305158903"/>
      <w:r/>
      <w:bookmarkStart w:id="740" w:name="_Toc226965834"/>
      <w:r/>
      <w:bookmarkStart w:id="741" w:name="_Toc226965751"/>
      <w:r/>
      <w:bookmarkStart w:id="742" w:name="_Toc142311061"/>
      <w:r/>
      <w:bookmarkStart w:id="743" w:name="_Toc195842926"/>
      <w:r/>
      <w:bookmarkStart w:id="744" w:name="_Toc150480797"/>
      <w:r/>
      <w:bookmarkStart w:id="745" w:name="_Toc127151561"/>
      <w:r>
        <w:rPr>
          <w:color w:val="000000"/>
          <w:sz w:val="36"/>
          <w:szCs w:val="36"/>
          <w:highlight w:val="none"/>
        </w:rPr>
      </w:r>
      <w:r/>
    </w:p>
    <w:p>
      <w:pPr>
        <w:pStyle w:val="779"/>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p>
      <w:pPr>
        <w:pStyle w:val="779"/>
        <w:tabs>
          <w:tab w:val="left" w:pos="1800" w:leader="none"/>
          <w:tab w:val="left" w:pos="5580" w:leader="none"/>
        </w:tabs>
        <w:rPr>
          <w:color w:val="000000"/>
          <w:sz w:val="24"/>
          <w:highlight w:val="none"/>
        </w:rPr>
      </w:pPr>
      <w:r>
        <w:rPr>
          <w:color w:val="000000"/>
          <w:sz w:val="24"/>
          <w:highlight w:val="none"/>
        </w:rPr>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7"/>
        <w:gridCol w:w="1497"/>
        <w:gridCol w:w="1940"/>
        <w:gridCol w:w="2176"/>
        <w:gridCol w:w="2176"/>
      </w:tblGrid>
      <w:tr>
        <w:trPr/>
        <w:tc>
          <w:tcPr>
            <w:tcW w:w="1497" w:type="dxa"/>
            <w:vAlign w:val="center"/>
            <w:textDirection w:val="lrTb"/>
            <w:noWrap w:val="false"/>
          </w:tcPr>
          <w:p>
            <w:pPr>
              <w:pStyle w:val="779"/>
              <w:jc w:val="center"/>
              <w:spacing w:line="360" w:lineRule="auto"/>
              <w:tabs>
                <w:tab w:val="left" w:pos="1080" w:leader="none"/>
                <w:tab w:val="left" w:pos="2014" w:leader="none"/>
              </w:tabs>
              <w:rPr>
                <w:rFonts w:hint="eastAsia" w:eastAsia="宋体"/>
                <w:b/>
                <w:bCs/>
                <w:sz w:val="24"/>
                <w:highlight w:val="none"/>
                <w:vertAlign w:val="baseline"/>
                <w:lang w:val="en-US" w:eastAsia="zh-CN"/>
              </w:rPr>
            </w:pPr>
            <w:r>
              <w:rPr>
                <w:rFonts w:hint="eastAsia"/>
                <w:b/>
                <w:bCs/>
                <w:sz w:val="24"/>
                <w:highlight w:val="none"/>
                <w:vertAlign w:val="baseline"/>
                <w:lang w:val="en-US" w:eastAsia="zh-CN"/>
              </w:rPr>
              <w:t xml:space="preserve">序号</w:t>
            </w:r>
            <w:r>
              <w:rPr>
                <w:rFonts w:hint="eastAsia" w:eastAsia="宋体"/>
                <w:b/>
                <w:bCs/>
                <w:sz w:val="24"/>
                <w:highlight w:val="none"/>
                <w:vertAlign w:val="baseline"/>
                <w:lang w:val="en-US" w:eastAsia="zh-CN"/>
              </w:rPr>
            </w:r>
            <w:r/>
          </w:p>
        </w:tc>
        <w:tc>
          <w:tcPr>
            <w:tcW w:w="1497"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名称</w:t>
            </w:r>
            <w:r>
              <w:rPr>
                <w:rFonts w:eastAsia="宋体"/>
                <w:b/>
                <w:bCs/>
                <w:sz w:val="24"/>
                <w:highlight w:val="none"/>
                <w:vertAlign w:val="baseline"/>
                <w:lang w:val="en-US" w:eastAsia="zh-CN"/>
              </w:rPr>
            </w:r>
            <w:r/>
          </w:p>
        </w:tc>
        <w:tc>
          <w:tcPr>
            <w:tcW w:w="1940"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区间值</w:t>
            </w:r>
            <w:r>
              <w:rPr>
                <w:rFonts w:eastAsia="宋体"/>
                <w:b/>
                <w:bCs/>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eastAsia="宋体"/>
                <w:b/>
                <w:bCs/>
                <w:sz w:val="24"/>
                <w:highlight w:val="none"/>
                <w:vertAlign w:val="baseline"/>
                <w:lang w:val="en-US" w:eastAsia="zh-CN"/>
              </w:rPr>
            </w:pPr>
            <w:r>
              <w:rPr>
                <w:rFonts w:hint="eastAsia"/>
                <w:b/>
                <w:bCs/>
                <w:sz w:val="24"/>
                <w:highlight w:val="none"/>
                <w:vertAlign w:val="baseline"/>
                <w:lang w:val="en-US" w:eastAsia="zh-CN"/>
              </w:rPr>
              <w:t xml:space="preserve">最高限价</w:t>
            </w:r>
            <w:r>
              <w:rPr>
                <w:rFonts w:eastAsia="宋体"/>
                <w:b/>
                <w:bCs/>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b/>
                <w:bCs/>
                <w:sz w:val="24"/>
                <w:highlight w:val="none"/>
                <w:vertAlign w:val="baseline"/>
                <w:lang w:val="en-US" w:eastAsia="zh-CN"/>
              </w:rPr>
            </w:pPr>
            <w:r>
              <w:rPr>
                <w:rFonts w:hint="eastAsia"/>
                <w:b/>
                <w:bCs/>
                <w:sz w:val="24"/>
                <w:highlight w:val="none"/>
                <w:vertAlign w:val="baseline"/>
                <w:lang w:val="en-US" w:eastAsia="zh-CN"/>
              </w:rPr>
              <w:t xml:space="preserve">响应报价（元/单）</w:t>
            </w:r>
            <w:r>
              <w:rPr>
                <w:b/>
                <w:bCs/>
                <w:sz w:val="24"/>
                <w:highlight w:val="none"/>
                <w:vertAlign w:val="baseline"/>
                <w:lang w:val="en-US" w:eastAsia="zh-CN"/>
              </w:rPr>
            </w:r>
            <w:r/>
          </w:p>
        </w:tc>
      </w:tr>
      <w:tr>
        <w:trPr/>
        <w:tc>
          <w:tcPr>
            <w:tcW w:w="1497" w:type="dxa"/>
            <w:vAlign w:val="center"/>
            <w:vMerge w:val="restart"/>
            <w:textDirection w:val="lrTb"/>
            <w:noWrap w:val="false"/>
          </w:tcPr>
          <w:p>
            <w:pPr>
              <w:pStyle w:val="779"/>
              <w:jc w:val="center"/>
              <w:spacing w:line="360" w:lineRule="auto"/>
              <w:tabs>
                <w:tab w:val="left" w:pos="1080" w:leader="none"/>
                <w:tab w:val="left" w:pos="2014" w:leader="none"/>
              </w:tabs>
              <w:rPr>
                <w:rFonts w:hint="eastAsia" w:eastAsia="宋体"/>
                <w:sz w:val="24"/>
                <w:highlight w:val="none"/>
                <w:vertAlign w:val="baseline"/>
                <w:lang w:val="en-US" w:eastAsia="zh-CN"/>
              </w:rPr>
            </w:pPr>
            <w:r>
              <w:rPr>
                <w:rFonts w:hint="eastAsia"/>
                <w:sz w:val="24"/>
                <w:highlight w:val="none"/>
                <w:vertAlign w:val="baseline"/>
                <w:lang w:val="en-US" w:eastAsia="zh-CN"/>
              </w:rPr>
              <w:t xml:space="preserve">1</w:t>
            </w:r>
            <w:r>
              <w:rPr>
                <w:rFonts w:hint="eastAsia" w:eastAsia="宋体"/>
                <w:sz w:val="24"/>
                <w:highlight w:val="none"/>
                <w:vertAlign w:val="baseline"/>
                <w:lang w:val="en-US" w:eastAsia="zh-CN"/>
              </w:rPr>
            </w:r>
            <w:r/>
          </w:p>
        </w:tc>
        <w:tc>
          <w:tcPr>
            <w:tcW w:w="1497" w:type="dxa"/>
            <w:vAlign w:val="center"/>
            <w:vMerge w:val="restart"/>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rPr>
              <w:t xml:space="preserve">人工</w:t>
            </w:r>
            <w:r>
              <w:rPr>
                <w:sz w:val="24"/>
                <w:highlight w:val="none"/>
              </w:rPr>
              <w:t xml:space="preserve">话务</w:t>
            </w:r>
            <w:r>
              <w:rPr>
                <w:rFonts w:hint="eastAsia"/>
                <w:sz w:val="24"/>
                <w:highlight w:val="none"/>
                <w:vertAlign w:val="baseline"/>
              </w:rPr>
            </w:r>
            <w:r/>
          </w:p>
        </w:tc>
        <w:tc>
          <w:tcPr>
            <w:tcW w:w="194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150万单以上</w:t>
            </w:r>
            <w:r>
              <w:rPr>
                <w:rFonts w:eastAsia="宋体"/>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1.7元/单</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r>
        <w:trPr/>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94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70-150万单</w:t>
            </w:r>
            <w:r>
              <w:rPr>
                <w:rFonts w:eastAsia="宋体"/>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1.85元/单</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r>
        <w:trPr/>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rPr>
            </w:pPr>
            <w:r>
              <w:rPr>
                <w:rFonts w:hint="eastAsia"/>
                <w:sz w:val="24"/>
                <w:highlight w:val="none"/>
                <w:vertAlign w:val="baseline"/>
              </w:rPr>
            </w:r>
            <w:r/>
          </w:p>
        </w:tc>
        <w:tc>
          <w:tcPr>
            <w:tcW w:w="194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70万单以下</w:t>
            </w:r>
            <w:r>
              <w:rPr>
                <w:rFonts w:eastAsia="宋体"/>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1.9元/单</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r>
        <w:trPr/>
        <w:tc>
          <w:tcPr>
            <w:tcW w:w="1497" w:type="dxa"/>
            <w:vAlign w:val="center"/>
            <w:vMerge w:val="restart"/>
            <w:textDirection w:val="lrTb"/>
            <w:noWrap w:val="false"/>
          </w:tcPr>
          <w:p>
            <w:pPr>
              <w:pStyle w:val="779"/>
              <w:jc w:val="center"/>
              <w:spacing w:line="360" w:lineRule="auto"/>
              <w:tabs>
                <w:tab w:val="left" w:pos="1080" w:leader="none"/>
                <w:tab w:val="left" w:pos="2014" w:leader="none"/>
              </w:tabs>
              <w:rPr>
                <w:rFonts w:hint="eastAsia" w:eastAsia="宋体"/>
                <w:sz w:val="24"/>
                <w:highlight w:val="none"/>
                <w:vertAlign w:val="baseline"/>
                <w:lang w:val="en-US" w:eastAsia="zh-CN"/>
              </w:rPr>
            </w:pPr>
            <w:r>
              <w:rPr>
                <w:rFonts w:hint="eastAsia"/>
                <w:sz w:val="24"/>
                <w:highlight w:val="none"/>
                <w:vertAlign w:val="baseline"/>
                <w:lang w:val="en-US" w:eastAsia="zh-CN"/>
              </w:rPr>
              <w:t xml:space="preserve">2</w:t>
            </w:r>
            <w:r>
              <w:rPr>
                <w:rFonts w:hint="eastAsia" w:eastAsia="宋体"/>
                <w:sz w:val="24"/>
                <w:highlight w:val="none"/>
                <w:vertAlign w:val="baseline"/>
                <w:lang w:val="en-US" w:eastAsia="zh-CN"/>
              </w:rPr>
            </w:r>
            <w:r/>
          </w:p>
        </w:tc>
        <w:tc>
          <w:tcPr>
            <w:tcW w:w="1497" w:type="dxa"/>
            <w:vAlign w:val="center"/>
            <w:vMerge w:val="restart"/>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引导语音话务</w:t>
            </w:r>
            <w:r>
              <w:rPr>
                <w:rFonts w:eastAsia="宋体"/>
                <w:sz w:val="24"/>
                <w:highlight w:val="none"/>
                <w:vertAlign w:val="baseline"/>
                <w:lang w:val="en-US" w:eastAsia="zh-CN"/>
              </w:rPr>
            </w:r>
            <w:r/>
          </w:p>
        </w:tc>
        <w:tc>
          <w:tcPr>
            <w:tcW w:w="1940" w:type="dxa"/>
            <w:vAlign w:val="center"/>
            <w:textDirection w:val="lrTb"/>
            <w:noWrap w:val="false"/>
          </w:tcPr>
          <w:p>
            <w:pPr>
              <w:pStyle w:val="779"/>
              <w:jc w:val="center"/>
              <w:spacing w:line="360" w:lineRule="auto"/>
              <w:tabs>
                <w:tab w:val="left" w:pos="1080" w:leader="none"/>
                <w:tab w:val="left" w:pos="2014" w:leader="none"/>
              </w:tabs>
              <w:rPr>
                <w:rFonts w:eastAsia="宋体"/>
                <w:sz w:val="24"/>
                <w:highlight w:val="none"/>
                <w:vertAlign w:val="baseline"/>
                <w:lang w:val="en-US" w:eastAsia="zh-CN"/>
              </w:rPr>
            </w:pPr>
            <w:r>
              <w:rPr>
                <w:rFonts w:hint="eastAsia"/>
                <w:sz w:val="24"/>
                <w:highlight w:val="none"/>
                <w:vertAlign w:val="baseline"/>
                <w:lang w:val="en-US" w:eastAsia="zh-CN"/>
              </w:rPr>
              <w:t xml:space="preserve">100万次以上</w:t>
            </w:r>
            <w:r>
              <w:rPr>
                <w:rFonts w:eastAsia="宋体"/>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0.08元/次</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r>
        <w:trPr/>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940"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50-100万次</w:t>
            </w:r>
            <w:r>
              <w:rPr>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0.09元/次</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r>
        <w:trPr/>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497" w:type="dxa"/>
            <w:vAlign w:val="center"/>
            <w:vMerge w:val="continue"/>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c>
          <w:tcPr>
            <w:tcW w:w="1940" w:type="dxa"/>
            <w:vAlign w:val="center"/>
            <w:textDirection w:val="lrTb"/>
            <w:noWrap w:val="false"/>
          </w:tcPr>
          <w:p>
            <w:pPr>
              <w:pStyle w:val="779"/>
              <w:jc w:val="center"/>
              <w:spacing w:line="360" w:lineRule="auto"/>
              <w:tabs>
                <w:tab w:val="left" w:pos="1080" w:leader="none"/>
                <w:tab w:val="left" w:pos="2014" w:leader="none"/>
              </w:tabs>
              <w:rPr>
                <w:sz w:val="24"/>
                <w:highlight w:val="none"/>
                <w:vertAlign w:val="baseline"/>
                <w:lang w:val="en-US" w:eastAsia="zh-CN"/>
              </w:rPr>
            </w:pPr>
            <w:r>
              <w:rPr>
                <w:rFonts w:hint="eastAsia"/>
                <w:sz w:val="24"/>
                <w:highlight w:val="none"/>
                <w:vertAlign w:val="baseline"/>
                <w:lang w:val="en-US" w:eastAsia="zh-CN"/>
              </w:rPr>
              <w:t xml:space="preserve">50万次以下</w:t>
            </w:r>
            <w:r>
              <w:rPr>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ascii="Times New Roman" w:hAnsi="Times New Roman" w:eastAsia="宋体" w:cs="Times New Roman"/>
                <w:sz w:val="24"/>
                <w:highlight w:val="none"/>
                <w:vertAlign w:val="baseline"/>
                <w:lang w:val="en-US" w:eastAsia="zh-CN"/>
              </w:rPr>
            </w:pPr>
            <w:r>
              <w:rPr>
                <w:rFonts w:hint="eastAsia" w:ascii="Times New Roman" w:hAnsi="Times New Roman" w:eastAsia="宋体" w:cs="Times New Roman"/>
                <w:sz w:val="24"/>
                <w:highlight w:val="none"/>
                <w:vertAlign w:val="baseline"/>
                <w:lang w:val="en-US" w:eastAsia="zh-CN"/>
              </w:rPr>
              <w:t xml:space="preserve">0.10元/次</w:t>
            </w:r>
            <w:r>
              <w:rPr>
                <w:rFonts w:ascii="Times New Roman" w:hAnsi="Times New Roman" w:eastAsia="宋体" w:cs="Times New Roman"/>
                <w:sz w:val="24"/>
                <w:highlight w:val="none"/>
                <w:vertAlign w:val="baseline"/>
                <w:lang w:val="en-US" w:eastAsia="zh-CN"/>
              </w:rPr>
            </w:r>
            <w:r/>
          </w:p>
        </w:tc>
        <w:tc>
          <w:tcPr>
            <w:tcW w:w="2176" w:type="dxa"/>
            <w:vAlign w:val="center"/>
            <w:textDirection w:val="lrTb"/>
            <w:noWrap w:val="false"/>
          </w:tcPr>
          <w:p>
            <w:pPr>
              <w:pStyle w:val="779"/>
              <w:jc w:val="center"/>
              <w:spacing w:line="360" w:lineRule="auto"/>
              <w:tabs>
                <w:tab w:val="left" w:pos="1080" w:leader="none"/>
                <w:tab w:val="left" w:pos="2014" w:leader="none"/>
              </w:tabs>
              <w:rPr>
                <w:rFonts w:hint="eastAsia"/>
                <w:sz w:val="24"/>
                <w:highlight w:val="none"/>
                <w:vertAlign w:val="baseline"/>
                <w:lang w:val="en-US" w:eastAsia="zh-CN"/>
              </w:rPr>
            </w:pPr>
            <w:r>
              <w:rPr>
                <w:rFonts w:hint="eastAsia"/>
                <w:sz w:val="24"/>
                <w:highlight w:val="none"/>
                <w:vertAlign w:val="baseline"/>
                <w:lang w:val="en-US" w:eastAsia="zh-CN"/>
              </w:rPr>
            </w:r>
            <w:r/>
          </w:p>
        </w:tc>
      </w:tr>
    </w:tbl>
    <w:p>
      <w:pPr>
        <w:pStyle w:val="779"/>
        <w:jc w:val="left"/>
        <w:tabs>
          <w:tab w:val="left" w:pos="1800" w:leader="none"/>
          <w:tab w:val="left" w:pos="5580" w:leader="none"/>
        </w:tabs>
        <w:rPr>
          <w:color w:val="000000"/>
          <w:sz w:val="24"/>
        </w:rPr>
      </w:pPr>
      <w:r>
        <w:rPr>
          <w:color w:val="000000"/>
          <w:sz w:val="24"/>
        </w:rPr>
      </w:r>
      <w:r/>
    </w:p>
    <w:p>
      <w:pPr>
        <w:pStyle w:val="779"/>
        <w:spacing w:line="400" w:lineRule="exact"/>
        <w:rPr>
          <w:rFonts w:ascii="宋体" w:hAnsi="宋体" w:cs="宋体"/>
          <w:color w:val="000000"/>
          <w:szCs w:val="21"/>
        </w:rPr>
      </w:pPr>
      <w:r>
        <w:rPr>
          <w:color w:val="000000"/>
          <w:sz w:val="24"/>
        </w:rPr>
        <w:t xml:space="preserve">注</w:t>
      </w:r>
      <w:r>
        <w:rPr>
          <w:rFonts w:hint="eastAsia"/>
          <w:color w:val="000000"/>
          <w:sz w:val="24"/>
        </w:rPr>
        <w:t xml:space="preserve">：</w:t>
      </w:r>
      <w:r>
        <w:rPr>
          <w:rFonts w:ascii="宋体" w:hAnsi="宋体" w:cs="宋体"/>
          <w:color w:val="000000"/>
          <w:szCs w:val="21"/>
        </w:rPr>
      </w:r>
      <w:r/>
    </w:p>
    <w:p>
      <w:pPr>
        <w:pStyle w:val="77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1.本表应按包分别填写。</w:t>
      </w:r>
      <w:r>
        <w:rPr>
          <w:rFonts w:hint="eastAsia" w:ascii="宋体" w:hAnsi="宋体" w:cs="宋体"/>
          <w:color w:val="000000"/>
          <w:szCs w:val="21"/>
        </w:rPr>
      </w:r>
      <w:r/>
    </w:p>
    <w:p>
      <w:pPr>
        <w:pStyle w:val="77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2.本表行数可以按照项目分项情况增加。</w:t>
      </w:r>
      <w:r>
        <w:rPr>
          <w:rFonts w:hint="eastAsia" w:ascii="宋体" w:hAnsi="宋体" w:cs="宋体"/>
          <w:color w:val="000000"/>
          <w:szCs w:val="21"/>
        </w:rPr>
      </w:r>
      <w:r/>
    </w:p>
    <w:p>
      <w:pPr>
        <w:pStyle w:val="77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3.上述各项的服务内容如表格中填写不下的，可以逐项另页描述。</w:t>
      </w:r>
      <w:r>
        <w:rPr>
          <w:rFonts w:hint="eastAsia" w:ascii="宋体" w:hAnsi="宋体" w:cs="宋体"/>
          <w:color w:val="000000"/>
          <w:szCs w:val="21"/>
        </w:rPr>
      </w:r>
      <w:r/>
    </w:p>
    <w:p>
      <w:pPr>
        <w:pStyle w:val="77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9"/>
        <w:spacing w:before="25" w:after="25" w:line="360" w:lineRule="auto"/>
        <w:rPr>
          <w:color w:val="000000"/>
          <w:sz w:val="24"/>
          <w:lang w:val="zh-CN"/>
        </w:rPr>
      </w:pPr>
      <w:r>
        <w:rPr>
          <w:color w:val="000000"/>
          <w:sz w:val="24"/>
          <w:lang w:val="zh-CN"/>
        </w:rPr>
      </w:r>
      <w:r/>
    </w:p>
    <w:p>
      <w:pPr>
        <w:pStyle w:val="77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7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9"/>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sz w:val="24"/>
          <w:szCs w:val="20"/>
        </w:rPr>
      </w:r>
      <w:r/>
    </w:p>
    <w:p>
      <w:pPr>
        <w:pStyle w:val="779"/>
        <w:spacing w:line="360" w:lineRule="auto"/>
        <w:rPr>
          <w:color w:val="000000"/>
          <w:sz w:val="24"/>
          <w:szCs w:val="20"/>
        </w:rPr>
      </w:pPr>
      <w:r>
        <w:rPr>
          <w:color w:val="000000"/>
          <w:sz w:val="24"/>
          <w:szCs w:val="20"/>
        </w:rPr>
      </w:r>
      <w:r/>
    </w:p>
    <w:p>
      <w:pPr>
        <w:pStyle w:val="779"/>
        <w:jc w:val="left"/>
        <w:spacing w:line="360" w:lineRule="auto"/>
        <w:tabs>
          <w:tab w:val="left" w:pos="2775" w:leader="none"/>
          <w:tab w:val="center" w:pos="4153" w:leader="none"/>
        </w:tabs>
        <w:rPr>
          <w:b/>
          <w:color w:val="000000"/>
          <w:sz w:val="36"/>
          <w:szCs w:val="36"/>
        </w:rPr>
      </w:pPr>
      <w:r>
        <w:rPr>
          <w:color w:val="000000"/>
          <w:sz w:val="36"/>
          <w:szCs w:val="36"/>
        </w:rPr>
        <w:tab/>
      </w:r>
      <w:r>
        <w:rPr>
          <w:b/>
          <w:color w:val="000000"/>
          <w:sz w:val="36"/>
          <w:szCs w:val="36"/>
        </w:rPr>
        <w:tab/>
      </w:r>
      <w:r>
        <w:rPr>
          <w:b/>
          <w:color w:val="000000"/>
          <w:sz w:val="36"/>
          <w:szCs w:val="36"/>
        </w:rPr>
        <w:t xml:space="preserve">合同条款偏离表</w:t>
      </w:r>
      <w:r>
        <w:rPr>
          <w:b/>
          <w:color w:val="000000"/>
          <w:sz w:val="36"/>
          <w:szCs w:val="36"/>
        </w:rPr>
      </w:r>
      <w:r/>
    </w:p>
    <w:p>
      <w:pPr>
        <w:pStyle w:val="779"/>
        <w:spacing w:line="360" w:lineRule="auto"/>
        <w:rPr>
          <w:color w:val="000000"/>
          <w:sz w:val="24"/>
          <w:szCs w:val="20"/>
        </w:rPr>
      </w:pPr>
      <w:r>
        <w:rPr>
          <w:color w:val="000000"/>
          <w:sz w:val="24"/>
          <w:szCs w:val="20"/>
        </w:rPr>
      </w:r>
      <w:r/>
    </w:p>
    <w:p>
      <w:pPr>
        <w:pStyle w:val="779"/>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79"/>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77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7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79"/>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79"/>
              <w:jc w:val="center"/>
              <w:rPr>
                <w:color w:val="000000"/>
                <w:sz w:val="24"/>
              </w:rPr>
            </w:pPr>
            <w:r>
              <w:rPr>
                <w:color w:val="000000"/>
                <w:sz w:val="24"/>
                <w:szCs w:val="21"/>
              </w:rPr>
              <w:t xml:space="preserve">单一来源采购文件</w:t>
            </w:r>
            <w:r>
              <w:rPr>
                <w:color w:val="000000"/>
                <w:sz w:val="24"/>
              </w:rPr>
              <w:t xml:space="preserve">条目号（页码）</w:t>
            </w:r>
            <w:r>
              <w:rPr>
                <w:color w:val="000000"/>
                <w:sz w:val="24"/>
              </w:rPr>
            </w:r>
            <w:r/>
          </w:p>
        </w:tc>
        <w:tc>
          <w:tcPr>
            <w:tcW w:w="2007" w:type="dxa"/>
            <w:vAlign w:val="center"/>
            <w:textDirection w:val="lrTb"/>
            <w:noWrap w:val="false"/>
          </w:tcPr>
          <w:p>
            <w:pPr>
              <w:pStyle w:val="779"/>
              <w:jc w:val="center"/>
              <w:rPr>
                <w:color w:val="000000"/>
                <w:sz w:val="24"/>
              </w:rPr>
            </w:pPr>
            <w:r>
              <w:rPr>
                <w:color w:val="000000"/>
                <w:sz w:val="24"/>
                <w:szCs w:val="21"/>
              </w:rPr>
              <w:t xml:space="preserve">单一来源采购文件</w:t>
            </w:r>
            <w:r>
              <w:rPr>
                <w:color w:val="000000"/>
                <w:sz w:val="24"/>
              </w:rPr>
              <w:t xml:space="preserve">要求</w:t>
            </w:r>
            <w:r>
              <w:rPr>
                <w:color w:val="000000"/>
                <w:sz w:val="24"/>
              </w:rPr>
            </w:r>
            <w:r/>
          </w:p>
        </w:tc>
        <w:tc>
          <w:tcPr>
            <w:tcW w:w="2008" w:type="dxa"/>
            <w:vAlign w:val="center"/>
            <w:textDirection w:val="lrTb"/>
            <w:noWrap w:val="false"/>
          </w:tcPr>
          <w:p>
            <w:pPr>
              <w:pStyle w:val="779"/>
              <w:jc w:val="center"/>
              <w:rPr>
                <w:color w:val="000000"/>
                <w:sz w:val="24"/>
              </w:rPr>
            </w:pPr>
            <w:r>
              <w:rPr>
                <w:color w:val="000000"/>
                <w:sz w:val="24"/>
              </w:rPr>
              <w:t xml:space="preserve">响应内容</w:t>
            </w:r>
            <w:r>
              <w:rPr>
                <w:color w:val="000000"/>
                <w:sz w:val="24"/>
              </w:rPr>
            </w:r>
            <w:r/>
          </w:p>
        </w:tc>
        <w:tc>
          <w:tcPr>
            <w:tcW w:w="2458" w:type="dxa"/>
            <w:vAlign w:val="center"/>
            <w:textDirection w:val="lrTb"/>
            <w:noWrap w:val="false"/>
          </w:tcPr>
          <w:p>
            <w:pPr>
              <w:pStyle w:val="779"/>
              <w:jc w:val="center"/>
              <w:rPr>
                <w:color w:val="000000"/>
                <w:sz w:val="24"/>
              </w:rPr>
            </w:pPr>
            <w:r>
              <w:rPr>
                <w:color w:val="000000"/>
                <w:sz w:val="24"/>
              </w:rPr>
              <w:t xml:space="preserve">偏离情况</w:t>
            </w:r>
            <w:r>
              <w:rPr>
                <w:color w:val="000000"/>
                <w:sz w:val="24"/>
              </w:rPr>
            </w:r>
            <w:r/>
          </w:p>
          <w:p>
            <w:pPr>
              <w:pStyle w:val="779"/>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79"/>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79"/>
              <w:jc w:val="center"/>
              <w:rPr>
                <w:color w:val="000000"/>
                <w:sz w:val="24"/>
              </w:rPr>
            </w:pPr>
            <w:r>
              <w:rPr>
                <w:color w:val="000000"/>
                <w:sz w:val="24"/>
              </w:rPr>
            </w:r>
            <w:r/>
          </w:p>
        </w:tc>
        <w:tc>
          <w:tcPr>
            <w:tcW w:w="1301" w:type="dxa"/>
            <w:vAlign w:val="center"/>
            <w:textDirection w:val="lrTb"/>
            <w:noWrap w:val="false"/>
          </w:tcPr>
          <w:p>
            <w:pPr>
              <w:pStyle w:val="779"/>
              <w:jc w:val="center"/>
              <w:rPr>
                <w:color w:val="000000"/>
                <w:sz w:val="24"/>
              </w:rPr>
            </w:pPr>
            <w:r>
              <w:rPr>
                <w:color w:val="000000"/>
                <w:sz w:val="24"/>
              </w:rPr>
            </w:r>
            <w:r/>
          </w:p>
        </w:tc>
        <w:tc>
          <w:tcPr>
            <w:tcW w:w="2007" w:type="dxa"/>
            <w:vAlign w:val="center"/>
            <w:textDirection w:val="lrTb"/>
            <w:noWrap w:val="false"/>
          </w:tcPr>
          <w:p>
            <w:pPr>
              <w:pStyle w:val="779"/>
              <w:jc w:val="center"/>
              <w:rPr>
                <w:color w:val="000000"/>
                <w:sz w:val="24"/>
              </w:rPr>
            </w:pPr>
            <w:r>
              <w:rPr>
                <w:color w:val="000000"/>
                <w:sz w:val="24"/>
              </w:rPr>
            </w:r>
            <w:r/>
          </w:p>
        </w:tc>
        <w:tc>
          <w:tcPr>
            <w:tcW w:w="2008" w:type="dxa"/>
            <w:vAlign w:val="center"/>
            <w:textDirection w:val="lrTb"/>
            <w:noWrap w:val="false"/>
          </w:tcPr>
          <w:p>
            <w:pPr>
              <w:pStyle w:val="779"/>
              <w:jc w:val="center"/>
              <w:rPr>
                <w:color w:val="000000"/>
                <w:sz w:val="24"/>
              </w:rPr>
            </w:pPr>
            <w:r>
              <w:rPr>
                <w:color w:val="000000"/>
                <w:sz w:val="24"/>
              </w:rPr>
            </w:r>
            <w:r/>
          </w:p>
        </w:tc>
        <w:tc>
          <w:tcPr>
            <w:tcW w:w="2458" w:type="dxa"/>
            <w:vAlign w:val="center"/>
            <w:textDirection w:val="lrTb"/>
            <w:noWrap w:val="false"/>
          </w:tcPr>
          <w:p>
            <w:pPr>
              <w:pStyle w:val="779"/>
              <w:jc w:val="center"/>
              <w:rPr>
                <w:color w:val="000000"/>
                <w:sz w:val="24"/>
              </w:rPr>
            </w:pPr>
            <w:r>
              <w:rPr>
                <w:color w:val="000000"/>
                <w:sz w:val="24"/>
              </w:rPr>
            </w:r>
            <w:r/>
          </w:p>
        </w:tc>
        <w:tc>
          <w:tcPr>
            <w:tcW w:w="788" w:type="dxa"/>
            <w:vAlign w:val="center"/>
            <w:textDirection w:val="lrTb"/>
            <w:noWrap w:val="false"/>
          </w:tcPr>
          <w:p>
            <w:pPr>
              <w:pStyle w:val="779"/>
              <w:jc w:val="center"/>
              <w:rPr>
                <w:color w:val="000000"/>
                <w:sz w:val="24"/>
              </w:rPr>
            </w:pPr>
            <w:r>
              <w:rPr>
                <w:color w:val="000000"/>
                <w:sz w:val="24"/>
              </w:rPr>
            </w:r>
            <w:r/>
          </w:p>
        </w:tc>
      </w:tr>
      <w:tr>
        <w:trPr>
          <w:trHeight w:val="930"/>
        </w:trPr>
        <w:tc>
          <w:tcPr>
            <w:tcW w:w="834" w:type="dxa"/>
            <w:vAlign w:val="center"/>
            <w:textDirection w:val="lrTb"/>
            <w:noWrap w:val="false"/>
          </w:tcPr>
          <w:p>
            <w:pPr>
              <w:pStyle w:val="779"/>
              <w:jc w:val="center"/>
              <w:rPr>
                <w:color w:val="000000"/>
                <w:sz w:val="24"/>
              </w:rPr>
            </w:pPr>
            <w:r>
              <w:rPr>
                <w:color w:val="000000"/>
                <w:sz w:val="24"/>
              </w:rPr>
            </w:r>
            <w:r/>
          </w:p>
        </w:tc>
        <w:tc>
          <w:tcPr>
            <w:tcW w:w="1301" w:type="dxa"/>
            <w:vAlign w:val="center"/>
            <w:textDirection w:val="lrTb"/>
            <w:noWrap w:val="false"/>
          </w:tcPr>
          <w:p>
            <w:pPr>
              <w:pStyle w:val="779"/>
              <w:jc w:val="center"/>
              <w:rPr>
                <w:color w:val="000000"/>
                <w:sz w:val="24"/>
              </w:rPr>
            </w:pPr>
            <w:r>
              <w:rPr>
                <w:color w:val="000000"/>
                <w:sz w:val="24"/>
              </w:rPr>
            </w:r>
            <w:r/>
          </w:p>
        </w:tc>
        <w:tc>
          <w:tcPr>
            <w:tcW w:w="2007" w:type="dxa"/>
            <w:vAlign w:val="center"/>
            <w:textDirection w:val="lrTb"/>
            <w:noWrap w:val="false"/>
          </w:tcPr>
          <w:p>
            <w:pPr>
              <w:pStyle w:val="779"/>
              <w:jc w:val="center"/>
              <w:rPr>
                <w:color w:val="000000"/>
                <w:sz w:val="24"/>
              </w:rPr>
            </w:pPr>
            <w:r>
              <w:rPr>
                <w:color w:val="000000"/>
                <w:sz w:val="24"/>
              </w:rPr>
            </w:r>
            <w:r/>
          </w:p>
        </w:tc>
        <w:tc>
          <w:tcPr>
            <w:tcW w:w="2008" w:type="dxa"/>
            <w:vAlign w:val="center"/>
            <w:textDirection w:val="lrTb"/>
            <w:noWrap w:val="false"/>
          </w:tcPr>
          <w:p>
            <w:pPr>
              <w:pStyle w:val="779"/>
              <w:jc w:val="center"/>
              <w:rPr>
                <w:color w:val="000000"/>
                <w:sz w:val="24"/>
              </w:rPr>
            </w:pPr>
            <w:r>
              <w:rPr>
                <w:color w:val="000000"/>
                <w:sz w:val="24"/>
              </w:rPr>
            </w:r>
            <w:r/>
          </w:p>
        </w:tc>
        <w:tc>
          <w:tcPr>
            <w:tcW w:w="2458" w:type="dxa"/>
            <w:vAlign w:val="center"/>
            <w:textDirection w:val="lrTb"/>
            <w:noWrap w:val="false"/>
          </w:tcPr>
          <w:p>
            <w:pPr>
              <w:pStyle w:val="779"/>
              <w:jc w:val="center"/>
              <w:rPr>
                <w:color w:val="000000"/>
                <w:sz w:val="24"/>
              </w:rPr>
            </w:pPr>
            <w:r>
              <w:rPr>
                <w:color w:val="000000"/>
                <w:sz w:val="24"/>
              </w:rPr>
            </w:r>
            <w:r/>
          </w:p>
        </w:tc>
        <w:tc>
          <w:tcPr>
            <w:tcW w:w="788" w:type="dxa"/>
            <w:vAlign w:val="center"/>
            <w:textDirection w:val="lrTb"/>
            <w:noWrap w:val="false"/>
          </w:tcPr>
          <w:p>
            <w:pPr>
              <w:pStyle w:val="779"/>
              <w:jc w:val="center"/>
              <w:rPr>
                <w:color w:val="000000"/>
                <w:sz w:val="24"/>
              </w:rPr>
            </w:pPr>
            <w:r>
              <w:rPr>
                <w:color w:val="000000"/>
                <w:sz w:val="24"/>
              </w:rPr>
            </w:r>
            <w:r/>
          </w:p>
        </w:tc>
      </w:tr>
      <w:tr>
        <w:trPr>
          <w:trHeight w:val="930"/>
        </w:trPr>
        <w:tc>
          <w:tcPr>
            <w:tcW w:w="834" w:type="dxa"/>
            <w:vAlign w:val="center"/>
            <w:textDirection w:val="lrTb"/>
            <w:noWrap w:val="false"/>
          </w:tcPr>
          <w:p>
            <w:pPr>
              <w:pStyle w:val="779"/>
              <w:jc w:val="center"/>
              <w:rPr>
                <w:color w:val="000000"/>
                <w:sz w:val="24"/>
              </w:rPr>
            </w:pPr>
            <w:r>
              <w:rPr>
                <w:color w:val="000000"/>
                <w:sz w:val="24"/>
              </w:rPr>
            </w:r>
            <w:r/>
          </w:p>
        </w:tc>
        <w:tc>
          <w:tcPr>
            <w:tcW w:w="1301" w:type="dxa"/>
            <w:vAlign w:val="center"/>
            <w:textDirection w:val="lrTb"/>
            <w:noWrap w:val="false"/>
          </w:tcPr>
          <w:p>
            <w:pPr>
              <w:pStyle w:val="779"/>
              <w:jc w:val="center"/>
              <w:rPr>
                <w:color w:val="000000"/>
                <w:sz w:val="24"/>
              </w:rPr>
            </w:pPr>
            <w:r>
              <w:rPr>
                <w:color w:val="000000"/>
                <w:sz w:val="24"/>
              </w:rPr>
            </w:r>
            <w:r/>
          </w:p>
        </w:tc>
        <w:tc>
          <w:tcPr>
            <w:tcW w:w="2007" w:type="dxa"/>
            <w:vAlign w:val="center"/>
            <w:textDirection w:val="lrTb"/>
            <w:noWrap w:val="false"/>
          </w:tcPr>
          <w:p>
            <w:pPr>
              <w:pStyle w:val="779"/>
              <w:jc w:val="center"/>
              <w:rPr>
                <w:color w:val="000000"/>
                <w:sz w:val="24"/>
              </w:rPr>
            </w:pPr>
            <w:r>
              <w:rPr>
                <w:color w:val="000000"/>
                <w:sz w:val="24"/>
              </w:rPr>
            </w:r>
            <w:r/>
          </w:p>
        </w:tc>
        <w:tc>
          <w:tcPr>
            <w:tcW w:w="2008" w:type="dxa"/>
            <w:vAlign w:val="center"/>
            <w:textDirection w:val="lrTb"/>
            <w:noWrap w:val="false"/>
          </w:tcPr>
          <w:p>
            <w:pPr>
              <w:pStyle w:val="779"/>
              <w:jc w:val="center"/>
              <w:rPr>
                <w:color w:val="000000"/>
                <w:sz w:val="24"/>
              </w:rPr>
            </w:pPr>
            <w:r>
              <w:rPr>
                <w:color w:val="000000"/>
                <w:sz w:val="24"/>
              </w:rPr>
            </w:r>
            <w:r/>
          </w:p>
        </w:tc>
        <w:tc>
          <w:tcPr>
            <w:tcW w:w="2458" w:type="dxa"/>
            <w:vAlign w:val="center"/>
            <w:textDirection w:val="lrTb"/>
            <w:noWrap w:val="false"/>
          </w:tcPr>
          <w:p>
            <w:pPr>
              <w:pStyle w:val="779"/>
              <w:jc w:val="center"/>
              <w:rPr>
                <w:color w:val="000000"/>
                <w:sz w:val="24"/>
              </w:rPr>
            </w:pPr>
            <w:r>
              <w:rPr>
                <w:color w:val="000000"/>
                <w:sz w:val="24"/>
              </w:rPr>
            </w:r>
            <w:r/>
          </w:p>
        </w:tc>
        <w:tc>
          <w:tcPr>
            <w:tcW w:w="788" w:type="dxa"/>
            <w:vAlign w:val="center"/>
            <w:textDirection w:val="lrTb"/>
            <w:noWrap w:val="false"/>
          </w:tcPr>
          <w:p>
            <w:pPr>
              <w:pStyle w:val="779"/>
              <w:jc w:val="center"/>
              <w:rPr>
                <w:color w:val="000000"/>
                <w:sz w:val="24"/>
              </w:rPr>
            </w:pPr>
            <w:r>
              <w:rPr>
                <w:color w:val="000000"/>
                <w:sz w:val="24"/>
              </w:rPr>
            </w:r>
            <w:r/>
          </w:p>
        </w:tc>
      </w:tr>
      <w:tr>
        <w:trPr>
          <w:trHeight w:val="930"/>
        </w:trPr>
        <w:tc>
          <w:tcPr>
            <w:tcW w:w="834" w:type="dxa"/>
            <w:vAlign w:val="center"/>
            <w:textDirection w:val="lrTb"/>
            <w:noWrap w:val="false"/>
          </w:tcPr>
          <w:p>
            <w:pPr>
              <w:pStyle w:val="779"/>
              <w:jc w:val="center"/>
              <w:rPr>
                <w:color w:val="000000"/>
                <w:sz w:val="24"/>
              </w:rPr>
            </w:pPr>
            <w:r>
              <w:rPr>
                <w:color w:val="000000"/>
                <w:sz w:val="24"/>
              </w:rPr>
            </w:r>
            <w:r/>
          </w:p>
        </w:tc>
        <w:tc>
          <w:tcPr>
            <w:tcW w:w="1301" w:type="dxa"/>
            <w:vAlign w:val="center"/>
            <w:textDirection w:val="lrTb"/>
            <w:noWrap w:val="false"/>
          </w:tcPr>
          <w:p>
            <w:pPr>
              <w:pStyle w:val="779"/>
              <w:jc w:val="center"/>
              <w:rPr>
                <w:color w:val="000000"/>
                <w:sz w:val="24"/>
              </w:rPr>
            </w:pPr>
            <w:r>
              <w:rPr>
                <w:color w:val="000000"/>
                <w:sz w:val="24"/>
              </w:rPr>
            </w:r>
            <w:r/>
          </w:p>
        </w:tc>
        <w:tc>
          <w:tcPr>
            <w:tcW w:w="2007" w:type="dxa"/>
            <w:vAlign w:val="center"/>
            <w:textDirection w:val="lrTb"/>
            <w:noWrap w:val="false"/>
          </w:tcPr>
          <w:p>
            <w:pPr>
              <w:pStyle w:val="779"/>
              <w:jc w:val="center"/>
              <w:rPr>
                <w:color w:val="000000"/>
                <w:sz w:val="24"/>
              </w:rPr>
            </w:pPr>
            <w:r>
              <w:rPr>
                <w:color w:val="000000"/>
                <w:sz w:val="24"/>
              </w:rPr>
            </w:r>
            <w:r/>
          </w:p>
        </w:tc>
        <w:tc>
          <w:tcPr>
            <w:tcW w:w="2008" w:type="dxa"/>
            <w:vAlign w:val="center"/>
            <w:textDirection w:val="lrTb"/>
            <w:noWrap w:val="false"/>
          </w:tcPr>
          <w:p>
            <w:pPr>
              <w:pStyle w:val="779"/>
              <w:jc w:val="center"/>
              <w:rPr>
                <w:color w:val="000000"/>
                <w:sz w:val="24"/>
              </w:rPr>
            </w:pPr>
            <w:r>
              <w:rPr>
                <w:color w:val="000000"/>
                <w:sz w:val="24"/>
              </w:rPr>
            </w:r>
            <w:r/>
          </w:p>
        </w:tc>
        <w:tc>
          <w:tcPr>
            <w:tcW w:w="2458" w:type="dxa"/>
            <w:vAlign w:val="center"/>
            <w:textDirection w:val="lrTb"/>
            <w:noWrap w:val="false"/>
          </w:tcPr>
          <w:p>
            <w:pPr>
              <w:pStyle w:val="779"/>
              <w:jc w:val="center"/>
              <w:rPr>
                <w:color w:val="000000"/>
                <w:sz w:val="24"/>
              </w:rPr>
            </w:pPr>
            <w:r>
              <w:rPr>
                <w:color w:val="000000"/>
                <w:sz w:val="24"/>
              </w:rPr>
            </w:r>
            <w:r/>
          </w:p>
        </w:tc>
        <w:tc>
          <w:tcPr>
            <w:tcW w:w="788" w:type="dxa"/>
            <w:vAlign w:val="center"/>
            <w:textDirection w:val="lrTb"/>
            <w:noWrap w:val="false"/>
          </w:tcPr>
          <w:p>
            <w:pPr>
              <w:pStyle w:val="779"/>
              <w:jc w:val="center"/>
              <w:rPr>
                <w:color w:val="000000"/>
                <w:sz w:val="24"/>
              </w:rPr>
            </w:pPr>
            <w:r>
              <w:rPr>
                <w:color w:val="000000"/>
                <w:sz w:val="24"/>
              </w:rPr>
            </w:r>
            <w:r/>
          </w:p>
        </w:tc>
      </w:tr>
    </w:tbl>
    <w:p>
      <w:pPr>
        <w:pStyle w:val="779"/>
        <w:jc w:val="left"/>
        <w:tabs>
          <w:tab w:val="left" w:pos="1800" w:leader="none"/>
          <w:tab w:val="left" w:pos="5580" w:leader="none"/>
        </w:tabs>
        <w:rPr>
          <w:color w:val="000000"/>
          <w:sz w:val="24"/>
        </w:rPr>
      </w:pPr>
      <w:r>
        <w:rPr>
          <w:color w:val="000000"/>
          <w:sz w:val="24"/>
        </w:rPr>
      </w:r>
      <w:r/>
    </w:p>
    <w:p>
      <w:pPr>
        <w:pStyle w:val="77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7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79"/>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779"/>
        <w:spacing w:line="360" w:lineRule="auto"/>
        <w:rPr>
          <w:color w:val="000000"/>
          <w:sz w:val="24"/>
          <w:szCs w:val="20"/>
        </w:rPr>
      </w:pPr>
      <w:r>
        <w:rPr>
          <w:color w:val="000000"/>
          <w:sz w:val="24"/>
          <w:szCs w:val="20"/>
        </w:rPr>
      </w:r>
      <w:r/>
    </w:p>
    <w:p>
      <w:pPr>
        <w:pStyle w:val="77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7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9"/>
        <w:spacing w:line="360" w:lineRule="auto"/>
        <w:rPr>
          <w:color w:val="000000"/>
          <w:sz w:val="24"/>
          <w:szCs w:val="20"/>
        </w:rPr>
        <w:outlineLvl w:val="2"/>
      </w:pPr>
      <w:r>
        <w:rPr>
          <w:color w:val="000000"/>
          <w:sz w:val="24"/>
          <w:szCs w:val="20"/>
        </w:rPr>
        <w:br w:type="page" w:clear="all"/>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color w:val="000000"/>
          <w:sz w:val="24"/>
          <w:szCs w:val="20"/>
        </w:rPr>
        <w:t xml:space="preserve">8</w:t>
      </w:r>
      <w:r>
        <w:rPr>
          <w:color w:val="000000"/>
          <w:sz w:val="24"/>
          <w:szCs w:val="20"/>
        </w:rPr>
        <w:t xml:space="preserve">采购需求偏离表</w:t>
      </w:r>
      <w:r>
        <w:rPr>
          <w:color w:val="000000"/>
          <w:sz w:val="24"/>
          <w:szCs w:val="20"/>
        </w:rPr>
      </w:r>
      <w:r/>
    </w:p>
    <w:p>
      <w:pPr>
        <w:pStyle w:val="779"/>
        <w:jc w:val="center"/>
        <w:spacing w:line="360" w:lineRule="auto"/>
        <w:rPr>
          <w:b/>
          <w:color w:val="000000"/>
          <w:sz w:val="36"/>
          <w:szCs w:val="36"/>
        </w:rPr>
      </w:pPr>
      <w:r>
        <w:rPr>
          <w:b/>
          <w:color w:val="000000"/>
          <w:sz w:val="36"/>
          <w:szCs w:val="36"/>
        </w:rPr>
        <w:t xml:space="preserve">采购需求偏离表</w:t>
      </w:r>
      <w:r>
        <w:rPr>
          <w:b/>
          <w:color w:val="000000"/>
          <w:sz w:val="36"/>
          <w:szCs w:val="36"/>
        </w:rPr>
      </w:r>
      <w:r/>
    </w:p>
    <w:p>
      <w:pPr>
        <w:pStyle w:val="779"/>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77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t xml:space="preserve">单一来源采购文件条目号(页码)</w:t>
            </w: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t xml:space="preserve">单一来源采购文件要求</w:t>
            </w: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t xml:space="preserve">偏离情况</w:t>
            </w:r>
            <w:r>
              <w:rPr>
                <w:color w:val="000000"/>
                <w:sz w:val="24"/>
              </w:rPr>
            </w:r>
            <w:r/>
          </w:p>
          <w:p>
            <w:pPr>
              <w:pStyle w:val="779"/>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r>
        <w:trPr>
          <w:trHeight w:val="930"/>
        </w:trPr>
        <w:tc>
          <w:tcPr>
            <w:tcW w:w="775" w:type="dxa"/>
            <w:vAlign w:val="center"/>
            <w:textDirection w:val="lrTb"/>
            <w:noWrap w:val="false"/>
          </w:tcPr>
          <w:p>
            <w:pPr>
              <w:pStyle w:val="779"/>
              <w:jc w:val="center"/>
              <w:rPr>
                <w:color w:val="000000"/>
                <w:sz w:val="24"/>
              </w:rPr>
            </w:pPr>
            <w:r>
              <w:rPr>
                <w:color w:val="000000"/>
                <w:sz w:val="24"/>
              </w:rPr>
            </w:r>
            <w:r/>
          </w:p>
        </w:tc>
        <w:tc>
          <w:tcPr>
            <w:tcW w:w="1482" w:type="dxa"/>
            <w:vAlign w:val="center"/>
            <w:textDirection w:val="lrTb"/>
            <w:noWrap w:val="false"/>
          </w:tcPr>
          <w:p>
            <w:pPr>
              <w:pStyle w:val="779"/>
              <w:jc w:val="center"/>
              <w:rPr>
                <w:color w:val="000000"/>
                <w:sz w:val="24"/>
              </w:rPr>
            </w:pPr>
            <w:r>
              <w:rPr>
                <w:color w:val="000000"/>
                <w:sz w:val="24"/>
              </w:rPr>
            </w:r>
            <w:r/>
          </w:p>
        </w:tc>
        <w:tc>
          <w:tcPr>
            <w:tcW w:w="2700" w:type="dxa"/>
            <w:vAlign w:val="center"/>
            <w:textDirection w:val="lrTb"/>
            <w:noWrap w:val="false"/>
          </w:tcPr>
          <w:p>
            <w:pPr>
              <w:pStyle w:val="779"/>
              <w:jc w:val="center"/>
              <w:rPr>
                <w:color w:val="000000"/>
                <w:sz w:val="24"/>
              </w:rPr>
            </w:pPr>
            <w:r>
              <w:rPr>
                <w:color w:val="000000"/>
                <w:sz w:val="24"/>
              </w:rPr>
            </w:r>
            <w:r/>
          </w:p>
        </w:tc>
        <w:tc>
          <w:tcPr>
            <w:tcW w:w="1810" w:type="dxa"/>
            <w:vAlign w:val="center"/>
            <w:textDirection w:val="lrTb"/>
            <w:noWrap w:val="false"/>
          </w:tcPr>
          <w:p>
            <w:pPr>
              <w:pStyle w:val="779"/>
              <w:jc w:val="center"/>
              <w:rPr>
                <w:color w:val="000000"/>
                <w:sz w:val="24"/>
              </w:rPr>
            </w:pPr>
            <w:r>
              <w:rPr>
                <w:color w:val="000000"/>
                <w:sz w:val="24"/>
              </w:rPr>
            </w:r>
            <w:r/>
          </w:p>
        </w:tc>
        <w:tc>
          <w:tcPr>
            <w:tcW w:w="1875" w:type="dxa"/>
            <w:vAlign w:val="center"/>
            <w:textDirection w:val="lrTb"/>
            <w:noWrap w:val="false"/>
          </w:tcPr>
          <w:p>
            <w:pPr>
              <w:pStyle w:val="779"/>
              <w:jc w:val="center"/>
              <w:rPr>
                <w:color w:val="000000"/>
                <w:sz w:val="24"/>
              </w:rPr>
            </w:pPr>
            <w:r>
              <w:rPr>
                <w:color w:val="000000"/>
                <w:sz w:val="24"/>
              </w:rPr>
            </w:r>
            <w:r/>
          </w:p>
        </w:tc>
        <w:tc>
          <w:tcPr>
            <w:tcW w:w="1009" w:type="dxa"/>
            <w:vAlign w:val="center"/>
            <w:textDirection w:val="lrTb"/>
            <w:noWrap w:val="false"/>
          </w:tcPr>
          <w:p>
            <w:pPr>
              <w:pStyle w:val="779"/>
              <w:jc w:val="center"/>
              <w:rPr>
                <w:color w:val="000000"/>
                <w:sz w:val="24"/>
              </w:rPr>
            </w:pPr>
            <w:r>
              <w:rPr>
                <w:color w:val="000000"/>
                <w:sz w:val="24"/>
              </w:rPr>
            </w:r>
            <w:r/>
          </w:p>
        </w:tc>
      </w:tr>
    </w:tbl>
    <w:p>
      <w:pPr>
        <w:pStyle w:val="77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7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7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7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对单一来源采购文件中的所有商务、技术要求，除本表所列明的所有偏离外，均视作供应商已对之理解和响应。此表中若无任何文字说明，内容为空白，则</w:t>
      </w:r>
      <w:r>
        <w:rPr>
          <w:b/>
          <w:sz w:val="24"/>
        </w:rPr>
        <w:t xml:space="preserve">响应无效</w:t>
      </w:r>
      <w:r>
        <w:rPr>
          <w:sz w:val="24"/>
        </w:rPr>
        <w:t xml:space="preserve">。</w:t>
      </w:r>
      <w:r>
        <w:rPr>
          <w:sz w:val="24"/>
        </w:rPr>
      </w:r>
      <w:r/>
    </w:p>
    <w:p>
      <w:pPr>
        <w:pStyle w:val="779"/>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填写“正偏离”或“负偏离”或“无偏离”。</w:t>
      </w:r>
      <w:r>
        <w:rPr>
          <w:color w:val="000000"/>
          <w:sz w:val="24"/>
        </w:rPr>
      </w:r>
      <w:r/>
    </w:p>
    <w:p>
      <w:pPr>
        <w:pStyle w:val="779"/>
        <w:jc w:val="left"/>
        <w:tabs>
          <w:tab w:val="left" w:pos="1800" w:leader="none"/>
          <w:tab w:val="left" w:pos="5580" w:leader="none"/>
        </w:tabs>
        <w:rPr>
          <w:color w:val="000000"/>
          <w:sz w:val="24"/>
        </w:rPr>
      </w:pPr>
      <w:r>
        <w:rPr>
          <w:color w:val="000000"/>
          <w:sz w:val="24"/>
        </w:rPr>
      </w:r>
      <w:r/>
    </w:p>
    <w:p>
      <w:pPr>
        <w:pStyle w:val="779"/>
        <w:rPr>
          <w:color w:val="000000"/>
          <w:sz w:val="24"/>
          <w:szCs w:val="20"/>
        </w:rPr>
      </w:pPr>
      <w:r>
        <w:rPr>
          <w:color w:val="000000"/>
          <w:sz w:val="24"/>
          <w:szCs w:val="20"/>
        </w:rPr>
      </w:r>
      <w:r/>
    </w:p>
    <w:p>
      <w:pPr>
        <w:pStyle w:val="77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79"/>
        <w:spacing w:before="25" w:after="25" w:line="360" w:lineRule="auto"/>
        <w:rPr>
          <w:color w:val="000000"/>
          <w:sz w:val="24"/>
        </w:rPr>
      </w:pPr>
      <w:r>
        <w:rPr>
          <w:color w:val="000000"/>
          <w:sz w:val="24"/>
          <w:szCs w:val="20"/>
        </w:rPr>
        <w:t xml:space="preserve">日期：_____年______月______日   </w:t>
      </w:r>
      <w:r>
        <w:rPr>
          <w:color w:val="000000"/>
          <w:sz w:val="24"/>
        </w:rPr>
      </w:r>
      <w:r/>
    </w:p>
    <w:p>
      <w:pPr>
        <w:pStyle w:val="779"/>
        <w:spacing w:line="360" w:lineRule="auto"/>
        <w:rPr>
          <w:color w:val="000000"/>
          <w:sz w:val="24"/>
          <w:szCs w:val="20"/>
        </w:rPr>
        <w:outlineLvl w:val="2"/>
      </w:pPr>
      <w:r>
        <w:rPr>
          <w:color w:val="000000"/>
          <w:sz w:val="24"/>
          <w:szCs w:val="20"/>
        </w:rPr>
        <w:br w:type="page" w:clear="all"/>
      </w:r>
      <w:r>
        <w:rPr>
          <w:color w:val="000000"/>
          <w:sz w:val="24"/>
          <w:szCs w:val="20"/>
        </w:rPr>
      </w:r>
      <w:r/>
    </w:p>
    <w:p>
      <w:pPr>
        <w:pStyle w:val="779"/>
        <w:spacing w:line="360" w:lineRule="auto"/>
        <w:rPr>
          <w:color w:val="000000"/>
        </w:rPr>
        <w:outlineLvl w:val="2"/>
      </w:pPr>
      <w:r>
        <w:rPr>
          <w:rFonts w:hint="eastAsia"/>
          <w:color w:val="000000"/>
          <w:sz w:val="24"/>
          <w:szCs w:val="20"/>
        </w:rPr>
        <w:t xml:space="preserve">9 </w:t>
      </w:r>
      <w:r>
        <w:rPr>
          <w:color w:val="000000"/>
          <w:sz w:val="24"/>
          <w:szCs w:val="20"/>
        </w:rPr>
        <w:t xml:space="preserve">采购标的成本说明</w:t>
      </w:r>
      <w:r>
        <w:rPr>
          <w:color w:val="000000"/>
        </w:rPr>
      </w:r>
      <w:r/>
    </w:p>
    <w:p>
      <w:pPr>
        <w:pStyle w:val="779"/>
        <w:rPr>
          <w:color w:val="000000"/>
        </w:rPr>
      </w:pPr>
      <w:r>
        <w:rPr>
          <w:color w:val="000000"/>
          <w:sz w:val="24"/>
          <w:szCs w:val="20"/>
        </w:rPr>
        <w:t xml:space="preserve">格式自拟</w:t>
      </w:r>
      <w:r>
        <w:rPr>
          <w:color w:val="000000"/>
        </w:rPr>
      </w:r>
      <w:r/>
    </w:p>
    <w:p>
      <w:pPr>
        <w:pStyle w:val="779"/>
        <w:jc w:val="left"/>
        <w:widowControl/>
        <w:rPr>
          <w:color w:val="000000"/>
          <w:sz w:val="24"/>
          <w:szCs w:val="20"/>
        </w:rPr>
      </w:pPr>
      <w:r/>
      <w:bookmarkStart w:id="746" w:name="_Toc87538864"/>
      <w:r>
        <w:rPr>
          <w:color w:val="000000"/>
          <w:sz w:val="24"/>
          <w:szCs w:val="20"/>
        </w:rPr>
        <w:br w:type="page" w:clear="all"/>
      </w:r>
      <w:r>
        <w:rPr>
          <w:color w:val="000000"/>
          <w:sz w:val="24"/>
          <w:szCs w:val="20"/>
        </w:rPr>
      </w:r>
      <w:r/>
    </w:p>
    <w:p>
      <w:pPr>
        <w:pStyle w:val="779"/>
        <w:spacing w:line="360" w:lineRule="auto"/>
        <w:rPr>
          <w:color w:val="000000"/>
        </w:rPr>
        <w:outlineLvl w:val="2"/>
      </w:pPr>
      <w:r>
        <w:rPr>
          <w:color w:val="000000"/>
          <w:sz w:val="24"/>
          <w:szCs w:val="20"/>
        </w:rPr>
        <w:t xml:space="preserve">1</w:t>
      </w:r>
      <w:r>
        <w:rPr>
          <w:rFonts w:hint="eastAsia"/>
          <w:color w:val="000000"/>
          <w:sz w:val="24"/>
          <w:szCs w:val="20"/>
        </w:rPr>
        <w:t xml:space="preserve">0</w:t>
      </w:r>
      <w:r>
        <w:rPr>
          <w:color w:val="000000"/>
          <w:sz w:val="24"/>
          <w:szCs w:val="20"/>
        </w:rPr>
        <w:t xml:space="preserve"> 同类项目合同价格</w:t>
      </w:r>
      <w:r>
        <w:rPr>
          <w:color w:val="000000"/>
        </w:rPr>
      </w:r>
      <w:r/>
    </w:p>
    <w:p>
      <w:pPr>
        <w:pStyle w:val="779"/>
        <w:rPr>
          <w:color w:val="000000"/>
        </w:rPr>
      </w:pPr>
      <w:r>
        <w:rPr>
          <w:color w:val="000000"/>
          <w:sz w:val="24"/>
          <w:szCs w:val="20"/>
        </w:rPr>
        <w:t xml:space="preserve">格式自拟</w:t>
      </w:r>
      <w:r>
        <w:rPr>
          <w:color w:val="000000"/>
        </w:rPr>
      </w:r>
      <w:r/>
    </w:p>
    <w:p>
      <w:pPr>
        <w:pStyle w:val="779"/>
        <w:jc w:val="left"/>
        <w:widowControl/>
        <w:rPr>
          <w:color w:val="000000"/>
          <w:sz w:val="24"/>
          <w:szCs w:val="20"/>
        </w:rPr>
      </w:pPr>
      <w:r>
        <w:rPr>
          <w:color w:val="000000"/>
          <w:sz w:val="24"/>
          <w:szCs w:val="20"/>
        </w:rPr>
        <w:br w:type="page" w:clear="all"/>
      </w:r>
      <w:r>
        <w:rPr>
          <w:color w:val="000000"/>
          <w:sz w:val="24"/>
          <w:szCs w:val="20"/>
        </w:rPr>
      </w:r>
      <w:r/>
    </w:p>
    <w:p>
      <w:pPr>
        <w:pStyle w:val="779"/>
        <w:spacing w:line="360" w:lineRule="auto"/>
        <w:rPr>
          <w:color w:val="000000"/>
        </w:rPr>
        <w:outlineLvl w:val="2"/>
      </w:pPr>
      <w:r>
        <w:rPr>
          <w:color w:val="000000"/>
          <w:sz w:val="24"/>
          <w:szCs w:val="20"/>
        </w:rPr>
        <w:t xml:space="preserve">1</w:t>
      </w:r>
      <w:r>
        <w:rPr>
          <w:rFonts w:hint="eastAsia"/>
          <w:color w:val="000000"/>
          <w:sz w:val="24"/>
          <w:szCs w:val="20"/>
        </w:rPr>
        <w:t xml:space="preserve">1</w:t>
      </w:r>
      <w:r>
        <w:rPr>
          <w:color w:val="000000"/>
          <w:sz w:val="24"/>
          <w:szCs w:val="20"/>
        </w:rPr>
        <w:t xml:space="preserve">相关专利、专有技术等情况说明</w:t>
      </w:r>
      <w:bookmarkEnd w:id="746"/>
      <w:r>
        <w:rPr>
          <w:color w:val="000000"/>
        </w:rPr>
      </w:r>
      <w:r/>
    </w:p>
    <w:p>
      <w:pPr>
        <w:pStyle w:val="779"/>
        <w:rPr>
          <w:color w:val="000000"/>
        </w:rPr>
      </w:pPr>
      <w:r>
        <w:rPr>
          <w:color w:val="000000"/>
          <w:sz w:val="24"/>
          <w:szCs w:val="20"/>
        </w:rPr>
        <w:t xml:space="preserve">格式自拟</w:t>
      </w:r>
      <w:r>
        <w:rPr>
          <w:color w:val="000000"/>
        </w:rPr>
      </w:r>
      <w:r/>
    </w:p>
    <w:p>
      <w:pPr>
        <w:pStyle w:val="829"/>
        <w:rPr>
          <w:rFonts w:ascii="宋体" w:hAnsi="宋体" w:cs="宋体"/>
          <w:sz w:val="24"/>
        </w:rPr>
      </w:pPr>
      <w:r>
        <w:rPr>
          <w:color w:val="000000"/>
          <w:sz w:val="24"/>
          <w:szCs w:val="20"/>
        </w:rPr>
        <w:br w:type="page" w:clear="all"/>
      </w:r>
      <w:r>
        <w:rPr>
          <w:rFonts w:hint="eastAsia"/>
          <w:color w:val="000000"/>
          <w:sz w:val="24"/>
          <w:szCs w:val="20"/>
        </w:rPr>
        <w:t xml:space="preserve">12</w:t>
      </w:r>
      <w:r>
        <w:rPr>
          <w:rFonts w:ascii="Times New Roman"/>
          <w:color w:val="000000"/>
        </w:rPr>
        <w:t xml:space="preserve">（实质性格式）</w:t>
      </w:r>
      <w:r>
        <w:rPr>
          <w:rFonts w:ascii="宋体" w:hAnsi="宋体" w:cs="宋体"/>
          <w:sz w:val="24"/>
        </w:rPr>
      </w:r>
      <w:r/>
    </w:p>
    <w:p>
      <w:pPr>
        <w:pStyle w:val="829"/>
        <w:jc w:val="center"/>
        <w:rPr>
          <w:rFonts w:ascii="宋体" w:hAnsi="宋体" w:cs="宋体"/>
          <w:b/>
          <w:bCs/>
          <w:sz w:val="24"/>
        </w:rPr>
      </w:pPr>
      <w:r>
        <w:rPr>
          <w:rFonts w:hint="eastAsia" w:ascii="宋体" w:hAnsi="宋体" w:cs="宋体"/>
          <w:b/>
          <w:bCs/>
          <w:sz w:val="24"/>
        </w:rPr>
        <w:t xml:space="preserve">正负面清单承诺书</w:t>
      </w:r>
      <w:r>
        <w:rPr>
          <w:rFonts w:ascii="宋体" w:hAnsi="宋体" w:cs="宋体"/>
          <w:b/>
          <w:bCs/>
          <w:sz w:val="24"/>
        </w:rPr>
      </w:r>
      <w:r/>
    </w:p>
    <w:p>
      <w:pPr>
        <w:pStyle w:val="779"/>
        <w:jc w:val="center"/>
        <w:spacing w:line="360" w:lineRule="auto"/>
        <w:rPr>
          <w:rFonts w:ascii="宋体" w:hAnsi="宋体" w:cs="宋体"/>
          <w:sz w:val="24"/>
        </w:rPr>
      </w:pPr>
      <w:r>
        <w:rPr>
          <w:rFonts w:ascii="宋体" w:hAnsi="宋体" w:cs="宋体"/>
          <w:sz w:val="24"/>
        </w:rPr>
      </w:r>
      <w:r/>
    </w:p>
    <w:p>
      <w:pPr>
        <w:pStyle w:val="779"/>
        <w:jc w:val="center"/>
        <w:spacing w:line="360" w:lineRule="auto"/>
        <w:rPr>
          <w:rFonts w:hint="eastAsia" w:ascii="宋体" w:hAnsi="宋体" w:cs="宋体"/>
          <w:b/>
          <w:bCs/>
          <w:sz w:val="24"/>
        </w:rPr>
      </w:pPr>
      <w:r>
        <w:rPr>
          <w:rFonts w:hint="eastAsia" w:ascii="宋体" w:hAnsi="宋体" w:cs="宋体"/>
          <w:b/>
          <w:bCs/>
          <w:sz w:val="24"/>
        </w:rPr>
        <w:t xml:space="preserve">非公有制企业及其负责人正面清单</w:t>
      </w:r>
      <w:r>
        <w:rPr>
          <w:rFonts w:hint="eastAsia" w:ascii="宋体" w:hAnsi="宋体" w:cs="宋体"/>
          <w:b/>
          <w:bCs/>
          <w:sz w:val="24"/>
        </w:rPr>
      </w:r>
      <w:r/>
    </w:p>
    <w:p>
      <w:pPr>
        <w:pStyle w:val="812"/>
      </w:pPr>
      <w:r/>
      <w:r/>
    </w:p>
    <w:p>
      <w:pPr>
        <w:pStyle w:val="779"/>
        <w:ind w:firstLine="480"/>
        <w:spacing w:line="341" w:lineRule="auto"/>
        <w:rPr>
          <w:rFonts w:ascii="宋体" w:hAnsi="宋体" w:cs="宋体"/>
          <w:sz w:val="24"/>
        </w:rPr>
      </w:pPr>
      <w:r>
        <w:rPr>
          <w:rFonts w:hint="eastAsia" w:ascii="宋体" w:hAnsi="宋体" w:cs="宋体"/>
          <w:sz w:val="24"/>
        </w:rPr>
        <w:t xml:space="preserve">鼓励非公有制企业及其负责人与有关党政机关及其工作人员多沟通多交流，主动做到：</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1. 增强大局意识和责任意识，牢固树立新发展理念，争做负责任的“企业公民”，使企业的发展壮大真正走上和谐健康的轨道；</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2. 增强法律意识和法治观念，讲诚信、守商规、走正道，做到遵纪守法办企业、光明正大搞经营；</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3. 踏踏实实办好企业，心无旁骛创新创造，努力实现新的发展；</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4. 积极参与各项涉企政策的评估工作，讲真话、说实情、建诤言，满腔热情支持经济发展；</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5. 积极响应政府号召，自觉承担好就业、环保、安全等社会责任，加强企业文化建设，争当爱国敬业、守法经营、回报社会的典范；</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6. 自觉加强行业自律，抵制不正当的市场竞争行为，做守法经营的标杆、诚实守信的典范；</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7. 致富思源、富而思进，积极投身脱贫攻坚、社会公益和光彩事业；</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8. 其他符合社会主义核心价值观和社会公德的行为。</w:t>
      </w:r>
      <w:r>
        <w:rPr>
          <w:rFonts w:ascii="宋体" w:hAnsi="宋体" w:cs="宋体"/>
          <w:sz w:val="24"/>
        </w:rPr>
      </w:r>
      <w:r/>
    </w:p>
    <w:p>
      <w:pPr>
        <w:pStyle w:val="779"/>
        <w:ind w:firstLine="480"/>
        <w:jc w:val="right"/>
        <w:spacing w:line="341" w:lineRule="auto"/>
        <w:rPr>
          <w:rFonts w:hint="eastAsia" w:ascii="宋体" w:hAnsi="宋体" w:cs="宋体"/>
          <w:sz w:val="24"/>
        </w:rPr>
      </w:pPr>
      <w:r>
        <w:rPr>
          <w:rFonts w:hint="eastAsia" w:ascii="宋体" w:hAnsi="宋体" w:cs="宋体"/>
          <w:sz w:val="24"/>
        </w:rPr>
      </w:r>
      <w:r/>
    </w:p>
    <w:p>
      <w:pPr>
        <w:pStyle w:val="779"/>
        <w:ind w:firstLine="480"/>
        <w:jc w:val="right"/>
        <w:spacing w:line="341" w:lineRule="auto"/>
        <w:rPr>
          <w:rFonts w:hint="eastAsia" w:ascii="宋体" w:hAnsi="宋体" w:cs="宋体"/>
          <w:sz w:val="24"/>
        </w:rPr>
      </w:pPr>
      <w:r>
        <w:rPr>
          <w:rFonts w:hint="eastAsia" w:ascii="宋体" w:hAnsi="宋体" w:cs="宋体"/>
          <w:sz w:val="24"/>
        </w:rPr>
      </w:r>
      <w:r/>
    </w:p>
    <w:p>
      <w:pPr>
        <w:pStyle w:val="779"/>
        <w:ind w:firstLine="480"/>
        <w:jc w:val="right"/>
        <w:spacing w:line="341" w:lineRule="auto"/>
        <w:rPr>
          <w:rFonts w:hint="eastAsia" w:ascii="宋体" w:hAnsi="宋体" w:cs="宋体"/>
          <w:sz w:val="24"/>
        </w:rPr>
      </w:pPr>
      <w:r>
        <w:rPr>
          <w:rFonts w:hint="eastAsia" w:ascii="宋体" w:hAnsi="宋体" w:cs="宋体"/>
          <w:sz w:val="24"/>
        </w:rPr>
      </w:r>
      <w:r/>
    </w:p>
    <w:p>
      <w:pPr>
        <w:pStyle w:val="779"/>
        <w:ind w:firstLine="480"/>
        <w:jc w:val="right"/>
        <w:spacing w:line="341" w:lineRule="auto"/>
        <w:rPr>
          <w:rFonts w:ascii="宋体" w:hAnsi="宋体" w:cs="宋体"/>
          <w:sz w:val="24"/>
        </w:rPr>
      </w:pPr>
      <w:r>
        <w:rPr>
          <w:rFonts w:hint="eastAsia" w:ascii="宋体" w:hAnsi="宋体" w:cs="宋体"/>
          <w:sz w:val="24"/>
        </w:rPr>
        <w:t xml:space="preserve">已知悉《非公有制企业及其负责人正面清单》具体要求。</w:t>
      </w:r>
      <w:r>
        <w:rPr>
          <w:rFonts w:ascii="宋体" w:hAnsi="宋体" w:cs="宋体"/>
          <w:sz w:val="24"/>
        </w:rPr>
      </w:r>
      <w:r/>
    </w:p>
    <w:p>
      <w:pPr>
        <w:pStyle w:val="779"/>
        <w:ind w:firstLine="480"/>
        <w:jc w:val="left"/>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779"/>
        <w:ind w:firstLine="480"/>
        <w:jc w:val="left"/>
        <w:spacing w:line="341" w:lineRule="auto"/>
        <w:rPr>
          <w:rFonts w:hint="eastAsia" w:ascii="宋体" w:hAnsi="宋体" w:cs="宋体"/>
          <w:sz w:val="24"/>
        </w:rPr>
      </w:pPr>
      <w:r>
        <w:rPr>
          <w:rFonts w:hint="eastAsia" w:ascii="宋体" w:hAnsi="宋体" w:cs="宋体"/>
          <w:sz w:val="24"/>
        </w:rPr>
        <w:t xml:space="preserve">                      日期：          </w:t>
      </w:r>
      <w:r>
        <w:rPr>
          <w:rFonts w:hint="eastAsia" w:ascii="宋体" w:hAnsi="宋体" w:cs="宋体"/>
          <w:sz w:val="24"/>
        </w:rPr>
      </w:r>
      <w:r/>
    </w:p>
    <w:p>
      <w:pPr>
        <w:pStyle w:val="779"/>
      </w:pPr>
      <w:r>
        <w:br w:type="page" w:clear="all"/>
      </w:r>
      <w:r/>
    </w:p>
    <w:p>
      <w:pPr>
        <w:pStyle w:val="829"/>
      </w:pPr>
      <w:r/>
      <w:r/>
    </w:p>
    <w:p>
      <w:pPr>
        <w:pStyle w:val="779"/>
        <w:jc w:val="center"/>
        <w:spacing w:line="360" w:lineRule="auto"/>
        <w:rPr>
          <w:rFonts w:hint="eastAsia" w:ascii="宋体" w:hAnsi="宋体" w:cs="宋体"/>
          <w:b/>
          <w:bCs/>
          <w:sz w:val="24"/>
        </w:rPr>
      </w:pPr>
      <w:r>
        <w:rPr>
          <w:rFonts w:hint="eastAsia" w:ascii="宋体" w:hAnsi="宋体" w:cs="宋体"/>
          <w:b/>
          <w:bCs/>
          <w:sz w:val="24"/>
        </w:rPr>
        <w:t xml:space="preserve">非公有制企业及其负责人负面清单</w:t>
      </w:r>
      <w:r>
        <w:rPr>
          <w:rFonts w:hint="eastAsia" w:ascii="宋体" w:hAnsi="宋体" w:cs="宋体"/>
          <w:b/>
          <w:bCs/>
          <w:sz w:val="24"/>
        </w:rPr>
      </w:r>
      <w:r/>
    </w:p>
    <w:p>
      <w:pPr>
        <w:pStyle w:val="812"/>
      </w:pPr>
      <w:r/>
      <w:r/>
    </w:p>
    <w:p>
      <w:pPr>
        <w:pStyle w:val="779"/>
        <w:ind w:firstLine="480"/>
        <w:spacing w:line="341" w:lineRule="auto"/>
        <w:rPr>
          <w:rFonts w:ascii="宋体" w:hAnsi="宋体" w:cs="宋体"/>
          <w:sz w:val="24"/>
        </w:rPr>
      </w:pPr>
      <w:r>
        <w:rPr>
          <w:rFonts w:hint="eastAsia" w:ascii="宋体" w:hAnsi="宋体" w:cs="宋体"/>
          <w:sz w:val="24"/>
        </w:rPr>
        <w:t xml:space="preserve">非公有制企业及其负责人在与党政机关工作人员交往中，不得从事下列行为：</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1. 向机关单位工作人员及配偶、子女及其配偶和其他特定关系人赠送红包、礼金、礼品、消费卡、会员卡、有价证券、股权、其他金融产品等财物或者其他财产性利益；</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2. 以赌博或者其他形式向机关单位工作人员及配偶、子女及其配偶等特定关系人输送利益；</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3. 为机关单位工作人员及配偶、子女及其配偶和其他特定关系人代为投资或挂名领薪，或将上述人员应由个人支付的费用在企业列支、或由企业人员私人支付；</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4. 违规接受离职、辞职、退（离）休的公职人员到企业任职；</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5. 以组织培训、考察、调研或经贸活动为名，安排党政机关工作人员违规参观景区；</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6. 以不正当渠道或非法手段影响党政机关的干部人事任免、公共决策、公务执行；</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7. 组织邀请党政机关工作人员参加可能影响公正执行公务的宴会，安排高档菜肴、野生保护动物、烟酒及高消费娱乐、健身活动；</w:t>
      </w:r>
      <w:r>
        <w:rPr>
          <w:rFonts w:ascii="宋体" w:hAnsi="宋体" w:cs="宋体"/>
          <w:sz w:val="24"/>
        </w:rPr>
      </w:r>
      <w:r/>
    </w:p>
    <w:p>
      <w:pPr>
        <w:pStyle w:val="779"/>
        <w:ind w:firstLine="480"/>
        <w:spacing w:line="341" w:lineRule="auto"/>
        <w:rPr>
          <w:rFonts w:ascii="宋体" w:hAnsi="宋体" w:cs="宋体"/>
          <w:sz w:val="24"/>
        </w:rPr>
      </w:pPr>
      <w:r>
        <w:rPr>
          <w:rFonts w:ascii="宋体" w:hAnsi="宋体" w:cs="宋体"/>
          <w:sz w:val="24"/>
        </w:rPr>
        <w:t xml:space="preserve">8. 党纪党规或国家法律法规禁止的其他行为。</w:t>
      </w:r>
      <w:r>
        <w:rPr>
          <w:rFonts w:ascii="宋体" w:hAnsi="宋体" w:cs="宋体"/>
          <w:sz w:val="24"/>
        </w:rPr>
      </w:r>
      <w:r/>
    </w:p>
    <w:p>
      <w:pPr>
        <w:pStyle w:val="779"/>
        <w:ind w:firstLine="3360"/>
        <w:spacing w:line="341" w:lineRule="auto"/>
        <w:rPr>
          <w:rFonts w:hint="eastAsia" w:ascii="宋体" w:hAnsi="宋体" w:cs="宋体"/>
          <w:sz w:val="24"/>
        </w:rPr>
      </w:pPr>
      <w:r>
        <w:rPr>
          <w:rFonts w:hint="eastAsia" w:ascii="宋体" w:hAnsi="宋体" w:cs="宋体"/>
          <w:sz w:val="24"/>
        </w:rPr>
      </w:r>
      <w:r/>
    </w:p>
    <w:p>
      <w:pPr>
        <w:pStyle w:val="779"/>
        <w:ind w:firstLine="3360"/>
        <w:spacing w:line="341" w:lineRule="auto"/>
        <w:rPr>
          <w:rFonts w:hint="eastAsia" w:ascii="宋体" w:hAnsi="宋体" w:cs="宋体"/>
          <w:sz w:val="24"/>
        </w:rPr>
      </w:pPr>
      <w:r>
        <w:rPr>
          <w:rFonts w:hint="eastAsia" w:ascii="宋体" w:hAnsi="宋体" w:cs="宋体"/>
          <w:sz w:val="24"/>
        </w:rPr>
      </w:r>
      <w:r/>
    </w:p>
    <w:p>
      <w:pPr>
        <w:pStyle w:val="779"/>
        <w:ind w:firstLine="3360"/>
        <w:spacing w:line="341" w:lineRule="auto"/>
        <w:rPr>
          <w:rFonts w:ascii="宋体" w:hAnsi="宋体" w:cs="宋体"/>
          <w:sz w:val="24"/>
        </w:rPr>
      </w:pPr>
      <w:r>
        <w:rPr>
          <w:rFonts w:hint="eastAsia" w:ascii="宋体" w:hAnsi="宋体" w:cs="宋体"/>
          <w:sz w:val="24"/>
        </w:rPr>
        <w:t xml:space="preserve">已知悉《非公有制企业及其负责人负面清单》具体要求。</w:t>
      </w:r>
      <w:r>
        <w:rPr>
          <w:rFonts w:ascii="宋体" w:hAnsi="宋体" w:cs="宋体"/>
          <w:sz w:val="24"/>
        </w:rPr>
      </w:r>
      <w:r/>
    </w:p>
    <w:p>
      <w:pPr>
        <w:pStyle w:val="779"/>
        <w:ind w:firstLine="480"/>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779"/>
        <w:ind w:firstLine="480"/>
        <w:spacing w:line="341" w:lineRule="auto"/>
        <w:rPr>
          <w:rFonts w:hint="eastAsia"/>
        </w:rPr>
      </w:pPr>
      <w:r>
        <w:rPr>
          <w:rFonts w:hint="eastAsia" w:ascii="宋体" w:hAnsi="宋体" w:cs="宋体"/>
          <w:sz w:val="24"/>
        </w:rPr>
        <w:t xml:space="preserve">                        日期：       </w:t>
      </w:r>
      <w:r>
        <w:rPr>
          <w:rFonts w:hint="eastAsia"/>
        </w:rPr>
      </w:r>
      <w:r/>
    </w:p>
    <w:p>
      <w:pPr>
        <w:pStyle w:val="779"/>
      </w:pPr>
      <w:r/>
      <w:r/>
    </w:p>
    <w:p>
      <w:pPr>
        <w:pStyle w:val="779"/>
      </w:pPr>
      <w:r/>
      <w:r/>
    </w:p>
    <w:p>
      <w:pPr>
        <w:pStyle w:val="779"/>
      </w:pPr>
      <w:r/>
      <w:r/>
    </w:p>
    <w:p>
      <w:pPr>
        <w:pStyle w:val="779"/>
        <w:jc w:val="left"/>
        <w:widowControl/>
        <w:rPr>
          <w:color w:val="000000"/>
          <w:sz w:val="24"/>
          <w:szCs w:val="20"/>
        </w:rPr>
      </w:pPr>
      <w:r>
        <w:rPr>
          <w:color w:val="000000"/>
          <w:sz w:val="24"/>
          <w:szCs w:val="20"/>
        </w:rPr>
        <w:br w:type="page" w:clear="all"/>
      </w:r>
      <w:r>
        <w:rPr>
          <w:color w:val="000000"/>
          <w:sz w:val="24"/>
          <w:szCs w:val="20"/>
        </w:rPr>
      </w:r>
      <w:r/>
    </w:p>
    <w:p>
      <w:pPr>
        <w:pStyle w:val="779"/>
        <w:spacing w:line="360" w:lineRule="auto"/>
        <w:rPr>
          <w:color w:val="000000"/>
          <w:sz w:val="24"/>
          <w:szCs w:val="20"/>
        </w:rPr>
        <w:outlineLvl w:val="2"/>
      </w:pPr>
      <w:r>
        <w:rPr>
          <w:color w:val="000000"/>
          <w:sz w:val="24"/>
          <w:szCs w:val="20"/>
        </w:rPr>
        <w:t xml:space="preserve">1</w:t>
      </w:r>
      <w:r>
        <w:rPr>
          <w:rFonts w:hint="eastAsia"/>
          <w:color w:val="000000"/>
          <w:sz w:val="24"/>
          <w:szCs w:val="20"/>
        </w:rPr>
        <w:t xml:space="preserve">3 </w:t>
      </w:r>
      <w:r>
        <w:rPr>
          <w:color w:val="000000"/>
          <w:sz w:val="24"/>
          <w:szCs w:val="20"/>
        </w:rPr>
        <w:t xml:space="preserve">单一来源采购文件要求提供或供应商认为应附的其他材料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楷体">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52"/>
      </w:rPr>
      <w:framePr w:wrap="around" w:vAnchor="text" w:hAnchor="margin" w:xAlign="right" w:y="1"/>
    </w:pPr>
    <w:r>
      <w:rPr>
        <w:rStyle w:val="852"/>
      </w:rPr>
    </w:r>
    <w:r/>
  </w:p>
  <w:p>
    <w:pPr>
      <w:pStyle w:val="827"/>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52"/>
      </w:rPr>
      <w:framePr w:wrap="around" w:vAnchor="text" w:hAnchor="margin" w:xAlign="right" w:y="1"/>
    </w:pPr>
    <w:r>
      <w:rPr>
        <w:rStyle w:val="852"/>
      </w:rPr>
      <w:fldChar w:fldCharType="begin"/>
    </w:r>
    <w:r>
      <w:rPr>
        <w:rStyle w:val="852"/>
      </w:rPr>
      <w:instrText xml:space="preserve">PAGE  </w:instrText>
    </w:r>
    <w:r>
      <w:rPr>
        <w:rStyle w:val="852"/>
      </w:rPr>
      <w:fldChar w:fldCharType="end"/>
    </w:r>
    <w:r>
      <w:rPr>
        <w:rStyle w:val="852"/>
      </w:rPr>
    </w:r>
    <w:r/>
  </w:p>
  <w:p>
    <w:pPr>
      <w:pStyle w:val="82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rPr>
      <w:pBdr>
        <w:bottom w:val="none" w:color="000000" w:sz="0" w:space="1"/>
      </w:pBdr>
    </w:pPr>
    <w:r>
      <w:rPr>
        <w:rFonts w:hint="eastAsia"/>
      </w:rPr>
      <w:t xml:space="preserve">常州正衡招投标有限公司单一来源采购文件</w:t>
    </w:r>
    <w:r>
      <w:rPr>
        <w:rFonts w:hint="eastAsia"/>
      </w:rPr>
    </w:r>
    <w:r/>
  </w:p>
  <w:p>
    <w:pPr>
      <w:pStyle w:val="830"/>
      <w:jc w:val="right"/>
      <w:tabs>
        <w:tab w:val="center" w:pos="4153" w:leader="none"/>
        <w:tab w:val="right" w:pos="8306" w:leader="none"/>
      </w:tabs>
      <w:pBdr>
        <w:bottom w:val="none" w:color="000000"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rPr>
      <w:pBdr>
        <w:bottom w:val="none" w:color="000000" w:sz="0" w:space="1"/>
      </w:pBdr>
    </w:pPr>
    <w:r>
      <w:rPr>
        <w:rFonts w:hint="eastAsia"/>
      </w:rPr>
      <w:t xml:space="preserve">常州正衡招投标有限公司单一来源采购文件</w:t>
    </w:r>
    <w:r>
      <w:rPr>
        <w:rFonts w:hint="eastAsia"/>
      </w:rPr>
    </w:r>
    <w:r/>
  </w:p>
  <w:p>
    <w:pPr>
      <w:pStyle w:val="83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79"/>
        <w:ind w:left="5225" w:hanging="1140"/>
        <w:tabs>
          <w:tab w:val="num" w:pos="5225" w:leader="none"/>
        </w:tabs>
      </w:pPr>
      <w:rPr>
        <w:rFonts w:hint="eastAsia"/>
      </w:rPr>
    </w:lvl>
    <w:lvl w:ilvl="1">
      <w:start w:val="1"/>
      <w:numFmt w:val="lowerLetter"/>
      <w:isLgl w:val="false"/>
      <w:suff w:val="tab"/>
      <w:lvlText w:val="%2)"/>
      <w:lvlJc w:val="left"/>
      <w:pPr>
        <w:pStyle w:val="779"/>
        <w:ind w:left="4925" w:hanging="420"/>
        <w:tabs>
          <w:tab w:val="num" w:pos="4925" w:leader="none"/>
        </w:tabs>
      </w:pPr>
    </w:lvl>
    <w:lvl w:ilvl="2">
      <w:start w:val="1"/>
      <w:numFmt w:val="lowerRoman"/>
      <w:isLgl w:val="false"/>
      <w:suff w:val="tab"/>
      <w:lvlText w:val="%3."/>
      <w:lvlJc w:val="right"/>
      <w:pPr>
        <w:pStyle w:val="779"/>
        <w:ind w:left="5345" w:hanging="420"/>
        <w:tabs>
          <w:tab w:val="num" w:pos="5345" w:leader="none"/>
        </w:tabs>
      </w:pPr>
    </w:lvl>
    <w:lvl w:ilvl="3">
      <w:start w:val="1"/>
      <w:numFmt w:val="decimal"/>
      <w:isLgl w:val="false"/>
      <w:suff w:val="tab"/>
      <w:lvlText w:val="%4."/>
      <w:lvlJc w:val="left"/>
      <w:pPr>
        <w:pStyle w:val="779"/>
        <w:ind w:left="5765" w:hanging="420"/>
        <w:tabs>
          <w:tab w:val="num" w:pos="5765" w:leader="none"/>
        </w:tabs>
      </w:pPr>
    </w:lvl>
    <w:lvl w:ilvl="4">
      <w:start w:val="1"/>
      <w:numFmt w:val="lowerLetter"/>
      <w:isLgl w:val="false"/>
      <w:suff w:val="tab"/>
      <w:lvlText w:val="%5)"/>
      <w:lvlJc w:val="left"/>
      <w:pPr>
        <w:pStyle w:val="779"/>
        <w:ind w:left="6185" w:hanging="420"/>
        <w:tabs>
          <w:tab w:val="num" w:pos="6185" w:leader="none"/>
        </w:tabs>
      </w:pPr>
    </w:lvl>
    <w:lvl w:ilvl="5">
      <w:start w:val="1"/>
      <w:numFmt w:val="lowerRoman"/>
      <w:isLgl w:val="false"/>
      <w:suff w:val="tab"/>
      <w:lvlText w:val="%6."/>
      <w:lvlJc w:val="right"/>
      <w:pPr>
        <w:pStyle w:val="779"/>
        <w:ind w:left="6605" w:hanging="420"/>
        <w:tabs>
          <w:tab w:val="num" w:pos="6605" w:leader="none"/>
        </w:tabs>
      </w:pPr>
    </w:lvl>
    <w:lvl w:ilvl="6">
      <w:start w:val="1"/>
      <w:numFmt w:val="decimal"/>
      <w:isLgl w:val="false"/>
      <w:suff w:val="tab"/>
      <w:lvlText w:val="%7."/>
      <w:lvlJc w:val="left"/>
      <w:pPr>
        <w:pStyle w:val="779"/>
        <w:ind w:left="7025" w:hanging="420"/>
        <w:tabs>
          <w:tab w:val="num" w:pos="7025" w:leader="none"/>
        </w:tabs>
      </w:pPr>
    </w:lvl>
    <w:lvl w:ilvl="7">
      <w:start w:val="1"/>
      <w:numFmt w:val="lowerLetter"/>
      <w:isLgl w:val="false"/>
      <w:suff w:val="tab"/>
      <w:lvlText w:val="%8)"/>
      <w:lvlJc w:val="left"/>
      <w:pPr>
        <w:pStyle w:val="779"/>
        <w:ind w:left="7445" w:hanging="420"/>
        <w:tabs>
          <w:tab w:val="num" w:pos="7445" w:leader="none"/>
        </w:tabs>
      </w:pPr>
    </w:lvl>
    <w:lvl w:ilvl="8">
      <w:start w:val="1"/>
      <w:numFmt w:val="lowerRoman"/>
      <w:isLgl w:val="false"/>
      <w:suff w:val="tab"/>
      <w:lvlText w:val="%9."/>
      <w:lvlJc w:val="right"/>
      <w:pPr>
        <w:pStyle w:val="779"/>
        <w:ind w:left="7865" w:hanging="420"/>
        <w:tabs>
          <w:tab w:val="num" w:pos="7865" w:leader="none"/>
        </w:tabs>
      </w:pPr>
    </w:lvl>
  </w:abstractNum>
  <w:abstractNum w:abstractNumId="1">
    <w:multiLevelType w:val="hybridMultilevel"/>
    <w:lvl w:ilvl="0">
      <w:start w:val="1"/>
      <w:numFmt w:val="decimal"/>
      <w:pStyle w:val="891"/>
      <w:isLgl w:val="false"/>
      <w:suff w:val="tab"/>
      <w:lvlText w:val="%1."/>
      <w:lvlJc w:val="left"/>
      <w:pPr>
        <w:pStyle w:val="779"/>
        <w:ind w:left="420" w:hanging="420"/>
      </w:pPr>
    </w:lvl>
    <w:lvl w:ilvl="1">
      <w:start w:val="1"/>
      <w:numFmt w:val="decimal"/>
      <w:isLgl w:val="false"/>
      <w:suff w:val="tab"/>
      <w:lvlText w:val="（%2）"/>
      <w:lvlJc w:val="left"/>
      <w:pPr>
        <w:pStyle w:val="779"/>
        <w:ind w:left="1140" w:hanging="720"/>
        <w:tabs>
          <w:tab w:val="num" w:pos="1140" w:leader="none"/>
        </w:tabs>
      </w:pPr>
      <w:rPr>
        <w:rFonts w:hint="eastAsia"/>
      </w:r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2">
    <w:multiLevelType w:val="hybridMultilevel"/>
    <w:lvl w:ilvl="0">
      <w:start w:val="1"/>
      <w:numFmt w:val="lowerLetter"/>
      <w:pStyle w:val="965"/>
      <w:isLgl w:val="false"/>
      <w:suff w:val="tab"/>
      <w:lvlText w:val="%1)"/>
      <w:lvlJc w:val="left"/>
      <w:pPr>
        <w:pStyle w:val="779"/>
        <w:ind w:left="902" w:hanging="420"/>
      </w:pPr>
      <w:rPr>
        <w:color w:val="000000"/>
      </w:rPr>
    </w:lvl>
    <w:lvl w:ilvl="1">
      <w:start w:val="1"/>
      <w:numFmt w:val="lowerLetter"/>
      <w:isLgl w:val="false"/>
      <w:suff w:val="tab"/>
      <w:lvlText w:val="%2)"/>
      <w:lvlJc w:val="left"/>
      <w:pPr>
        <w:pStyle w:val="779"/>
        <w:ind w:left="1322" w:hanging="420"/>
      </w:pPr>
    </w:lvl>
    <w:lvl w:ilvl="2">
      <w:start w:val="1"/>
      <w:numFmt w:val="lowerRoman"/>
      <w:isLgl w:val="false"/>
      <w:suff w:val="tab"/>
      <w:lvlText w:val="%3."/>
      <w:lvlJc w:val="right"/>
      <w:pPr>
        <w:pStyle w:val="779"/>
        <w:ind w:left="1742" w:hanging="420"/>
      </w:pPr>
    </w:lvl>
    <w:lvl w:ilvl="3">
      <w:start w:val="1"/>
      <w:numFmt w:val="decimal"/>
      <w:isLgl w:val="false"/>
      <w:suff w:val="tab"/>
      <w:lvlText w:val="%4."/>
      <w:lvlJc w:val="left"/>
      <w:pPr>
        <w:pStyle w:val="779"/>
        <w:ind w:left="2162" w:hanging="420"/>
      </w:pPr>
    </w:lvl>
    <w:lvl w:ilvl="4">
      <w:start w:val="1"/>
      <w:numFmt w:val="lowerLetter"/>
      <w:isLgl w:val="false"/>
      <w:suff w:val="tab"/>
      <w:lvlText w:val="%5)"/>
      <w:lvlJc w:val="left"/>
      <w:pPr>
        <w:pStyle w:val="779"/>
        <w:ind w:left="2582" w:hanging="420"/>
      </w:pPr>
    </w:lvl>
    <w:lvl w:ilvl="5">
      <w:start w:val="1"/>
      <w:numFmt w:val="lowerRoman"/>
      <w:isLgl w:val="false"/>
      <w:suff w:val="tab"/>
      <w:lvlText w:val="%6."/>
      <w:lvlJc w:val="right"/>
      <w:pPr>
        <w:pStyle w:val="779"/>
        <w:ind w:left="3002" w:hanging="420"/>
      </w:pPr>
    </w:lvl>
    <w:lvl w:ilvl="6">
      <w:start w:val="1"/>
      <w:numFmt w:val="decimal"/>
      <w:isLgl w:val="false"/>
      <w:suff w:val="tab"/>
      <w:lvlText w:val="%7."/>
      <w:lvlJc w:val="left"/>
      <w:pPr>
        <w:pStyle w:val="779"/>
        <w:ind w:left="3422" w:hanging="420"/>
      </w:pPr>
    </w:lvl>
    <w:lvl w:ilvl="7">
      <w:start w:val="1"/>
      <w:numFmt w:val="lowerLetter"/>
      <w:isLgl w:val="false"/>
      <w:suff w:val="tab"/>
      <w:lvlText w:val="%8)"/>
      <w:lvlJc w:val="left"/>
      <w:pPr>
        <w:pStyle w:val="779"/>
        <w:ind w:left="3842" w:hanging="420"/>
      </w:pPr>
    </w:lvl>
    <w:lvl w:ilvl="8">
      <w:start w:val="1"/>
      <w:numFmt w:val="lowerRoman"/>
      <w:isLgl w:val="false"/>
      <w:suff w:val="tab"/>
      <w:lvlText w:val="%9."/>
      <w:lvlJc w:val="right"/>
      <w:pPr>
        <w:pStyle w:val="779"/>
        <w:ind w:left="4262" w:hanging="420"/>
      </w:pPr>
    </w:lvl>
  </w:abstractNum>
  <w:abstractNum w:abstractNumId="3">
    <w:multiLevelType w:val="hybridMultilevel"/>
    <w:lvl w:ilvl="0">
      <w:start w:val="1"/>
      <w:numFmt w:val="decimal"/>
      <w:pStyle w:val="936"/>
      <w:isLgl w:val="false"/>
      <w:suff w:val="tab"/>
      <w:lvlText w:val="%1."/>
      <w:lvlJc w:val="left"/>
      <w:pPr>
        <w:pStyle w:val="77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85"/>
      <w:isLgl w:val="false"/>
      <w:suff w:val="nothing"/>
      <w:lvlText w:val="%1　"/>
      <w:lvlJc w:val="left"/>
      <w:pPr>
        <w:pStyle w:val="77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9"/>
        <w:ind w:left="-25" w:firstLine="0"/>
      </w:pPr>
      <w:rPr>
        <w:rFonts w:ascii="Times New Roman" w:hAnsi="Times New Roman" w:eastAsia="黑体"/>
        <w:b/>
        <w:i w:val="0"/>
        <w:sz w:val="28"/>
      </w:rPr>
    </w:lvl>
    <w:lvl w:ilvl="3">
      <w:start w:val="1"/>
      <w:numFmt w:val="decimal"/>
      <w:pStyle w:val="921"/>
      <w:isLgl w:val="false"/>
      <w:suff w:val="nothing"/>
      <w:lvlText w:val="%1.%2.%3.%4　"/>
      <w:lvlJc w:val="left"/>
      <w:pPr>
        <w:pStyle w:val="77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9"/>
        <w:ind w:left="-25" w:firstLine="0"/>
      </w:pPr>
      <w:rPr>
        <w:rFonts w:ascii="Times New Roman" w:hAnsi="Times New Roman" w:eastAsia="宋体"/>
        <w:b/>
        <w:i w:val="0"/>
        <w:sz w:val="28"/>
      </w:rPr>
    </w:lvl>
    <w:lvl w:ilvl="6">
      <w:start w:val="1"/>
      <w:numFmt w:val="lowerLetter"/>
      <w:pStyle w:val="942"/>
      <w:isLgl w:val="false"/>
      <w:suff w:val="tab"/>
      <w:lvlText w:val="%7) "/>
      <w:lvlJc w:val="left"/>
      <w:pPr>
        <w:pStyle w:val="779"/>
        <w:ind w:left="-125" w:firstLine="400"/>
        <w:tabs>
          <w:tab w:val="num" w:pos="635" w:leader="none"/>
        </w:tabs>
      </w:pPr>
      <w:rPr>
        <w:rFonts w:ascii="Times New Roman" w:hAnsi="Times New Roman" w:eastAsia="宋体"/>
        <w:b/>
        <w:i w:val="0"/>
        <w:color w:val="000000"/>
        <w:sz w:val="28"/>
        <w:u w:val="none"/>
      </w:rPr>
    </w:lvl>
    <w:lvl w:ilvl="7">
      <w:start w:val="1"/>
      <w:numFmt w:val="decimal"/>
      <w:pStyle w:val="905"/>
      <w:isLgl w:val="false"/>
      <w:suff w:val="tab"/>
      <w:lvlText w:val="%8) "/>
      <w:lvlJc w:val="left"/>
      <w:pPr>
        <w:pStyle w:val="77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79"/>
        <w:ind w:left="768" w:hanging="360"/>
        <w:tabs>
          <w:tab w:val="num" w:pos="768" w:leader="none"/>
        </w:tabs>
      </w:pPr>
      <w:rPr>
        <w:rFonts w:hint="eastAsia"/>
      </w:rPr>
    </w:lvl>
    <w:lvl w:ilvl="1">
      <w:start w:val="1"/>
      <w:numFmt w:val="decimal"/>
      <w:pStyle w:val="923"/>
      <w:isLgl w:val="false"/>
      <w:suff w:val="tab"/>
      <w:lvlText w:val="%2、"/>
      <w:lvlJc w:val="left"/>
      <w:pPr>
        <w:pStyle w:val="779"/>
        <w:ind w:left="1188" w:hanging="360"/>
        <w:tabs>
          <w:tab w:val="num" w:pos="1188" w:leader="none"/>
        </w:tabs>
      </w:pPr>
      <w:rPr>
        <w:rFonts w:hint="eastAsia"/>
      </w:rPr>
    </w:lvl>
    <w:lvl w:ilvl="2">
      <w:start w:val="1"/>
      <w:numFmt w:val="decimal"/>
      <w:isLgl w:val="false"/>
      <w:suff w:val="tab"/>
      <w:lvlText w:val="（%3）"/>
      <w:lvlJc w:val="left"/>
      <w:pPr>
        <w:pStyle w:val="779"/>
        <w:ind w:left="1968" w:hanging="720"/>
        <w:tabs>
          <w:tab w:val="num" w:pos="1968" w:leader="none"/>
        </w:tabs>
      </w:pPr>
      <w:rPr>
        <w:rFonts w:hint="eastAsia"/>
        <w:u w:val="none"/>
      </w:rPr>
    </w:lvl>
    <w:lvl w:ilvl="3">
      <w:start w:val="1"/>
      <w:numFmt w:val="decimal"/>
      <w:isLgl w:val="false"/>
      <w:suff w:val="tab"/>
      <w:lvlText w:val="%4."/>
      <w:lvlJc w:val="left"/>
      <w:pPr>
        <w:pStyle w:val="779"/>
        <w:ind w:left="2088" w:hanging="420"/>
        <w:tabs>
          <w:tab w:val="num" w:pos="2088" w:leader="none"/>
        </w:tabs>
      </w:pPr>
    </w:lvl>
    <w:lvl w:ilvl="4">
      <w:start w:val="1"/>
      <w:numFmt w:val="lowerLetter"/>
      <w:isLgl w:val="false"/>
      <w:suff w:val="tab"/>
      <w:lvlText w:val="%5)"/>
      <w:lvlJc w:val="left"/>
      <w:pPr>
        <w:pStyle w:val="779"/>
        <w:ind w:left="2508" w:hanging="420"/>
        <w:tabs>
          <w:tab w:val="num" w:pos="2508" w:leader="none"/>
        </w:tabs>
      </w:pPr>
    </w:lvl>
    <w:lvl w:ilvl="5">
      <w:start w:val="1"/>
      <w:numFmt w:val="lowerRoman"/>
      <w:isLgl w:val="false"/>
      <w:suff w:val="tab"/>
      <w:lvlText w:val="%6."/>
      <w:lvlJc w:val="right"/>
      <w:pPr>
        <w:pStyle w:val="779"/>
        <w:ind w:left="2928" w:hanging="420"/>
        <w:tabs>
          <w:tab w:val="num" w:pos="2928" w:leader="none"/>
        </w:tabs>
      </w:pPr>
    </w:lvl>
    <w:lvl w:ilvl="6">
      <w:start w:val="1"/>
      <w:numFmt w:val="decimal"/>
      <w:isLgl w:val="false"/>
      <w:suff w:val="tab"/>
      <w:lvlText w:val="%7."/>
      <w:lvlJc w:val="left"/>
      <w:pPr>
        <w:pStyle w:val="779"/>
        <w:ind w:left="3348" w:hanging="420"/>
        <w:tabs>
          <w:tab w:val="num" w:pos="3348" w:leader="none"/>
        </w:tabs>
      </w:pPr>
    </w:lvl>
    <w:lvl w:ilvl="7">
      <w:start w:val="1"/>
      <w:numFmt w:val="lowerLetter"/>
      <w:isLgl w:val="false"/>
      <w:suff w:val="tab"/>
      <w:lvlText w:val="%8)"/>
      <w:lvlJc w:val="left"/>
      <w:pPr>
        <w:pStyle w:val="779"/>
        <w:ind w:left="3768" w:hanging="420"/>
        <w:tabs>
          <w:tab w:val="num" w:pos="3768" w:leader="none"/>
        </w:tabs>
      </w:pPr>
    </w:lvl>
    <w:lvl w:ilvl="8">
      <w:start w:val="1"/>
      <w:numFmt w:val="lowerRoman"/>
      <w:isLgl w:val="false"/>
      <w:suff w:val="tab"/>
      <w:lvlText w:val="%9."/>
      <w:lvlJc w:val="right"/>
      <w:pPr>
        <w:pStyle w:val="77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7">
    <w:multiLevelType w:val="hybridMultilevel"/>
    <w:lvl w:ilvl="0">
      <w:start w:val="1"/>
      <w:numFmt w:val="decimal"/>
      <w:pStyle w:val="890"/>
      <w:isLgl w:val="false"/>
      <w:suff w:val="tab"/>
      <w:lvlText w:val="%1)"/>
      <w:lvlJc w:val="left"/>
      <w:pPr>
        <w:pStyle w:val="779"/>
        <w:ind w:left="420" w:hanging="420"/>
      </w:pPr>
    </w:lvl>
    <w:lvl w:ilvl="1">
      <w:start w:val="1"/>
      <w:numFmt w:val="lowerLetter"/>
      <w:isLgl w:val="false"/>
      <w:suff w:val="tab"/>
      <w:lvlText w:val="%2)"/>
      <w:lvlJc w:val="left"/>
      <w:pPr>
        <w:pStyle w:val="779"/>
        <w:ind w:left="840" w:hanging="420"/>
      </w:p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8">
    <w:multiLevelType w:val="hybridMultilevel"/>
    <w:lvl w:ilvl="0">
      <w:start w:val="1"/>
      <w:numFmt w:val="decimal"/>
      <w:pStyle w:val="990"/>
      <w:isLgl w:val="false"/>
      <w:suff w:val="tab"/>
      <w:lvlText w:val="%1"/>
      <w:lvlJc w:val="left"/>
      <w:pPr>
        <w:pStyle w:val="779"/>
        <w:ind w:left="680" w:hanging="680"/>
      </w:pPr>
      <w:rPr>
        <w:rFonts w:hint="eastAsia" w:ascii="宋体" w:hAnsi="宋体" w:eastAsia="宋体"/>
      </w:rPr>
    </w:lvl>
    <w:lvl w:ilvl="1">
      <w:start w:val="1"/>
      <w:numFmt w:val="decimal"/>
      <w:pStyle w:val="991"/>
      <w:isLgl w:val="false"/>
      <w:suff w:val="tab"/>
      <w:lvlText w:val="%1.%2"/>
      <w:lvlJc w:val="left"/>
      <w:pPr>
        <w:pStyle w:val="779"/>
        <w:ind w:left="851" w:hanging="851"/>
      </w:pPr>
      <w:rPr>
        <w:rFonts w:hint="eastAsia" w:ascii="宋体" w:hAnsi="宋体" w:eastAsia="宋体"/>
        <w:color w:val="000000"/>
      </w:rPr>
    </w:lvl>
    <w:lvl w:ilvl="2">
      <w:start w:val="1"/>
      <w:numFmt w:val="decimal"/>
      <w:pStyle w:val="992"/>
      <w:isLgl w:val="false"/>
      <w:suff w:val="tab"/>
      <w:lvlText w:val="%1.%2.%3"/>
      <w:lvlJc w:val="left"/>
      <w:pPr>
        <w:pStyle w:val="779"/>
        <w:ind w:left="851" w:hanging="851"/>
      </w:pPr>
      <w:rPr>
        <w:rFonts w:hint="eastAsia"/>
      </w:rPr>
    </w:lvl>
    <w:lvl w:ilvl="3">
      <w:start w:val="1"/>
      <w:numFmt w:val="decimal"/>
      <w:isLgl w:val="false"/>
      <w:suff w:val="tab"/>
      <w:lvlText w:val="%1.%2.%3.%4"/>
      <w:lvlJc w:val="left"/>
      <w:pPr>
        <w:pStyle w:val="779"/>
        <w:ind w:left="680" w:hanging="680"/>
      </w:pPr>
      <w:rPr>
        <w:rFonts w:hint="eastAsia"/>
      </w:rPr>
    </w:lvl>
    <w:lvl w:ilvl="4">
      <w:start w:val="1"/>
      <w:numFmt w:val="decimal"/>
      <w:isLgl w:val="false"/>
      <w:suff w:val="tab"/>
      <w:lvlText w:val="%1.%2.%3.%4.%5"/>
      <w:lvlJc w:val="left"/>
      <w:pPr>
        <w:pStyle w:val="779"/>
        <w:ind w:left="680" w:hanging="680"/>
      </w:pPr>
      <w:rPr>
        <w:rFonts w:hint="eastAsia"/>
      </w:rPr>
    </w:lvl>
    <w:lvl w:ilvl="5">
      <w:start w:val="1"/>
      <w:numFmt w:val="decimal"/>
      <w:isLgl w:val="false"/>
      <w:suff w:val="tab"/>
      <w:lvlText w:val="%1.%2.%3.%4.%5.%6"/>
      <w:lvlJc w:val="left"/>
      <w:pPr>
        <w:pStyle w:val="779"/>
        <w:ind w:left="680" w:hanging="680"/>
      </w:pPr>
      <w:rPr>
        <w:rFonts w:hint="eastAsia"/>
      </w:rPr>
    </w:lvl>
    <w:lvl w:ilvl="6">
      <w:start w:val="1"/>
      <w:numFmt w:val="decimal"/>
      <w:isLgl w:val="false"/>
      <w:suff w:val="tab"/>
      <w:lvlText w:val="%1.%2.%3.%4.%5.%6.%7"/>
      <w:lvlJc w:val="left"/>
      <w:pPr>
        <w:pStyle w:val="779"/>
        <w:ind w:left="680" w:hanging="680"/>
      </w:pPr>
      <w:rPr>
        <w:rFonts w:hint="eastAsia"/>
      </w:rPr>
    </w:lvl>
    <w:lvl w:ilvl="7">
      <w:start w:val="1"/>
      <w:numFmt w:val="decimal"/>
      <w:isLgl w:val="false"/>
      <w:suff w:val="tab"/>
      <w:lvlText w:val="%1.%2.%3.%4.%5.%6.%7.%8"/>
      <w:lvlJc w:val="left"/>
      <w:pPr>
        <w:pStyle w:val="779"/>
        <w:ind w:left="680" w:hanging="680"/>
      </w:pPr>
      <w:rPr>
        <w:rFonts w:hint="eastAsia"/>
      </w:rPr>
    </w:lvl>
    <w:lvl w:ilvl="8">
      <w:start w:val="1"/>
      <w:numFmt w:val="decimal"/>
      <w:isLgl w:val="false"/>
      <w:suff w:val="tab"/>
      <w:lvlText w:val="%1.%2.%3.%4.%5.%6.%7.%8.%9"/>
      <w:lvlJc w:val="left"/>
      <w:pPr>
        <w:pStyle w:val="779"/>
        <w:ind w:left="680" w:hanging="680"/>
      </w:pPr>
      <w:rPr>
        <w:rFonts w:hint="eastAsia"/>
      </w:rPr>
    </w:lvl>
  </w:abstractNum>
  <w:abstractNum w:abstractNumId="9">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326" w:hanging="900"/>
        <w:tabs>
          <w:tab w:val="num" w:pos="1447" w:leader="none"/>
        </w:tabs>
      </w:pPr>
      <w:rPr>
        <w:rFonts w:hint="eastAsia"/>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3.2.1.%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1">
    <w:multiLevelType w:val="hybridMultilevel"/>
    <w:lvl w:ilvl="0">
      <w:start w:val="2"/>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2">
    <w:multiLevelType w:val="hybridMultilevel"/>
    <w:lvl w:ilvl="0">
      <w:start w:val="6"/>
      <w:numFmt w:val="chineseCounting"/>
      <w:isLgl w:val="false"/>
      <w:suff w:val="nothing"/>
      <w:lvlText w:val="%1、"/>
      <w:lvlJc w:val="left"/>
      <w:pPr>
        <w:pStyle w:val="7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3.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13"/>
  </w:num>
  <w:num w:numId="11">
    <w:abstractNumId w:val="0"/>
  </w:num>
  <w:num w:numId="12">
    <w:abstractNumId w:val="9"/>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9"/>
    <w:next w:val="7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9"/>
    <w:next w:val="7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9"/>
    <w:next w:val="7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9"/>
    <w:next w:val="7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9"/>
    <w:next w:val="7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9"/>
    <w:next w:val="7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9"/>
    <w:next w:val="7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9"/>
    <w:next w:val="7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9"/>
    <w:next w:val="7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9"/>
    <w:next w:val="7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9"/>
    <w:next w:val="7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5">
    <w:name w:val="toc 6"/>
    <w:basedOn w:val="779"/>
    <w:next w:val="779"/>
    <w:uiPriority w:val="39"/>
    <w:unhideWhenUsed/>
    <w:pPr>
      <w:ind w:left="1417"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sz w:val="21"/>
      <w:szCs w:val="24"/>
      <w:lang w:val="en-US" w:eastAsia="zh-CN" w:bidi="ar-SA"/>
    </w:rPr>
  </w:style>
  <w:style w:type="paragraph" w:styleId="780">
    <w:name w:val="标题 1"/>
    <w:basedOn w:val="779"/>
    <w:next w:val="779"/>
    <w:link w:val="791"/>
    <w:qFormat/>
    <w:pPr>
      <w:jc w:val="center"/>
      <w:keepLines/>
      <w:keepNext/>
      <w:spacing w:before="240" w:after="120" w:line="300" w:lineRule="auto"/>
      <w:outlineLvl w:val="0"/>
    </w:pPr>
    <w:rPr>
      <w:rFonts w:ascii="宋体"/>
      <w:b/>
      <w:sz w:val="32"/>
      <w:szCs w:val="20"/>
    </w:rPr>
  </w:style>
  <w:style w:type="paragraph" w:styleId="781">
    <w:name w:val="标题 2"/>
    <w:basedOn w:val="779"/>
    <w:next w:val="779"/>
    <w:link w:val="792"/>
    <w:qFormat/>
    <w:pPr>
      <w:jc w:val="center"/>
      <w:keepLines/>
      <w:keepNext/>
      <w:spacing w:before="120" w:line="300" w:lineRule="auto"/>
      <w:outlineLvl w:val="1"/>
    </w:pPr>
    <w:rPr>
      <w:rFonts w:ascii="Arial" w:hAnsi="Arial" w:eastAsia="黑体"/>
      <w:b/>
      <w:sz w:val="30"/>
      <w:szCs w:val="20"/>
    </w:rPr>
  </w:style>
  <w:style w:type="paragraph" w:styleId="782">
    <w:name w:val="标题 3"/>
    <w:basedOn w:val="779"/>
    <w:next w:val="779"/>
    <w:link w:val="793"/>
    <w:qFormat/>
    <w:pPr>
      <w:jc w:val="left"/>
      <w:keepLines/>
      <w:keepNext/>
      <w:spacing w:before="360" w:after="120"/>
      <w:outlineLvl w:val="2"/>
    </w:pPr>
    <w:rPr>
      <w:rFonts w:ascii="宋体"/>
      <w:b/>
      <w:sz w:val="24"/>
      <w:szCs w:val="20"/>
      <w:u w:val="single"/>
    </w:rPr>
  </w:style>
  <w:style w:type="paragraph" w:styleId="783">
    <w:name w:val="标题 4"/>
    <w:basedOn w:val="779"/>
    <w:next w:val="779"/>
    <w:link w:val="794"/>
    <w:qFormat/>
    <w:pPr>
      <w:keepLines/>
      <w:keepNext/>
      <w:spacing w:before="280" w:after="290" w:line="376" w:lineRule="atLeast"/>
      <w:outlineLvl w:val="3"/>
    </w:pPr>
    <w:rPr>
      <w:rFonts w:ascii="Arial" w:hAnsi="Arial" w:eastAsia="黑体"/>
      <w:b/>
      <w:sz w:val="28"/>
      <w:szCs w:val="20"/>
    </w:rPr>
  </w:style>
  <w:style w:type="paragraph" w:styleId="784">
    <w:name w:val="标题 5"/>
    <w:basedOn w:val="779"/>
    <w:next w:val="779"/>
    <w:link w:val="795"/>
    <w:qFormat/>
    <w:pPr>
      <w:keepLines/>
      <w:keepNext/>
      <w:spacing w:before="280" w:after="290" w:line="376" w:lineRule="atLeast"/>
      <w:outlineLvl w:val="4"/>
    </w:pPr>
    <w:rPr>
      <w:b/>
      <w:sz w:val="28"/>
      <w:szCs w:val="20"/>
    </w:rPr>
  </w:style>
  <w:style w:type="paragraph" w:styleId="785">
    <w:name w:val="标题 6"/>
    <w:basedOn w:val="779"/>
    <w:next w:val="779"/>
    <w:link w:val="796"/>
    <w:qFormat/>
    <w:pPr>
      <w:keepLines/>
      <w:keepNext/>
      <w:spacing w:before="240" w:after="64" w:line="320" w:lineRule="atLeast"/>
      <w:outlineLvl w:val="5"/>
    </w:pPr>
    <w:rPr>
      <w:rFonts w:ascii="Arial" w:hAnsi="Arial" w:eastAsia="黑体"/>
      <w:b/>
      <w:sz w:val="24"/>
      <w:szCs w:val="20"/>
    </w:rPr>
  </w:style>
  <w:style w:type="paragraph" w:styleId="786">
    <w:name w:val="标题 7"/>
    <w:basedOn w:val="779"/>
    <w:next w:val="779"/>
    <w:link w:val="797"/>
    <w:qFormat/>
    <w:pPr>
      <w:keepLines/>
      <w:keepNext/>
      <w:spacing w:before="240" w:after="64" w:line="320" w:lineRule="atLeast"/>
      <w:outlineLvl w:val="6"/>
    </w:pPr>
    <w:rPr>
      <w:b/>
      <w:sz w:val="24"/>
      <w:szCs w:val="20"/>
    </w:rPr>
  </w:style>
  <w:style w:type="paragraph" w:styleId="787">
    <w:name w:val="标题 8"/>
    <w:basedOn w:val="779"/>
    <w:next w:val="779"/>
    <w:link w:val="798"/>
    <w:qFormat/>
    <w:pPr>
      <w:keepLines/>
      <w:keepNext/>
      <w:spacing w:before="240" w:after="64" w:line="320" w:lineRule="atLeast"/>
      <w:outlineLvl w:val="7"/>
    </w:pPr>
    <w:rPr>
      <w:rFonts w:ascii="Arial" w:hAnsi="Arial" w:eastAsia="黑体"/>
      <w:sz w:val="24"/>
      <w:szCs w:val="20"/>
    </w:rPr>
  </w:style>
  <w:style w:type="paragraph" w:styleId="788">
    <w:name w:val="标题 9"/>
    <w:basedOn w:val="779"/>
    <w:next w:val="779"/>
    <w:link w:val="799"/>
    <w:qFormat/>
    <w:pPr>
      <w:keepLines/>
      <w:keepNext/>
      <w:spacing w:before="240" w:after="64" w:line="320" w:lineRule="atLeast"/>
      <w:outlineLvl w:val="8"/>
    </w:pPr>
    <w:rPr>
      <w:rFonts w:ascii="Arial" w:hAnsi="Arial" w:eastAsia="黑体"/>
      <w:szCs w:val="20"/>
    </w:rPr>
  </w:style>
  <w:style w:type="character" w:styleId="789">
    <w:name w:val="默认段落字体"/>
    <w:next w:val="789"/>
    <w:link w:val="779"/>
    <w:uiPriority w:val="1"/>
    <w:unhideWhenUsed/>
    <w:qFormat/>
  </w:style>
  <w:style w:type="table" w:styleId="790">
    <w:name w:val="普通表格"/>
    <w:next w:val="790"/>
    <w:link w:val="779"/>
    <w:uiPriority w:val="99"/>
    <w:unhideWhenUsed/>
    <w:qFormat/>
    <w:tblPr/>
  </w:style>
  <w:style w:type="character" w:styleId="791">
    <w:name w:val="标题 1 字符"/>
    <w:next w:val="791"/>
    <w:link w:val="780"/>
    <w:qFormat/>
    <w:rPr>
      <w:rFonts w:ascii="宋体"/>
      <w:b/>
      <w:sz w:val="32"/>
    </w:rPr>
  </w:style>
  <w:style w:type="character" w:styleId="792">
    <w:name w:val="标题 2 字符"/>
    <w:next w:val="792"/>
    <w:link w:val="781"/>
    <w:qFormat/>
    <w:rPr>
      <w:rFonts w:ascii="Arial" w:hAnsi="Arial" w:eastAsia="黑体"/>
      <w:b/>
      <w:sz w:val="30"/>
      <w:lang w:val="en-US" w:eastAsia="zh-CN" w:bidi="ar-SA"/>
    </w:rPr>
  </w:style>
  <w:style w:type="character" w:styleId="793">
    <w:name w:val="标题 3 字符"/>
    <w:next w:val="793"/>
    <w:link w:val="782"/>
    <w:qFormat/>
    <w:rPr>
      <w:rFonts w:ascii="宋体" w:eastAsia="宋体"/>
      <w:b/>
      <w:sz w:val="24"/>
      <w:u w:val="single"/>
      <w:lang w:val="en-US" w:eastAsia="zh-CN" w:bidi="ar-SA"/>
    </w:rPr>
  </w:style>
  <w:style w:type="character" w:styleId="794">
    <w:name w:val="标题 4 字符"/>
    <w:next w:val="794"/>
    <w:link w:val="783"/>
    <w:qFormat/>
    <w:rPr>
      <w:rFonts w:ascii="Arial" w:hAnsi="Arial" w:eastAsia="黑体"/>
      <w:b/>
      <w:sz w:val="28"/>
    </w:rPr>
  </w:style>
  <w:style w:type="character" w:styleId="795">
    <w:name w:val="标题 5 字符"/>
    <w:next w:val="795"/>
    <w:link w:val="784"/>
    <w:qFormat/>
    <w:rPr>
      <w:b/>
      <w:sz w:val="28"/>
    </w:rPr>
  </w:style>
  <w:style w:type="character" w:styleId="796">
    <w:name w:val="标题 6 字符"/>
    <w:next w:val="796"/>
    <w:link w:val="785"/>
    <w:qFormat/>
    <w:rPr>
      <w:rFonts w:ascii="Arial" w:hAnsi="Arial" w:eastAsia="黑体"/>
      <w:b/>
      <w:sz w:val="24"/>
    </w:rPr>
  </w:style>
  <w:style w:type="character" w:styleId="797">
    <w:name w:val="标题 7 字符"/>
    <w:next w:val="797"/>
    <w:link w:val="786"/>
    <w:qFormat/>
    <w:rPr>
      <w:b/>
      <w:sz w:val="24"/>
    </w:rPr>
  </w:style>
  <w:style w:type="character" w:styleId="798">
    <w:name w:val="标题 8 字符"/>
    <w:next w:val="798"/>
    <w:link w:val="787"/>
    <w:qFormat/>
    <w:rPr>
      <w:rFonts w:ascii="Arial" w:hAnsi="Arial" w:eastAsia="黑体"/>
      <w:sz w:val="24"/>
    </w:rPr>
  </w:style>
  <w:style w:type="character" w:styleId="799">
    <w:name w:val="标题 9 字符"/>
    <w:next w:val="799"/>
    <w:link w:val="788"/>
    <w:qFormat/>
    <w:rPr>
      <w:rFonts w:ascii="Arial" w:hAnsi="Arial" w:eastAsia="黑体"/>
      <w:sz w:val="21"/>
    </w:rPr>
  </w:style>
  <w:style w:type="paragraph" w:styleId="800">
    <w:name w:val="目录 7"/>
    <w:basedOn w:val="779"/>
    <w:next w:val="779"/>
    <w:link w:val="779"/>
    <w:qFormat/>
    <w:pPr>
      <w:ind w:left="2520"/>
    </w:pPr>
  </w:style>
  <w:style w:type="paragraph" w:styleId="801">
    <w:name w:val="正文缩进"/>
    <w:basedOn w:val="779"/>
    <w:next w:val="801"/>
    <w:link w:val="802"/>
    <w:qFormat/>
    <w:pPr>
      <w:ind w:firstLine="420"/>
      <w:jc w:val="left"/>
    </w:pPr>
    <w:rPr>
      <w:rFonts w:ascii="宋体"/>
      <w:sz w:val="24"/>
    </w:rPr>
  </w:style>
  <w:style w:type="character" w:styleId="802">
    <w:name w:val="正文缩进 字符"/>
    <w:next w:val="802"/>
    <w:link w:val="801"/>
    <w:qFormat/>
    <w:rPr>
      <w:rFonts w:ascii="宋体" w:eastAsia="宋体"/>
      <w:sz w:val="24"/>
      <w:szCs w:val="24"/>
      <w:lang w:val="en-US" w:eastAsia="zh-CN" w:bidi="ar-SA"/>
    </w:rPr>
  </w:style>
  <w:style w:type="paragraph" w:styleId="803">
    <w:name w:val="题注"/>
    <w:basedOn w:val="779"/>
    <w:next w:val="779"/>
    <w:link w:val="779"/>
    <w:qFormat/>
    <w:pPr>
      <w:spacing w:line="480" w:lineRule="auto"/>
    </w:pPr>
    <w:rPr>
      <w:rFonts w:ascii="华文中宋" w:hAnsi="华文中宋" w:eastAsia="华文中宋"/>
      <w:sz w:val="36"/>
      <w:szCs w:val="20"/>
    </w:rPr>
  </w:style>
  <w:style w:type="paragraph" w:styleId="804">
    <w:name w:val="文档结构图"/>
    <w:basedOn w:val="779"/>
    <w:next w:val="804"/>
    <w:link w:val="805"/>
    <w:qFormat/>
    <w:pPr>
      <w:shd w:val="clear" w:color="auto" w:fill="000080"/>
    </w:pPr>
  </w:style>
  <w:style w:type="character" w:styleId="805">
    <w:name w:val="文档结构图 字符"/>
    <w:next w:val="805"/>
    <w:link w:val="804"/>
    <w:qFormat/>
    <w:rPr>
      <w:sz w:val="21"/>
      <w:szCs w:val="24"/>
      <w:shd w:val="clear" w:color="auto" w:fill="000080"/>
    </w:rPr>
  </w:style>
  <w:style w:type="paragraph" w:styleId="806">
    <w:name w:val="批注文字"/>
    <w:basedOn w:val="779"/>
    <w:next w:val="806"/>
    <w:link w:val="807"/>
    <w:uiPriority w:val="99"/>
    <w:qFormat/>
    <w:pPr>
      <w:jc w:val="left"/>
    </w:pPr>
  </w:style>
  <w:style w:type="character" w:styleId="807">
    <w:name w:val="批注文字 字符1"/>
    <w:next w:val="807"/>
    <w:link w:val="806"/>
    <w:uiPriority w:val="99"/>
    <w:qFormat/>
    <w:rPr>
      <w:sz w:val="21"/>
      <w:szCs w:val="24"/>
    </w:rPr>
  </w:style>
  <w:style w:type="paragraph" w:styleId="808">
    <w:name w:val="正文文本 3"/>
    <w:basedOn w:val="779"/>
    <w:next w:val="808"/>
    <w:link w:val="809"/>
    <w:qFormat/>
    <w:pPr>
      <w:spacing w:after="120"/>
    </w:pPr>
    <w:rPr>
      <w:sz w:val="16"/>
      <w:szCs w:val="16"/>
    </w:rPr>
  </w:style>
  <w:style w:type="character" w:styleId="809">
    <w:name w:val="正文文本 3 字符"/>
    <w:next w:val="809"/>
    <w:link w:val="808"/>
    <w:qFormat/>
    <w:rPr>
      <w:sz w:val="16"/>
      <w:szCs w:val="16"/>
    </w:rPr>
  </w:style>
  <w:style w:type="paragraph" w:styleId="810">
    <w:name w:val="正文文本"/>
    <w:basedOn w:val="779"/>
    <w:next w:val="810"/>
    <w:link w:val="811"/>
    <w:qFormat/>
    <w:pPr>
      <w:spacing w:before="120" w:line="22" w:lineRule="atLeast"/>
      <w:tabs>
        <w:tab w:val="left" w:pos="567" w:leader="none"/>
      </w:tabs>
    </w:pPr>
    <w:rPr>
      <w:rFonts w:ascii="宋体" w:hAnsi="宋体"/>
      <w:sz w:val="24"/>
    </w:rPr>
  </w:style>
  <w:style w:type="character" w:styleId="811">
    <w:name w:val="正文文本 字符"/>
    <w:next w:val="811"/>
    <w:link w:val="810"/>
    <w:qFormat/>
    <w:rPr>
      <w:rFonts w:ascii="宋体" w:hAnsi="宋体"/>
      <w:sz w:val="24"/>
      <w:szCs w:val="24"/>
    </w:rPr>
  </w:style>
  <w:style w:type="paragraph" w:styleId="812">
    <w:name w:val="正文文本缩进"/>
    <w:basedOn w:val="779"/>
    <w:next w:val="779"/>
    <w:link w:val="813"/>
    <w:qFormat/>
    <w:pPr>
      <w:ind w:firstLine="570"/>
      <w:spacing w:line="360" w:lineRule="auto"/>
    </w:pPr>
    <w:rPr>
      <w:sz w:val="24"/>
    </w:rPr>
  </w:style>
  <w:style w:type="character" w:styleId="813">
    <w:name w:val="正文文本缩进 字符"/>
    <w:next w:val="813"/>
    <w:link w:val="812"/>
    <w:qFormat/>
    <w:rPr>
      <w:rFonts w:eastAsia="宋体"/>
      <w:sz w:val="24"/>
      <w:szCs w:val="24"/>
      <w:lang w:val="en-US" w:eastAsia="zh-CN" w:bidi="ar-SA"/>
    </w:rPr>
  </w:style>
  <w:style w:type="paragraph" w:styleId="814">
    <w:name w:val="列表 2"/>
    <w:basedOn w:val="779"/>
    <w:next w:val="814"/>
    <w:link w:val="779"/>
    <w:qFormat/>
    <w:pPr>
      <w:ind w:left="100" w:hanging="200"/>
    </w:pPr>
  </w:style>
  <w:style w:type="paragraph" w:styleId="815">
    <w:name w:val="文本块"/>
    <w:basedOn w:val="779"/>
    <w:next w:val="815"/>
    <w:link w:val="779"/>
    <w:qFormat/>
    <w:pPr>
      <w:ind w:left="480" w:right="-341" w:firstLine="513"/>
      <w:widowControl/>
    </w:pPr>
    <w:rPr>
      <w:sz w:val="24"/>
      <w:szCs w:val="20"/>
    </w:rPr>
  </w:style>
  <w:style w:type="paragraph" w:styleId="816">
    <w:name w:val="目录 5"/>
    <w:basedOn w:val="779"/>
    <w:next w:val="779"/>
    <w:link w:val="779"/>
    <w:qFormat/>
    <w:pPr>
      <w:ind w:left="1680"/>
    </w:pPr>
  </w:style>
  <w:style w:type="paragraph" w:styleId="817">
    <w:name w:val="目录 3"/>
    <w:basedOn w:val="779"/>
    <w:next w:val="779"/>
    <w:link w:val="779"/>
    <w:uiPriority w:val="39"/>
    <w:qFormat/>
    <w:pPr>
      <w:ind w:left="840"/>
    </w:pPr>
  </w:style>
  <w:style w:type="paragraph" w:styleId="818">
    <w:name w:val="纯文本"/>
    <w:basedOn w:val="779"/>
    <w:next w:val="818"/>
    <w:link w:val="819"/>
    <w:qFormat/>
    <w:rPr>
      <w:rFonts w:hint="eastAsia" w:ascii="宋体" w:hAnsi="Courier New"/>
      <w:szCs w:val="20"/>
    </w:rPr>
  </w:style>
  <w:style w:type="character" w:styleId="819">
    <w:name w:val="纯文本 字符2"/>
    <w:next w:val="819"/>
    <w:link w:val="818"/>
    <w:qFormat/>
    <w:rPr>
      <w:rFonts w:hint="eastAsia" w:ascii="宋体" w:hAnsi="Courier New" w:eastAsia="宋体" w:cs="宋体"/>
      <w:sz w:val="21"/>
    </w:rPr>
  </w:style>
  <w:style w:type="paragraph" w:styleId="820">
    <w:name w:val="目录 8"/>
    <w:basedOn w:val="779"/>
    <w:next w:val="779"/>
    <w:link w:val="779"/>
    <w:qFormat/>
    <w:pPr>
      <w:ind w:left="2940"/>
    </w:pPr>
  </w:style>
  <w:style w:type="paragraph" w:styleId="821">
    <w:name w:val="日期"/>
    <w:basedOn w:val="779"/>
    <w:next w:val="779"/>
    <w:link w:val="822"/>
    <w:qFormat/>
    <w:pPr>
      <w:ind w:left="100"/>
    </w:pPr>
    <w:rPr>
      <w:rFonts w:ascii="仿宋_GB2312" w:hAnsi="宋体" w:eastAsia="仿宋_GB2312"/>
      <w:color w:val="000000"/>
      <w:sz w:val="24"/>
    </w:rPr>
  </w:style>
  <w:style w:type="character" w:styleId="822">
    <w:name w:val="日期 字符"/>
    <w:next w:val="822"/>
    <w:link w:val="821"/>
    <w:qFormat/>
    <w:rPr>
      <w:rFonts w:ascii="仿宋_GB2312" w:hAnsi="宋体" w:eastAsia="仿宋_GB2312"/>
      <w:color w:val="000000"/>
      <w:sz w:val="24"/>
      <w:szCs w:val="24"/>
    </w:rPr>
  </w:style>
  <w:style w:type="paragraph" w:styleId="823">
    <w:name w:val="正文文本缩进 2"/>
    <w:basedOn w:val="779"/>
    <w:next w:val="823"/>
    <w:link w:val="824"/>
    <w:qFormat/>
    <w:pPr>
      <w:ind w:firstLine="480"/>
    </w:pPr>
    <w:rPr>
      <w:rFonts w:ascii="仿宋_GB2312" w:eastAsia="仿宋_GB2312"/>
      <w:sz w:val="24"/>
    </w:rPr>
  </w:style>
  <w:style w:type="character" w:styleId="824">
    <w:name w:val="正文文本缩进 2 字符"/>
    <w:next w:val="824"/>
    <w:link w:val="823"/>
    <w:qFormat/>
    <w:rPr>
      <w:rFonts w:ascii="仿宋_GB2312" w:eastAsia="仿宋_GB2312"/>
      <w:sz w:val="24"/>
      <w:szCs w:val="24"/>
    </w:rPr>
  </w:style>
  <w:style w:type="paragraph" w:styleId="825">
    <w:name w:val="批注框文本"/>
    <w:basedOn w:val="779"/>
    <w:next w:val="825"/>
    <w:link w:val="826"/>
    <w:qFormat/>
    <w:rPr>
      <w:sz w:val="18"/>
      <w:szCs w:val="18"/>
    </w:rPr>
  </w:style>
  <w:style w:type="character" w:styleId="826">
    <w:name w:val="批注框文本 字符"/>
    <w:next w:val="826"/>
    <w:link w:val="825"/>
    <w:qFormat/>
    <w:rPr>
      <w:sz w:val="18"/>
      <w:szCs w:val="18"/>
    </w:rPr>
  </w:style>
  <w:style w:type="paragraph" w:styleId="827">
    <w:name w:val="页脚"/>
    <w:basedOn w:val="779"/>
    <w:next w:val="827"/>
    <w:link w:val="828"/>
    <w:uiPriority w:val="99"/>
    <w:qFormat/>
    <w:pPr>
      <w:jc w:val="left"/>
      <w:tabs>
        <w:tab w:val="center" w:pos="4153" w:leader="none"/>
        <w:tab w:val="right" w:pos="8306" w:leader="none"/>
      </w:tabs>
    </w:pPr>
    <w:rPr>
      <w:rFonts w:ascii="宋体"/>
      <w:sz w:val="18"/>
      <w:szCs w:val="20"/>
    </w:rPr>
  </w:style>
  <w:style w:type="character" w:styleId="828">
    <w:name w:val="页脚 字符"/>
    <w:next w:val="828"/>
    <w:link w:val="827"/>
    <w:uiPriority w:val="99"/>
    <w:qFormat/>
    <w:rPr>
      <w:rFonts w:ascii="宋体" w:eastAsia="宋体"/>
      <w:sz w:val="18"/>
      <w:lang w:val="en-US" w:eastAsia="zh-CN" w:bidi="ar-SA"/>
    </w:rPr>
  </w:style>
  <w:style w:type="paragraph" w:styleId="829">
    <w:name w:val="寄信人地址"/>
    <w:basedOn w:val="779"/>
    <w:next w:val="829"/>
    <w:link w:val="779"/>
    <w:qFormat/>
    <w:rPr>
      <w:rFonts w:ascii="Arial" w:hAnsi="Arial"/>
    </w:rPr>
  </w:style>
  <w:style w:type="paragraph" w:styleId="830">
    <w:name w:val="页眉"/>
    <w:basedOn w:val="779"/>
    <w:next w:val="830"/>
    <w:link w:val="831"/>
    <w:qFormat/>
    <w:pPr>
      <w:jc w:val="center"/>
      <w:tabs>
        <w:tab w:val="center" w:pos="4153" w:leader="none"/>
        <w:tab w:val="right" w:pos="8306" w:leader="none"/>
      </w:tabs>
      <w:pBdr>
        <w:bottom w:val="single" w:color="000000" w:sz="6" w:space="1"/>
      </w:pBdr>
    </w:pPr>
    <w:rPr>
      <w:sz w:val="18"/>
      <w:szCs w:val="18"/>
    </w:rPr>
  </w:style>
  <w:style w:type="character" w:styleId="831">
    <w:name w:val="页眉 字符"/>
    <w:next w:val="831"/>
    <w:link w:val="830"/>
    <w:qFormat/>
    <w:rPr>
      <w:rFonts w:eastAsia="宋体"/>
      <w:sz w:val="18"/>
      <w:szCs w:val="18"/>
      <w:lang w:val="en-US" w:eastAsia="zh-CN" w:bidi="ar-SA"/>
    </w:rPr>
  </w:style>
  <w:style w:type="paragraph" w:styleId="832">
    <w:name w:val="目录 1"/>
    <w:basedOn w:val="779"/>
    <w:next w:val="779"/>
    <w:link w:val="779"/>
    <w:uiPriority w:val="39"/>
    <w:qFormat/>
    <w:pPr>
      <w:spacing w:line="300" w:lineRule="auto"/>
      <w:tabs>
        <w:tab w:val="left" w:pos="1050" w:leader="none"/>
        <w:tab w:val="right" w:pos="8937" w:leader="dot"/>
      </w:tabs>
    </w:pPr>
    <w:rPr>
      <w:rFonts w:ascii="宋体" w:hAnsi="宋体"/>
      <w:b/>
      <w:sz w:val="24"/>
    </w:rPr>
  </w:style>
  <w:style w:type="paragraph" w:styleId="833">
    <w:name w:val="目录 4"/>
    <w:basedOn w:val="779"/>
    <w:next w:val="779"/>
    <w:link w:val="779"/>
    <w:qFormat/>
    <w:pPr>
      <w:ind w:left="1260"/>
    </w:pPr>
  </w:style>
  <w:style w:type="paragraph" w:styleId="834">
    <w:name w:val="目录 6"/>
    <w:basedOn w:val="779"/>
    <w:next w:val="779"/>
    <w:link w:val="779"/>
    <w:qFormat/>
    <w:pPr>
      <w:ind w:left="2100"/>
    </w:pPr>
  </w:style>
  <w:style w:type="paragraph" w:styleId="835">
    <w:name w:val="正文文本缩进 3"/>
    <w:basedOn w:val="779"/>
    <w:next w:val="835"/>
    <w:link w:val="836"/>
    <w:qFormat/>
    <w:pPr>
      <w:ind w:left="720" w:firstLine="480"/>
      <w:jc w:val="left"/>
      <w:spacing w:before="120" w:line="22" w:lineRule="atLeast"/>
    </w:pPr>
    <w:rPr>
      <w:rFonts w:ascii="宋体"/>
      <w:sz w:val="24"/>
      <w:szCs w:val="20"/>
    </w:rPr>
  </w:style>
  <w:style w:type="character" w:styleId="836">
    <w:name w:val="正文文本缩进 3 字符"/>
    <w:next w:val="836"/>
    <w:link w:val="835"/>
    <w:qFormat/>
    <w:rPr>
      <w:rFonts w:ascii="宋体"/>
      <w:sz w:val="24"/>
    </w:rPr>
  </w:style>
  <w:style w:type="paragraph" w:styleId="837">
    <w:name w:val="目录 2"/>
    <w:basedOn w:val="779"/>
    <w:next w:val="779"/>
    <w:link w:val="779"/>
    <w:uiPriority w:val="39"/>
    <w:qFormat/>
    <w:pPr>
      <w:ind w:left="420"/>
      <w:spacing w:line="312" w:lineRule="auto"/>
      <w:tabs>
        <w:tab w:val="right" w:pos="8937" w:leader="dot"/>
      </w:tabs>
    </w:pPr>
  </w:style>
  <w:style w:type="paragraph" w:styleId="838">
    <w:name w:val="目录 9"/>
    <w:basedOn w:val="779"/>
    <w:next w:val="779"/>
    <w:link w:val="779"/>
    <w:qFormat/>
    <w:pPr>
      <w:ind w:left="3360"/>
    </w:pPr>
  </w:style>
  <w:style w:type="paragraph" w:styleId="839">
    <w:name w:val="HTML 预设格式"/>
    <w:basedOn w:val="779"/>
    <w:next w:val="839"/>
    <w:link w:val="8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0">
    <w:name w:val="HTML 预设格式 字符"/>
    <w:next w:val="840"/>
    <w:link w:val="839"/>
    <w:qFormat/>
    <w:rPr>
      <w:rFonts w:ascii="宋体" w:hAnsi="宋体" w:cs="宋体"/>
      <w:sz w:val="24"/>
      <w:szCs w:val="24"/>
    </w:rPr>
  </w:style>
  <w:style w:type="paragraph" w:styleId="841">
    <w:name w:val="普通(网站)"/>
    <w:basedOn w:val="779"/>
    <w:next w:val="841"/>
    <w:link w:val="779"/>
    <w:uiPriority w:val="99"/>
    <w:unhideWhenUsed/>
    <w:qFormat/>
    <w:pPr>
      <w:jc w:val="left"/>
      <w:spacing w:before="100" w:beforeAutospacing="1" w:after="100" w:afterAutospacing="1"/>
      <w:widowControl/>
    </w:pPr>
    <w:rPr>
      <w:rFonts w:ascii="宋体" w:hAnsi="宋体" w:cs="宋体"/>
      <w:sz w:val="24"/>
    </w:rPr>
  </w:style>
  <w:style w:type="paragraph" w:styleId="842">
    <w:name w:val="索引 1"/>
    <w:basedOn w:val="779"/>
    <w:next w:val="779"/>
    <w:link w:val="779"/>
    <w:qFormat/>
    <w:rPr>
      <w:szCs w:val="20"/>
    </w:rPr>
  </w:style>
  <w:style w:type="paragraph" w:styleId="843">
    <w:name w:val="标题"/>
    <w:basedOn w:val="779"/>
    <w:next w:val="843"/>
    <w:link w:val="844"/>
    <w:qFormat/>
    <w:pPr>
      <w:jc w:val="center"/>
      <w:outlineLvl w:val="0"/>
    </w:pPr>
    <w:rPr>
      <w:b/>
      <w:sz w:val="32"/>
      <w:szCs w:val="20"/>
    </w:rPr>
  </w:style>
  <w:style w:type="character" w:styleId="844">
    <w:name w:val="标题 字符"/>
    <w:next w:val="844"/>
    <w:link w:val="843"/>
    <w:qFormat/>
    <w:rPr>
      <w:b/>
      <w:sz w:val="32"/>
    </w:rPr>
  </w:style>
  <w:style w:type="paragraph" w:styleId="845">
    <w:name w:val="批注主题"/>
    <w:basedOn w:val="806"/>
    <w:next w:val="806"/>
    <w:link w:val="846"/>
    <w:qFormat/>
    <w:rPr>
      <w:b/>
      <w:bCs/>
    </w:rPr>
  </w:style>
  <w:style w:type="character" w:styleId="846">
    <w:name w:val="批注主题 字符"/>
    <w:next w:val="846"/>
    <w:link w:val="845"/>
    <w:qFormat/>
    <w:rPr>
      <w:rFonts w:ascii="Times New Roman" w:hAnsi="Times New Roman" w:eastAsia="宋体" w:cs="Times New Roman"/>
      <w:b/>
      <w:bCs/>
      <w:sz w:val="21"/>
      <w:szCs w:val="24"/>
      <w:lang w:val="en-US" w:eastAsia="zh-CN" w:bidi="ar-SA"/>
    </w:rPr>
  </w:style>
  <w:style w:type="paragraph" w:styleId="847">
    <w:name w:val="正文首行缩进 2"/>
    <w:basedOn w:val="812"/>
    <w:next w:val="847"/>
    <w:link w:val="848"/>
    <w:qFormat/>
    <w:pPr>
      <w:ind w:left="420" w:firstLine="420"/>
      <w:spacing w:after="120" w:line="480" w:lineRule="exact"/>
    </w:pPr>
    <w:rPr>
      <w:szCs w:val="20"/>
    </w:rPr>
  </w:style>
  <w:style w:type="character" w:styleId="848">
    <w:name w:val="正文首行缩进 2 字符"/>
    <w:next w:val="848"/>
    <w:link w:val="847"/>
    <w:qFormat/>
    <w:rPr>
      <w:rFonts w:eastAsia="宋体"/>
      <w:sz w:val="24"/>
      <w:szCs w:val="24"/>
      <w:lang w:val="en-US" w:eastAsia="zh-CN" w:bidi="ar-SA"/>
    </w:rPr>
  </w:style>
  <w:style w:type="table" w:styleId="849">
    <w:name w:val="网格型"/>
    <w:basedOn w:val="790"/>
    <w:next w:val="849"/>
    <w:link w:val="779"/>
    <w:uiPriority w:val="39"/>
    <w:qFormat/>
    <w:tblPr/>
  </w:style>
  <w:style w:type="table" w:styleId="850">
    <w:name w:val="中等深浅网格 1 - 强调文字颜色 2"/>
    <w:basedOn w:val="790"/>
    <w:next w:val="850"/>
    <w:link w:val="779"/>
    <w:qFormat/>
    <w:rPr>
      <w:sz w:val="21"/>
      <w:szCs w:val="24"/>
    </w:rPr>
    <w:tblPr/>
  </w:style>
  <w:style w:type="character" w:styleId="851">
    <w:name w:val="要点"/>
    <w:next w:val="851"/>
    <w:link w:val="779"/>
    <w:qFormat/>
    <w:rPr>
      <w:b/>
      <w:bCs/>
    </w:rPr>
  </w:style>
  <w:style w:type="character" w:styleId="852">
    <w:name w:val="页码"/>
    <w:next w:val="852"/>
    <w:link w:val="779"/>
    <w:qFormat/>
  </w:style>
  <w:style w:type="character" w:styleId="853">
    <w:name w:val="已访问的超链接"/>
    <w:next w:val="853"/>
    <w:link w:val="779"/>
    <w:qFormat/>
    <w:rPr>
      <w:color w:val="800080"/>
      <w:u w:val="single"/>
    </w:rPr>
  </w:style>
  <w:style w:type="character" w:styleId="854">
    <w:name w:val="强调"/>
    <w:next w:val="854"/>
    <w:link w:val="779"/>
    <w:qFormat/>
    <w:rPr>
      <w:color w:val="cc0033"/>
    </w:rPr>
  </w:style>
  <w:style w:type="character" w:styleId="855">
    <w:name w:val="超链接"/>
    <w:next w:val="855"/>
    <w:link w:val="779"/>
    <w:uiPriority w:val="99"/>
    <w:qFormat/>
    <w:rPr>
      <w:color w:val="0000ff"/>
      <w:u w:val="single"/>
    </w:rPr>
  </w:style>
  <w:style w:type="character" w:styleId="856">
    <w:name w:val="批注引用"/>
    <w:next w:val="856"/>
    <w:link w:val="779"/>
    <w:uiPriority w:val="99"/>
    <w:qFormat/>
    <w:rPr>
      <w:sz w:val="21"/>
      <w:szCs w:val="21"/>
    </w:rPr>
  </w:style>
  <w:style w:type="character" w:styleId="857">
    <w:name w:val="HTML 引文"/>
    <w:next w:val="857"/>
    <w:link w:val="779"/>
    <w:qFormat/>
    <w:rPr>
      <w:i/>
      <w:iCs/>
    </w:rPr>
  </w:style>
  <w:style w:type="paragraph" w:styleId="858">
    <w:name w:val="标题 31"/>
    <w:basedOn w:val="779"/>
    <w:next w:val="779"/>
    <w:link w:val="779"/>
    <w:qFormat/>
    <w:pPr>
      <w:jc w:val="left"/>
      <w:keepLines/>
      <w:keepNext/>
      <w:spacing w:before="360" w:after="120"/>
      <w:outlineLvl w:val="2"/>
    </w:pPr>
    <w:rPr>
      <w:rFonts w:ascii="宋体"/>
      <w:b/>
      <w:sz w:val="24"/>
      <w:szCs w:val="20"/>
      <w:u w:val="single"/>
    </w:rPr>
  </w:style>
  <w:style w:type="character" w:styleId="859">
    <w:name w:val="font81"/>
    <w:next w:val="859"/>
    <w:link w:val="779"/>
    <w:qFormat/>
    <w:rPr>
      <w:rFonts w:hint="eastAsia" w:ascii="楷体" w:hAnsi="楷体" w:eastAsia="楷体" w:cs="楷体"/>
      <w:b/>
      <w:bCs/>
      <w:color w:val="000000"/>
      <w:sz w:val="24"/>
      <w:szCs w:val="24"/>
      <w:u w:val="single"/>
    </w:rPr>
  </w:style>
  <w:style w:type="paragraph" w:styleId="860">
    <w:name w:val="Default"/>
    <w:next w:val="860"/>
    <w:link w:val="779"/>
    <w:qFormat/>
    <w:pPr>
      <w:widowControl w:val="off"/>
    </w:pPr>
    <w:rPr>
      <w:rFonts w:ascii="Symbol" w:hAnsi="Symbol" w:cs="Symbol"/>
      <w:color w:val="000000"/>
      <w:sz w:val="24"/>
      <w:szCs w:val="24"/>
      <w:lang w:val="en-US" w:eastAsia="zh-CN" w:bidi="ar-SA"/>
    </w:rPr>
  </w:style>
  <w:style w:type="character" w:styleId="861">
    <w:name w:val="批注文字 字符"/>
    <w:next w:val="861"/>
    <w:link w:val="779"/>
    <w:uiPriority w:val="99"/>
    <w:qFormat/>
    <w:rPr>
      <w:rFonts w:ascii="Times New Roman" w:hAnsi="Times New Roman" w:eastAsia="宋体" w:cs="Times New Roman"/>
      <w:sz w:val="24"/>
      <w:lang w:val="en-US" w:eastAsia="zh-CN" w:bidi="ar-SA"/>
    </w:rPr>
  </w:style>
  <w:style w:type="character" w:styleId="862">
    <w:name w:val="c21"/>
    <w:next w:val="862"/>
    <w:link w:val="779"/>
    <w:qFormat/>
    <w:rPr>
      <w:rFonts w:ascii="ˎ̥" w:hAnsi="ˎ̥"/>
      <w:color w:val="000000"/>
      <w:sz w:val="20"/>
      <w:szCs w:val="20"/>
      <w:u w:val="none"/>
    </w:rPr>
  </w:style>
  <w:style w:type="character" w:styleId="863">
    <w:name w:val="title4"/>
    <w:next w:val="863"/>
    <w:link w:val="779"/>
    <w:qFormat/>
    <w:rPr>
      <w:b/>
      <w:bCs/>
      <w:color w:val="1d87b3"/>
      <w:sz w:val="15"/>
      <w:szCs w:val="15"/>
    </w:rPr>
  </w:style>
  <w:style w:type="character" w:styleId="864">
    <w:name w:val="标题 2 Char Char"/>
    <w:next w:val="864"/>
    <w:link w:val="779"/>
    <w:qFormat/>
    <w:rPr>
      <w:rFonts w:ascii="Arial" w:hAnsi="Arial" w:eastAsia="黑体"/>
      <w:b/>
      <w:bCs/>
      <w:sz w:val="32"/>
      <w:szCs w:val="32"/>
      <w:lang w:val="en-US" w:eastAsia="zh-CN" w:bidi="ar-SA"/>
    </w:rPr>
  </w:style>
  <w:style w:type="character" w:styleId="865">
    <w:name w:val="black1"/>
    <w:next w:val="865"/>
    <w:link w:val="779"/>
    <w:qFormat/>
    <w:rPr>
      <w:color w:val="000000"/>
    </w:rPr>
  </w:style>
  <w:style w:type="character" w:styleId="866">
    <w:name w:val="street-address"/>
    <w:next w:val="866"/>
    <w:link w:val="779"/>
    <w:qFormat/>
  </w:style>
  <w:style w:type="character" w:styleId="867">
    <w:name w:val="locality"/>
    <w:next w:val="867"/>
    <w:link w:val="779"/>
    <w:qFormat/>
  </w:style>
  <w:style w:type="character" w:styleId="868">
    <w:name w:val="正文文本缩进 Char1"/>
    <w:next w:val="868"/>
    <w:link w:val="869"/>
    <w:qFormat/>
    <w:rPr>
      <w:rFonts w:ascii="宋体" w:hAnsi="宋体" w:eastAsia="宋体"/>
      <w:sz w:val="24"/>
      <w:szCs w:val="24"/>
      <w:lang w:bidi="ar-SA"/>
    </w:rPr>
  </w:style>
  <w:style w:type="paragraph" w:styleId="869">
    <w:name w:val="正文文本缩进1"/>
    <w:basedOn w:val="779"/>
    <w:next w:val="869"/>
    <w:link w:val="868"/>
    <w:qFormat/>
    <w:pPr>
      <w:ind w:firstLine="480"/>
      <w:spacing w:line="480" w:lineRule="exact"/>
    </w:pPr>
    <w:rPr>
      <w:rFonts w:ascii="宋体" w:hAnsi="宋体"/>
      <w:sz w:val="24"/>
    </w:rPr>
  </w:style>
  <w:style w:type="character" w:styleId="870">
    <w:name w:val="Char Char11"/>
    <w:next w:val="870"/>
    <w:link w:val="779"/>
    <w:qFormat/>
    <w:rPr>
      <w:rFonts w:ascii="宋体" w:eastAsia="宋体"/>
      <w:b/>
      <w:sz w:val="24"/>
      <w:u w:val="single"/>
      <w:lang w:val="en-US" w:eastAsia="zh-CN" w:bidi="ar-SA"/>
    </w:rPr>
  </w:style>
  <w:style w:type="character" w:styleId="871">
    <w:name w:val="txt"/>
    <w:next w:val="871"/>
    <w:link w:val="779"/>
    <w:qFormat/>
  </w:style>
  <w:style w:type="character" w:styleId="872">
    <w:name w:val="正文缩进 Char Char"/>
    <w:next w:val="872"/>
    <w:link w:val="873"/>
    <w:qFormat/>
    <w:rPr>
      <w:rFonts w:ascii="宋体" w:eastAsia="宋体"/>
      <w:color w:val="000000"/>
      <w:sz w:val="28"/>
      <w:lang w:bidi="ar-SA"/>
    </w:rPr>
  </w:style>
  <w:style w:type="paragraph" w:styleId="873">
    <w:name w:val="正文缩进1"/>
    <w:basedOn w:val="779"/>
    <w:next w:val="873"/>
    <w:link w:val="872"/>
    <w:qFormat/>
    <w:pPr>
      <w:ind w:firstLine="567"/>
      <w:spacing w:line="480" w:lineRule="exact"/>
      <w:widowControl/>
    </w:pPr>
    <w:rPr>
      <w:rFonts w:ascii="宋体"/>
      <w:color w:val="000000"/>
      <w:sz w:val="28"/>
      <w:szCs w:val="20"/>
    </w:rPr>
  </w:style>
  <w:style w:type="character" w:styleId="874">
    <w:name w:val="普通文字1 Char1"/>
    <w:next w:val="874"/>
    <w:link w:val="779"/>
    <w:qFormat/>
    <w:rPr>
      <w:rFonts w:ascii="宋体" w:hAnsi="Courier New" w:eastAsia="宋体"/>
      <w:sz w:val="21"/>
      <w:lang w:val="en-US" w:eastAsia="zh-CN" w:bidi="ar-SA"/>
    </w:rPr>
  </w:style>
  <w:style w:type="character" w:styleId="875">
    <w:name w:val="chanpin1"/>
    <w:next w:val="875"/>
    <w:link w:val="779"/>
    <w:qFormat/>
    <w:rPr>
      <w:rFonts w:ascii="ˎ̥" w:hAnsi="ˎ̥"/>
      <w:color w:val="000000"/>
      <w:sz w:val="20"/>
      <w:szCs w:val="20"/>
      <w:u w:val="none"/>
    </w:rPr>
  </w:style>
  <w:style w:type="character" w:styleId="876">
    <w:name w:val="列出段落 字符"/>
    <w:next w:val="876"/>
    <w:link w:val="877"/>
    <w:uiPriority w:val="34"/>
    <w:qFormat/>
    <w:rPr>
      <w:rFonts w:ascii="Calibri" w:hAnsi="Calibri" w:eastAsia="宋体"/>
      <w:sz w:val="21"/>
      <w:szCs w:val="22"/>
      <w:lang w:val="en-US" w:eastAsia="zh-CN" w:bidi="ar-SA"/>
    </w:rPr>
  </w:style>
  <w:style w:type="paragraph" w:styleId="877">
    <w:name w:val="列出段落"/>
    <w:basedOn w:val="779"/>
    <w:next w:val="877"/>
    <w:link w:val="876"/>
    <w:uiPriority w:val="34"/>
    <w:qFormat/>
    <w:pPr>
      <w:ind w:firstLine="420"/>
    </w:pPr>
    <w:rPr>
      <w:rFonts w:ascii="Calibri" w:hAnsi="Calibri"/>
      <w:szCs w:val="22"/>
    </w:rPr>
  </w:style>
  <w:style w:type="character" w:styleId="878">
    <w:name w:val="标题 3 Char Char"/>
    <w:next w:val="878"/>
    <w:link w:val="779"/>
    <w:qFormat/>
    <w:rPr>
      <w:rFonts w:eastAsia="宋体"/>
      <w:b/>
      <w:bCs/>
      <w:sz w:val="32"/>
      <w:szCs w:val="32"/>
      <w:lang w:val="en-US" w:eastAsia="zh-CN" w:bidi="ar-SA"/>
    </w:rPr>
  </w:style>
  <w:style w:type="character" w:styleId="879">
    <w:name w:val="段1 Char"/>
    <w:next w:val="879"/>
    <w:link w:val="779"/>
    <w:qFormat/>
    <w:rPr>
      <w:rFonts w:ascii="宋体" w:eastAsia="宋体"/>
      <w:sz w:val="24"/>
      <w:lang w:val="en-US" w:eastAsia="zh-CN" w:bidi="ar-SA"/>
    </w:rPr>
  </w:style>
  <w:style w:type="character" w:styleId="880">
    <w:name w:val="chanpin拷贝"/>
    <w:next w:val="880"/>
    <w:link w:val="779"/>
    <w:qFormat/>
  </w:style>
  <w:style w:type="character" w:styleId="881">
    <w:name w:val="纯文本 Char1"/>
    <w:next w:val="881"/>
    <w:link w:val="779"/>
    <w:qFormat/>
    <w:rPr>
      <w:rFonts w:ascii="宋体" w:hAnsi="Courier New" w:eastAsia="宋体"/>
      <w:sz w:val="21"/>
      <w:lang w:val="en-US" w:eastAsia="zh-CN" w:bidi="ar-SA"/>
    </w:rPr>
  </w:style>
  <w:style w:type="character" w:styleId="882">
    <w:name w:val="apple-style-span"/>
    <w:next w:val="882"/>
    <w:link w:val="779"/>
    <w:qFormat/>
    <w:rPr>
      <w:rFonts w:cs="Times New Roman"/>
    </w:rPr>
  </w:style>
  <w:style w:type="paragraph" w:styleId="883">
    <w:name w:val="二级条标题"/>
    <w:basedOn w:val="884"/>
    <w:next w:val="779"/>
    <w:link w:val="779"/>
    <w:qFormat/>
    <w:pPr>
      <w:numPr>
        <w:ilvl w:val="0"/>
        <w:numId w:val="0"/>
      </w:numPr>
      <w:ind w:hanging="840"/>
      <w:tabs>
        <w:tab w:val="left" w:pos="360" w:leader="none"/>
        <w:tab w:val="left" w:pos="840" w:leader="none"/>
      </w:tabs>
      <w:outlineLvl w:val="2"/>
    </w:pPr>
    <w:rPr>
      <w:rFonts w:ascii="宋体" w:eastAsia="宋体"/>
      <w:b w:val="0"/>
    </w:rPr>
  </w:style>
  <w:style w:type="paragraph" w:styleId="884">
    <w:name w:val="一级条标题"/>
    <w:basedOn w:val="885"/>
    <w:next w:val="779"/>
    <w:link w:val="779"/>
    <w:qFormat/>
    <w:pPr>
      <w:numPr>
        <w:ilvl w:val="1"/>
      </w:numPr>
      <w:ind w:left="0" w:hanging="840"/>
      <w:tabs>
        <w:tab w:val="left" w:pos="360" w:leader="none"/>
        <w:tab w:val="left" w:pos="840" w:leader="none"/>
      </w:tabs>
      <w:outlineLvl w:val="1"/>
    </w:pPr>
  </w:style>
  <w:style w:type="paragraph" w:styleId="885">
    <w:name w:val="章标题"/>
    <w:next w:val="779"/>
    <w:link w:val="77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6">
    <w:name w:val="font7"/>
    <w:basedOn w:val="779"/>
    <w:next w:val="886"/>
    <w:link w:val="779"/>
    <w:qFormat/>
    <w:pPr>
      <w:jc w:val="left"/>
      <w:spacing w:before="100" w:beforeAutospacing="1" w:after="100" w:afterAutospacing="1"/>
      <w:widowControl/>
    </w:pPr>
    <w:rPr>
      <w:rFonts w:eastAsia="Arial Unicode MS"/>
      <w:b/>
      <w:bCs/>
      <w:color w:val="000000"/>
      <w:sz w:val="20"/>
      <w:szCs w:val="20"/>
    </w:rPr>
  </w:style>
  <w:style w:type="paragraph" w:styleId="887">
    <w:name w:val="字元 字元"/>
    <w:basedOn w:val="779"/>
    <w:next w:val="887"/>
    <w:link w:val="779"/>
    <w:qFormat/>
    <w:rPr>
      <w:rFonts w:ascii="Tahoma" w:hAnsi="Tahoma"/>
      <w:sz w:val="24"/>
      <w:szCs w:val="20"/>
    </w:rPr>
  </w:style>
  <w:style w:type="paragraph" w:styleId="888">
    <w:name w:val="Char3 Char Char Char"/>
    <w:basedOn w:val="779"/>
    <w:next w:val="888"/>
    <w:link w:val="779"/>
    <w:qFormat/>
    <w:rPr>
      <w:rFonts w:ascii="Tahoma" w:hAnsi="Tahoma"/>
      <w:sz w:val="24"/>
      <w:szCs w:val="20"/>
    </w:rPr>
  </w:style>
  <w:style w:type="paragraph" w:styleId="889">
    <w:name w:val="font6"/>
    <w:basedOn w:val="779"/>
    <w:next w:val="889"/>
    <w:link w:val="779"/>
    <w:qFormat/>
    <w:pPr>
      <w:jc w:val="left"/>
      <w:spacing w:before="100" w:beforeAutospacing="1" w:after="100" w:afterAutospacing="1"/>
      <w:widowControl/>
    </w:pPr>
    <w:rPr>
      <w:rFonts w:ascii="宋体" w:hAnsi="宋体" w:cs="宋体"/>
      <w:sz w:val="20"/>
      <w:szCs w:val="20"/>
    </w:rPr>
  </w:style>
  <w:style w:type="paragraph" w:styleId="890">
    <w:name w:val="项目编号2"/>
    <w:basedOn w:val="891"/>
    <w:next w:val="890"/>
    <w:link w:val="779"/>
    <w:qFormat/>
    <w:pPr>
      <w:numPr>
        <w:numId w:val="3"/>
      </w:numPr>
    </w:pPr>
  </w:style>
  <w:style w:type="paragraph" w:styleId="891">
    <w:name w:val="项目编号1"/>
    <w:basedOn w:val="779"/>
    <w:next w:val="891"/>
    <w:link w:val="779"/>
    <w:qFormat/>
    <w:pPr>
      <w:numPr>
        <w:ilvl w:val="0"/>
        <w:numId w:val="2"/>
      </w:numPr>
      <w:spacing w:before="100" w:beforeAutospacing="1" w:after="100" w:afterAutospacing="1" w:line="360" w:lineRule="auto"/>
    </w:pPr>
    <w:rPr>
      <w:sz w:val="24"/>
    </w:rPr>
  </w:style>
  <w:style w:type="paragraph" w:styleId="892">
    <w:name w:val="图中文字"/>
    <w:basedOn w:val="779"/>
    <w:next w:val="892"/>
    <w:link w:val="779"/>
    <w:qFormat/>
    <w:pPr>
      <w:jc w:val="center"/>
      <w:spacing w:line="0" w:lineRule="atLeast"/>
    </w:pPr>
    <w:rPr>
      <w:sz w:val="24"/>
      <w:szCs w:val="20"/>
    </w:rPr>
  </w:style>
  <w:style w:type="paragraph" w:styleId="893">
    <w:name w:val="xl46"/>
    <w:basedOn w:val="779"/>
    <w:next w:val="893"/>
    <w:link w:val="77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4">
    <w:name w:val="xl25"/>
    <w:basedOn w:val="779"/>
    <w:next w:val="894"/>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Char2"/>
    <w:basedOn w:val="779"/>
    <w:next w:val="895"/>
    <w:link w:val="779"/>
    <w:qFormat/>
    <w:rPr>
      <w:rFonts w:ascii="Tahoma" w:hAnsi="Tahoma"/>
      <w:sz w:val="24"/>
      <w:szCs w:val="20"/>
    </w:rPr>
  </w:style>
  <w:style w:type="paragraph" w:styleId="896">
    <w:name w:val="xl35"/>
    <w:basedOn w:val="779"/>
    <w:next w:val="896"/>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7">
    <w:name w:val="xl40"/>
    <w:basedOn w:val="779"/>
    <w:next w:val="897"/>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8">
    <w:name w:val="xl52"/>
    <w:basedOn w:val="779"/>
    <w:next w:val="898"/>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9">
    <w:name w:val="xl43"/>
    <w:basedOn w:val="779"/>
    <w:next w:val="899"/>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0">
    <w:name w:val="background1"/>
    <w:basedOn w:val="779"/>
    <w:next w:val="900"/>
    <w:link w:val="779"/>
    <w:qFormat/>
    <w:pPr>
      <w:jc w:val="left"/>
      <w:spacing w:before="100" w:beforeAutospacing="1" w:after="100" w:afterAutospacing="1"/>
      <w:widowControl/>
    </w:pPr>
    <w:rPr>
      <w:rFonts w:ascii="宋体" w:hAnsi="宋体" w:cs="宋体"/>
      <w:sz w:val="24"/>
    </w:rPr>
  </w:style>
  <w:style w:type="paragraph" w:styleId="901">
    <w:name w:val="Char Char Char Char Char Char Char"/>
    <w:basedOn w:val="779"/>
    <w:next w:val="901"/>
    <w:link w:val="779"/>
    <w:qFormat/>
    <w:pPr>
      <w:ind w:firstLine="200"/>
      <w:spacing w:line="360" w:lineRule="auto"/>
    </w:pPr>
    <w:rPr>
      <w:rFonts w:eastAsia="仿宋_GB2312"/>
      <w:sz w:val="24"/>
    </w:rPr>
  </w:style>
  <w:style w:type="paragraph" w:styleId="902">
    <w:name w:val="xl38"/>
    <w:basedOn w:val="779"/>
    <w:next w:val="90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3">
    <w:name w:val="xl36"/>
    <w:basedOn w:val="779"/>
    <w:next w:val="903"/>
    <w:link w:val="7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4">
    <w:name w:val="正文 + 宋体"/>
    <w:basedOn w:val="779"/>
    <w:next w:val="904"/>
    <w:link w:val="779"/>
    <w:qFormat/>
    <w:pPr>
      <w:ind w:left="360" w:hanging="360"/>
      <w:jc w:val="left"/>
      <w:widowControl/>
    </w:pPr>
    <w:rPr>
      <w:rFonts w:ascii="宋体" w:hAnsi="宋体" w:cs="宋体"/>
      <w:b/>
      <w:bCs/>
      <w:color w:val="000000"/>
      <w:sz w:val="18"/>
      <w:szCs w:val="18"/>
    </w:rPr>
  </w:style>
  <w:style w:type="paragraph" w:styleId="905">
    <w:name w:val="正文列项_数字"/>
    <w:basedOn w:val="779"/>
    <w:next w:val="905"/>
    <w:link w:val="779"/>
    <w:qFormat/>
    <w:pPr>
      <w:numPr>
        <w:ilvl w:val="7"/>
        <w:numId w:val="1"/>
      </w:numPr>
      <w:ind w:left="680" w:hanging="150"/>
      <w:spacing w:line="460" w:lineRule="exact"/>
      <w:tabs>
        <w:tab w:val="clear" w:pos="860" w:leader="none"/>
      </w:tabs>
      <w:outlineLvl w:val="7"/>
    </w:pPr>
    <w:rPr>
      <w:rFonts w:ascii="宋体"/>
      <w:sz w:val="28"/>
      <w:szCs w:val="20"/>
    </w:rPr>
  </w:style>
  <w:style w:type="paragraph" w:styleId="906">
    <w:name w:val="xl39"/>
    <w:basedOn w:val="779"/>
    <w:next w:val="90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xl37"/>
    <w:basedOn w:val="779"/>
    <w:next w:val="907"/>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8">
    <w:name w:val="xl32"/>
    <w:basedOn w:val="779"/>
    <w:next w:val="908"/>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9">
    <w:name w:val="font8"/>
    <w:basedOn w:val="779"/>
    <w:next w:val="909"/>
    <w:link w:val="779"/>
    <w:qFormat/>
    <w:pPr>
      <w:jc w:val="left"/>
      <w:spacing w:before="100" w:beforeAutospacing="1" w:after="100" w:afterAutospacing="1"/>
      <w:widowControl/>
    </w:pPr>
    <w:rPr>
      <w:sz w:val="36"/>
      <w:szCs w:val="36"/>
    </w:rPr>
  </w:style>
  <w:style w:type="paragraph" w:styleId="910">
    <w:name w:val="Char"/>
    <w:basedOn w:val="779"/>
    <w:next w:val="910"/>
    <w:link w:val="779"/>
    <w:qFormat/>
    <w:pPr>
      <w:tabs>
        <w:tab w:val="left" w:pos="360" w:leader="none"/>
      </w:tabs>
    </w:pPr>
    <w:rPr>
      <w:sz w:val="24"/>
    </w:rPr>
  </w:style>
  <w:style w:type="paragraph" w:styleId="911">
    <w:name w:val="Char Char Char Char Char Char Char Char Char Char Char Char Char Char Char Char"/>
    <w:basedOn w:val="779"/>
    <w:next w:val="911"/>
    <w:link w:val="779"/>
    <w:qFormat/>
    <w:pPr>
      <w:jc w:val="center"/>
      <w:spacing w:after="160" w:line="240" w:lineRule="exact"/>
      <w:widowControl/>
    </w:pPr>
    <w:rPr>
      <w:rFonts w:ascii="宋体" w:hAnsi="宋体"/>
      <w:b/>
      <w:sz w:val="30"/>
      <w:szCs w:val="30"/>
      <w:lang w:eastAsia="en-US"/>
    </w:rPr>
  </w:style>
  <w:style w:type="paragraph" w:styleId="912">
    <w:name w:val="xl45"/>
    <w:basedOn w:val="779"/>
    <w:next w:val="912"/>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3">
    <w:name w:val="Char Char1 Char Char Char Char Char Char"/>
    <w:basedOn w:val="779"/>
    <w:next w:val="913"/>
    <w:link w:val="779"/>
    <w:qFormat/>
    <w:pPr>
      <w:jc w:val="left"/>
      <w:spacing w:after="160" w:line="240" w:lineRule="exact"/>
      <w:widowControl/>
    </w:pPr>
    <w:rPr>
      <w:rFonts w:ascii="Verdana" w:hAnsi="Verdana" w:eastAsia="仿宋_GB2312"/>
      <w:sz w:val="24"/>
      <w:szCs w:val="20"/>
      <w:lang w:eastAsia="en-US"/>
    </w:rPr>
  </w:style>
  <w:style w:type="paragraph" w:styleId="914">
    <w:name w:val="Char Char1"/>
    <w:basedOn w:val="804"/>
    <w:next w:val="914"/>
    <w:link w:val="779"/>
    <w:qFormat/>
    <w:rPr>
      <w:rFonts w:ascii="Tahoma" w:hAnsi="Tahoma"/>
      <w:sz w:val="24"/>
    </w:rPr>
  </w:style>
  <w:style w:type="paragraph" w:styleId="915">
    <w:name w:val="xl26"/>
    <w:basedOn w:val="779"/>
    <w:next w:val="915"/>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6">
    <w:name w:val="xl30"/>
    <w:basedOn w:val="779"/>
    <w:next w:val="91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7">
    <w:name w:val="xl41"/>
    <w:basedOn w:val="779"/>
    <w:next w:val="917"/>
    <w:link w:val="77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8">
    <w:name w:val="样式 宋体 五号 行距: 单倍行距"/>
    <w:basedOn w:val="779"/>
    <w:next w:val="918"/>
    <w:link w:val="779"/>
    <w:qFormat/>
    <w:pPr>
      <w:jc w:val="left"/>
    </w:pPr>
    <w:rPr>
      <w:rFonts w:ascii="宋体" w:hAnsi="宋体"/>
      <w:szCs w:val="20"/>
    </w:rPr>
  </w:style>
  <w:style w:type="paragraph" w:styleId="919">
    <w:name w:val="Char1 Char Char Char1"/>
    <w:basedOn w:val="779"/>
    <w:next w:val="919"/>
    <w:link w:val="779"/>
    <w:qFormat/>
    <w:rPr>
      <w:rFonts w:ascii="Tahoma" w:hAnsi="Tahoma" w:cs="仿宋_GB2312"/>
      <w:sz w:val="24"/>
      <w:szCs w:val="28"/>
    </w:rPr>
  </w:style>
  <w:style w:type="paragraph" w:styleId="920">
    <w:name w:val="四级条标题"/>
    <w:basedOn w:val="921"/>
    <w:next w:val="779"/>
    <w:link w:val="779"/>
    <w:qFormat/>
    <w:pPr>
      <w:numPr>
        <w:ilvl w:val="4"/>
      </w:numPr>
      <w:ind w:left="0" w:hanging="840"/>
      <w:tabs>
        <w:tab w:val="left" w:pos="360" w:leader="none"/>
        <w:tab w:val="left" w:pos="840" w:leader="none"/>
      </w:tabs>
      <w:outlineLvl w:val="4"/>
    </w:pPr>
  </w:style>
  <w:style w:type="paragraph" w:styleId="921">
    <w:name w:val="三级条标题"/>
    <w:basedOn w:val="883"/>
    <w:next w:val="779"/>
    <w:link w:val="779"/>
    <w:qFormat/>
    <w:pPr>
      <w:numPr>
        <w:ilvl w:val="3"/>
        <w:numId w:val="1"/>
      </w:numPr>
      <w:ind w:left="0" w:hanging="840"/>
      <w:tabs>
        <w:tab w:val="left" w:pos="360" w:leader="none"/>
        <w:tab w:val="left" w:pos="840" w:leader="none"/>
      </w:tabs>
      <w:outlineLvl w:val="3"/>
    </w:pPr>
  </w:style>
  <w:style w:type="paragraph" w:styleId="922">
    <w:name w:val="??"/>
    <w:next w:val="922"/>
    <w:link w:val="779"/>
    <w:qFormat/>
    <w:pPr>
      <w:jc w:val="both"/>
      <w:widowControl w:val="off"/>
    </w:pPr>
    <w:rPr>
      <w:sz w:val="21"/>
      <w:lang w:val="en-US" w:eastAsia="en-US" w:bidi="ar-SA"/>
    </w:rPr>
  </w:style>
  <w:style w:type="paragraph" w:styleId="923">
    <w:name w:val="样式 标题 2 + 宋体 五号 行距: 单倍行距"/>
    <w:basedOn w:val="781"/>
    <w:next w:val="923"/>
    <w:link w:val="77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4">
    <w:name w:val="List Paragraph1"/>
    <w:basedOn w:val="779"/>
    <w:next w:val="924"/>
    <w:link w:val="779"/>
    <w:qFormat/>
    <w:pPr>
      <w:ind w:firstLine="420"/>
    </w:pPr>
    <w:rPr>
      <w:rFonts w:ascii="Calibri" w:hAnsi="Calibri"/>
      <w:szCs w:val="22"/>
    </w:rPr>
  </w:style>
  <w:style w:type="paragraph" w:styleId="925">
    <w:name w:val="项目符号1"/>
    <w:basedOn w:val="926"/>
    <w:next w:val="925"/>
    <w:link w:val="779"/>
    <w:qFormat/>
    <w:pPr>
      <w:ind w:left="-25" w:firstLine="0"/>
    </w:pPr>
  </w:style>
  <w:style w:type="paragraph" w:styleId="926">
    <w:name w:val="正文文本样式"/>
    <w:basedOn w:val="779"/>
    <w:next w:val="926"/>
    <w:link w:val="779"/>
    <w:qFormat/>
    <w:pPr>
      <w:ind w:firstLine="482"/>
      <w:spacing w:line="360" w:lineRule="auto"/>
    </w:pPr>
    <w:rPr>
      <w:rFonts w:cs="宋体"/>
      <w:sz w:val="24"/>
      <w:szCs w:val="20"/>
    </w:rPr>
  </w:style>
  <w:style w:type="paragraph" w:styleId="927">
    <w:name w:val="xl27"/>
    <w:basedOn w:val="779"/>
    <w:next w:val="927"/>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8">
    <w:name w:val="font5"/>
    <w:basedOn w:val="779"/>
    <w:next w:val="928"/>
    <w:link w:val="779"/>
    <w:qFormat/>
    <w:pPr>
      <w:jc w:val="left"/>
      <w:spacing w:before="100" w:beforeAutospacing="1" w:after="100" w:afterAutospacing="1"/>
      <w:widowControl/>
    </w:pPr>
    <w:rPr>
      <w:rFonts w:ascii="宋体" w:hAnsi="宋体" w:cs="宋体"/>
      <w:sz w:val="18"/>
      <w:szCs w:val="18"/>
    </w:rPr>
  </w:style>
  <w:style w:type="paragraph" w:styleId="929">
    <w:name w:val="五级条标题"/>
    <w:basedOn w:val="920"/>
    <w:next w:val="779"/>
    <w:link w:val="779"/>
    <w:qFormat/>
    <w:pPr>
      <w:numPr>
        <w:ilvl w:val="5"/>
      </w:numPr>
      <w:ind w:left="0" w:hanging="840"/>
      <w:tabs>
        <w:tab w:val="left" w:pos="360" w:leader="none"/>
        <w:tab w:val="left" w:pos="840" w:leader="none"/>
      </w:tabs>
      <w:outlineLvl w:val="5"/>
    </w:pPr>
  </w:style>
  <w:style w:type="paragraph" w:styleId="930">
    <w:name w:val="xl49"/>
    <w:basedOn w:val="779"/>
    <w:next w:val="930"/>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31">
    <w:name w:val="文档正文"/>
    <w:basedOn w:val="779"/>
    <w:next w:val="931"/>
    <w:link w:val="779"/>
    <w:qFormat/>
    <w:pPr>
      <w:spacing w:before="120" w:after="120" w:line="180" w:lineRule="auto"/>
    </w:pPr>
    <w:rPr>
      <w:rFonts w:ascii="Arial" w:hAnsi="Arial"/>
      <w:szCs w:val="20"/>
    </w:rPr>
  </w:style>
  <w:style w:type="paragraph" w:styleId="932">
    <w:name w:val="xl33"/>
    <w:basedOn w:val="779"/>
    <w:next w:val="93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3">
    <w:name w:val="xl42"/>
    <w:basedOn w:val="779"/>
    <w:next w:val="933"/>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4">
    <w:name w:val="Char Char Char1 Char"/>
    <w:basedOn w:val="779"/>
    <w:next w:val="934"/>
    <w:link w:val="779"/>
    <w:qFormat/>
    <w:rPr>
      <w:rFonts w:ascii="Tahoma" w:hAnsi="Tahoma"/>
      <w:sz w:val="24"/>
      <w:szCs w:val="20"/>
    </w:rPr>
  </w:style>
  <w:style w:type="paragraph" w:styleId="935">
    <w:name w:val="xl44"/>
    <w:basedOn w:val="779"/>
    <w:next w:val="935"/>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6">
    <w:name w:val="1名"/>
    <w:basedOn w:val="779"/>
    <w:next w:val="936"/>
    <w:link w:val="779"/>
    <w:qFormat/>
    <w:pPr>
      <w:numPr>
        <w:ilvl w:val="0"/>
        <w:numId w:val="5"/>
      </w:numPr>
      <w:spacing w:before="120"/>
      <w:tabs>
        <w:tab w:val="left" w:pos="360" w:leader="none"/>
      </w:tabs>
    </w:pPr>
    <w:rPr>
      <w:rFonts w:ascii="宋体"/>
      <w:sz w:val="28"/>
      <w:szCs w:val="20"/>
    </w:rPr>
  </w:style>
  <w:style w:type="paragraph" w:styleId="937">
    <w:name w:val="font9"/>
    <w:basedOn w:val="779"/>
    <w:next w:val="937"/>
    <w:link w:val="779"/>
    <w:qFormat/>
    <w:pPr>
      <w:jc w:val="left"/>
      <w:spacing w:before="100" w:beforeAutospacing="1" w:after="100" w:afterAutospacing="1"/>
      <w:widowControl/>
    </w:pPr>
    <w:rPr>
      <w:rFonts w:hint="eastAsia" w:ascii="宋体" w:hAnsi="宋体" w:cs="Arial Unicode MS"/>
      <w:color w:val="000000"/>
      <w:sz w:val="20"/>
      <w:szCs w:val="20"/>
    </w:rPr>
  </w:style>
  <w:style w:type="paragraph" w:styleId="938">
    <w:name w:val="Char Char Char1 Char1"/>
    <w:basedOn w:val="779"/>
    <w:next w:val="938"/>
    <w:link w:val="779"/>
    <w:qFormat/>
    <w:rPr>
      <w:rFonts w:ascii="Tahoma" w:hAnsi="Tahoma"/>
      <w:sz w:val="24"/>
      <w:szCs w:val="20"/>
    </w:rPr>
  </w:style>
  <w:style w:type="paragraph" w:styleId="939">
    <w:name w:val="Char Char Char Char Char Char Char Char Char Char"/>
    <w:basedOn w:val="779"/>
    <w:next w:val="939"/>
    <w:link w:val="779"/>
    <w:qFormat/>
  </w:style>
  <w:style w:type="paragraph" w:styleId="940">
    <w:name w:val="Char Char1 Char Char Char Char Char Char Char Char"/>
    <w:basedOn w:val="779"/>
    <w:next w:val="940"/>
    <w:link w:val="779"/>
    <w:qFormat/>
    <w:pPr>
      <w:jc w:val="left"/>
      <w:spacing w:after="160" w:line="240" w:lineRule="exact"/>
      <w:widowControl/>
    </w:pPr>
    <w:rPr>
      <w:rFonts w:ascii="Verdana" w:hAnsi="Verdana"/>
      <w:sz w:val="20"/>
      <w:szCs w:val="20"/>
      <w:lang w:eastAsia="en-US"/>
    </w:rPr>
  </w:style>
  <w:style w:type="paragraph" w:styleId="941">
    <w:name w:val="Char1"/>
    <w:basedOn w:val="779"/>
    <w:next w:val="941"/>
    <w:link w:val="779"/>
    <w:qFormat/>
    <w:pPr>
      <w:tabs>
        <w:tab w:val="left" w:pos="360" w:leader="none"/>
      </w:tabs>
    </w:pPr>
    <w:rPr>
      <w:sz w:val="24"/>
    </w:rPr>
  </w:style>
  <w:style w:type="paragraph" w:styleId="942">
    <w:name w:val="正文列项_字母"/>
    <w:basedOn w:val="779"/>
    <w:next w:val="942"/>
    <w:link w:val="779"/>
    <w:qFormat/>
    <w:pPr>
      <w:numPr>
        <w:ilvl w:val="6"/>
        <w:numId w:val="1"/>
      </w:numPr>
      <w:ind w:left="480" w:hanging="180"/>
      <w:spacing w:line="460" w:lineRule="exact"/>
      <w:tabs>
        <w:tab w:val="clear" w:pos="635" w:leader="none"/>
      </w:tabs>
      <w:outlineLvl w:val="6"/>
    </w:pPr>
    <w:rPr>
      <w:rFonts w:ascii="宋体"/>
      <w:sz w:val="28"/>
      <w:szCs w:val="20"/>
    </w:rPr>
  </w:style>
  <w:style w:type="paragraph" w:styleId="943">
    <w:name w:val="xl28"/>
    <w:basedOn w:val="779"/>
    <w:next w:val="943"/>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4">
    <w:name w:val="xl47"/>
    <w:basedOn w:val="779"/>
    <w:next w:val="944"/>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5">
    <w:name w:val="默认段落字体 Para Char Char Char Char"/>
    <w:basedOn w:val="779"/>
    <w:next w:val="945"/>
    <w:link w:val="779"/>
    <w:qFormat/>
    <w:rPr>
      <w:rFonts w:ascii="Arial" w:hAnsi="Arial" w:cs="Arial"/>
      <w:szCs w:val="21"/>
    </w:rPr>
  </w:style>
  <w:style w:type="paragraph" w:styleId="946">
    <w:name w:val="xl48"/>
    <w:basedOn w:val="779"/>
    <w:next w:val="94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7">
    <w:name w:val="xl31"/>
    <w:basedOn w:val="779"/>
    <w:next w:val="947"/>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8">
    <w:name w:val="xl53"/>
    <w:basedOn w:val="779"/>
    <w:next w:val="948"/>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Char Char Char"/>
    <w:basedOn w:val="779"/>
    <w:next w:val="949"/>
    <w:link w:val="779"/>
    <w:qFormat/>
    <w:rPr>
      <w:rFonts w:ascii="Tahoma" w:hAnsi="Tahoma"/>
      <w:sz w:val="24"/>
      <w:szCs w:val="20"/>
    </w:rPr>
  </w:style>
  <w:style w:type="paragraph" w:styleId="950">
    <w:name w:val="xl50"/>
    <w:basedOn w:val="779"/>
    <w:next w:val="950"/>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51">
    <w:name w:val="缺省文本"/>
    <w:basedOn w:val="779"/>
    <w:next w:val="951"/>
    <w:link w:val="779"/>
    <w:qFormat/>
    <w:pPr>
      <w:jc w:val="left"/>
    </w:pPr>
    <w:rPr>
      <w:sz w:val="24"/>
    </w:rPr>
  </w:style>
  <w:style w:type="paragraph" w:styleId="952">
    <w:name w:val="Char Char Char1"/>
    <w:basedOn w:val="779"/>
    <w:next w:val="952"/>
    <w:link w:val="779"/>
    <w:qFormat/>
    <w:rPr>
      <w:rFonts w:ascii="Tahoma" w:hAnsi="Tahoma"/>
      <w:sz w:val="24"/>
      <w:szCs w:val="20"/>
    </w:rPr>
  </w:style>
  <w:style w:type="paragraph" w:styleId="953">
    <w:name w:val="Char Char Char Char Char Char Char1"/>
    <w:basedOn w:val="779"/>
    <w:next w:val="953"/>
    <w:link w:val="779"/>
    <w:qFormat/>
    <w:pPr>
      <w:ind w:firstLine="200"/>
      <w:spacing w:line="360" w:lineRule="auto"/>
    </w:pPr>
    <w:rPr>
      <w:rFonts w:eastAsia="仿宋_GB2312"/>
      <w:sz w:val="24"/>
    </w:rPr>
  </w:style>
  <w:style w:type="paragraph" w:styleId="954">
    <w:name w:val="xl51"/>
    <w:basedOn w:val="779"/>
    <w:next w:val="954"/>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样式2"/>
    <w:basedOn w:val="842"/>
    <w:next w:val="955"/>
    <w:link w:val="779"/>
    <w:qFormat/>
    <w:pPr>
      <w:jc w:val="center"/>
      <w:spacing w:line="360" w:lineRule="auto"/>
    </w:pPr>
    <w:rPr>
      <w:sz w:val="24"/>
    </w:rPr>
  </w:style>
  <w:style w:type="paragraph" w:styleId="956">
    <w:name w:val="xl24"/>
    <w:basedOn w:val="779"/>
    <w:next w:val="95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7">
    <w:name w:val="xl29"/>
    <w:basedOn w:val="779"/>
    <w:next w:val="957"/>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8">
    <w:name w:val="正文 + 楷体_GB2312"/>
    <w:basedOn w:val="779"/>
    <w:next w:val="958"/>
    <w:link w:val="779"/>
    <w:qFormat/>
    <w:pPr>
      <w:jc w:val="left"/>
      <w:widowControl/>
    </w:pPr>
    <w:rPr>
      <w:rFonts w:ascii="楷体_GB2312" w:eastAsia="楷体_GB2312" w:cs="Arial"/>
      <w:sz w:val="24"/>
    </w:rPr>
  </w:style>
  <w:style w:type="paragraph" w:styleId="959">
    <w:name w:val="xl34"/>
    <w:basedOn w:val="779"/>
    <w:next w:val="959"/>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0">
    <w:name w:val="1 Char Char Char Char"/>
    <w:basedOn w:val="779"/>
    <w:next w:val="960"/>
    <w:link w:val="779"/>
    <w:qFormat/>
    <w:rPr>
      <w:rFonts w:ascii="Tahoma" w:hAnsi="Tahoma"/>
      <w:sz w:val="24"/>
      <w:szCs w:val="20"/>
    </w:rPr>
  </w:style>
  <w:style w:type="paragraph" w:styleId="961">
    <w:name w:val="列出段落1"/>
    <w:basedOn w:val="779"/>
    <w:next w:val="961"/>
    <w:link w:val="779"/>
    <w:qFormat/>
    <w:pPr>
      <w:ind w:firstLine="420"/>
    </w:pPr>
    <w:rPr>
      <w:rFonts w:ascii="Calibri" w:hAnsi="Calibri"/>
      <w:szCs w:val="22"/>
    </w:rPr>
  </w:style>
  <w:style w:type="paragraph" w:styleId="962">
    <w:name w:val="default"/>
    <w:basedOn w:val="779"/>
    <w:next w:val="962"/>
    <w:link w:val="779"/>
    <w:qFormat/>
    <w:pPr>
      <w:jc w:val="left"/>
      <w:spacing w:before="100" w:beforeAutospacing="1" w:after="100" w:afterAutospacing="1"/>
      <w:widowControl/>
    </w:pPr>
    <w:rPr>
      <w:rFonts w:ascii="宋体" w:hAnsi="宋体" w:cs="宋体"/>
      <w:sz w:val="24"/>
    </w:rPr>
  </w:style>
  <w:style w:type="paragraph" w:styleId="963">
    <w:name w:val="字元 字元1"/>
    <w:basedOn w:val="779"/>
    <w:next w:val="963"/>
    <w:link w:val="779"/>
    <w:qFormat/>
    <w:rPr>
      <w:rFonts w:ascii="Tahoma" w:hAnsi="Tahoma"/>
      <w:sz w:val="24"/>
      <w:szCs w:val="20"/>
    </w:rPr>
  </w:style>
  <w:style w:type="paragraph" w:styleId="964">
    <w:name w:val="_Style 160"/>
    <w:next w:val="964"/>
    <w:link w:val="779"/>
    <w:qFormat/>
    <w:rPr>
      <w:sz w:val="21"/>
      <w:szCs w:val="24"/>
      <w:lang w:val="en-US" w:eastAsia="zh-CN" w:bidi="ar-SA"/>
    </w:rPr>
  </w:style>
  <w:style w:type="paragraph" w:styleId="965">
    <w:name w:val="项目编号3"/>
    <w:basedOn w:val="926"/>
    <w:next w:val="965"/>
    <w:link w:val="779"/>
    <w:qFormat/>
    <w:pPr>
      <w:numPr>
        <w:ilvl w:val="0"/>
        <w:numId w:val="6"/>
      </w:numPr>
    </w:pPr>
  </w:style>
  <w:style w:type="paragraph" w:styleId="966">
    <w:name w:val="Char21"/>
    <w:basedOn w:val="779"/>
    <w:next w:val="966"/>
    <w:link w:val="779"/>
    <w:qFormat/>
    <w:rPr>
      <w:rFonts w:ascii="Tahoma" w:hAnsi="Tahoma"/>
      <w:sz w:val="24"/>
      <w:szCs w:val="20"/>
    </w:rPr>
  </w:style>
  <w:style w:type="paragraph" w:styleId="967">
    <w:name w:val="表格文字"/>
    <w:basedOn w:val="812"/>
    <w:next w:val="967"/>
    <w:link w:val="779"/>
    <w:qFormat/>
    <w:pPr>
      <w:ind w:firstLine="0"/>
      <w:spacing w:before="20" w:after="20" w:line="240" w:lineRule="auto"/>
    </w:pPr>
    <w:rPr>
      <w:rFonts w:ascii="Century Gothic" w:hAnsi="Century Gothic"/>
      <w:sz w:val="20"/>
      <w:szCs w:val="20"/>
    </w:rPr>
  </w:style>
  <w:style w:type="paragraph" w:styleId="968">
    <w:name w:val="Char Char Char Char Char Char Char Char Char Char1"/>
    <w:basedOn w:val="779"/>
    <w:next w:val="968"/>
    <w:link w:val="779"/>
    <w:qFormat/>
    <w:rPr>
      <w:rFonts w:ascii="宋体" w:hAnsi="宋体" w:cs="Courier New"/>
      <w:sz w:val="32"/>
      <w:szCs w:val="32"/>
    </w:rPr>
  </w:style>
  <w:style w:type="paragraph" w:styleId="969">
    <w:name w:val="正文文本样式 加粗"/>
    <w:basedOn w:val="926"/>
    <w:next w:val="969"/>
    <w:link w:val="779"/>
    <w:qFormat/>
    <w:rPr>
      <w:b/>
    </w:rPr>
  </w:style>
  <w:style w:type="paragraph" w:styleId="970">
    <w:name w:val="Char2 Char Char Char Char Char Char"/>
    <w:basedOn w:val="779"/>
    <w:next w:val="970"/>
    <w:link w:val="779"/>
    <w:qFormat/>
    <w:pPr>
      <w:jc w:val="center"/>
      <w:spacing w:line="400" w:lineRule="exact"/>
      <w:widowControl/>
    </w:pPr>
  </w:style>
  <w:style w:type="paragraph" w:styleId="971">
    <w:name w:val="Char Char4"/>
    <w:basedOn w:val="779"/>
    <w:next w:val="971"/>
    <w:link w:val="779"/>
    <w:qFormat/>
    <w:pPr>
      <w:jc w:val="center"/>
      <w:spacing w:line="400" w:lineRule="exact"/>
      <w:widowControl/>
    </w:pPr>
  </w:style>
  <w:style w:type="paragraph" w:styleId="972">
    <w:name w:val="Char3 Char Char Char1"/>
    <w:basedOn w:val="779"/>
    <w:next w:val="972"/>
    <w:link w:val="779"/>
    <w:qFormat/>
    <w:rPr>
      <w:rFonts w:ascii="Tahoma" w:hAnsi="Tahoma"/>
      <w:sz w:val="24"/>
      <w:szCs w:val="20"/>
    </w:rPr>
  </w:style>
  <w:style w:type="paragraph" w:styleId="973">
    <w:name w:val="无间隔"/>
    <w:next w:val="973"/>
    <w:link w:val="779"/>
    <w:qFormat/>
    <w:pPr>
      <w:jc w:val="both"/>
      <w:widowControl w:val="off"/>
    </w:pPr>
    <w:rPr>
      <w:sz w:val="21"/>
      <w:szCs w:val="24"/>
      <w:lang w:val="en-US" w:eastAsia="zh-CN" w:bidi="ar-SA"/>
    </w:rPr>
  </w:style>
  <w:style w:type="paragraph" w:styleId="974">
    <w:name w:val="22222222222222"/>
    <w:basedOn w:val="779"/>
    <w:next w:val="974"/>
    <w:link w:val="779"/>
    <w:qFormat/>
    <w:pPr>
      <w:ind w:firstLine="480"/>
      <w:jc w:val="left"/>
      <w:spacing w:line="360" w:lineRule="auto"/>
      <w:widowControl/>
    </w:pPr>
    <w:rPr>
      <w:color w:val="ff0000"/>
      <w:sz w:val="24"/>
      <w:szCs w:val="20"/>
    </w:rPr>
  </w:style>
  <w:style w:type="character" w:styleId="975">
    <w:name w:val="中等深浅网格 1 - 强调文字颜色 2 Char"/>
    <w:next w:val="975"/>
    <w:link w:val="976"/>
    <w:qFormat/>
    <w:rPr>
      <w:sz w:val="21"/>
      <w:szCs w:val="24"/>
      <w:lang w:val="zh-CN" w:eastAsia="zh-CN" w:bidi="ar-SA"/>
    </w:rPr>
  </w:style>
  <w:style w:type="paragraph" w:styleId="976">
    <w:name w:val="1"/>
    <w:next w:val="976"/>
    <w:link w:val="975"/>
    <w:qFormat/>
    <w:rPr>
      <w:sz w:val="21"/>
      <w:szCs w:val="24"/>
      <w:lang w:val="zh-CN" w:eastAsia="zh-CN" w:bidi="ar-SA"/>
    </w:rPr>
  </w:style>
  <w:style w:type="paragraph" w:styleId="977">
    <w:name w:val="图文"/>
    <w:basedOn w:val="779"/>
    <w:next w:val="977"/>
    <w:link w:val="779"/>
    <w:qFormat/>
    <w:pPr>
      <w:spacing w:after="50" w:line="360" w:lineRule="auto"/>
    </w:pPr>
    <w:rPr>
      <w:sz w:val="24"/>
    </w:rPr>
  </w:style>
  <w:style w:type="paragraph" w:styleId="978">
    <w:name w:val="xl23"/>
    <w:basedOn w:val="779"/>
    <w:next w:val="978"/>
    <w:link w:val="779"/>
    <w:qFormat/>
    <w:pPr>
      <w:spacing w:before="100" w:beforeAutospacing="1" w:after="100" w:afterAutospacing="1" w:line="360" w:lineRule="auto"/>
      <w:widowControl/>
    </w:pPr>
    <w:rPr>
      <w:sz w:val="24"/>
      <w:szCs w:val="20"/>
    </w:rPr>
  </w:style>
  <w:style w:type="paragraph" w:styleId="979">
    <w:name w:val="正文表格"/>
    <w:basedOn w:val="779"/>
    <w:next w:val="979"/>
    <w:link w:val="980"/>
    <w:qFormat/>
    <w:pPr>
      <w:jc w:val="left"/>
    </w:pPr>
    <w:rPr>
      <w:rFonts w:ascii="宋体" w:hAnsi="宋体"/>
      <w:color w:val="000000"/>
      <w:szCs w:val="21"/>
    </w:rPr>
  </w:style>
  <w:style w:type="character" w:styleId="980">
    <w:name w:val="正文表格 Char"/>
    <w:next w:val="980"/>
    <w:link w:val="979"/>
    <w:qFormat/>
    <w:rPr>
      <w:rFonts w:ascii="宋体" w:hAnsi="宋体"/>
      <w:color w:val="000000"/>
      <w:sz w:val="21"/>
      <w:szCs w:val="21"/>
    </w:rPr>
  </w:style>
  <w:style w:type="paragraph" w:styleId="981">
    <w:name w:val="正文重点"/>
    <w:basedOn w:val="779"/>
    <w:next w:val="981"/>
    <w:link w:val="982"/>
    <w:qFormat/>
    <w:pPr>
      <w:ind w:firstLine="482"/>
      <w:jc w:val="left"/>
      <w:spacing w:line="360" w:lineRule="auto"/>
    </w:pPr>
    <w:rPr>
      <w:b/>
      <w:sz w:val="24"/>
      <w:szCs w:val="20"/>
    </w:rPr>
  </w:style>
  <w:style w:type="character" w:styleId="982">
    <w:name w:val="正文重点 Char"/>
    <w:next w:val="982"/>
    <w:link w:val="981"/>
    <w:qFormat/>
    <w:rPr>
      <w:b/>
      <w:sz w:val="24"/>
    </w:rPr>
  </w:style>
  <w:style w:type="paragraph" w:styleId="983">
    <w:name w:val="标题1-附件"/>
    <w:basedOn w:val="780"/>
    <w:next w:val="983"/>
    <w:link w:val="779"/>
    <w:qFormat/>
    <w:pPr>
      <w:jc w:val="left"/>
    </w:pPr>
    <w:rPr>
      <w:sz w:val="24"/>
      <w:szCs w:val="24"/>
    </w:rPr>
  </w:style>
  <w:style w:type="paragraph" w:styleId="984">
    <w:name w:val="正文小标题"/>
    <w:basedOn w:val="779"/>
    <w:next w:val="801"/>
    <w:link w:val="985"/>
    <w:qFormat/>
    <w:pPr>
      <w:ind w:firstLine="482"/>
      <w:jc w:val="left"/>
      <w:spacing w:before="312" w:after="312"/>
    </w:pPr>
    <w:rPr>
      <w:rFonts w:ascii="宋体" w:hAnsi="宋体"/>
      <w:b/>
      <w:i/>
      <w:color w:val="ff0000"/>
      <w:sz w:val="24"/>
      <w:szCs w:val="20"/>
    </w:rPr>
  </w:style>
  <w:style w:type="character" w:styleId="985">
    <w:name w:val="正文小标题 Char"/>
    <w:next w:val="985"/>
    <w:link w:val="984"/>
    <w:qFormat/>
    <w:rPr>
      <w:rFonts w:ascii="宋体" w:hAnsi="宋体"/>
      <w:b/>
      <w:i/>
      <w:color w:val="ff0000"/>
      <w:sz w:val="24"/>
    </w:rPr>
  </w:style>
  <w:style w:type="paragraph" w:styleId="986">
    <w:name w:val="正文大标题"/>
    <w:basedOn w:val="984"/>
    <w:next w:val="801"/>
    <w:link w:val="987"/>
    <w:qFormat/>
    <w:pPr>
      <w:jc w:val="center"/>
    </w:pPr>
    <w:rPr>
      <w:i w:val="0"/>
      <w:color w:val="000000"/>
      <w:sz w:val="28"/>
      <w:szCs w:val="21"/>
    </w:rPr>
  </w:style>
  <w:style w:type="character" w:styleId="987">
    <w:name w:val="正文大标题 Char"/>
    <w:next w:val="987"/>
    <w:link w:val="986"/>
    <w:qFormat/>
    <w:rPr>
      <w:rFonts w:ascii="宋体" w:hAnsi="宋体"/>
      <w:b/>
      <w:color w:val="000000"/>
      <w:sz w:val="28"/>
      <w:szCs w:val="21"/>
    </w:rPr>
  </w:style>
  <w:style w:type="paragraph" w:styleId="988">
    <w:name w:val="注释"/>
    <w:basedOn w:val="779"/>
    <w:next w:val="988"/>
    <w:link w:val="989"/>
    <w:qFormat/>
    <w:pPr>
      <w:ind w:left="420" w:hanging="420"/>
      <w:jc w:val="left"/>
    </w:pPr>
    <w:rPr>
      <w:rFonts w:ascii="宋体" w:hAnsi="宋体"/>
      <w:szCs w:val="21"/>
    </w:rPr>
  </w:style>
  <w:style w:type="character" w:styleId="989">
    <w:name w:val="注释 Char"/>
    <w:next w:val="989"/>
    <w:link w:val="988"/>
    <w:qFormat/>
    <w:rPr>
      <w:rFonts w:ascii="宋体" w:hAnsi="宋体"/>
      <w:sz w:val="21"/>
      <w:szCs w:val="21"/>
    </w:rPr>
  </w:style>
  <w:style w:type="paragraph" w:styleId="990">
    <w:name w:val="正文须知-1级"/>
    <w:basedOn w:val="779"/>
    <w:next w:val="779"/>
    <w:link w:val="779"/>
    <w:qFormat/>
    <w:pPr>
      <w:numPr>
        <w:ilvl w:val="0"/>
        <w:numId w:val="7"/>
      </w:numPr>
      <w:spacing w:line="300" w:lineRule="auto"/>
    </w:pPr>
    <w:rPr>
      <w:rFonts w:ascii="宋体" w:hAnsi="Calibri"/>
      <w:sz w:val="24"/>
      <w:szCs w:val="21"/>
    </w:rPr>
  </w:style>
  <w:style w:type="paragraph" w:styleId="991">
    <w:name w:val="正文须知-2级"/>
    <w:basedOn w:val="779"/>
    <w:next w:val="991"/>
    <w:link w:val="779"/>
    <w:qFormat/>
    <w:pPr>
      <w:numPr>
        <w:ilvl w:val="1"/>
        <w:numId w:val="7"/>
      </w:numPr>
      <w:spacing w:line="300" w:lineRule="auto"/>
    </w:pPr>
    <w:rPr>
      <w:rFonts w:ascii="宋体" w:hAnsi="Calibri"/>
      <w:sz w:val="24"/>
      <w:szCs w:val="21"/>
    </w:rPr>
  </w:style>
  <w:style w:type="paragraph" w:styleId="992">
    <w:name w:val="正文须知-3级"/>
    <w:basedOn w:val="779"/>
    <w:next w:val="992"/>
    <w:link w:val="779"/>
    <w:qFormat/>
    <w:pPr>
      <w:numPr>
        <w:ilvl w:val="2"/>
        <w:numId w:val="7"/>
      </w:numPr>
      <w:ind w:hanging="355"/>
      <w:spacing w:line="300" w:lineRule="auto"/>
    </w:pPr>
    <w:rPr>
      <w:rFonts w:ascii="宋体" w:hAnsi="Calibri"/>
      <w:sz w:val="24"/>
      <w:szCs w:val="21"/>
    </w:rPr>
  </w:style>
  <w:style w:type="character" w:styleId="993">
    <w:name w:val="纯文本 字符"/>
    <w:next w:val="993"/>
    <w:link w:val="779"/>
    <w:uiPriority w:val="99"/>
    <w:qFormat/>
    <w:rPr>
      <w:rFonts w:ascii="宋体" w:hAnsi="Courier New" w:eastAsia="宋体" w:cs="Times New Roman"/>
      <w:sz w:val="21"/>
      <w:szCs w:val="21"/>
      <w:lang w:val="en-US" w:eastAsia="zh-CN" w:bidi="ar-SA"/>
    </w:rPr>
  </w:style>
  <w:style w:type="paragraph" w:styleId="994">
    <w:name w:val="表格1"/>
    <w:basedOn w:val="779"/>
    <w:next w:val="994"/>
    <w:link w:val="779"/>
    <w:qFormat/>
    <w:pPr>
      <w:ind w:firstLine="480"/>
      <w:jc w:val="center"/>
    </w:pPr>
    <w:rPr>
      <w:sz w:val="24"/>
      <w:szCs w:val="20"/>
    </w:rPr>
  </w:style>
  <w:style w:type="character" w:styleId="995">
    <w:name w:val="纯文本 字符1"/>
    <w:next w:val="995"/>
    <w:link w:val="779"/>
    <w:qFormat/>
    <w:rPr>
      <w:rFonts w:ascii="宋体" w:hAnsi="Courier New"/>
    </w:rPr>
  </w:style>
  <w:style w:type="character" w:styleId="996">
    <w:name w:val="bjh-p"/>
    <w:next w:val="996"/>
    <w:link w:val="779"/>
    <w:qFormat/>
  </w:style>
  <w:style w:type="paragraph" w:styleId="997">
    <w:name w:val="无标题条"/>
    <w:next w:val="779"/>
    <w:link w:val="779"/>
    <w:qFormat/>
    <w:pPr>
      <w:jc w:val="both"/>
    </w:pPr>
    <w:rPr>
      <w:sz w:val="21"/>
      <w:lang w:val="en-US" w:eastAsia="zh-CN" w:bidi="ar-SA"/>
    </w:rPr>
  </w:style>
  <w:style w:type="character" w:styleId="998">
    <w:name w:val="正文格式 Char"/>
    <w:next w:val="998"/>
    <w:link w:val="999"/>
    <w:qFormat/>
    <w:rPr>
      <w:rFonts w:ascii="宋体" w:hAnsi="宋体"/>
      <w:sz w:val="24"/>
      <w:szCs w:val="24"/>
      <w:lang w:val="en-GB"/>
    </w:rPr>
  </w:style>
  <w:style w:type="paragraph" w:styleId="999">
    <w:name w:val="正文格式"/>
    <w:basedOn w:val="779"/>
    <w:next w:val="999"/>
    <w:link w:val="998"/>
    <w:qFormat/>
    <w:pPr>
      <w:ind w:firstLine="480"/>
      <w:spacing w:line="360" w:lineRule="auto"/>
    </w:pPr>
    <w:rPr>
      <w:rFonts w:ascii="宋体" w:hAnsi="宋体"/>
      <w:sz w:val="24"/>
      <w:lang w:val="en-GB"/>
    </w:rPr>
  </w:style>
  <w:style w:type="character" w:styleId="1000">
    <w:name w:val="标题 3 Char"/>
    <w:next w:val="1000"/>
    <w:link w:val="779"/>
    <w:qFormat/>
    <w:rPr>
      <w:rFonts w:ascii="宋体" w:eastAsia="宋体"/>
      <w:b/>
      <w:sz w:val="24"/>
      <w:u w:val="single"/>
      <w:lang w:val="en-US" w:eastAsia="zh-CN" w:bidi="ar-SA"/>
    </w:rPr>
  </w:style>
  <w:style w:type="character" w:styleId="1001">
    <w:name w:val="正文缩进 Char"/>
    <w:next w:val="1001"/>
    <w:link w:val="779"/>
    <w:qFormat/>
    <w:rPr>
      <w:rFonts w:ascii="宋体" w:eastAsia="宋体"/>
      <w:sz w:val="24"/>
      <w:szCs w:val="24"/>
      <w:lang w:val="en-US" w:eastAsia="zh-CN" w:bidi="ar-SA"/>
    </w:rPr>
  </w:style>
  <w:style w:type="character" w:styleId="1002">
    <w:name w:val="Char Char111"/>
    <w:next w:val="1002"/>
    <w:link w:val="779"/>
    <w:qFormat/>
    <w:rPr>
      <w:rFonts w:ascii="宋体" w:eastAsia="宋体"/>
      <w:b/>
      <w:sz w:val="24"/>
      <w:u w:val="single"/>
      <w:lang w:val="en-US" w:eastAsia="zh-CN" w:bidi="ar-SA"/>
    </w:rPr>
  </w:style>
  <w:style w:type="character" w:styleId="1003">
    <w:name w:val="正文文本缩进 Char"/>
    <w:next w:val="1003"/>
    <w:link w:val="779"/>
    <w:qFormat/>
    <w:rPr>
      <w:rFonts w:eastAsia="宋体"/>
      <w:sz w:val="24"/>
      <w:szCs w:val="24"/>
      <w:lang w:val="en-US" w:eastAsia="zh-CN" w:bidi="ar-SA"/>
    </w:rPr>
  </w:style>
  <w:style w:type="character" w:styleId="1004">
    <w:name w:val="列出段落 Char"/>
    <w:next w:val="1004"/>
    <w:link w:val="779"/>
    <w:qFormat/>
    <w:rPr>
      <w:rFonts w:ascii="Calibri" w:hAnsi="Calibri" w:eastAsia="宋体"/>
      <w:sz w:val="21"/>
      <w:szCs w:val="22"/>
      <w:lang w:val="en-US" w:eastAsia="zh-CN" w:bidi="ar-SA"/>
    </w:rPr>
  </w:style>
  <w:style w:type="character" w:styleId="1005">
    <w:name w:val="页眉 Char"/>
    <w:next w:val="1005"/>
    <w:link w:val="779"/>
    <w:qFormat/>
    <w:rPr>
      <w:rFonts w:eastAsia="宋体"/>
      <w:sz w:val="18"/>
      <w:szCs w:val="18"/>
      <w:lang w:val="en-US" w:eastAsia="zh-CN" w:bidi="ar-SA"/>
    </w:rPr>
  </w:style>
  <w:style w:type="character" w:styleId="1006">
    <w:name w:val="标题 2 Char"/>
    <w:next w:val="1006"/>
    <w:link w:val="779"/>
    <w:qFormat/>
    <w:rPr>
      <w:rFonts w:ascii="Arial" w:hAnsi="Arial" w:eastAsia="黑体"/>
      <w:b/>
      <w:sz w:val="30"/>
      <w:lang w:val="en-US" w:eastAsia="zh-CN" w:bidi="ar-SA"/>
    </w:rPr>
  </w:style>
  <w:style w:type="paragraph" w:styleId="1007">
    <w:name w:val="字元 字元2"/>
    <w:basedOn w:val="779"/>
    <w:next w:val="1007"/>
    <w:link w:val="779"/>
    <w:qFormat/>
    <w:rPr>
      <w:rFonts w:ascii="Tahoma" w:hAnsi="Tahoma"/>
      <w:sz w:val="24"/>
      <w:szCs w:val="20"/>
    </w:rPr>
  </w:style>
  <w:style w:type="paragraph" w:styleId="1008">
    <w:name w:val="Char3 Char Char Char2"/>
    <w:basedOn w:val="779"/>
    <w:next w:val="1008"/>
    <w:link w:val="779"/>
    <w:qFormat/>
    <w:rPr>
      <w:rFonts w:ascii="Tahoma" w:hAnsi="Tahoma"/>
      <w:sz w:val="24"/>
      <w:szCs w:val="20"/>
    </w:rPr>
  </w:style>
  <w:style w:type="paragraph" w:styleId="1009">
    <w:name w:val="正文文本缩进2"/>
    <w:basedOn w:val="779"/>
    <w:next w:val="1009"/>
    <w:link w:val="779"/>
    <w:qFormat/>
    <w:pPr>
      <w:ind w:firstLine="480"/>
      <w:spacing w:line="480" w:lineRule="exact"/>
    </w:pPr>
    <w:rPr>
      <w:rFonts w:ascii="宋体" w:hAnsi="宋体"/>
      <w:sz w:val="24"/>
      <w:lang w:val="zh-CN" w:eastAsia="zh-CN"/>
    </w:rPr>
  </w:style>
  <w:style w:type="paragraph" w:styleId="1010">
    <w:name w:val="Char3"/>
    <w:basedOn w:val="779"/>
    <w:next w:val="1010"/>
    <w:link w:val="779"/>
    <w:qFormat/>
    <w:pPr>
      <w:tabs>
        <w:tab w:val="left" w:pos="360" w:leader="none"/>
      </w:tabs>
    </w:pPr>
    <w:rPr>
      <w:sz w:val="24"/>
    </w:rPr>
  </w:style>
  <w:style w:type="paragraph" w:styleId="1011">
    <w:name w:val="Char Char Char Char Char Char Char Char Char Char Char Char Char Char Char Char1"/>
    <w:basedOn w:val="779"/>
    <w:next w:val="1011"/>
    <w:link w:val="779"/>
    <w:qFormat/>
    <w:pPr>
      <w:jc w:val="center"/>
      <w:spacing w:after="160" w:line="240" w:lineRule="exact"/>
      <w:widowControl/>
    </w:pPr>
    <w:rPr>
      <w:rFonts w:ascii="宋体" w:hAnsi="宋体"/>
      <w:b/>
      <w:sz w:val="30"/>
      <w:szCs w:val="30"/>
      <w:lang w:eastAsia="en-US"/>
    </w:rPr>
  </w:style>
  <w:style w:type="paragraph" w:styleId="1012">
    <w:name w:val="Char Char1 Char Char Char Char Char Char1"/>
    <w:basedOn w:val="779"/>
    <w:next w:val="1012"/>
    <w:link w:val="779"/>
    <w:qFormat/>
    <w:pPr>
      <w:jc w:val="left"/>
      <w:spacing w:after="160" w:line="240" w:lineRule="exact"/>
      <w:widowControl/>
    </w:pPr>
    <w:rPr>
      <w:rFonts w:ascii="Verdana" w:hAnsi="Verdana" w:eastAsia="仿宋_GB2312"/>
      <w:sz w:val="24"/>
      <w:szCs w:val="20"/>
      <w:lang w:eastAsia="en-US"/>
    </w:rPr>
  </w:style>
  <w:style w:type="paragraph" w:styleId="1013">
    <w:name w:val="列出段落2"/>
    <w:basedOn w:val="779"/>
    <w:next w:val="1013"/>
    <w:link w:val="779"/>
    <w:qFormat/>
    <w:pPr>
      <w:ind w:firstLine="420"/>
    </w:pPr>
    <w:rPr>
      <w:rFonts w:ascii="Calibri" w:hAnsi="Calibri"/>
      <w:szCs w:val="22"/>
    </w:rPr>
  </w:style>
  <w:style w:type="paragraph" w:styleId="1014">
    <w:name w:val="Char Char Char1 Char2"/>
    <w:basedOn w:val="779"/>
    <w:next w:val="1014"/>
    <w:link w:val="779"/>
    <w:qFormat/>
    <w:rPr>
      <w:rFonts w:ascii="Tahoma" w:hAnsi="Tahoma"/>
      <w:sz w:val="24"/>
      <w:szCs w:val="20"/>
    </w:rPr>
  </w:style>
  <w:style w:type="paragraph" w:styleId="1015">
    <w:name w:val="Char Char Char2"/>
    <w:basedOn w:val="779"/>
    <w:next w:val="1015"/>
    <w:link w:val="779"/>
    <w:qFormat/>
    <w:rPr>
      <w:rFonts w:ascii="Tahoma" w:hAnsi="Tahoma"/>
      <w:sz w:val="24"/>
      <w:szCs w:val="20"/>
    </w:rPr>
  </w:style>
  <w:style w:type="paragraph" w:styleId="1016">
    <w:name w:val="Char Char Char Char Char Char Char2"/>
    <w:basedOn w:val="779"/>
    <w:next w:val="1016"/>
    <w:link w:val="779"/>
    <w:qFormat/>
    <w:pPr>
      <w:ind w:firstLine="200"/>
      <w:spacing w:line="360" w:lineRule="auto"/>
    </w:pPr>
    <w:rPr>
      <w:rFonts w:eastAsia="仿宋_GB2312"/>
      <w:sz w:val="24"/>
    </w:rPr>
  </w:style>
  <w:style w:type="paragraph" w:styleId="1017">
    <w:name w:val="正文缩进2"/>
    <w:basedOn w:val="779"/>
    <w:next w:val="1017"/>
    <w:link w:val="779"/>
    <w:qFormat/>
    <w:pPr>
      <w:ind w:firstLine="567"/>
      <w:spacing w:line="480" w:lineRule="exact"/>
      <w:widowControl/>
    </w:pPr>
    <w:rPr>
      <w:rFonts w:ascii="宋体"/>
      <w:color w:val="000000"/>
      <w:sz w:val="28"/>
      <w:szCs w:val="20"/>
      <w:lang w:val="zh-CN" w:eastAsia="zh-CN"/>
    </w:rPr>
  </w:style>
  <w:style w:type="paragraph" w:styleId="1018">
    <w:name w:val="Revision"/>
    <w:next w:val="1018"/>
    <w:link w:val="779"/>
    <w:qFormat/>
    <w:rPr>
      <w:sz w:val="21"/>
      <w:szCs w:val="24"/>
      <w:lang w:val="en-US" w:eastAsia="zh-CN" w:bidi="ar-SA"/>
    </w:rPr>
  </w:style>
  <w:style w:type="paragraph" w:styleId="1019">
    <w:name w:val="Char22"/>
    <w:basedOn w:val="779"/>
    <w:next w:val="1019"/>
    <w:link w:val="779"/>
    <w:qFormat/>
    <w:rPr>
      <w:rFonts w:ascii="Tahoma" w:hAnsi="Tahoma"/>
      <w:sz w:val="24"/>
      <w:szCs w:val="20"/>
    </w:rPr>
  </w:style>
  <w:style w:type="paragraph" w:styleId="1020">
    <w:name w:val="Char Char Char Char Char Char Char Char Char Char2"/>
    <w:basedOn w:val="779"/>
    <w:next w:val="1020"/>
    <w:link w:val="779"/>
    <w:qFormat/>
    <w:rPr>
      <w:rFonts w:ascii="宋体" w:hAnsi="宋体" w:cs="Courier New"/>
      <w:sz w:val="32"/>
      <w:szCs w:val="32"/>
    </w:rPr>
  </w:style>
  <w:style w:type="paragraph" w:styleId="1021">
    <w:name w:val="Char2 Char Char Char Char Char Char1"/>
    <w:basedOn w:val="779"/>
    <w:next w:val="1021"/>
    <w:link w:val="779"/>
    <w:qFormat/>
    <w:pPr>
      <w:jc w:val="center"/>
      <w:spacing w:line="400" w:lineRule="exact"/>
      <w:widowControl/>
    </w:pPr>
  </w:style>
  <w:style w:type="character" w:styleId="1022">
    <w:name w:val="页脚 Char"/>
    <w:next w:val="1022"/>
    <w:link w:val="779"/>
    <w:qFormat/>
    <w:rPr>
      <w:rFonts w:ascii="宋体" w:eastAsia="宋体"/>
      <w:sz w:val="18"/>
      <w:lang w:val="en-US" w:eastAsia="zh-CN" w:bidi="ar-SA"/>
    </w:rPr>
  </w:style>
  <w:style w:type="paragraph" w:styleId="1023">
    <w:name w:val="Char Char41"/>
    <w:basedOn w:val="779"/>
    <w:next w:val="1023"/>
    <w:link w:val="779"/>
    <w:qFormat/>
    <w:pPr>
      <w:jc w:val="center"/>
      <w:spacing w:line="400" w:lineRule="exact"/>
      <w:widowControl/>
    </w:pPr>
  </w:style>
  <w:style w:type="character" w:styleId="1024">
    <w:name w:val="批注文字 Char"/>
    <w:next w:val="1024"/>
    <w:link w:val="779"/>
    <w:uiPriority w:val="99"/>
    <w:qFormat/>
    <w:rPr>
      <w:sz w:val="21"/>
      <w:szCs w:val="24"/>
    </w:rPr>
  </w:style>
  <w:style w:type="character" w:styleId="1025">
    <w:name w:val="标题 Char"/>
    <w:next w:val="1025"/>
    <w:link w:val="779"/>
    <w:qFormat/>
    <w:rPr>
      <w:b/>
      <w:sz w:val="32"/>
    </w:rPr>
  </w:style>
  <w:style w:type="paragraph" w:styleId="1026">
    <w:name w:val="图例"/>
    <w:basedOn w:val="779"/>
    <w:next w:val="1026"/>
    <w:link w:val="779"/>
    <w:qFormat/>
    <w:pPr>
      <w:jc w:val="center"/>
      <w:spacing w:before="120" w:after="120" w:line="360" w:lineRule="auto"/>
    </w:pPr>
    <w:rPr>
      <w:rFonts w:eastAsia="仿宋_GB2312"/>
      <w:b/>
      <w:sz w:val="24"/>
      <w:szCs w:val="20"/>
    </w:rPr>
  </w:style>
  <w:style w:type="table" w:styleId="1027">
    <w:name w:val="Table Normal"/>
    <w:next w:val="1027"/>
    <w:link w:val="779"/>
    <w:uiPriority w:val="2"/>
    <w:unhideWhenUsed/>
    <w:qFormat/>
    <w:pPr>
      <w:widowControl w:val="off"/>
    </w:pPr>
    <w:rPr>
      <w:rFonts w:ascii="Calibri" w:hAnsi="Calibri"/>
      <w:sz w:val="22"/>
      <w:szCs w:val="22"/>
      <w:lang w:val="en-US" w:eastAsia="en-US" w:bidi="ar-SA"/>
    </w:rPr>
    <w:tblPr/>
  </w:style>
  <w:style w:type="paragraph" w:styleId="1028">
    <w:name w:val="Table Paragraph"/>
    <w:basedOn w:val="779"/>
    <w:next w:val="1028"/>
    <w:link w:val="779"/>
    <w:uiPriority w:val="1"/>
    <w:qFormat/>
    <w:pPr>
      <w:jc w:val="left"/>
    </w:pPr>
    <w:rPr>
      <w:rFonts w:ascii="宋体" w:hAnsi="宋体" w:cs="宋体"/>
      <w:sz w:val="22"/>
      <w:szCs w:val="22"/>
      <w:lang w:eastAsia="en-US"/>
    </w:rPr>
  </w:style>
  <w:style w:type="paragraph" w:styleId="1029">
    <w:name w:val="成文日期"/>
    <w:basedOn w:val="779"/>
    <w:next w:val="1029"/>
    <w:link w:val="1030"/>
    <w:qFormat/>
    <w:pPr>
      <w:ind w:right="400" w:firstLine="200"/>
      <w:jc w:val="right"/>
      <w:spacing w:line="570" w:lineRule="exact"/>
    </w:pPr>
    <w:rPr>
      <w:rFonts w:ascii="仿宋_GB2312" w:eastAsia="仿宋_GB2312"/>
      <w:sz w:val="32"/>
      <w:szCs w:val="20"/>
    </w:rPr>
  </w:style>
  <w:style w:type="character" w:styleId="1030">
    <w:name w:val="成文日期 Char"/>
    <w:next w:val="1030"/>
    <w:link w:val="1029"/>
    <w:rPr>
      <w:rFonts w:ascii="仿宋_GB2312" w:eastAsia="仿宋_GB2312"/>
      <w:sz w:val="32"/>
    </w:rPr>
  </w:style>
  <w:style w:type="paragraph" w:styleId="1031">
    <w:name w:val="☆ 正文"/>
    <w:basedOn w:val="779"/>
    <w:next w:val="1031"/>
    <w:link w:val="779"/>
    <w:qFormat/>
    <w:rPr>
      <w:rFonts w:ascii="Calibri" w:hAnsi="Calibri" w:eastAsia="宋体" w:cs="Times New Roman"/>
      <w:szCs w:val="22"/>
    </w:rPr>
  </w:style>
  <w:style w:type="character" w:styleId="1032">
    <w:name w:val="font41"/>
    <w:next w:val="1032"/>
    <w:link w:val="779"/>
    <w:qFormat/>
    <w:rPr>
      <w:sz w:val="21"/>
      <w:szCs w:val="24"/>
      <w:lang w:val="en-US" w:eastAsia="zh-CN" w:bidi="ar-SA"/>
    </w:rPr>
  </w:style>
  <w:style w:type="character" w:styleId="11508" w:default="1">
    <w:name w:val="Default Paragraph Font"/>
    <w:uiPriority w:val="1"/>
    <w:semiHidden/>
    <w:unhideWhenUsed/>
  </w:style>
  <w:style w:type="numbering" w:styleId="11509" w:default="1">
    <w:name w:val="No List"/>
    <w:uiPriority w:val="99"/>
    <w:semiHidden/>
    <w:unhideWhenUsed/>
  </w:style>
  <w:style w:type="table" w:styleId="115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6</cp:revision>
  <dcterms:created xsi:type="dcterms:W3CDTF">2022-05-30T08:07:00Z</dcterms:created>
  <dcterms:modified xsi:type="dcterms:W3CDTF">2026-06-30T01:11:49Z</dcterms:modified>
</cp:coreProperties>
</file>